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D5" w:rsidRPr="00CE2882" w:rsidRDefault="000F42D5" w:rsidP="000F42D5">
      <w:pPr>
        <w:pStyle w:val="Titolo2"/>
        <w:shd w:val="clear" w:color="auto" w:fill="D9D9D9"/>
        <w:jc w:val="center"/>
        <w:rPr>
          <w:sz w:val="20"/>
          <w:szCs w:val="20"/>
          <w:lang w:val="en-US"/>
        </w:rPr>
      </w:pPr>
      <w:r w:rsidRPr="00CE2882">
        <w:rPr>
          <w:sz w:val="20"/>
          <w:szCs w:val="20"/>
          <w:lang w:val="en-US"/>
        </w:rPr>
        <w:t xml:space="preserve">CONFERENCE </w:t>
      </w:r>
      <w:r w:rsidRPr="00E239B4">
        <w:rPr>
          <w:sz w:val="20"/>
          <w:szCs w:val="20"/>
          <w:lang w:val="en-US"/>
        </w:rPr>
        <w:t>PREVUE A L’ARTICLE 13 DU PACTE BUDGETAIRE</w:t>
      </w:r>
    </w:p>
    <w:p w:rsidR="000F42D5" w:rsidRPr="000F42D5" w:rsidRDefault="000F42D5" w:rsidP="009C7890">
      <w:pPr>
        <w:pStyle w:val="Titolo1"/>
        <w:rPr>
          <w:lang w:val="en-US"/>
        </w:rPr>
      </w:pPr>
    </w:p>
    <w:p w:rsidR="00903479" w:rsidRPr="0073531F" w:rsidRDefault="00903479" w:rsidP="009C7890">
      <w:pPr>
        <w:pStyle w:val="Titolo1"/>
      </w:pPr>
      <w:r>
        <w:t>Session II - Instruments</w:t>
      </w:r>
      <w:r w:rsidRPr="009C7890">
        <w:t xml:space="preserve"> </w:t>
      </w:r>
      <w:r>
        <w:t>de gouvernance économique et financière de l’Union européenne</w:t>
      </w:r>
    </w:p>
    <w:p w:rsidR="00BA5C09" w:rsidRPr="00731BF8" w:rsidRDefault="00BA5C09" w:rsidP="00BA5C09">
      <w:pPr>
        <w:jc w:val="center"/>
        <w:rPr>
          <w:u w:val="single"/>
        </w:rPr>
      </w:pPr>
      <w:r w:rsidRPr="00731BF8">
        <w:rPr>
          <w:u w:val="single"/>
        </w:rPr>
        <w:t>Note d’information</w:t>
      </w:r>
    </w:p>
    <w:p w:rsidR="00903479" w:rsidRDefault="00903479" w:rsidP="009C7890">
      <w:bookmarkStart w:id="0" w:name="_GoBack"/>
      <w:bookmarkEnd w:id="0"/>
    </w:p>
    <w:p w:rsidR="00903479" w:rsidRDefault="00903479" w:rsidP="009C7890">
      <w:r>
        <w:t>Les nouvelles et plus rigoureuses règles de l’</w:t>
      </w:r>
      <w:r w:rsidRPr="009C7890">
        <w:t xml:space="preserve">UE </w:t>
      </w:r>
      <w:r>
        <w:t>en matière de finances publiques imposent des politiques de consolidation et de réduction progressive de la dette.</w:t>
      </w:r>
    </w:p>
    <w:p w:rsidR="00903479" w:rsidRDefault="00903479" w:rsidP="009C7890">
      <w:r>
        <w:t xml:space="preserve">Ne pouvant pas avoir recours au levier fiscal, compte tenu du fait que la </w:t>
      </w:r>
      <w:hyperlink r:id="rId9" w:history="1">
        <w:r w:rsidRPr="0068191A">
          <w:rPr>
            <w:rStyle w:val="Collegamentoipertestuale"/>
          </w:rPr>
          <w:t>pression fiscale</w:t>
        </w:r>
      </w:hyperlink>
      <w:r>
        <w:t xml:space="preserve"> est déjà moyennement élevée (38,8 % dans l’UE et 39,5 % dans la zone euro) et, par conséquent, une nouvelle hausse de celle-ci pourrait nuire à la compétitivité des économies européennes, les gouvernements nationaux se sont engagés à mettre en œuvre des programmes contraignants de limitation de la dépense publique qui, dans une phase de faible demande privée, accentuent le risque d’enclencher des dynamiques récessives.</w:t>
      </w:r>
    </w:p>
    <w:p w:rsidR="00903479" w:rsidRDefault="00903479" w:rsidP="00CF02C2">
      <w:r>
        <w:t>Suite à la crise économique et financière de 2008, de nombreux États membres de la zone euro ont d</w:t>
      </w:r>
      <w:r>
        <w:rPr>
          <w:rFonts w:cs="Arial"/>
        </w:rPr>
        <w:t>û</w:t>
      </w:r>
      <w:r>
        <w:t xml:space="preserve"> faire face à une hausse considérable de la dette.</w:t>
      </w:r>
    </w:p>
    <w:p w:rsidR="00903479" w:rsidRDefault="00903479" w:rsidP="009C7890">
      <w:r>
        <w:t xml:space="preserve">En effet, le </w:t>
      </w:r>
      <w:hyperlink r:id="rId10" w:history="1">
        <w:r w:rsidRPr="0068191A">
          <w:rPr>
            <w:rStyle w:val="Collegamentoipertestuale"/>
          </w:rPr>
          <w:t>rapport dette publique/PIB</w:t>
        </w:r>
      </w:hyperlink>
      <w:r>
        <w:t xml:space="preserve"> dans l’UE et dans la zone euro a augmenté de plus de 15 %, en passant respectivement de 74,3 % à 89,5 % et de 79,9 % à 96 %.</w:t>
      </w:r>
    </w:p>
    <w:p w:rsidR="00903479" w:rsidRDefault="00903479" w:rsidP="009C7890">
      <w:r>
        <w:t>Dans le cadre européen a donc commencé un large débat sur les possibles instruments qui devraient, tout en récupérant des taux de croissance plus consistants, atténuer l’incidence de la dette sur les économies européennes, notamment pour les pays les plus exposés à la spéculation internationale, qui sont contraints de destiner une part très élevée de leur budget au paiement des intérêts sur les titres de la dette publique.</w:t>
      </w:r>
    </w:p>
    <w:p w:rsidR="00903479" w:rsidRDefault="00903479" w:rsidP="00A54816">
      <w:r>
        <w:t xml:space="preserve">Plusieurs propositions ont été avancées, dont la création d’un </w:t>
      </w:r>
      <w:hyperlink r:id="rId11" w:history="1">
        <w:r w:rsidRPr="0068191A">
          <w:rPr>
            <w:rStyle w:val="Collegamentoipertestuale"/>
          </w:rPr>
          <w:t>Fonds de rédemption</w:t>
        </w:r>
      </w:hyperlink>
      <w:r>
        <w:t xml:space="preserve"> (Fonds européen de rédemption, FER) dans lequel confluerait la somme des dettes publiques des États de la zone euro pour la partie excédant </w:t>
      </w:r>
      <w:r w:rsidRPr="00A54816">
        <w:t>60</w:t>
      </w:r>
      <w:r>
        <w:t> </w:t>
      </w:r>
      <w:r w:rsidRPr="00A54816">
        <w:t>% d</w:t>
      </w:r>
      <w:r>
        <w:t>u</w:t>
      </w:r>
      <w:r w:rsidRPr="00A54816">
        <w:t xml:space="preserve"> PI</w:t>
      </w:r>
      <w:r>
        <w:t xml:space="preserve">B ; le FER émettrait des titres pour une durée maximum de </w:t>
      </w:r>
      <w:r w:rsidRPr="00A54816">
        <w:t>20-25 an</w:t>
      </w:r>
      <w:r>
        <w:t>s, garantis par la recette des impôts perçus au niveau national et par des biens publics – notamment des réserves d’or et de devise étrangère.</w:t>
      </w:r>
    </w:p>
    <w:p w:rsidR="00903479" w:rsidRDefault="00903479" w:rsidP="00A54816">
      <w:r>
        <w:t>Les</w:t>
      </w:r>
      <w:r w:rsidRPr="00A54816">
        <w:t xml:space="preserve"> </w:t>
      </w:r>
      <w:proofErr w:type="spellStart"/>
      <w:r w:rsidRPr="00692F55">
        <w:rPr>
          <w:i/>
        </w:rPr>
        <w:t>eurobills</w:t>
      </w:r>
      <w:proofErr w:type="spellEnd"/>
      <w:r w:rsidRPr="00692F55">
        <w:t>,</w:t>
      </w:r>
      <w:r>
        <w:t xml:space="preserve"> en revanche, se présentent comme des titres de créance à échéance inférieure à un an, dans le but d’atténuer les tensions sur le marché des titres publics.</w:t>
      </w:r>
    </w:p>
    <w:p w:rsidR="00903479" w:rsidRDefault="00903479" w:rsidP="008C4FDA">
      <w:r>
        <w:lastRenderedPageBreak/>
        <w:t xml:space="preserve">Dans les intentions de ceux qui les </w:t>
      </w:r>
      <w:r w:rsidRPr="00456B38">
        <w:t>ont présentées, ces</w:t>
      </w:r>
      <w:r>
        <w:t xml:space="preserve"> deux propositions devraient non seulement assurer la stabilité des marchés, mais également réduire le risque de devoir recourir à l’aide financière du Mécanisme européen de stabilité, MES.</w:t>
      </w:r>
    </w:p>
    <w:p w:rsidR="00903479" w:rsidRDefault="00903479" w:rsidP="008C4FDA">
      <w:r>
        <w:t xml:space="preserve">Comme le suggère le </w:t>
      </w:r>
      <w:hyperlink r:id="rId12" w:history="1">
        <w:r w:rsidRPr="0068191A">
          <w:rPr>
            <w:rStyle w:val="Collegamentoipertestuale"/>
          </w:rPr>
          <w:t>rapport final du groupe d’experts</w:t>
        </w:r>
      </w:hyperlink>
      <w:r>
        <w:t xml:space="preserve"> chargés par la Commission européenne d’approfondir les implications liées aux mécanismes de gestion partagée de la dette, tout régime d’émission conjointe devrait prévoir de solides mécanismes pour contenir l’aléa moral. Parmi ceux-ci on pourrait envisager de prévoir des conditions préliminaires (une période d’essai et des restrictions à la participation) ; le renforcement de la coordination des politiques fiscales et économiques des États membres ; l’adoption de primes et de sanctions.</w:t>
      </w:r>
    </w:p>
    <w:p w:rsidR="00903479" w:rsidRDefault="00903479" w:rsidP="008C4FDA">
      <w:r>
        <w:t xml:space="preserve">Toujours dans le cadre des propositions avancées s’inscrit le </w:t>
      </w:r>
      <w:hyperlink r:id="rId13" w:history="1">
        <w:r w:rsidRPr="0068191A">
          <w:rPr>
            <w:rStyle w:val="Collegamentoipertestuale"/>
          </w:rPr>
          <w:t>P.A.D.R.E.</w:t>
        </w:r>
      </w:hyperlink>
      <w:r w:rsidRPr="00E23559">
        <w:t xml:space="preserve">, </w:t>
      </w:r>
      <w:r>
        <w:t>le projet de restructuration politiquement acceptable de la dette dans la zone euro</w:t>
      </w:r>
      <w:r w:rsidRPr="00E23559">
        <w:t xml:space="preserve"> (</w:t>
      </w:r>
      <w:proofErr w:type="spellStart"/>
      <w:r w:rsidRPr="00E23559">
        <w:rPr>
          <w:i/>
          <w:iCs/>
        </w:rPr>
        <w:t>Politically</w:t>
      </w:r>
      <w:proofErr w:type="spellEnd"/>
      <w:r w:rsidRPr="00E23559">
        <w:rPr>
          <w:i/>
          <w:iCs/>
        </w:rPr>
        <w:t xml:space="preserve"> Acceptable </w:t>
      </w:r>
      <w:proofErr w:type="spellStart"/>
      <w:r w:rsidRPr="00E23559">
        <w:rPr>
          <w:i/>
          <w:iCs/>
        </w:rPr>
        <w:t>Debt</w:t>
      </w:r>
      <w:proofErr w:type="spellEnd"/>
      <w:r w:rsidRPr="00E23559">
        <w:rPr>
          <w:i/>
          <w:iCs/>
        </w:rPr>
        <w:t xml:space="preserve"> </w:t>
      </w:r>
      <w:proofErr w:type="spellStart"/>
      <w:r w:rsidRPr="00E23559">
        <w:rPr>
          <w:i/>
          <w:iCs/>
        </w:rPr>
        <w:t>Restructuring</w:t>
      </w:r>
      <w:proofErr w:type="spellEnd"/>
      <w:r w:rsidRPr="00E23559">
        <w:rPr>
          <w:i/>
          <w:iCs/>
        </w:rPr>
        <w:t xml:space="preserve"> in the </w:t>
      </w:r>
      <w:proofErr w:type="spellStart"/>
      <w:r w:rsidRPr="00E23559">
        <w:rPr>
          <w:i/>
          <w:iCs/>
        </w:rPr>
        <w:t>Eurozone</w:t>
      </w:r>
      <w:proofErr w:type="spellEnd"/>
      <w:r>
        <w:t>), conformément auquel la Banque centrale européenne, en se finançant à des taux contenus sur le marché par l’émission d’obligations, achèterait des titres de la dette publique des pays de la zone euro qui, à leur tour, éteindraient progressivement leur dette avec la</w:t>
      </w:r>
      <w:r w:rsidRPr="00E23559">
        <w:t xml:space="preserve"> B</w:t>
      </w:r>
      <w:r>
        <w:t>CE</w:t>
      </w:r>
      <w:r w:rsidRPr="00E23559">
        <w:t xml:space="preserve"> </w:t>
      </w:r>
      <w:r>
        <w:t>en renonçant à la part dérivant de l’activité de seigneuriage leur revenant.</w:t>
      </w:r>
    </w:p>
    <w:p w:rsidR="00903479" w:rsidRPr="003D7674" w:rsidRDefault="00903479" w:rsidP="003D7674">
      <w:r>
        <w:t xml:space="preserve">D’autre part, depuis </w:t>
      </w:r>
      <w:smartTag w:uri="urn:schemas-microsoft-com:office:smarttags" w:element="metricconverter">
        <w:smartTagPr>
          <w:attr w:name="ProductID" w:val="2012 a"/>
        </w:smartTagPr>
        <w:r>
          <w:t>2012 a</w:t>
        </w:r>
      </w:smartTag>
      <w:r>
        <w:t xml:space="preserve"> été mise en œuvre, avec succès, l’initiative des dénommés </w:t>
      </w:r>
      <w:hyperlink r:id="rId14" w:history="1">
        <w:proofErr w:type="spellStart"/>
        <w:r w:rsidRPr="0068191A">
          <w:rPr>
            <w:rStyle w:val="Collegamentoipertestuale"/>
            <w:i/>
          </w:rPr>
          <w:t>project</w:t>
        </w:r>
        <w:proofErr w:type="spellEnd"/>
        <w:r w:rsidRPr="0068191A">
          <w:rPr>
            <w:rStyle w:val="Collegamentoipertestuale"/>
            <w:i/>
          </w:rPr>
          <w:t xml:space="preserve"> bonds</w:t>
        </w:r>
      </w:hyperlink>
      <w:r>
        <w:rPr>
          <w:i/>
        </w:rPr>
        <w:t xml:space="preserve"> </w:t>
      </w:r>
      <w:r>
        <w:t xml:space="preserve">(obligations de projet), les prêts obligataires pour le financement de projets spécifiques, un mécanisme de partage du risque créé par la Commission européenne et par la Banque européenne d’investissement pour permettre aux entreprises qui souhaitent réaliser les projets, d’émettre des prêts obligataires en mesure d’attirer les investisseurs </w:t>
      </w:r>
      <w:r w:rsidRPr="00D21EC7">
        <w:t>du marché des obligations</w:t>
      </w:r>
      <w:r w:rsidRPr="003D7674">
        <w:t xml:space="preserve"> </w:t>
      </w:r>
      <w:r>
        <w:t>dans le secteur des réseaux transeuropéens des transports et de l’énergie, ainsi que dans le secteur des réseaux de télécommunication et à large bande.</w:t>
      </w:r>
    </w:p>
    <w:p w:rsidR="00903479" w:rsidRDefault="00903479" w:rsidP="006A68E0">
      <w:r w:rsidRPr="002D2B54">
        <w:t>Enfin signalons le projet d</w:t>
      </w:r>
      <w:r>
        <w:t xml:space="preserve">es </w:t>
      </w:r>
      <w:proofErr w:type="spellStart"/>
      <w:r w:rsidRPr="002D2B54">
        <w:rPr>
          <w:i/>
        </w:rPr>
        <w:t>eurobonds</w:t>
      </w:r>
      <w:proofErr w:type="spellEnd"/>
      <w:r w:rsidRPr="002D2B54">
        <w:t xml:space="preserve">, élaboré en 2011 et plusieurs fois repris dans le débat européen, sur la base duquel chaque État membre devrait conférer dans un fonds commun – en fonction des parts de souscription au capital de la </w:t>
      </w:r>
      <w:r>
        <w:t>B</w:t>
      </w:r>
      <w:r w:rsidRPr="002D2B54">
        <w:t>anque centrale européenne –</w:t>
      </w:r>
      <w:r>
        <w:t xml:space="preserve"> des act</w:t>
      </w:r>
      <w:r w:rsidRPr="002D2B54">
        <w:t>ions de sociétés à capital public, des portion</w:t>
      </w:r>
      <w:r>
        <w:t>s de son patrimoine immobilier</w:t>
      </w:r>
      <w:r w:rsidRPr="002D2B54">
        <w:t xml:space="preserve"> et</w:t>
      </w:r>
      <w:r>
        <w:t>,</w:t>
      </w:r>
      <w:r w:rsidRPr="002D2B54">
        <w:t xml:space="preserve"> également</w:t>
      </w:r>
      <w:r>
        <w:t>,</w:t>
      </w:r>
      <w:r w:rsidRPr="002D2B54">
        <w:t xml:space="preserve"> une partie des réserves d’or des banques centrales. </w:t>
      </w:r>
      <w:r>
        <w:t xml:space="preserve">L’hypothèse initiale prévoyait que le fonds devait avoir un capital de mille milliards, qui aurait pu fonctionner comme garantie pour émettre trois mille milliards d’obligations, d’une durée de 10 ans et à un taux moyen de </w:t>
      </w:r>
      <w:r w:rsidRPr="002D2B54">
        <w:t>3</w:t>
      </w:r>
      <w:r>
        <w:t> </w:t>
      </w:r>
      <w:r w:rsidRPr="002D2B54">
        <w:t>%.</w:t>
      </w:r>
    </w:p>
    <w:p w:rsidR="00903479" w:rsidRDefault="00903479" w:rsidP="00BD577A">
      <w:r>
        <w:t>À la lumière du débat, les questions suivantes se posent :</w:t>
      </w:r>
    </w:p>
    <w:p w:rsidR="00903479" w:rsidRDefault="00903479" w:rsidP="009736EA">
      <w:pPr>
        <w:pStyle w:val="Paragrafoelenco"/>
        <w:numPr>
          <w:ilvl w:val="0"/>
          <w:numId w:val="17"/>
        </w:numPr>
      </w:pPr>
      <w:r>
        <w:t xml:space="preserve">Estime-t-on utile d’intervenir sur les systèmes en vigueur, afin de faire progresser davantage l’intégration de l’Union économique et monétaire, </w:t>
      </w:r>
      <w:r>
        <w:lastRenderedPageBreak/>
        <w:t>sur la base de la feuille de route approuvée par le Conseil européen de décembre 2013 ?</w:t>
      </w:r>
    </w:p>
    <w:p w:rsidR="00903479" w:rsidRDefault="00903479" w:rsidP="009736EA">
      <w:pPr>
        <w:pStyle w:val="Paragrafoelenco"/>
        <w:numPr>
          <w:ilvl w:val="0"/>
          <w:numId w:val="17"/>
        </w:numPr>
      </w:pPr>
      <w:r>
        <w:t>Lesquels des instruments signalés estime-t-on préférables ou concrètement praticables ?</w:t>
      </w:r>
    </w:p>
    <w:p w:rsidR="00903479" w:rsidRPr="009736EA" w:rsidRDefault="00903479" w:rsidP="009736EA">
      <w:pPr>
        <w:pStyle w:val="Paragrafoelenco"/>
        <w:numPr>
          <w:ilvl w:val="0"/>
          <w:numId w:val="17"/>
        </w:numPr>
      </w:pPr>
      <w:r>
        <w:t>Quelles autres initiatives peuvent être utiles pour réduire la pression de la dette sans forclore les possibilités de mettre en œuvre des politiques pour la croissance, notamment en ce qui concerne les dépenses pour les investissements ?</w:t>
      </w:r>
    </w:p>
    <w:p w:rsidR="00903479" w:rsidRPr="009C7890" w:rsidRDefault="00903479" w:rsidP="00BD577A"/>
    <w:sectPr w:rsidR="00903479" w:rsidRPr="009C7890" w:rsidSect="00E711CF">
      <w:type w:val="continuous"/>
      <w:pgSz w:w="11906" w:h="16838" w:code="9"/>
      <w:pgMar w:top="1985" w:right="1985" w:bottom="1985" w:left="1985" w:header="1134" w:footer="1134"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79" w:rsidRDefault="00903479">
      <w:r>
        <w:separator/>
      </w:r>
    </w:p>
  </w:endnote>
  <w:endnote w:type="continuationSeparator" w:id="0">
    <w:p w:rsidR="00903479" w:rsidRDefault="0090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79" w:rsidRDefault="00903479">
      <w:r>
        <w:separator/>
      </w:r>
    </w:p>
  </w:footnote>
  <w:footnote w:type="continuationSeparator" w:id="0">
    <w:p w:rsidR="00903479" w:rsidRDefault="00903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3C04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8B22A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8892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89830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35AE1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4ED1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382D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14B6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0CE4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7C90B2"/>
    <w:lvl w:ilvl="0">
      <w:start w:val="1"/>
      <w:numFmt w:val="bullet"/>
      <w:lvlText w:val=""/>
      <w:lvlJc w:val="left"/>
      <w:pPr>
        <w:tabs>
          <w:tab w:val="num" w:pos="360"/>
        </w:tabs>
        <w:ind w:left="360" w:hanging="360"/>
      </w:pPr>
      <w:rPr>
        <w:rFonts w:ascii="Symbol" w:hAnsi="Symbol" w:hint="default"/>
      </w:rPr>
    </w:lvl>
  </w:abstractNum>
  <w:abstractNum w:abstractNumId="10">
    <w:nsid w:val="1DC37DED"/>
    <w:multiLevelType w:val="hybridMultilevel"/>
    <w:tmpl w:val="4DE6EF80"/>
    <w:lvl w:ilvl="0" w:tplc="1F648810">
      <w:start w:val="1"/>
      <w:numFmt w:val="lowerLetter"/>
      <w:lvlText w:val="%1)"/>
      <w:lvlJc w:val="left"/>
      <w:pPr>
        <w:ind w:left="908" w:hanging="624"/>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nsid w:val="1F511CB7"/>
    <w:multiLevelType w:val="hybridMultilevel"/>
    <w:tmpl w:val="8D5A2A06"/>
    <w:lvl w:ilvl="0" w:tplc="A7587426">
      <w:start w:val="1"/>
      <w:numFmt w:val="bullet"/>
      <w:pStyle w:val="Puntielenco3livello"/>
      <w:lvlText w:val=""/>
      <w:lvlJc w:val="left"/>
      <w:pPr>
        <w:tabs>
          <w:tab w:val="num" w:pos="1620"/>
        </w:tabs>
        <w:ind w:left="1620" w:hanging="360"/>
      </w:pPr>
      <w:rPr>
        <w:rFonts w:ascii="Symbol" w:hAnsi="Symbo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12">
    <w:nsid w:val="2EC2175E"/>
    <w:multiLevelType w:val="hybridMultilevel"/>
    <w:tmpl w:val="879A9528"/>
    <w:lvl w:ilvl="0" w:tplc="8B1AD56A">
      <w:start w:val="1"/>
      <w:numFmt w:val="bullet"/>
      <w:lvlText w:val=""/>
      <w:lvlJc w:val="left"/>
      <w:pPr>
        <w:tabs>
          <w:tab w:val="num" w:pos="1020"/>
        </w:tabs>
        <w:ind w:left="10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0D67A93"/>
    <w:multiLevelType w:val="hybridMultilevel"/>
    <w:tmpl w:val="E75C65D0"/>
    <w:lvl w:ilvl="0" w:tplc="3EC6C338">
      <w:start w:val="1"/>
      <w:numFmt w:val="bullet"/>
      <w:pStyle w:val="Puntielenco1livell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4120DD2"/>
    <w:multiLevelType w:val="hybridMultilevel"/>
    <w:tmpl w:val="E4B0AF8E"/>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5">
    <w:nsid w:val="63921F15"/>
    <w:multiLevelType w:val="multilevel"/>
    <w:tmpl w:val="7972AE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CB21B24"/>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13"/>
  </w:num>
  <w:num w:numId="3">
    <w:abstractNumId w:val="16"/>
  </w:num>
  <w:num w:numId="4">
    <w:abstractNumId w:val="9"/>
  </w:num>
  <w:num w:numId="5">
    <w:abstractNumId w:val="15"/>
  </w:num>
  <w:num w:numId="6">
    <w:abstractNumId w:val="11"/>
  </w:num>
  <w:num w:numId="7">
    <w:abstractNumId w:val="8"/>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77"/>
    <w:rsid w:val="00004372"/>
    <w:rsid w:val="000134E5"/>
    <w:rsid w:val="00020C57"/>
    <w:rsid w:val="00023B40"/>
    <w:rsid w:val="00030CA7"/>
    <w:rsid w:val="0003231B"/>
    <w:rsid w:val="000343E2"/>
    <w:rsid w:val="000400F8"/>
    <w:rsid w:val="00045388"/>
    <w:rsid w:val="00051C5B"/>
    <w:rsid w:val="000525D6"/>
    <w:rsid w:val="00056542"/>
    <w:rsid w:val="000568D9"/>
    <w:rsid w:val="0007134E"/>
    <w:rsid w:val="00071E13"/>
    <w:rsid w:val="000830C6"/>
    <w:rsid w:val="000839D8"/>
    <w:rsid w:val="000A33BB"/>
    <w:rsid w:val="000A40DA"/>
    <w:rsid w:val="000A792D"/>
    <w:rsid w:val="000B05DB"/>
    <w:rsid w:val="000B2D44"/>
    <w:rsid w:val="000B6996"/>
    <w:rsid w:val="000D42C6"/>
    <w:rsid w:val="000D6DDC"/>
    <w:rsid w:val="000E3B2F"/>
    <w:rsid w:val="000E7248"/>
    <w:rsid w:val="000F42D5"/>
    <w:rsid w:val="000F4D5B"/>
    <w:rsid w:val="000F6B57"/>
    <w:rsid w:val="000F7D3C"/>
    <w:rsid w:val="00101014"/>
    <w:rsid w:val="001034D9"/>
    <w:rsid w:val="00110E7D"/>
    <w:rsid w:val="00111409"/>
    <w:rsid w:val="00115DF5"/>
    <w:rsid w:val="00130F9E"/>
    <w:rsid w:val="00133D02"/>
    <w:rsid w:val="00137917"/>
    <w:rsid w:val="0014505A"/>
    <w:rsid w:val="00151531"/>
    <w:rsid w:val="0015524D"/>
    <w:rsid w:val="001565F8"/>
    <w:rsid w:val="00161F61"/>
    <w:rsid w:val="001644DF"/>
    <w:rsid w:val="00177EA7"/>
    <w:rsid w:val="00196E6F"/>
    <w:rsid w:val="001B2A55"/>
    <w:rsid w:val="001B5798"/>
    <w:rsid w:val="001D7FED"/>
    <w:rsid w:val="001E1710"/>
    <w:rsid w:val="001E2280"/>
    <w:rsid w:val="00200273"/>
    <w:rsid w:val="00207734"/>
    <w:rsid w:val="00207A4F"/>
    <w:rsid w:val="00211FA3"/>
    <w:rsid w:val="00212FC7"/>
    <w:rsid w:val="0022516A"/>
    <w:rsid w:val="002272B6"/>
    <w:rsid w:val="0023194C"/>
    <w:rsid w:val="0023247C"/>
    <w:rsid w:val="002340CC"/>
    <w:rsid w:val="00246176"/>
    <w:rsid w:val="0024622D"/>
    <w:rsid w:val="00247489"/>
    <w:rsid w:val="00251290"/>
    <w:rsid w:val="002512FA"/>
    <w:rsid w:val="002544E7"/>
    <w:rsid w:val="0025450F"/>
    <w:rsid w:val="00255F79"/>
    <w:rsid w:val="002631CB"/>
    <w:rsid w:val="00274C74"/>
    <w:rsid w:val="00276EE4"/>
    <w:rsid w:val="00281B48"/>
    <w:rsid w:val="00287587"/>
    <w:rsid w:val="00287F6F"/>
    <w:rsid w:val="00296C65"/>
    <w:rsid w:val="002A0DEA"/>
    <w:rsid w:val="002B4130"/>
    <w:rsid w:val="002B43AD"/>
    <w:rsid w:val="002B7781"/>
    <w:rsid w:val="002D2B54"/>
    <w:rsid w:val="002E24D9"/>
    <w:rsid w:val="002E2D43"/>
    <w:rsid w:val="002F0238"/>
    <w:rsid w:val="0030284E"/>
    <w:rsid w:val="00303182"/>
    <w:rsid w:val="00305D80"/>
    <w:rsid w:val="00313BB5"/>
    <w:rsid w:val="003256CE"/>
    <w:rsid w:val="003264EF"/>
    <w:rsid w:val="0033070E"/>
    <w:rsid w:val="00334A67"/>
    <w:rsid w:val="00336324"/>
    <w:rsid w:val="00342EF1"/>
    <w:rsid w:val="003546D7"/>
    <w:rsid w:val="00357718"/>
    <w:rsid w:val="0036167B"/>
    <w:rsid w:val="00370CD2"/>
    <w:rsid w:val="00382DC9"/>
    <w:rsid w:val="00383DB3"/>
    <w:rsid w:val="003862DE"/>
    <w:rsid w:val="003863DE"/>
    <w:rsid w:val="003921CA"/>
    <w:rsid w:val="0039271A"/>
    <w:rsid w:val="003934BA"/>
    <w:rsid w:val="00394004"/>
    <w:rsid w:val="0039743D"/>
    <w:rsid w:val="003A3100"/>
    <w:rsid w:val="003A6E73"/>
    <w:rsid w:val="003B4CBC"/>
    <w:rsid w:val="003B5E55"/>
    <w:rsid w:val="003C00BE"/>
    <w:rsid w:val="003C4D13"/>
    <w:rsid w:val="003D1B07"/>
    <w:rsid w:val="003D4DD5"/>
    <w:rsid w:val="003D7217"/>
    <w:rsid w:val="003D7674"/>
    <w:rsid w:val="003E308B"/>
    <w:rsid w:val="003E74DB"/>
    <w:rsid w:val="003F1B36"/>
    <w:rsid w:val="003F7B9F"/>
    <w:rsid w:val="00401A04"/>
    <w:rsid w:val="00405C07"/>
    <w:rsid w:val="00410C74"/>
    <w:rsid w:val="004149B1"/>
    <w:rsid w:val="00420446"/>
    <w:rsid w:val="0042320B"/>
    <w:rsid w:val="00430E44"/>
    <w:rsid w:val="00435317"/>
    <w:rsid w:val="00435E60"/>
    <w:rsid w:val="004406F9"/>
    <w:rsid w:val="00447720"/>
    <w:rsid w:val="00447EFE"/>
    <w:rsid w:val="00456B38"/>
    <w:rsid w:val="00462376"/>
    <w:rsid w:val="00475BE7"/>
    <w:rsid w:val="004820CA"/>
    <w:rsid w:val="004A2EE8"/>
    <w:rsid w:val="004B2210"/>
    <w:rsid w:val="004B4419"/>
    <w:rsid w:val="004C032F"/>
    <w:rsid w:val="004C531C"/>
    <w:rsid w:val="004C61B6"/>
    <w:rsid w:val="004C674D"/>
    <w:rsid w:val="004D18B1"/>
    <w:rsid w:val="004D5391"/>
    <w:rsid w:val="004E3E32"/>
    <w:rsid w:val="004F3CF1"/>
    <w:rsid w:val="004F5017"/>
    <w:rsid w:val="00506C32"/>
    <w:rsid w:val="00506FC7"/>
    <w:rsid w:val="00510E09"/>
    <w:rsid w:val="00510EF1"/>
    <w:rsid w:val="00513248"/>
    <w:rsid w:val="00521BCC"/>
    <w:rsid w:val="005409CE"/>
    <w:rsid w:val="0055355F"/>
    <w:rsid w:val="0056332D"/>
    <w:rsid w:val="0057534C"/>
    <w:rsid w:val="005764AF"/>
    <w:rsid w:val="00583194"/>
    <w:rsid w:val="005A3DA2"/>
    <w:rsid w:val="005A4C27"/>
    <w:rsid w:val="005B1421"/>
    <w:rsid w:val="005B1593"/>
    <w:rsid w:val="005C1C5D"/>
    <w:rsid w:val="005C1F61"/>
    <w:rsid w:val="005C48AA"/>
    <w:rsid w:val="005D45E2"/>
    <w:rsid w:val="005F7CE4"/>
    <w:rsid w:val="00607B5E"/>
    <w:rsid w:val="00610C5D"/>
    <w:rsid w:val="00621698"/>
    <w:rsid w:val="0063221B"/>
    <w:rsid w:val="006403AB"/>
    <w:rsid w:val="00643D29"/>
    <w:rsid w:val="00650FA7"/>
    <w:rsid w:val="00663D77"/>
    <w:rsid w:val="00665DFF"/>
    <w:rsid w:val="006726BB"/>
    <w:rsid w:val="0067359D"/>
    <w:rsid w:val="00673834"/>
    <w:rsid w:val="0068191A"/>
    <w:rsid w:val="00682F6D"/>
    <w:rsid w:val="00690DC9"/>
    <w:rsid w:val="00692F55"/>
    <w:rsid w:val="006A27E0"/>
    <w:rsid w:val="006A2BCB"/>
    <w:rsid w:val="006A68E0"/>
    <w:rsid w:val="006C7C57"/>
    <w:rsid w:val="006D1D51"/>
    <w:rsid w:val="006D2957"/>
    <w:rsid w:val="006D7588"/>
    <w:rsid w:val="006E38FC"/>
    <w:rsid w:val="006E7543"/>
    <w:rsid w:val="006E7FAD"/>
    <w:rsid w:val="006F2471"/>
    <w:rsid w:val="006F5AA5"/>
    <w:rsid w:val="006F5AAD"/>
    <w:rsid w:val="00704209"/>
    <w:rsid w:val="007155CD"/>
    <w:rsid w:val="007156E8"/>
    <w:rsid w:val="00716562"/>
    <w:rsid w:val="00721B1F"/>
    <w:rsid w:val="00725075"/>
    <w:rsid w:val="007252FB"/>
    <w:rsid w:val="0073531F"/>
    <w:rsid w:val="00737AC8"/>
    <w:rsid w:val="00737E50"/>
    <w:rsid w:val="00743260"/>
    <w:rsid w:val="00763153"/>
    <w:rsid w:val="00765CE5"/>
    <w:rsid w:val="007845D2"/>
    <w:rsid w:val="00793609"/>
    <w:rsid w:val="007A0968"/>
    <w:rsid w:val="007A6DE3"/>
    <w:rsid w:val="007B063D"/>
    <w:rsid w:val="007B66BF"/>
    <w:rsid w:val="007B69A6"/>
    <w:rsid w:val="007E0389"/>
    <w:rsid w:val="007F334E"/>
    <w:rsid w:val="007F48C9"/>
    <w:rsid w:val="007F5EB8"/>
    <w:rsid w:val="007F6DD5"/>
    <w:rsid w:val="008103CA"/>
    <w:rsid w:val="00812AED"/>
    <w:rsid w:val="00814C2C"/>
    <w:rsid w:val="00817C88"/>
    <w:rsid w:val="00817EAC"/>
    <w:rsid w:val="008247CD"/>
    <w:rsid w:val="00825400"/>
    <w:rsid w:val="0082600F"/>
    <w:rsid w:val="0082737C"/>
    <w:rsid w:val="0083666A"/>
    <w:rsid w:val="0084675C"/>
    <w:rsid w:val="0085020F"/>
    <w:rsid w:val="00861E3E"/>
    <w:rsid w:val="00862174"/>
    <w:rsid w:val="00867A68"/>
    <w:rsid w:val="008721B4"/>
    <w:rsid w:val="00874981"/>
    <w:rsid w:val="00895402"/>
    <w:rsid w:val="00895CFF"/>
    <w:rsid w:val="008A59FC"/>
    <w:rsid w:val="008B3486"/>
    <w:rsid w:val="008B35B0"/>
    <w:rsid w:val="008C23A0"/>
    <w:rsid w:val="008C2E16"/>
    <w:rsid w:val="008C4FDA"/>
    <w:rsid w:val="008C59FC"/>
    <w:rsid w:val="008C7997"/>
    <w:rsid w:val="008D61C4"/>
    <w:rsid w:val="008E17DB"/>
    <w:rsid w:val="008F1BF6"/>
    <w:rsid w:val="00903479"/>
    <w:rsid w:val="00904F3E"/>
    <w:rsid w:val="009071FD"/>
    <w:rsid w:val="00914B65"/>
    <w:rsid w:val="00915324"/>
    <w:rsid w:val="00923B43"/>
    <w:rsid w:val="00944664"/>
    <w:rsid w:val="0094691A"/>
    <w:rsid w:val="00950E3D"/>
    <w:rsid w:val="009510BA"/>
    <w:rsid w:val="00952DDA"/>
    <w:rsid w:val="009736EA"/>
    <w:rsid w:val="00985D44"/>
    <w:rsid w:val="00991B5F"/>
    <w:rsid w:val="009A46D4"/>
    <w:rsid w:val="009C4C5C"/>
    <w:rsid w:val="009C5070"/>
    <w:rsid w:val="009C7499"/>
    <w:rsid w:val="009C7890"/>
    <w:rsid w:val="009D03C1"/>
    <w:rsid w:val="009D17A4"/>
    <w:rsid w:val="009D311F"/>
    <w:rsid w:val="009E4064"/>
    <w:rsid w:val="009F001D"/>
    <w:rsid w:val="009F0E78"/>
    <w:rsid w:val="009F7A28"/>
    <w:rsid w:val="00A046E9"/>
    <w:rsid w:val="00A11B00"/>
    <w:rsid w:val="00A243D9"/>
    <w:rsid w:val="00A37A41"/>
    <w:rsid w:val="00A507E9"/>
    <w:rsid w:val="00A50F53"/>
    <w:rsid w:val="00A51782"/>
    <w:rsid w:val="00A54816"/>
    <w:rsid w:val="00A60AF4"/>
    <w:rsid w:val="00A61745"/>
    <w:rsid w:val="00A66575"/>
    <w:rsid w:val="00A83DF8"/>
    <w:rsid w:val="00A86723"/>
    <w:rsid w:val="00A91B2C"/>
    <w:rsid w:val="00A97803"/>
    <w:rsid w:val="00AA0D3B"/>
    <w:rsid w:val="00AA570C"/>
    <w:rsid w:val="00AC0B01"/>
    <w:rsid w:val="00AE4D08"/>
    <w:rsid w:val="00AE5B5E"/>
    <w:rsid w:val="00AE7AE1"/>
    <w:rsid w:val="00B10B33"/>
    <w:rsid w:val="00B14B03"/>
    <w:rsid w:val="00B20E17"/>
    <w:rsid w:val="00B236A0"/>
    <w:rsid w:val="00B42BCE"/>
    <w:rsid w:val="00B50724"/>
    <w:rsid w:val="00B52884"/>
    <w:rsid w:val="00B854A8"/>
    <w:rsid w:val="00B90893"/>
    <w:rsid w:val="00B97F45"/>
    <w:rsid w:val="00BA2BCF"/>
    <w:rsid w:val="00BA4886"/>
    <w:rsid w:val="00BA50DF"/>
    <w:rsid w:val="00BA5C09"/>
    <w:rsid w:val="00BA6096"/>
    <w:rsid w:val="00BA6C65"/>
    <w:rsid w:val="00BC070B"/>
    <w:rsid w:val="00BC18C8"/>
    <w:rsid w:val="00BC3046"/>
    <w:rsid w:val="00BD0B08"/>
    <w:rsid w:val="00BD577A"/>
    <w:rsid w:val="00BE3C6C"/>
    <w:rsid w:val="00BE75AA"/>
    <w:rsid w:val="00BF7AA9"/>
    <w:rsid w:val="00C00DEE"/>
    <w:rsid w:val="00C162F7"/>
    <w:rsid w:val="00C256AD"/>
    <w:rsid w:val="00C40B87"/>
    <w:rsid w:val="00C44487"/>
    <w:rsid w:val="00C44D57"/>
    <w:rsid w:val="00C538D1"/>
    <w:rsid w:val="00C55CF7"/>
    <w:rsid w:val="00C65977"/>
    <w:rsid w:val="00C668D4"/>
    <w:rsid w:val="00C76241"/>
    <w:rsid w:val="00C854E4"/>
    <w:rsid w:val="00C86220"/>
    <w:rsid w:val="00C91C58"/>
    <w:rsid w:val="00C94E9C"/>
    <w:rsid w:val="00CA29FB"/>
    <w:rsid w:val="00CB2A80"/>
    <w:rsid w:val="00CC037F"/>
    <w:rsid w:val="00CC2C12"/>
    <w:rsid w:val="00CC4CE9"/>
    <w:rsid w:val="00CE2679"/>
    <w:rsid w:val="00CE6A2E"/>
    <w:rsid w:val="00CF02C2"/>
    <w:rsid w:val="00CF27AA"/>
    <w:rsid w:val="00D037FC"/>
    <w:rsid w:val="00D0516B"/>
    <w:rsid w:val="00D06EDD"/>
    <w:rsid w:val="00D11C70"/>
    <w:rsid w:val="00D11FC4"/>
    <w:rsid w:val="00D163C5"/>
    <w:rsid w:val="00D21EC7"/>
    <w:rsid w:val="00D227C2"/>
    <w:rsid w:val="00D306C0"/>
    <w:rsid w:val="00D4246C"/>
    <w:rsid w:val="00D5065C"/>
    <w:rsid w:val="00D523F2"/>
    <w:rsid w:val="00D564F5"/>
    <w:rsid w:val="00D60303"/>
    <w:rsid w:val="00D60C39"/>
    <w:rsid w:val="00D641F8"/>
    <w:rsid w:val="00D662C7"/>
    <w:rsid w:val="00D83F4E"/>
    <w:rsid w:val="00D87490"/>
    <w:rsid w:val="00DB0BEA"/>
    <w:rsid w:val="00DB14DF"/>
    <w:rsid w:val="00DB51CD"/>
    <w:rsid w:val="00DC4B95"/>
    <w:rsid w:val="00DD3BEB"/>
    <w:rsid w:val="00DD676A"/>
    <w:rsid w:val="00DD745A"/>
    <w:rsid w:val="00DE7A0F"/>
    <w:rsid w:val="00DF0BC3"/>
    <w:rsid w:val="00DF108B"/>
    <w:rsid w:val="00E007F4"/>
    <w:rsid w:val="00E05D71"/>
    <w:rsid w:val="00E219DB"/>
    <w:rsid w:val="00E23559"/>
    <w:rsid w:val="00E27D7A"/>
    <w:rsid w:val="00E31EF8"/>
    <w:rsid w:val="00E41788"/>
    <w:rsid w:val="00E53205"/>
    <w:rsid w:val="00E605F0"/>
    <w:rsid w:val="00E63C6D"/>
    <w:rsid w:val="00E711CF"/>
    <w:rsid w:val="00E722F5"/>
    <w:rsid w:val="00E76AD6"/>
    <w:rsid w:val="00E7780D"/>
    <w:rsid w:val="00E8442B"/>
    <w:rsid w:val="00E904EB"/>
    <w:rsid w:val="00E91CEF"/>
    <w:rsid w:val="00E92887"/>
    <w:rsid w:val="00EA4D88"/>
    <w:rsid w:val="00EB5161"/>
    <w:rsid w:val="00EC36CB"/>
    <w:rsid w:val="00EC464A"/>
    <w:rsid w:val="00EC5202"/>
    <w:rsid w:val="00EC6E7F"/>
    <w:rsid w:val="00ED1505"/>
    <w:rsid w:val="00ED3CE8"/>
    <w:rsid w:val="00EE1D99"/>
    <w:rsid w:val="00EE255D"/>
    <w:rsid w:val="00EF7AC8"/>
    <w:rsid w:val="00F002E1"/>
    <w:rsid w:val="00F01444"/>
    <w:rsid w:val="00F04449"/>
    <w:rsid w:val="00F20807"/>
    <w:rsid w:val="00F23091"/>
    <w:rsid w:val="00F34854"/>
    <w:rsid w:val="00F359FD"/>
    <w:rsid w:val="00F37402"/>
    <w:rsid w:val="00F50E5C"/>
    <w:rsid w:val="00F578F2"/>
    <w:rsid w:val="00F628D6"/>
    <w:rsid w:val="00F64363"/>
    <w:rsid w:val="00F65505"/>
    <w:rsid w:val="00F723B7"/>
    <w:rsid w:val="00F808A2"/>
    <w:rsid w:val="00F814D0"/>
    <w:rsid w:val="00F8531A"/>
    <w:rsid w:val="00F876F1"/>
    <w:rsid w:val="00F911C6"/>
    <w:rsid w:val="00F92A0F"/>
    <w:rsid w:val="00F942EF"/>
    <w:rsid w:val="00F96A5F"/>
    <w:rsid w:val="00FA5627"/>
    <w:rsid w:val="00FB0C1B"/>
    <w:rsid w:val="00FB0FFA"/>
    <w:rsid w:val="00FB598A"/>
    <w:rsid w:val="00FB5CB0"/>
    <w:rsid w:val="00FC7926"/>
    <w:rsid w:val="00FD6F89"/>
    <w:rsid w:val="00FE6293"/>
    <w:rsid w:val="00FE6A2B"/>
    <w:rsid w:val="00FF1728"/>
    <w:rsid w:val="00FF5105"/>
    <w:rsid w:val="00FF64AB"/>
    <w:rsid w:val="00FF7D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AAD"/>
    <w:pPr>
      <w:spacing w:before="60" w:line="300" w:lineRule="exact"/>
      <w:ind w:firstLine="284"/>
      <w:jc w:val="both"/>
    </w:pPr>
    <w:rPr>
      <w:rFonts w:ascii="Arial" w:hAnsi="Arial"/>
      <w:szCs w:val="20"/>
      <w:lang w:val="fr-FR" w:eastAsia="it-IT"/>
    </w:rPr>
  </w:style>
  <w:style w:type="paragraph" w:styleId="Titolo1">
    <w:name w:val="heading 1"/>
    <w:basedOn w:val="Normale"/>
    <w:next w:val="Normale"/>
    <w:link w:val="Titolo1Carattere"/>
    <w:uiPriority w:val="99"/>
    <w:qFormat/>
    <w:rsid w:val="00B20E17"/>
    <w:pPr>
      <w:keepNext/>
      <w:spacing w:after="300" w:line="240" w:lineRule="atLeast"/>
      <w:ind w:firstLine="0"/>
      <w:jc w:val="center"/>
      <w:outlineLvl w:val="0"/>
    </w:pPr>
    <w:rPr>
      <w:b/>
      <w:smallCaps/>
      <w:kern w:val="28"/>
      <w:sz w:val="28"/>
    </w:rPr>
  </w:style>
  <w:style w:type="paragraph" w:styleId="Titolo2">
    <w:name w:val="heading 2"/>
    <w:basedOn w:val="Normale"/>
    <w:next w:val="Normale"/>
    <w:link w:val="Titolo2Carattere"/>
    <w:uiPriority w:val="99"/>
    <w:qFormat/>
    <w:rsid w:val="00D60303"/>
    <w:pPr>
      <w:keepNext/>
      <w:spacing w:before="240" w:after="120"/>
      <w:ind w:firstLine="0"/>
      <w:outlineLvl w:val="1"/>
    </w:pPr>
    <w:rPr>
      <w:rFonts w:cs="Arial"/>
      <w:b/>
      <w:bCs/>
      <w:iCs/>
      <w:sz w:val="24"/>
      <w:szCs w:val="28"/>
    </w:rPr>
  </w:style>
  <w:style w:type="paragraph" w:styleId="Titolo3">
    <w:name w:val="heading 3"/>
    <w:basedOn w:val="Normale"/>
    <w:next w:val="Normale"/>
    <w:link w:val="Titolo3Carattere"/>
    <w:uiPriority w:val="99"/>
    <w:qFormat/>
    <w:rsid w:val="00D60303"/>
    <w:pPr>
      <w:keepNext/>
      <w:spacing w:before="180"/>
      <w:outlineLvl w:val="2"/>
    </w:pPr>
    <w:rPr>
      <w:rFonts w:cs="Arial"/>
      <w:b/>
      <w:bCs/>
      <w:i/>
      <w:szCs w:val="26"/>
    </w:rPr>
  </w:style>
  <w:style w:type="paragraph" w:styleId="Titolo4">
    <w:name w:val="heading 4"/>
    <w:basedOn w:val="Normale"/>
    <w:next w:val="Normale"/>
    <w:link w:val="Titolo4Carattere"/>
    <w:uiPriority w:val="99"/>
    <w:qFormat/>
    <w:rsid w:val="007845D2"/>
    <w:pPr>
      <w:spacing w:before="120"/>
      <w:ind w:left="284" w:firstLine="0"/>
      <w:outlineLvl w:val="3"/>
    </w:pPr>
    <w:rPr>
      <w:i/>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E75AA"/>
    <w:rPr>
      <w:rFonts w:ascii="Cambria" w:eastAsia="MS ????" w:hAnsi="Cambria" w:cs="Times New Roman"/>
      <w:b/>
      <w:bCs/>
      <w:kern w:val="32"/>
      <w:sz w:val="32"/>
      <w:szCs w:val="32"/>
    </w:rPr>
  </w:style>
  <w:style w:type="character" w:customStyle="1" w:styleId="Titolo2Carattere">
    <w:name w:val="Titolo 2 Carattere"/>
    <w:basedOn w:val="Carpredefinitoparagrafo"/>
    <w:link w:val="Titolo2"/>
    <w:uiPriority w:val="99"/>
    <w:locked/>
    <w:rsid w:val="00BE75AA"/>
    <w:rPr>
      <w:rFonts w:ascii="Cambria" w:eastAsia="MS ????"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BE75AA"/>
    <w:rPr>
      <w:rFonts w:ascii="Cambria" w:eastAsia="MS ????" w:hAnsi="Cambria" w:cs="Times New Roman"/>
      <w:b/>
      <w:bCs/>
      <w:sz w:val="26"/>
      <w:szCs w:val="26"/>
    </w:rPr>
  </w:style>
  <w:style w:type="character" w:customStyle="1" w:styleId="Titolo4Carattere">
    <w:name w:val="Titolo 4 Carattere"/>
    <w:basedOn w:val="Carpredefinitoparagrafo"/>
    <w:link w:val="Titolo4"/>
    <w:uiPriority w:val="99"/>
    <w:semiHidden/>
    <w:locked/>
    <w:rsid w:val="00BE75AA"/>
    <w:rPr>
      <w:rFonts w:ascii="Calibri" w:eastAsia="MS ??" w:hAnsi="Calibri" w:cs="Arial"/>
      <w:b/>
      <w:bCs/>
      <w:sz w:val="28"/>
      <w:szCs w:val="28"/>
    </w:rPr>
  </w:style>
  <w:style w:type="paragraph" w:customStyle="1" w:styleId="Notapidipagina">
    <w:name w:val="Nota piè di pagina"/>
    <w:basedOn w:val="Testonotaapidipagina"/>
    <w:link w:val="NotapidipaginaCarattere"/>
    <w:uiPriority w:val="99"/>
    <w:rsid w:val="005B1421"/>
  </w:style>
  <w:style w:type="table" w:styleId="Grigliatabella">
    <w:name w:val="Table Grid"/>
    <w:aliases w:val="Tabella"/>
    <w:basedOn w:val="Tabellanormale"/>
    <w:uiPriority w:val="99"/>
    <w:rsid w:val="00793609"/>
    <w:pPr>
      <w:spacing w:line="300" w:lineRule="exact"/>
      <w:ind w:firstLine="284"/>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rsid w:val="00051C5B"/>
    <w:rPr>
      <w:rFonts w:cs="Times New Roman"/>
      <w:sz w:val="18"/>
      <w:vertAlign w:val="superscript"/>
    </w:rPr>
  </w:style>
  <w:style w:type="paragraph" w:customStyle="1" w:styleId="Puntielenco1livello">
    <w:name w:val="Punti elenco 1° livello"/>
    <w:basedOn w:val="Normale"/>
    <w:uiPriority w:val="99"/>
    <w:rsid w:val="00110E7D"/>
    <w:pPr>
      <w:numPr>
        <w:numId w:val="2"/>
      </w:numPr>
      <w:tabs>
        <w:tab w:val="clear" w:pos="720"/>
      </w:tabs>
      <w:spacing w:before="20"/>
      <w:ind w:left="568" w:hanging="284"/>
    </w:pPr>
  </w:style>
  <w:style w:type="paragraph" w:styleId="Testonotadichiusura">
    <w:name w:val="endnote text"/>
    <w:basedOn w:val="Normale"/>
    <w:link w:val="TestonotadichiusuraCarattere"/>
    <w:uiPriority w:val="99"/>
    <w:semiHidden/>
    <w:rsid w:val="004F5017"/>
    <w:rPr>
      <w:sz w:val="20"/>
    </w:rPr>
  </w:style>
  <w:style w:type="character" w:customStyle="1" w:styleId="TestonotadichiusuraCarattere">
    <w:name w:val="Testo nota di chiusura Carattere"/>
    <w:basedOn w:val="Carpredefinitoparagrafo"/>
    <w:link w:val="Testonotadichiusura"/>
    <w:uiPriority w:val="99"/>
    <w:semiHidden/>
    <w:locked/>
    <w:rsid w:val="00BE75AA"/>
    <w:rPr>
      <w:rFonts w:ascii="Arial" w:hAnsi="Arial" w:cs="Times New Roman"/>
      <w:sz w:val="20"/>
      <w:szCs w:val="20"/>
    </w:rPr>
  </w:style>
  <w:style w:type="paragraph" w:styleId="Testonotaapidipagina">
    <w:name w:val="footnote text"/>
    <w:basedOn w:val="Normale"/>
    <w:link w:val="TestonotaapidipaginaCarattere"/>
    <w:autoRedefine/>
    <w:uiPriority w:val="99"/>
    <w:semiHidden/>
    <w:rsid w:val="000A40DA"/>
    <w:pPr>
      <w:tabs>
        <w:tab w:val="left" w:pos="425"/>
      </w:tabs>
      <w:spacing w:before="0" w:line="240" w:lineRule="auto"/>
      <w:ind w:left="425" w:hanging="198"/>
    </w:pPr>
    <w:rPr>
      <w:sz w:val="18"/>
    </w:rPr>
  </w:style>
  <w:style w:type="character" w:customStyle="1" w:styleId="TestonotaapidipaginaCarattere">
    <w:name w:val="Testo nota a piè di pagina Carattere"/>
    <w:basedOn w:val="Carpredefinitoparagrafo"/>
    <w:link w:val="Testonotaapidipagina"/>
    <w:uiPriority w:val="99"/>
    <w:locked/>
    <w:rsid w:val="000A40DA"/>
    <w:rPr>
      <w:rFonts w:ascii="Arial" w:hAnsi="Arial" w:cs="Times New Roman"/>
      <w:sz w:val="18"/>
      <w:lang w:val="it-IT" w:eastAsia="it-IT"/>
    </w:rPr>
  </w:style>
  <w:style w:type="character" w:customStyle="1" w:styleId="NotapidipaginaCarattere">
    <w:name w:val="Nota piè di pagina Carattere"/>
    <w:basedOn w:val="TestonotaapidipaginaCarattere"/>
    <w:link w:val="Notapidipagina"/>
    <w:uiPriority w:val="99"/>
    <w:locked/>
    <w:rsid w:val="005B1421"/>
    <w:rPr>
      <w:rFonts w:ascii="Arial" w:hAnsi="Arial" w:cs="Times New Roman"/>
      <w:sz w:val="18"/>
      <w:lang w:val="it-IT" w:eastAsia="it-IT" w:bidi="ar-SA"/>
    </w:rPr>
  </w:style>
  <w:style w:type="paragraph" w:styleId="Testofumetto">
    <w:name w:val="Balloon Text"/>
    <w:basedOn w:val="Normale"/>
    <w:link w:val="TestofumettoCarattere"/>
    <w:uiPriority w:val="99"/>
    <w:semiHidden/>
    <w:rsid w:val="006F5A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E75AA"/>
    <w:rPr>
      <w:rFonts w:cs="Times New Roman"/>
      <w:sz w:val="2"/>
    </w:rPr>
  </w:style>
  <w:style w:type="paragraph" w:customStyle="1" w:styleId="Normaleridotto10">
    <w:name w:val="Normale ridotto (10)"/>
    <w:basedOn w:val="Normale"/>
    <w:link w:val="Normaleridotto10Carattere"/>
    <w:uiPriority w:val="99"/>
    <w:rsid w:val="006F5AAD"/>
    <w:rPr>
      <w:sz w:val="20"/>
      <w:lang w:val="it-IT"/>
    </w:rPr>
  </w:style>
  <w:style w:type="character" w:customStyle="1" w:styleId="Normaleridotto10Carattere">
    <w:name w:val="Normale ridotto (10) Carattere"/>
    <w:link w:val="Normaleridotto10"/>
    <w:uiPriority w:val="99"/>
    <w:locked/>
    <w:rsid w:val="006F5AAD"/>
    <w:rPr>
      <w:rFonts w:ascii="Arial" w:hAnsi="Arial"/>
      <w:lang w:val="it-IT" w:eastAsia="it-IT"/>
    </w:rPr>
  </w:style>
  <w:style w:type="paragraph" w:customStyle="1" w:styleId="Puntielenco3livello">
    <w:name w:val="Punti elenco 3° livello"/>
    <w:basedOn w:val="Puntielenco1livello"/>
    <w:uiPriority w:val="99"/>
    <w:rsid w:val="00D60303"/>
    <w:pPr>
      <w:numPr>
        <w:numId w:val="6"/>
      </w:numPr>
      <w:tabs>
        <w:tab w:val="clear" w:pos="1620"/>
        <w:tab w:val="num" w:pos="720"/>
      </w:tabs>
      <w:ind w:left="720" w:hanging="181"/>
    </w:pPr>
    <w:rPr>
      <w:sz w:val="20"/>
    </w:rPr>
  </w:style>
  <w:style w:type="character" w:styleId="Rimandonotadichiusura">
    <w:name w:val="endnote reference"/>
    <w:basedOn w:val="Carpredefinitoparagrafo"/>
    <w:uiPriority w:val="99"/>
    <w:semiHidden/>
    <w:rsid w:val="004F5017"/>
    <w:rPr>
      <w:rFonts w:cs="Times New Roman"/>
      <w:vertAlign w:val="superscript"/>
    </w:rPr>
  </w:style>
  <w:style w:type="paragraph" w:styleId="Intestazione">
    <w:name w:val="header"/>
    <w:basedOn w:val="Normale"/>
    <w:link w:val="IntestazioneCarattere"/>
    <w:uiPriority w:val="99"/>
    <w:rsid w:val="008D61C4"/>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E75AA"/>
    <w:rPr>
      <w:rFonts w:ascii="Arial" w:hAnsi="Arial" w:cs="Times New Roman"/>
      <w:sz w:val="20"/>
      <w:szCs w:val="20"/>
    </w:rPr>
  </w:style>
  <w:style w:type="paragraph" w:styleId="Pidipagina">
    <w:name w:val="footer"/>
    <w:basedOn w:val="Normale"/>
    <w:link w:val="PidipaginaCarattere"/>
    <w:uiPriority w:val="99"/>
    <w:rsid w:val="008D61C4"/>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E75AA"/>
    <w:rPr>
      <w:rFonts w:ascii="Arial" w:hAnsi="Arial" w:cs="Times New Roman"/>
      <w:sz w:val="20"/>
      <w:szCs w:val="20"/>
    </w:rPr>
  </w:style>
  <w:style w:type="paragraph" w:customStyle="1" w:styleId="Puntielenco2livello">
    <w:name w:val="Punti elenco 2° livello"/>
    <w:basedOn w:val="Puntielenco3livello"/>
    <w:uiPriority w:val="99"/>
    <w:rsid w:val="00130F9E"/>
    <w:pPr>
      <w:tabs>
        <w:tab w:val="clear" w:pos="720"/>
      </w:tabs>
      <w:ind w:left="568" w:hanging="284"/>
    </w:pPr>
  </w:style>
  <w:style w:type="character" w:styleId="Enfasicorsivo">
    <w:name w:val="Emphasis"/>
    <w:basedOn w:val="Carpredefinitoparagrafo"/>
    <w:uiPriority w:val="99"/>
    <w:qFormat/>
    <w:rsid w:val="000400F8"/>
    <w:rPr>
      <w:rFonts w:cs="Times New Roman"/>
      <w:i/>
    </w:rPr>
  </w:style>
  <w:style w:type="paragraph" w:styleId="Paragrafoelenco">
    <w:name w:val="List Paragraph"/>
    <w:basedOn w:val="Normale"/>
    <w:uiPriority w:val="99"/>
    <w:qFormat/>
    <w:rsid w:val="009736EA"/>
    <w:pPr>
      <w:ind w:left="720"/>
      <w:contextualSpacing/>
    </w:pPr>
  </w:style>
  <w:style w:type="character" w:styleId="Collegamentoipertestuale">
    <w:name w:val="Hyperlink"/>
    <w:basedOn w:val="Carpredefinitoparagrafo"/>
    <w:uiPriority w:val="99"/>
    <w:unhideWhenUsed/>
    <w:rsid w:val="0068191A"/>
    <w:rPr>
      <w:color w:val="0000FF" w:themeColor="hyperlink"/>
      <w:u w:val="single"/>
    </w:rPr>
  </w:style>
  <w:style w:type="character" w:styleId="Collegamentovisitato">
    <w:name w:val="FollowedHyperlink"/>
    <w:basedOn w:val="Carpredefinitoparagrafo"/>
    <w:uiPriority w:val="99"/>
    <w:semiHidden/>
    <w:unhideWhenUsed/>
    <w:rsid w:val="006819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AAD"/>
    <w:pPr>
      <w:spacing w:before="60" w:line="300" w:lineRule="exact"/>
      <w:ind w:firstLine="284"/>
      <w:jc w:val="both"/>
    </w:pPr>
    <w:rPr>
      <w:rFonts w:ascii="Arial" w:hAnsi="Arial"/>
      <w:szCs w:val="20"/>
      <w:lang w:val="fr-FR" w:eastAsia="it-IT"/>
    </w:rPr>
  </w:style>
  <w:style w:type="paragraph" w:styleId="Titolo1">
    <w:name w:val="heading 1"/>
    <w:basedOn w:val="Normale"/>
    <w:next w:val="Normale"/>
    <w:link w:val="Titolo1Carattere"/>
    <w:uiPriority w:val="99"/>
    <w:qFormat/>
    <w:rsid w:val="00B20E17"/>
    <w:pPr>
      <w:keepNext/>
      <w:spacing w:after="300" w:line="240" w:lineRule="atLeast"/>
      <w:ind w:firstLine="0"/>
      <w:jc w:val="center"/>
      <w:outlineLvl w:val="0"/>
    </w:pPr>
    <w:rPr>
      <w:b/>
      <w:smallCaps/>
      <w:kern w:val="28"/>
      <w:sz w:val="28"/>
    </w:rPr>
  </w:style>
  <w:style w:type="paragraph" w:styleId="Titolo2">
    <w:name w:val="heading 2"/>
    <w:basedOn w:val="Normale"/>
    <w:next w:val="Normale"/>
    <w:link w:val="Titolo2Carattere"/>
    <w:uiPriority w:val="99"/>
    <w:qFormat/>
    <w:rsid w:val="00D60303"/>
    <w:pPr>
      <w:keepNext/>
      <w:spacing w:before="240" w:after="120"/>
      <w:ind w:firstLine="0"/>
      <w:outlineLvl w:val="1"/>
    </w:pPr>
    <w:rPr>
      <w:rFonts w:cs="Arial"/>
      <w:b/>
      <w:bCs/>
      <w:iCs/>
      <w:sz w:val="24"/>
      <w:szCs w:val="28"/>
    </w:rPr>
  </w:style>
  <w:style w:type="paragraph" w:styleId="Titolo3">
    <w:name w:val="heading 3"/>
    <w:basedOn w:val="Normale"/>
    <w:next w:val="Normale"/>
    <w:link w:val="Titolo3Carattere"/>
    <w:uiPriority w:val="99"/>
    <w:qFormat/>
    <w:rsid w:val="00D60303"/>
    <w:pPr>
      <w:keepNext/>
      <w:spacing w:before="180"/>
      <w:outlineLvl w:val="2"/>
    </w:pPr>
    <w:rPr>
      <w:rFonts w:cs="Arial"/>
      <w:b/>
      <w:bCs/>
      <w:i/>
      <w:szCs w:val="26"/>
    </w:rPr>
  </w:style>
  <w:style w:type="paragraph" w:styleId="Titolo4">
    <w:name w:val="heading 4"/>
    <w:basedOn w:val="Normale"/>
    <w:next w:val="Normale"/>
    <w:link w:val="Titolo4Carattere"/>
    <w:uiPriority w:val="99"/>
    <w:qFormat/>
    <w:rsid w:val="007845D2"/>
    <w:pPr>
      <w:spacing w:before="120"/>
      <w:ind w:left="284" w:firstLine="0"/>
      <w:outlineLvl w:val="3"/>
    </w:pPr>
    <w:rPr>
      <w:i/>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E75AA"/>
    <w:rPr>
      <w:rFonts w:ascii="Cambria" w:eastAsia="MS ????" w:hAnsi="Cambria" w:cs="Times New Roman"/>
      <w:b/>
      <w:bCs/>
      <w:kern w:val="32"/>
      <w:sz w:val="32"/>
      <w:szCs w:val="32"/>
    </w:rPr>
  </w:style>
  <w:style w:type="character" w:customStyle="1" w:styleId="Titolo2Carattere">
    <w:name w:val="Titolo 2 Carattere"/>
    <w:basedOn w:val="Carpredefinitoparagrafo"/>
    <w:link w:val="Titolo2"/>
    <w:uiPriority w:val="99"/>
    <w:locked/>
    <w:rsid w:val="00BE75AA"/>
    <w:rPr>
      <w:rFonts w:ascii="Cambria" w:eastAsia="MS ????"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BE75AA"/>
    <w:rPr>
      <w:rFonts w:ascii="Cambria" w:eastAsia="MS ????" w:hAnsi="Cambria" w:cs="Times New Roman"/>
      <w:b/>
      <w:bCs/>
      <w:sz w:val="26"/>
      <w:szCs w:val="26"/>
    </w:rPr>
  </w:style>
  <w:style w:type="character" w:customStyle="1" w:styleId="Titolo4Carattere">
    <w:name w:val="Titolo 4 Carattere"/>
    <w:basedOn w:val="Carpredefinitoparagrafo"/>
    <w:link w:val="Titolo4"/>
    <w:uiPriority w:val="99"/>
    <w:semiHidden/>
    <w:locked/>
    <w:rsid w:val="00BE75AA"/>
    <w:rPr>
      <w:rFonts w:ascii="Calibri" w:eastAsia="MS ??" w:hAnsi="Calibri" w:cs="Arial"/>
      <w:b/>
      <w:bCs/>
      <w:sz w:val="28"/>
      <w:szCs w:val="28"/>
    </w:rPr>
  </w:style>
  <w:style w:type="paragraph" w:customStyle="1" w:styleId="Notapidipagina">
    <w:name w:val="Nota piè di pagina"/>
    <w:basedOn w:val="Testonotaapidipagina"/>
    <w:link w:val="NotapidipaginaCarattere"/>
    <w:uiPriority w:val="99"/>
    <w:rsid w:val="005B1421"/>
  </w:style>
  <w:style w:type="table" w:styleId="Grigliatabella">
    <w:name w:val="Table Grid"/>
    <w:aliases w:val="Tabella"/>
    <w:basedOn w:val="Tabellanormale"/>
    <w:uiPriority w:val="99"/>
    <w:rsid w:val="00793609"/>
    <w:pPr>
      <w:spacing w:line="300" w:lineRule="exact"/>
      <w:ind w:firstLine="284"/>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rsid w:val="00051C5B"/>
    <w:rPr>
      <w:rFonts w:cs="Times New Roman"/>
      <w:sz w:val="18"/>
      <w:vertAlign w:val="superscript"/>
    </w:rPr>
  </w:style>
  <w:style w:type="paragraph" w:customStyle="1" w:styleId="Puntielenco1livello">
    <w:name w:val="Punti elenco 1° livello"/>
    <w:basedOn w:val="Normale"/>
    <w:uiPriority w:val="99"/>
    <w:rsid w:val="00110E7D"/>
    <w:pPr>
      <w:numPr>
        <w:numId w:val="2"/>
      </w:numPr>
      <w:tabs>
        <w:tab w:val="clear" w:pos="720"/>
      </w:tabs>
      <w:spacing w:before="20"/>
      <w:ind w:left="568" w:hanging="284"/>
    </w:pPr>
  </w:style>
  <w:style w:type="paragraph" w:styleId="Testonotadichiusura">
    <w:name w:val="endnote text"/>
    <w:basedOn w:val="Normale"/>
    <w:link w:val="TestonotadichiusuraCarattere"/>
    <w:uiPriority w:val="99"/>
    <w:semiHidden/>
    <w:rsid w:val="004F5017"/>
    <w:rPr>
      <w:sz w:val="20"/>
    </w:rPr>
  </w:style>
  <w:style w:type="character" w:customStyle="1" w:styleId="TestonotadichiusuraCarattere">
    <w:name w:val="Testo nota di chiusura Carattere"/>
    <w:basedOn w:val="Carpredefinitoparagrafo"/>
    <w:link w:val="Testonotadichiusura"/>
    <w:uiPriority w:val="99"/>
    <w:semiHidden/>
    <w:locked/>
    <w:rsid w:val="00BE75AA"/>
    <w:rPr>
      <w:rFonts w:ascii="Arial" w:hAnsi="Arial" w:cs="Times New Roman"/>
      <w:sz w:val="20"/>
      <w:szCs w:val="20"/>
    </w:rPr>
  </w:style>
  <w:style w:type="paragraph" w:styleId="Testonotaapidipagina">
    <w:name w:val="footnote text"/>
    <w:basedOn w:val="Normale"/>
    <w:link w:val="TestonotaapidipaginaCarattere"/>
    <w:autoRedefine/>
    <w:uiPriority w:val="99"/>
    <w:semiHidden/>
    <w:rsid w:val="000A40DA"/>
    <w:pPr>
      <w:tabs>
        <w:tab w:val="left" w:pos="425"/>
      </w:tabs>
      <w:spacing w:before="0" w:line="240" w:lineRule="auto"/>
      <w:ind w:left="425" w:hanging="198"/>
    </w:pPr>
    <w:rPr>
      <w:sz w:val="18"/>
    </w:rPr>
  </w:style>
  <w:style w:type="character" w:customStyle="1" w:styleId="TestonotaapidipaginaCarattere">
    <w:name w:val="Testo nota a piè di pagina Carattere"/>
    <w:basedOn w:val="Carpredefinitoparagrafo"/>
    <w:link w:val="Testonotaapidipagina"/>
    <w:uiPriority w:val="99"/>
    <w:locked/>
    <w:rsid w:val="000A40DA"/>
    <w:rPr>
      <w:rFonts w:ascii="Arial" w:hAnsi="Arial" w:cs="Times New Roman"/>
      <w:sz w:val="18"/>
      <w:lang w:val="it-IT" w:eastAsia="it-IT"/>
    </w:rPr>
  </w:style>
  <w:style w:type="character" w:customStyle="1" w:styleId="NotapidipaginaCarattere">
    <w:name w:val="Nota piè di pagina Carattere"/>
    <w:basedOn w:val="TestonotaapidipaginaCarattere"/>
    <w:link w:val="Notapidipagina"/>
    <w:uiPriority w:val="99"/>
    <w:locked/>
    <w:rsid w:val="005B1421"/>
    <w:rPr>
      <w:rFonts w:ascii="Arial" w:hAnsi="Arial" w:cs="Times New Roman"/>
      <w:sz w:val="18"/>
      <w:lang w:val="it-IT" w:eastAsia="it-IT" w:bidi="ar-SA"/>
    </w:rPr>
  </w:style>
  <w:style w:type="paragraph" w:styleId="Testofumetto">
    <w:name w:val="Balloon Text"/>
    <w:basedOn w:val="Normale"/>
    <w:link w:val="TestofumettoCarattere"/>
    <w:uiPriority w:val="99"/>
    <w:semiHidden/>
    <w:rsid w:val="006F5A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E75AA"/>
    <w:rPr>
      <w:rFonts w:cs="Times New Roman"/>
      <w:sz w:val="2"/>
    </w:rPr>
  </w:style>
  <w:style w:type="paragraph" w:customStyle="1" w:styleId="Normaleridotto10">
    <w:name w:val="Normale ridotto (10)"/>
    <w:basedOn w:val="Normale"/>
    <w:link w:val="Normaleridotto10Carattere"/>
    <w:uiPriority w:val="99"/>
    <w:rsid w:val="006F5AAD"/>
    <w:rPr>
      <w:sz w:val="20"/>
      <w:lang w:val="it-IT"/>
    </w:rPr>
  </w:style>
  <w:style w:type="character" w:customStyle="1" w:styleId="Normaleridotto10Carattere">
    <w:name w:val="Normale ridotto (10) Carattere"/>
    <w:link w:val="Normaleridotto10"/>
    <w:uiPriority w:val="99"/>
    <w:locked/>
    <w:rsid w:val="006F5AAD"/>
    <w:rPr>
      <w:rFonts w:ascii="Arial" w:hAnsi="Arial"/>
      <w:lang w:val="it-IT" w:eastAsia="it-IT"/>
    </w:rPr>
  </w:style>
  <w:style w:type="paragraph" w:customStyle="1" w:styleId="Puntielenco3livello">
    <w:name w:val="Punti elenco 3° livello"/>
    <w:basedOn w:val="Puntielenco1livello"/>
    <w:uiPriority w:val="99"/>
    <w:rsid w:val="00D60303"/>
    <w:pPr>
      <w:numPr>
        <w:numId w:val="6"/>
      </w:numPr>
      <w:tabs>
        <w:tab w:val="clear" w:pos="1620"/>
        <w:tab w:val="num" w:pos="720"/>
      </w:tabs>
      <w:ind w:left="720" w:hanging="181"/>
    </w:pPr>
    <w:rPr>
      <w:sz w:val="20"/>
    </w:rPr>
  </w:style>
  <w:style w:type="character" w:styleId="Rimandonotadichiusura">
    <w:name w:val="endnote reference"/>
    <w:basedOn w:val="Carpredefinitoparagrafo"/>
    <w:uiPriority w:val="99"/>
    <w:semiHidden/>
    <w:rsid w:val="004F5017"/>
    <w:rPr>
      <w:rFonts w:cs="Times New Roman"/>
      <w:vertAlign w:val="superscript"/>
    </w:rPr>
  </w:style>
  <w:style w:type="paragraph" w:styleId="Intestazione">
    <w:name w:val="header"/>
    <w:basedOn w:val="Normale"/>
    <w:link w:val="IntestazioneCarattere"/>
    <w:uiPriority w:val="99"/>
    <w:rsid w:val="008D61C4"/>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E75AA"/>
    <w:rPr>
      <w:rFonts w:ascii="Arial" w:hAnsi="Arial" w:cs="Times New Roman"/>
      <w:sz w:val="20"/>
      <w:szCs w:val="20"/>
    </w:rPr>
  </w:style>
  <w:style w:type="paragraph" w:styleId="Pidipagina">
    <w:name w:val="footer"/>
    <w:basedOn w:val="Normale"/>
    <w:link w:val="PidipaginaCarattere"/>
    <w:uiPriority w:val="99"/>
    <w:rsid w:val="008D61C4"/>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E75AA"/>
    <w:rPr>
      <w:rFonts w:ascii="Arial" w:hAnsi="Arial" w:cs="Times New Roman"/>
      <w:sz w:val="20"/>
      <w:szCs w:val="20"/>
    </w:rPr>
  </w:style>
  <w:style w:type="paragraph" w:customStyle="1" w:styleId="Puntielenco2livello">
    <w:name w:val="Punti elenco 2° livello"/>
    <w:basedOn w:val="Puntielenco3livello"/>
    <w:uiPriority w:val="99"/>
    <w:rsid w:val="00130F9E"/>
    <w:pPr>
      <w:tabs>
        <w:tab w:val="clear" w:pos="720"/>
      </w:tabs>
      <w:ind w:left="568" w:hanging="284"/>
    </w:pPr>
  </w:style>
  <w:style w:type="character" w:styleId="Enfasicorsivo">
    <w:name w:val="Emphasis"/>
    <w:basedOn w:val="Carpredefinitoparagrafo"/>
    <w:uiPriority w:val="99"/>
    <w:qFormat/>
    <w:rsid w:val="000400F8"/>
    <w:rPr>
      <w:rFonts w:cs="Times New Roman"/>
      <w:i/>
    </w:rPr>
  </w:style>
  <w:style w:type="paragraph" w:styleId="Paragrafoelenco">
    <w:name w:val="List Paragraph"/>
    <w:basedOn w:val="Normale"/>
    <w:uiPriority w:val="99"/>
    <w:qFormat/>
    <w:rsid w:val="009736EA"/>
    <w:pPr>
      <w:ind w:left="720"/>
      <w:contextualSpacing/>
    </w:pPr>
  </w:style>
  <w:style w:type="character" w:styleId="Collegamentoipertestuale">
    <w:name w:val="Hyperlink"/>
    <w:basedOn w:val="Carpredefinitoparagrafo"/>
    <w:uiPriority w:val="99"/>
    <w:unhideWhenUsed/>
    <w:rsid w:val="0068191A"/>
    <w:rPr>
      <w:color w:val="0000FF" w:themeColor="hyperlink"/>
      <w:u w:val="single"/>
    </w:rPr>
  </w:style>
  <w:style w:type="character" w:styleId="Collegamentovisitato">
    <w:name w:val="FollowedHyperlink"/>
    <w:basedOn w:val="Carpredefinitoparagrafo"/>
    <w:uiPriority w:val="99"/>
    <w:semiHidden/>
    <w:unhideWhenUsed/>
    <w:rsid w:val="006819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04402">
      <w:marLeft w:val="0"/>
      <w:marRight w:val="0"/>
      <w:marTop w:val="0"/>
      <w:marBottom w:val="0"/>
      <w:divBdr>
        <w:top w:val="none" w:sz="0" w:space="0" w:color="auto"/>
        <w:left w:val="none" w:sz="0" w:space="0" w:color="auto"/>
        <w:bottom w:val="none" w:sz="0" w:space="0" w:color="auto"/>
        <w:right w:val="none" w:sz="0" w:space="0" w:color="auto"/>
      </w:divBdr>
      <w:divsChild>
        <w:div w:id="1223104391">
          <w:marLeft w:val="0"/>
          <w:marRight w:val="0"/>
          <w:marTop w:val="0"/>
          <w:marBottom w:val="0"/>
          <w:divBdr>
            <w:top w:val="none" w:sz="0" w:space="0" w:color="auto"/>
            <w:left w:val="none" w:sz="0" w:space="0" w:color="auto"/>
            <w:bottom w:val="none" w:sz="0" w:space="0" w:color="auto"/>
            <w:right w:val="none" w:sz="0" w:space="0" w:color="auto"/>
          </w:divBdr>
        </w:div>
        <w:div w:id="1223104393">
          <w:marLeft w:val="0"/>
          <w:marRight w:val="0"/>
          <w:marTop w:val="0"/>
          <w:marBottom w:val="0"/>
          <w:divBdr>
            <w:top w:val="none" w:sz="0" w:space="0" w:color="auto"/>
            <w:left w:val="none" w:sz="0" w:space="0" w:color="auto"/>
            <w:bottom w:val="none" w:sz="0" w:space="0" w:color="auto"/>
            <w:right w:val="none" w:sz="0" w:space="0" w:color="auto"/>
          </w:divBdr>
        </w:div>
        <w:div w:id="1223104397">
          <w:marLeft w:val="0"/>
          <w:marRight w:val="0"/>
          <w:marTop w:val="0"/>
          <w:marBottom w:val="0"/>
          <w:divBdr>
            <w:top w:val="none" w:sz="0" w:space="0" w:color="auto"/>
            <w:left w:val="none" w:sz="0" w:space="0" w:color="auto"/>
            <w:bottom w:val="none" w:sz="0" w:space="0" w:color="auto"/>
            <w:right w:val="none" w:sz="0" w:space="0" w:color="auto"/>
          </w:divBdr>
        </w:div>
        <w:div w:id="1223104400">
          <w:marLeft w:val="0"/>
          <w:marRight w:val="0"/>
          <w:marTop w:val="0"/>
          <w:marBottom w:val="0"/>
          <w:divBdr>
            <w:top w:val="none" w:sz="0" w:space="0" w:color="auto"/>
            <w:left w:val="none" w:sz="0" w:space="0" w:color="auto"/>
            <w:bottom w:val="none" w:sz="0" w:space="0" w:color="auto"/>
            <w:right w:val="none" w:sz="0" w:space="0" w:color="auto"/>
          </w:divBdr>
        </w:div>
        <w:div w:id="1223104407">
          <w:marLeft w:val="0"/>
          <w:marRight w:val="0"/>
          <w:marTop w:val="0"/>
          <w:marBottom w:val="0"/>
          <w:divBdr>
            <w:top w:val="none" w:sz="0" w:space="0" w:color="auto"/>
            <w:left w:val="none" w:sz="0" w:space="0" w:color="auto"/>
            <w:bottom w:val="none" w:sz="0" w:space="0" w:color="auto"/>
            <w:right w:val="none" w:sz="0" w:space="0" w:color="auto"/>
          </w:divBdr>
        </w:div>
        <w:div w:id="1223104411">
          <w:marLeft w:val="0"/>
          <w:marRight w:val="0"/>
          <w:marTop w:val="0"/>
          <w:marBottom w:val="0"/>
          <w:divBdr>
            <w:top w:val="none" w:sz="0" w:space="0" w:color="auto"/>
            <w:left w:val="none" w:sz="0" w:space="0" w:color="auto"/>
            <w:bottom w:val="none" w:sz="0" w:space="0" w:color="auto"/>
            <w:right w:val="none" w:sz="0" w:space="0" w:color="auto"/>
          </w:divBdr>
        </w:div>
      </w:divsChild>
    </w:div>
    <w:div w:id="1223104414">
      <w:marLeft w:val="0"/>
      <w:marRight w:val="0"/>
      <w:marTop w:val="0"/>
      <w:marBottom w:val="0"/>
      <w:divBdr>
        <w:top w:val="none" w:sz="0" w:space="0" w:color="auto"/>
        <w:left w:val="none" w:sz="0" w:space="0" w:color="auto"/>
        <w:bottom w:val="none" w:sz="0" w:space="0" w:color="auto"/>
        <w:right w:val="none" w:sz="0" w:space="0" w:color="auto"/>
      </w:divBdr>
      <w:divsChild>
        <w:div w:id="1223104392">
          <w:marLeft w:val="0"/>
          <w:marRight w:val="0"/>
          <w:marTop w:val="0"/>
          <w:marBottom w:val="0"/>
          <w:divBdr>
            <w:top w:val="none" w:sz="0" w:space="0" w:color="auto"/>
            <w:left w:val="none" w:sz="0" w:space="0" w:color="auto"/>
            <w:bottom w:val="none" w:sz="0" w:space="0" w:color="auto"/>
            <w:right w:val="none" w:sz="0" w:space="0" w:color="auto"/>
          </w:divBdr>
        </w:div>
        <w:div w:id="1223104394">
          <w:marLeft w:val="0"/>
          <w:marRight w:val="0"/>
          <w:marTop w:val="0"/>
          <w:marBottom w:val="0"/>
          <w:divBdr>
            <w:top w:val="none" w:sz="0" w:space="0" w:color="auto"/>
            <w:left w:val="none" w:sz="0" w:space="0" w:color="auto"/>
            <w:bottom w:val="none" w:sz="0" w:space="0" w:color="auto"/>
            <w:right w:val="none" w:sz="0" w:space="0" w:color="auto"/>
          </w:divBdr>
        </w:div>
        <w:div w:id="1223104395">
          <w:marLeft w:val="0"/>
          <w:marRight w:val="0"/>
          <w:marTop w:val="0"/>
          <w:marBottom w:val="0"/>
          <w:divBdr>
            <w:top w:val="none" w:sz="0" w:space="0" w:color="auto"/>
            <w:left w:val="none" w:sz="0" w:space="0" w:color="auto"/>
            <w:bottom w:val="none" w:sz="0" w:space="0" w:color="auto"/>
            <w:right w:val="none" w:sz="0" w:space="0" w:color="auto"/>
          </w:divBdr>
        </w:div>
        <w:div w:id="1223104396">
          <w:marLeft w:val="0"/>
          <w:marRight w:val="0"/>
          <w:marTop w:val="0"/>
          <w:marBottom w:val="0"/>
          <w:divBdr>
            <w:top w:val="none" w:sz="0" w:space="0" w:color="auto"/>
            <w:left w:val="none" w:sz="0" w:space="0" w:color="auto"/>
            <w:bottom w:val="none" w:sz="0" w:space="0" w:color="auto"/>
            <w:right w:val="none" w:sz="0" w:space="0" w:color="auto"/>
          </w:divBdr>
        </w:div>
        <w:div w:id="1223104398">
          <w:marLeft w:val="0"/>
          <w:marRight w:val="0"/>
          <w:marTop w:val="0"/>
          <w:marBottom w:val="0"/>
          <w:divBdr>
            <w:top w:val="none" w:sz="0" w:space="0" w:color="auto"/>
            <w:left w:val="none" w:sz="0" w:space="0" w:color="auto"/>
            <w:bottom w:val="none" w:sz="0" w:space="0" w:color="auto"/>
            <w:right w:val="none" w:sz="0" w:space="0" w:color="auto"/>
          </w:divBdr>
        </w:div>
        <w:div w:id="1223104399">
          <w:marLeft w:val="0"/>
          <w:marRight w:val="0"/>
          <w:marTop w:val="0"/>
          <w:marBottom w:val="0"/>
          <w:divBdr>
            <w:top w:val="none" w:sz="0" w:space="0" w:color="auto"/>
            <w:left w:val="none" w:sz="0" w:space="0" w:color="auto"/>
            <w:bottom w:val="none" w:sz="0" w:space="0" w:color="auto"/>
            <w:right w:val="none" w:sz="0" w:space="0" w:color="auto"/>
          </w:divBdr>
        </w:div>
        <w:div w:id="1223104401">
          <w:marLeft w:val="0"/>
          <w:marRight w:val="0"/>
          <w:marTop w:val="0"/>
          <w:marBottom w:val="0"/>
          <w:divBdr>
            <w:top w:val="none" w:sz="0" w:space="0" w:color="auto"/>
            <w:left w:val="none" w:sz="0" w:space="0" w:color="auto"/>
            <w:bottom w:val="none" w:sz="0" w:space="0" w:color="auto"/>
            <w:right w:val="none" w:sz="0" w:space="0" w:color="auto"/>
          </w:divBdr>
        </w:div>
        <w:div w:id="1223104403">
          <w:marLeft w:val="0"/>
          <w:marRight w:val="0"/>
          <w:marTop w:val="0"/>
          <w:marBottom w:val="0"/>
          <w:divBdr>
            <w:top w:val="none" w:sz="0" w:space="0" w:color="auto"/>
            <w:left w:val="none" w:sz="0" w:space="0" w:color="auto"/>
            <w:bottom w:val="none" w:sz="0" w:space="0" w:color="auto"/>
            <w:right w:val="none" w:sz="0" w:space="0" w:color="auto"/>
          </w:divBdr>
        </w:div>
        <w:div w:id="1223104404">
          <w:marLeft w:val="0"/>
          <w:marRight w:val="0"/>
          <w:marTop w:val="0"/>
          <w:marBottom w:val="0"/>
          <w:divBdr>
            <w:top w:val="none" w:sz="0" w:space="0" w:color="auto"/>
            <w:left w:val="none" w:sz="0" w:space="0" w:color="auto"/>
            <w:bottom w:val="none" w:sz="0" w:space="0" w:color="auto"/>
            <w:right w:val="none" w:sz="0" w:space="0" w:color="auto"/>
          </w:divBdr>
        </w:div>
        <w:div w:id="1223104405">
          <w:marLeft w:val="0"/>
          <w:marRight w:val="0"/>
          <w:marTop w:val="0"/>
          <w:marBottom w:val="0"/>
          <w:divBdr>
            <w:top w:val="none" w:sz="0" w:space="0" w:color="auto"/>
            <w:left w:val="none" w:sz="0" w:space="0" w:color="auto"/>
            <w:bottom w:val="none" w:sz="0" w:space="0" w:color="auto"/>
            <w:right w:val="none" w:sz="0" w:space="0" w:color="auto"/>
          </w:divBdr>
        </w:div>
        <w:div w:id="1223104406">
          <w:marLeft w:val="0"/>
          <w:marRight w:val="0"/>
          <w:marTop w:val="0"/>
          <w:marBottom w:val="0"/>
          <w:divBdr>
            <w:top w:val="none" w:sz="0" w:space="0" w:color="auto"/>
            <w:left w:val="none" w:sz="0" w:space="0" w:color="auto"/>
            <w:bottom w:val="none" w:sz="0" w:space="0" w:color="auto"/>
            <w:right w:val="none" w:sz="0" w:space="0" w:color="auto"/>
          </w:divBdr>
        </w:div>
        <w:div w:id="1223104408">
          <w:marLeft w:val="0"/>
          <w:marRight w:val="0"/>
          <w:marTop w:val="0"/>
          <w:marBottom w:val="0"/>
          <w:divBdr>
            <w:top w:val="none" w:sz="0" w:space="0" w:color="auto"/>
            <w:left w:val="none" w:sz="0" w:space="0" w:color="auto"/>
            <w:bottom w:val="none" w:sz="0" w:space="0" w:color="auto"/>
            <w:right w:val="none" w:sz="0" w:space="0" w:color="auto"/>
          </w:divBdr>
        </w:div>
        <w:div w:id="1223104409">
          <w:marLeft w:val="0"/>
          <w:marRight w:val="0"/>
          <w:marTop w:val="0"/>
          <w:marBottom w:val="0"/>
          <w:divBdr>
            <w:top w:val="none" w:sz="0" w:space="0" w:color="auto"/>
            <w:left w:val="none" w:sz="0" w:space="0" w:color="auto"/>
            <w:bottom w:val="none" w:sz="0" w:space="0" w:color="auto"/>
            <w:right w:val="none" w:sz="0" w:space="0" w:color="auto"/>
          </w:divBdr>
        </w:div>
        <w:div w:id="1223104410">
          <w:marLeft w:val="0"/>
          <w:marRight w:val="0"/>
          <w:marTop w:val="0"/>
          <w:marBottom w:val="0"/>
          <w:divBdr>
            <w:top w:val="none" w:sz="0" w:space="0" w:color="auto"/>
            <w:left w:val="none" w:sz="0" w:space="0" w:color="auto"/>
            <w:bottom w:val="none" w:sz="0" w:space="0" w:color="auto"/>
            <w:right w:val="none" w:sz="0" w:space="0" w:color="auto"/>
          </w:divBdr>
        </w:div>
        <w:div w:id="1223104412">
          <w:marLeft w:val="0"/>
          <w:marRight w:val="0"/>
          <w:marTop w:val="0"/>
          <w:marBottom w:val="0"/>
          <w:divBdr>
            <w:top w:val="none" w:sz="0" w:space="0" w:color="auto"/>
            <w:left w:val="none" w:sz="0" w:space="0" w:color="auto"/>
            <w:bottom w:val="none" w:sz="0" w:space="0" w:color="auto"/>
            <w:right w:val="none" w:sz="0" w:space="0" w:color="auto"/>
          </w:divBdr>
        </w:div>
        <w:div w:id="1223104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xeu.org/sites/default/files/Geneva_Special_Report_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economy_finance/articles/governance/pdf/20140331_report_fr.pdf" TargetMode="Externa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sachverstaendigenrat-wirtschaft.de/fileadmin/dateiablage/download/publikationen/working_paper_02_201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opa.eu/rapid/press-release_IP-14-513_fr.htm" TargetMode="External"/><Relationship Id="rId4" Type="http://schemas.microsoft.com/office/2007/relationships/stylesWithEffects" Target="stylesWithEffects.xml"/><Relationship Id="rId9" Type="http://schemas.openxmlformats.org/officeDocument/2006/relationships/hyperlink" Target="http://ec.europa.eu/taxation_customs/resources/documents/taxation/gen_info/economic_analysis/tax_structures/2014/report.pdf" TargetMode="External"/><Relationship Id="rId14" Type="http://schemas.openxmlformats.org/officeDocument/2006/relationships/hyperlink" Target="http://eur-lex.europa.eu/LexUriServ/LexUriServ.do?uri=OJ:L:2012:204:0001:0010: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5209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A</vt:lpstr>
    </vt:vector>
  </TitlesOfParts>
  <Company>Camera dei Deputati</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Servizio Informatica</dc:creator>
  <cp:lastModifiedBy>utente_locale</cp:lastModifiedBy>
  <cp:revision>4</cp:revision>
  <cp:lastPrinted>2014-07-29T14:56:00Z</cp:lastPrinted>
  <dcterms:created xsi:type="dcterms:W3CDTF">2014-09-16T08:43:00Z</dcterms:created>
  <dcterms:modified xsi:type="dcterms:W3CDTF">2014-09-16T09:05:00Z</dcterms:modified>
</cp:coreProperties>
</file>