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951BF366D924895980F94A66872BB87" style="width:450.75pt;height:44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2010/0208 (COD)</w:t>
      </w:r>
    </w:p>
    <w:p>
      <w:pPr>
        <w:pStyle w:val="Typedudocument"/>
        <w:rPr>
          <w:noProof/>
        </w:rPr>
      </w:pPr>
      <w:r>
        <w:rPr>
          <w:noProof/>
        </w:rPr>
        <w:t>ADVIES VAN DE COMMISSIE</w:t>
      </w:r>
      <w:r>
        <w:rPr>
          <w:noProof/>
        </w:rPr>
        <w:br/>
      </w:r>
      <w:r>
        <w:rPr>
          <w:noProof/>
        </w:rPr>
        <w:br/>
        <w:t>overeenkomstig artikel 294, lid 7, onder c), van het Verdrag betreffende de werking van de Europese Unie</w:t>
      </w:r>
      <w:r>
        <w:rPr>
          <w:noProof/>
        </w:rPr>
        <w:br/>
        <w:t>over de amendementen van het Europees Parlement</w:t>
      </w:r>
      <w:r>
        <w:rPr>
          <w:noProof/>
        </w:rPr>
        <w:br/>
        <w:t>op het standpunt van de Raad</w:t>
      </w:r>
    </w:p>
    <w:p>
      <w:pPr>
        <w:pStyle w:val="Titreobjet"/>
        <w:rPr>
          <w:noProof/>
        </w:rPr>
      </w:pPr>
      <w:r>
        <w:rPr>
          <w:noProof/>
        </w:rPr>
        <w:t>inzake het voorstel voor een</w:t>
      </w:r>
      <w:r>
        <w:rPr>
          <w:noProof/>
        </w:rPr>
        <w:br/>
      </w:r>
      <w:r>
        <w:rPr>
          <w:noProof/>
        </w:rPr>
        <w:br/>
        <w:t>RICHTLIJN VAN HET EUROPEES PARLEMENT EN DE RAAD</w:t>
      </w:r>
      <w:r>
        <w:rPr>
          <w:noProof/>
        </w:rPr>
        <w:br/>
      </w:r>
      <w:r>
        <w:rPr>
          <w:noProof/>
        </w:rPr>
        <w:br/>
        <w:t>tot wijziging van Richtlijn 2001/18/EG wat betreft de mogelijkheid voor de lidstaten om de teelt van ggo's op hun grondgebied te beperken of te verbieden</w:t>
      </w:r>
    </w:p>
    <w:p>
      <w:pPr>
        <w:pStyle w:val="ManualHeading1"/>
        <w:rPr>
          <w:noProof/>
        </w:rPr>
      </w:pPr>
      <w:r>
        <w:rPr>
          <w:noProof/>
        </w:rPr>
        <w:t>1.</w:t>
      </w:r>
      <w:r>
        <w:rPr>
          <w:noProof/>
        </w:rPr>
        <w:tab/>
        <w:t>Inleiding</w:t>
      </w:r>
    </w:p>
    <w:p>
      <w:pPr>
        <w:pStyle w:val="Text1"/>
        <w:rPr>
          <w:noProof/>
        </w:rPr>
      </w:pPr>
      <w:r>
        <w:rPr>
          <w:noProof/>
        </w:rPr>
        <w:t xml:space="preserve">In artikel 294, lid 7, onder c), van het Verdrag betreffende de werking van de Europese Unie (VWEU) is bepaald dat de Commissie een advies moet uitbrengen over de door het Europees Parlement in tweede lezing voorgestelde amendementen. Hieronder volgt het advies van de Commissie over de door het Parlement voorgestelde amendementen. </w:t>
      </w:r>
    </w:p>
    <w:p>
      <w:pPr>
        <w:pStyle w:val="ManualHeading1"/>
        <w:rPr>
          <w:noProof/>
        </w:rPr>
      </w:pPr>
      <w:r>
        <w:rPr>
          <w:noProof/>
        </w:rPr>
        <w:t>2.</w:t>
      </w:r>
      <w:r>
        <w:rPr>
          <w:noProof/>
        </w:rPr>
        <w:tab/>
        <w:t>Achtergrond</w:t>
      </w:r>
    </w:p>
    <w:tbl>
      <w:tblPr>
        <w:tblW w:w="9072" w:type="dxa"/>
        <w:tblInd w:w="108" w:type="dxa"/>
        <w:tblLayout w:type="fixed"/>
        <w:tblLook w:val="0000" w:firstRow="0" w:lastRow="0" w:firstColumn="0" w:lastColumn="0" w:noHBand="0" w:noVBand="0"/>
      </w:tblPr>
      <w:tblGrid>
        <w:gridCol w:w="6521"/>
        <w:gridCol w:w="2551"/>
      </w:tblGrid>
      <w:tr>
        <w:tc>
          <w:tcPr>
            <w:tcW w:w="6521" w:type="dxa"/>
          </w:tcPr>
          <w:p>
            <w:pPr>
              <w:pStyle w:val="Text1"/>
              <w:rPr>
                <w:noProof/>
                <w:sz w:val="22"/>
              </w:rPr>
            </w:pPr>
            <w:r>
              <w:rPr>
                <w:noProof/>
                <w:sz w:val="22"/>
              </w:rPr>
              <w:t>Indiening van het voorstel bij het Europees Parlement en de Raad:</w:t>
            </w:r>
          </w:p>
        </w:tc>
        <w:tc>
          <w:tcPr>
            <w:tcW w:w="2551" w:type="dxa"/>
          </w:tcPr>
          <w:p>
            <w:pPr>
              <w:pStyle w:val="Text1"/>
              <w:ind w:left="175"/>
              <w:rPr>
                <w:noProof/>
                <w:sz w:val="22"/>
              </w:rPr>
            </w:pPr>
            <w:r>
              <w:rPr>
                <w:noProof/>
                <w:sz w:val="22"/>
              </w:rPr>
              <w:t>14 juli 2010</w:t>
            </w:r>
          </w:p>
        </w:tc>
      </w:tr>
      <w:tr>
        <w:tc>
          <w:tcPr>
            <w:tcW w:w="6521" w:type="dxa"/>
          </w:tcPr>
          <w:p>
            <w:pPr>
              <w:pStyle w:val="Text1"/>
              <w:rPr>
                <w:noProof/>
                <w:sz w:val="22"/>
              </w:rPr>
            </w:pPr>
            <w:r>
              <w:rPr>
                <w:noProof/>
                <w:sz w:val="22"/>
              </w:rPr>
              <w:t>Advies van het Europees Economisch en Sociaal Comité:</w:t>
            </w:r>
          </w:p>
        </w:tc>
        <w:tc>
          <w:tcPr>
            <w:tcW w:w="2551" w:type="dxa"/>
          </w:tcPr>
          <w:p>
            <w:pPr>
              <w:pStyle w:val="Text1"/>
              <w:ind w:left="175"/>
              <w:rPr>
                <w:noProof/>
                <w:sz w:val="22"/>
              </w:rPr>
            </w:pPr>
            <w:r>
              <w:rPr>
                <w:noProof/>
                <w:sz w:val="22"/>
              </w:rPr>
              <w:t>9 december 2010</w:t>
            </w:r>
          </w:p>
        </w:tc>
      </w:tr>
      <w:tr>
        <w:tc>
          <w:tcPr>
            <w:tcW w:w="6521" w:type="dxa"/>
          </w:tcPr>
          <w:p>
            <w:pPr>
              <w:pStyle w:val="Text1"/>
              <w:rPr>
                <w:noProof/>
                <w:sz w:val="22"/>
              </w:rPr>
            </w:pPr>
            <w:r>
              <w:rPr>
                <w:noProof/>
                <w:sz w:val="22"/>
              </w:rPr>
              <w:t>Advies van het Europees Parlement in eerste lezing:</w:t>
            </w:r>
          </w:p>
        </w:tc>
        <w:tc>
          <w:tcPr>
            <w:tcW w:w="2551" w:type="dxa"/>
          </w:tcPr>
          <w:p>
            <w:pPr>
              <w:pStyle w:val="Text1"/>
              <w:ind w:left="175"/>
              <w:rPr>
                <w:noProof/>
                <w:sz w:val="22"/>
              </w:rPr>
            </w:pPr>
            <w:r>
              <w:rPr>
                <w:noProof/>
                <w:sz w:val="22"/>
              </w:rPr>
              <w:t>5 juli 2011</w:t>
            </w:r>
          </w:p>
        </w:tc>
      </w:tr>
      <w:tr>
        <w:tc>
          <w:tcPr>
            <w:tcW w:w="6521" w:type="dxa"/>
          </w:tcPr>
          <w:p>
            <w:pPr>
              <w:pStyle w:val="Text1"/>
              <w:rPr>
                <w:noProof/>
                <w:sz w:val="22"/>
              </w:rPr>
            </w:pPr>
            <w:r>
              <w:rPr>
                <w:noProof/>
                <w:sz w:val="22"/>
              </w:rPr>
              <w:t>Indiening van het gewijzigd voorstel:</w:t>
            </w:r>
          </w:p>
        </w:tc>
        <w:tc>
          <w:tcPr>
            <w:tcW w:w="2551" w:type="dxa"/>
          </w:tcPr>
          <w:p>
            <w:pPr>
              <w:pStyle w:val="Text1"/>
              <w:ind w:left="175"/>
              <w:rPr>
                <w:noProof/>
                <w:sz w:val="22"/>
              </w:rPr>
            </w:pPr>
            <w:r>
              <w:rPr>
                <w:noProof/>
                <w:sz w:val="22"/>
              </w:rPr>
              <w:t>[*]</w:t>
            </w:r>
          </w:p>
        </w:tc>
      </w:tr>
      <w:tr>
        <w:tc>
          <w:tcPr>
            <w:tcW w:w="6521" w:type="dxa"/>
          </w:tcPr>
          <w:p>
            <w:pPr>
              <w:pStyle w:val="Text1"/>
              <w:rPr>
                <w:noProof/>
                <w:sz w:val="22"/>
              </w:rPr>
            </w:pPr>
            <w:r>
              <w:rPr>
                <w:noProof/>
                <w:sz w:val="22"/>
              </w:rPr>
              <w:t>Vaststelling van het standpunt van de Raad in eerste lezing**:</w:t>
            </w:r>
          </w:p>
        </w:tc>
        <w:tc>
          <w:tcPr>
            <w:tcW w:w="2551" w:type="dxa"/>
          </w:tcPr>
          <w:p>
            <w:pPr>
              <w:pStyle w:val="Text1"/>
              <w:ind w:left="175"/>
              <w:rPr>
                <w:noProof/>
                <w:sz w:val="22"/>
              </w:rPr>
            </w:pPr>
            <w:r>
              <w:rPr>
                <w:noProof/>
                <w:sz w:val="22"/>
              </w:rPr>
              <w:t>23 juli 2014</w:t>
            </w:r>
          </w:p>
        </w:tc>
      </w:tr>
      <w:tr>
        <w:tc>
          <w:tcPr>
            <w:tcW w:w="6521" w:type="dxa"/>
          </w:tcPr>
          <w:p>
            <w:pPr>
              <w:pStyle w:val="Text1"/>
              <w:rPr>
                <w:noProof/>
                <w:sz w:val="22"/>
              </w:rPr>
            </w:pPr>
            <w:r>
              <w:rPr>
                <w:noProof/>
                <w:sz w:val="22"/>
              </w:rPr>
              <w:t>Advies van het Europees Parlement in tweede lezing</w:t>
            </w:r>
          </w:p>
        </w:tc>
        <w:tc>
          <w:tcPr>
            <w:tcW w:w="2551" w:type="dxa"/>
          </w:tcPr>
          <w:p>
            <w:pPr>
              <w:pStyle w:val="Text1"/>
              <w:ind w:left="175"/>
              <w:rPr>
                <w:noProof/>
                <w:sz w:val="22"/>
              </w:rPr>
            </w:pPr>
            <w:r>
              <w:rPr>
                <w:noProof/>
                <w:sz w:val="22"/>
              </w:rPr>
              <w:t>13 januari 2015</w:t>
            </w:r>
          </w:p>
        </w:tc>
      </w:tr>
    </w:tbl>
    <w:p>
      <w:pPr>
        <w:pStyle w:val="Point1"/>
        <w:rPr>
          <w:noProof/>
        </w:rPr>
      </w:pPr>
      <w:r>
        <w:rPr>
          <w:noProof/>
        </w:rPr>
        <w:t>*</w:t>
      </w:r>
      <w:r>
        <w:rPr>
          <w:noProof/>
        </w:rPr>
        <w:tab/>
        <w:t>De Commissie heeft geen gewijzigd voorstel opgesteld, maar heeft haar standpunt over de amendementen van het Parlement uiteengezet in de "</w:t>
      </w:r>
      <w:r>
        <w:rPr>
          <w:i/>
          <w:noProof/>
        </w:rPr>
        <w:t>Mededeling van de Commissie over de maatregelen die zijn genomen inzake de adviezen en resoluties aangenomen door het Parlement op de deelzitting van juli 2011</w:t>
      </w:r>
      <w:r>
        <w:rPr>
          <w:noProof/>
        </w:rPr>
        <w:t>" (document SP(2011) 8072) die op 8 september 2011 werd toegezonden aan het Europees Parlement.</w:t>
      </w:r>
    </w:p>
    <w:p>
      <w:pPr>
        <w:pStyle w:val="Point1"/>
        <w:rPr>
          <w:noProof/>
        </w:rPr>
      </w:pPr>
      <w:r>
        <w:rPr>
          <w:noProof/>
        </w:rPr>
        <w:t>**</w:t>
      </w:r>
      <w:r>
        <w:rPr>
          <w:noProof/>
        </w:rPr>
        <w:tab/>
        <w:t>De Commissie heeft haar standpunt over de amendementen van de Raad uiteengezet in de "</w:t>
      </w:r>
      <w:r>
        <w:rPr>
          <w:i/>
          <w:noProof/>
        </w:rPr>
        <w:t xml:space="preserve">Mededeling van de Commissie over het standpunt van de Raad in eerste lezing met het oog op de aanneming van een richtlijn van het Europees Parlement en de Raad tot wijziging van Richtlijn 2001/18/EG wat betreft de mogelijkheid voor de lidstaten om de teelt van ggo's op hun </w:t>
      </w:r>
      <w:r>
        <w:rPr>
          <w:i/>
          <w:noProof/>
        </w:rPr>
        <w:lastRenderedPageBreak/>
        <w:t>grondgebied te beperken of te verbieden</w:t>
      </w:r>
      <w:r>
        <w:rPr>
          <w:noProof/>
        </w:rPr>
        <w:t>" (document COM(2014) 570 final) die op 10 september 2014 werd toegezonden aan het Europees Parlement.</w:t>
      </w:r>
    </w:p>
    <w:p>
      <w:pPr>
        <w:pStyle w:val="ManualHeading1"/>
        <w:rPr>
          <w:noProof/>
        </w:rPr>
      </w:pPr>
      <w:r>
        <w:rPr>
          <w:noProof/>
        </w:rPr>
        <w:t>3.</w:t>
      </w:r>
      <w:r>
        <w:rPr>
          <w:noProof/>
        </w:rPr>
        <w:tab/>
        <w:t>Doel van het voorstel</w:t>
      </w:r>
    </w:p>
    <w:p>
      <w:pPr>
        <w:pStyle w:val="Text1"/>
        <w:rPr>
          <w:noProof/>
        </w:rPr>
      </w:pPr>
      <w:r>
        <w:rPr>
          <w:noProof/>
        </w:rPr>
        <w:t>De Europese Unie (EU) heeft een omvattend rechtskader vastgesteld voor de verlening van vergunningen voor uit genetisch gemodificeerde organismen (ggo's) bestaande of daarvan afgeleide producten. De vergunningsprocedure betreft het gebruik van ggo's voor levensmiddelen en diervoeders, industriële verwerking en teelt, en de daarvan afgeleide producten voor levensmiddelen en diervoeders.</w:t>
      </w:r>
    </w:p>
    <w:p>
      <w:pPr>
        <w:pStyle w:val="Text1"/>
        <w:rPr>
          <w:noProof/>
        </w:rPr>
      </w:pPr>
      <w:r>
        <w:rPr>
          <w:noProof/>
        </w:rPr>
        <w:t>Het vergunningensysteem van de Europese Unie beoogt het vermijden van schadelijke effecten van ggo's op de gezondheid van mens en dier en op het milieu alsook de totstandbrenging van een interne markt voor die producten. Twee wetsteksten, namelijk Richtlijn 2001/18/EG betreffende de introductie van genetisch gemodificeerde organismen in het milieu</w:t>
      </w:r>
      <w:r>
        <w:rPr>
          <w:rStyle w:val="FootnoteReference"/>
          <w:noProof/>
        </w:rPr>
        <w:footnoteReference w:id="1"/>
      </w:r>
      <w:r>
        <w:rPr>
          <w:noProof/>
        </w:rPr>
        <w:t xml:space="preserve"> en Verordening (EG) nr. 1829/2003 inzake genetisch gemodificeerde levensmiddelen en diervoeders</w:t>
      </w:r>
      <w:r>
        <w:rPr>
          <w:rStyle w:val="FootnoteReference"/>
          <w:noProof/>
        </w:rPr>
        <w:footnoteReference w:id="2"/>
      </w:r>
      <w:r>
        <w:rPr>
          <w:noProof/>
        </w:rPr>
        <w:t>, voorzien in de verlening van een vergunning voor ggo's vóór het in de handel brengen ervan. Beide teksten stellen wetenschappelijk onderbouwde normen vast voor de beoordeling van potentiële risico's voor de gezondheid van mens en dier en voor het milieu, alsook etiketteringsvoorschriften. Bovendien bevat Verordening (EG) nr. 1830/2003</w:t>
      </w:r>
      <w:r>
        <w:rPr>
          <w:rStyle w:val="FootnoteReference"/>
          <w:noProof/>
        </w:rPr>
        <w:footnoteReference w:id="3"/>
      </w:r>
      <w:r>
        <w:rPr>
          <w:noProof/>
        </w:rPr>
        <w:t xml:space="preserve"> voorschriften inzake de traceerbaarheid en de etikettering van ggo's en de traceerbaarheid van uit ggo's geproduceerde levensmiddelen en diervoeders.</w:t>
      </w:r>
    </w:p>
    <w:p>
      <w:pPr>
        <w:pStyle w:val="Text1"/>
        <w:rPr>
          <w:noProof/>
        </w:rPr>
      </w:pPr>
      <w:r>
        <w:rPr>
          <w:noProof/>
        </w:rPr>
        <w:t>In maart 2009 heeft de Raad de voorstellen van de Commissie afgewezen om Oostenrijk en Hongarije te verzoeken hun nationale vrijwaringsmaatregelen in te trekken, omdat volgens de Europese Autoriteit voor voedselveiligheid (EFSA) de nodige wetenschappelijke onderbouwing overeenkomstig de wetgeving van de EU ontbrak. Daarop verzocht een groep van 13 lidstaten</w:t>
      </w:r>
      <w:r>
        <w:rPr>
          <w:rStyle w:val="FootnoteReference"/>
          <w:noProof/>
        </w:rPr>
        <w:footnoteReference w:id="4"/>
      </w:r>
      <w:r>
        <w:rPr>
          <w:noProof/>
        </w:rPr>
        <w:t xml:space="preserve"> de Commissie voorstellen op te stellen om de lidstaten vrij te laten beslissen over de teelt van ggo's</w:t>
      </w:r>
      <w:r>
        <w:rPr>
          <w:rStyle w:val="FootnoteReference"/>
          <w:noProof/>
        </w:rPr>
        <w:footnoteReference w:id="5"/>
      </w:r>
      <w:r>
        <w:rPr>
          <w:noProof/>
        </w:rPr>
        <w:t>.</w:t>
      </w:r>
    </w:p>
    <w:p>
      <w:pPr>
        <w:pStyle w:val="Text1"/>
        <w:rPr>
          <w:noProof/>
        </w:rPr>
      </w:pPr>
      <w:r>
        <w:rPr>
          <w:noProof/>
        </w:rPr>
        <w:t>Met het oog op het verenigen van een op wetenschappelijke gegevens gebaseerd vergunningensysteem van de EU voor ggo’s met de vrijheid voor de lidstaten om te beslissen of zij de teelt van ggo's op hun grondgebied willen toestaan, heeft de Commissie in juli 2010 dit wetgevingsvoorstel aangenomen. Het verstrekt binnen het rechtskader van de EU inzake ggo's een rechtsgrondslag om de lidstaten toe te staan de ggo-teelt die op EU-niveau is toegelaten, op hun hele grondgebied of een deel daarvan te beperken of te verbieden. Deze verboden of beperkingen moeten zijn gebaseerd op andere redenen dan die welke onder de milieu- of gezondheidsrisicobeoordeling uit hoofde van het vergunningensysteem van de EU vallen.</w:t>
      </w:r>
    </w:p>
    <w:p>
      <w:pPr>
        <w:pStyle w:val="ManualHeading1"/>
        <w:rPr>
          <w:noProof/>
        </w:rPr>
      </w:pPr>
      <w:r>
        <w:rPr>
          <w:noProof/>
        </w:rPr>
        <w:lastRenderedPageBreak/>
        <w:t>4.</w:t>
      </w:r>
      <w:r>
        <w:rPr>
          <w:noProof/>
        </w:rPr>
        <w:tab/>
        <w:t>Advies van de Commissie over de amendementen van het Europees Parlement in tweede lezing</w:t>
      </w:r>
    </w:p>
    <w:p>
      <w:pPr>
        <w:pStyle w:val="Text1"/>
        <w:rPr>
          <w:noProof/>
        </w:rPr>
      </w:pPr>
      <w:r>
        <w:rPr>
          <w:noProof/>
        </w:rPr>
        <w:t xml:space="preserve">Het Europees Parlement heeft in tweede lezing een geconsolideerde tekst goedgekeurd die een aantal amendementen op de tekst van het standpunt van de Raad in eerste lezing bevat. De tekst is het resultaat van onderhandelingen tussen het Europees Parlement, de Raad en de Commissie. De Commissie aanvaardt alle door het Europees Parlement goedgekeurde amendementen. </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106 van 17.4.2001, blz. 1.</w:t>
      </w:r>
    </w:p>
  </w:footnote>
  <w:footnote w:id="2">
    <w:p>
      <w:pPr>
        <w:pStyle w:val="FootnoteText"/>
      </w:pPr>
      <w:r>
        <w:rPr>
          <w:rStyle w:val="FootnoteReference"/>
        </w:rPr>
        <w:footnoteRef/>
      </w:r>
      <w:r>
        <w:tab/>
        <w:t>PB L 268 van 18.10.2003, blz. 1.</w:t>
      </w:r>
    </w:p>
  </w:footnote>
  <w:footnote w:id="3">
    <w:p>
      <w:pPr>
        <w:pStyle w:val="FootnoteText"/>
      </w:pPr>
      <w:r>
        <w:rPr>
          <w:rStyle w:val="FootnoteReference"/>
        </w:rPr>
        <w:footnoteRef/>
      </w:r>
      <w:r>
        <w:tab/>
        <w:t>PB L 268 van 18.10.2003, blz. 24.</w:t>
      </w:r>
    </w:p>
  </w:footnote>
  <w:footnote w:id="4">
    <w:p>
      <w:pPr>
        <w:pStyle w:val="FootnoteText"/>
      </w:pPr>
      <w:r>
        <w:rPr>
          <w:rStyle w:val="FootnoteReference"/>
        </w:rPr>
        <w:footnoteRef/>
      </w:r>
      <w:r>
        <w:tab/>
        <w:t>Bulgarije, Cyprus, Griekenland, Hongarije, Ierland, Letland, Litouwen, Luxemburg, Malta, Nederland, Oostenrijk, Polen en Slovenië.</w:t>
      </w:r>
    </w:p>
  </w:footnote>
  <w:footnote w:id="5">
    <w:p>
      <w:pPr>
        <w:pStyle w:val="FootnoteText"/>
      </w:pPr>
      <w:r>
        <w:rPr>
          <w:rStyle w:val="FootnoteReference"/>
        </w:rPr>
        <w:footnoteRef/>
      </w:r>
      <w:r>
        <w:tab/>
        <w:t>De respectieve besprekingen vonden plaats tijdens de vergaderingen van de Raad op 2 maart, 23 maart en 25 juni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CC7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9A2D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16BA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8C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6A7D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732E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C46674"/>
    <w:lvl w:ilvl="0">
      <w:start w:val="1"/>
      <w:numFmt w:val="decimal"/>
      <w:pStyle w:val="ListNumber"/>
      <w:lvlText w:val="%1."/>
      <w:lvlJc w:val="left"/>
      <w:pPr>
        <w:tabs>
          <w:tab w:val="num" w:pos="360"/>
        </w:tabs>
        <w:ind w:left="360" w:hanging="360"/>
      </w:pPr>
    </w:lvl>
  </w:abstractNum>
  <w:abstractNum w:abstractNumId="7">
    <w:nsid w:val="FFFFFF89"/>
    <w:multiLevelType w:val="singleLevel"/>
    <w:tmpl w:val="5A8E71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2-24 11:22: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5951BF366D924895980F94A66872BB87"/>
    <w:docVar w:name="LW_CROSSREFERENCE" w:val="&lt;UNUSED&gt;"/>
    <w:docVar w:name="LW_DocType" w:val="COM"/>
    <w:docVar w:name="LW_EMISSION" w:val="25.2.2015"/>
    <w:docVar w:name="LW_EMISSION_ISODATE" w:val="2015-02-25"/>
    <w:docVar w:name="LW_EMISSION_LOCATION" w:val="BRX"/>
    <w:docVar w:name="LW_EMISSION_PREFIX" w:val="Brussel, "/>
    <w:docVar w:name="LW_EMISSION_SUFFIX" w:val=" "/>
    <w:docVar w:name="LW_ID_DOCMODEL" w:val="SJ-029_P"/>
    <w:docVar w:name="LW_ID_DOCSTRUCTURE" w:val="COM/PL/CODEC"/>
    <w:docVar w:name="LW_ID_DOCTYPE" w:val="SJ-029_P"/>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08"/>
    <w:docVar w:name="LW_REF.II.NEW.CP_YEAR" w:val="2010"/>
    <w:docVar w:name="LW_REF.INST.NEW" w:val="COM"/>
    <w:docVar w:name="LW_REF.INST.NEW_ADOPTED" w:val="final"/>
    <w:docVar w:name="LW_REF.INST.NEW_TEXT" w:val="(2015) 83"/>
    <w:docVar w:name="LW_REF.INTERNE" w:val="&lt;UNUSED&gt;"/>
    <w:docVar w:name="LW_SOUS.TITRE.OBJ.CP" w:val="&lt;UNUSED&gt;"/>
    <w:docVar w:name="LW_SUPERTITRE" w:val="&lt;UNUSED&gt;"/>
    <w:docVar w:name="LW_TITRE.OBJ.CP" w:val="inzake het voorstel voor een_x000b__x000b_RICHTLIJN VAN HET EUROPEES PARLEMENT EN DE RAAD_x000b__x000b_tot wijziging van Richtlijn 2001/18/EG wat betreft de mogelijkheid voor de lidstaten om de teelt van ggo's op hun grondgebied te beperken of te verbieden"/>
    <w:docVar w:name="LW_TYPE.DOC.CP" w:val="ADVIES VAN DE COMMISSIE_x000b__x000b_overeenkomstig artikel 294, lid 7, onder c), van het Verdrag betreffende de werking van de Europese Unie_x000b_over de amendementen van het Europees Parlement_x000b_op het standpunt van de Raad"/>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9637-D2B1-4290-A10F-73B23DAA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775</Words>
  <Characters>4337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SANTE/10021/2015-EN Rev. 2</vt:lpstr>
    </vt:vector>
  </TitlesOfParts>
  <Manager/>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SANTE/10021/2015-EN Rev. 2</dc:title>
  <dc:subject>Opinion of the Commission</dc:subject>
  <dc:creator/>
  <cp:keywords>10021</cp:keywords>
  <dc:description>OUTLOOK - 23.2.2015</dc:description>
  <cp:lastModifiedBy>DIGIT/A3</cp:lastModifiedBy>
  <cp:revision>16</cp:revision>
  <cp:lastPrinted>2015-02-13T15:53:00Z</cp:lastPrinted>
  <dcterms:created xsi:type="dcterms:W3CDTF">2015-02-23T13:43:00Z</dcterms:created>
  <dcterms:modified xsi:type="dcterms:W3CDTF">2015-02-24T10:22:00Z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SJ-029_P</vt:lpwstr>
  </property>
  <property fmtid="{D5CDD505-2E9C-101B-9397-08002B2CF9AE}" pid="10" name="DQCStatus">
    <vt:lpwstr>Green (DQC version 02)</vt:lpwstr>
  </property>
</Properties>
</file>