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59" w:rsidRDefault="00230D16">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3F984FBB31F46DCB8FB32947F3EC638" style="width:450.75pt;height:418.5pt">
            <v:imagedata r:id="rId9" o:title=""/>
          </v:shape>
        </w:pict>
      </w:r>
    </w:p>
    <w:p w:rsidR="00B47759" w:rsidRDefault="00B47759">
      <w:pPr>
        <w:spacing w:before="0" w:after="200"/>
        <w:rPr>
          <w:noProof/>
        </w:rPr>
        <w:sectPr w:rsidR="00B47759">
          <w:footerReference w:type="default" r:id="rId10"/>
          <w:pgSz w:w="11907" w:h="16839"/>
          <w:pgMar w:top="1134" w:right="1417" w:bottom="1134" w:left="1417" w:header="709" w:footer="709" w:gutter="0"/>
          <w:pgNumType w:start="1"/>
          <w:cols w:space="720"/>
          <w:docGrid w:linePitch="360"/>
        </w:sectPr>
      </w:pPr>
    </w:p>
    <w:p w:rsidR="00B47759" w:rsidRDefault="00230D16">
      <w:pPr>
        <w:pStyle w:val="Rfrenceinterinstitutionnelle"/>
        <w:rPr>
          <w:noProof/>
        </w:rPr>
      </w:pPr>
      <w:r>
        <w:rPr>
          <w:noProof/>
        </w:rPr>
        <w:lastRenderedPageBreak/>
        <w:t>2013/0371 (COD)</w:t>
      </w:r>
    </w:p>
    <w:p w:rsidR="00B47759" w:rsidRDefault="00230D16">
      <w:pPr>
        <w:pStyle w:val="Typedudocument"/>
        <w:rPr>
          <w:noProof/>
        </w:rPr>
      </w:pPr>
      <w:r>
        <w:rPr>
          <w:noProof/>
        </w:rPr>
        <w:t>KOMISSION TIEDONANTO</w:t>
      </w:r>
      <w:r>
        <w:rPr>
          <w:noProof/>
        </w:rPr>
        <w:br/>
        <w:t>EUROOPAN PARLAMENTILLE</w:t>
      </w:r>
      <w:r>
        <w:rPr>
          <w:noProof/>
        </w:rPr>
        <w:br/>
      </w:r>
      <w:r>
        <w:rPr>
          <w:noProof/>
        </w:rPr>
        <w:br/>
        <w:t xml:space="preserve">Euroopan unionin toiminnasta tehdyn </w:t>
      </w:r>
      <w:r>
        <w:rPr>
          <w:noProof/>
        </w:rPr>
        <w:t>sopimuksen 294 artiklan 6 kohdan mukaisesti</w:t>
      </w:r>
    </w:p>
    <w:p w:rsidR="00B47759" w:rsidRDefault="00230D16">
      <w:pPr>
        <w:pStyle w:val="Titreobjet"/>
        <w:rPr>
          <w:noProof/>
        </w:rPr>
      </w:pPr>
      <w:r>
        <w:rPr>
          <w:noProof/>
        </w:rPr>
        <w:t>neuvoston vahvistamasta kannasta direktiivin 94/62/EY muuttamista kevyiden muovisten kantokassien osalta koskevan Euroopan parlamentin ja neuvoston direktiivin hyväksymisestä</w:t>
      </w:r>
    </w:p>
    <w:p w:rsidR="00B47759" w:rsidRDefault="00230D16">
      <w:pPr>
        <w:pStyle w:val="IntrtEEE"/>
        <w:rPr>
          <w:noProof/>
        </w:rPr>
      </w:pPr>
      <w:r>
        <w:rPr>
          <w:noProof/>
        </w:rPr>
        <w:t>(ETA:n kannalta merkityksellinen teks</w:t>
      </w:r>
      <w:r>
        <w:rPr>
          <w:noProof/>
        </w:rPr>
        <w:t>ti)</w:t>
      </w:r>
    </w:p>
    <w:p w:rsidR="00B47759" w:rsidRDefault="00230D16">
      <w:pPr>
        <w:pStyle w:val="ManualHeading1"/>
        <w:ind w:left="851" w:hanging="851"/>
        <w:rPr>
          <w:noProof/>
          <w:sz w:val="22"/>
        </w:rPr>
      </w:pPr>
      <w:r>
        <w:rPr>
          <w:noProof/>
        </w:rPr>
        <w:t>1.</w:t>
      </w:r>
      <w:r>
        <w:rPr>
          <w:noProof/>
        </w:rPr>
        <w:tab/>
        <w:t>TAUSTA</w:t>
      </w:r>
    </w:p>
    <w:tbl>
      <w:tblPr>
        <w:tblW w:w="0" w:type="auto"/>
        <w:tblLayout w:type="fixed"/>
        <w:tblLook w:val="0000" w:firstRow="0" w:lastRow="0" w:firstColumn="0" w:lastColumn="0" w:noHBand="0" w:noVBand="0"/>
      </w:tblPr>
      <w:tblGrid>
        <w:gridCol w:w="7054"/>
        <w:gridCol w:w="2233"/>
      </w:tblGrid>
      <w:tr w:rsidR="00B47759">
        <w:tc>
          <w:tcPr>
            <w:tcW w:w="7054" w:type="dxa"/>
          </w:tcPr>
          <w:p w:rsidR="00B47759" w:rsidRDefault="00230D16">
            <w:pPr>
              <w:jc w:val="left"/>
              <w:rPr>
                <w:noProof/>
              </w:rPr>
            </w:pPr>
            <w:r>
              <w:rPr>
                <w:noProof/>
              </w:rPr>
              <w:t>Ehdotus toimitettu Euroopan parlamentille ja neuvostolle (asiakirja COM(2013) 0761 final – 2013/0371 (COD):</w:t>
            </w:r>
          </w:p>
        </w:tc>
        <w:tc>
          <w:tcPr>
            <w:tcW w:w="2233" w:type="dxa"/>
          </w:tcPr>
          <w:p w:rsidR="00B47759" w:rsidRDefault="00230D16">
            <w:pPr>
              <w:ind w:left="284"/>
              <w:jc w:val="left"/>
              <w:rPr>
                <w:noProof/>
              </w:rPr>
            </w:pPr>
            <w:r>
              <w:rPr>
                <w:noProof/>
                <w:color w:val="000000"/>
              </w:rPr>
              <w:t>4. marraskuuta 2013</w:t>
            </w:r>
          </w:p>
        </w:tc>
      </w:tr>
      <w:tr w:rsidR="00B47759">
        <w:tc>
          <w:tcPr>
            <w:tcW w:w="7054" w:type="dxa"/>
          </w:tcPr>
          <w:p w:rsidR="00B47759" w:rsidRDefault="00230D16">
            <w:pPr>
              <w:rPr>
                <w:noProof/>
              </w:rPr>
            </w:pPr>
            <w:r>
              <w:rPr>
                <w:noProof/>
              </w:rPr>
              <w:t>Euroopan talous- ja sosiaalikomitean lausunto:</w:t>
            </w:r>
          </w:p>
        </w:tc>
        <w:tc>
          <w:tcPr>
            <w:tcW w:w="2233" w:type="dxa"/>
          </w:tcPr>
          <w:p w:rsidR="00B47759" w:rsidRDefault="00230D16">
            <w:pPr>
              <w:ind w:left="284"/>
              <w:jc w:val="left"/>
              <w:rPr>
                <w:noProof/>
              </w:rPr>
            </w:pPr>
            <w:r>
              <w:rPr>
                <w:noProof/>
                <w:color w:val="000000"/>
              </w:rPr>
              <w:t>26. helmikuuta 2014</w:t>
            </w:r>
          </w:p>
        </w:tc>
      </w:tr>
      <w:tr w:rsidR="00B47759">
        <w:tc>
          <w:tcPr>
            <w:tcW w:w="7054" w:type="dxa"/>
          </w:tcPr>
          <w:p w:rsidR="00B47759" w:rsidRDefault="00230D16">
            <w:pPr>
              <w:rPr>
                <w:noProof/>
              </w:rPr>
            </w:pPr>
            <w:r>
              <w:rPr>
                <w:noProof/>
              </w:rPr>
              <w:t>Alueiden komitean lausunto:</w:t>
            </w:r>
          </w:p>
        </w:tc>
        <w:tc>
          <w:tcPr>
            <w:tcW w:w="2233" w:type="dxa"/>
          </w:tcPr>
          <w:p w:rsidR="00B47759" w:rsidRDefault="00230D16">
            <w:pPr>
              <w:ind w:left="284"/>
              <w:jc w:val="left"/>
              <w:rPr>
                <w:noProof/>
              </w:rPr>
            </w:pPr>
            <w:r>
              <w:rPr>
                <w:noProof/>
                <w:color w:val="000000"/>
              </w:rPr>
              <w:t xml:space="preserve">2. huhtikuuta </w:t>
            </w:r>
            <w:r>
              <w:rPr>
                <w:noProof/>
                <w:color w:val="000000"/>
              </w:rPr>
              <w:t>2014</w:t>
            </w:r>
          </w:p>
        </w:tc>
      </w:tr>
      <w:tr w:rsidR="00B47759">
        <w:tc>
          <w:tcPr>
            <w:tcW w:w="7054" w:type="dxa"/>
          </w:tcPr>
          <w:p w:rsidR="00B47759" w:rsidRDefault="00230D16">
            <w:pPr>
              <w:rPr>
                <w:noProof/>
              </w:rPr>
            </w:pPr>
            <w:r>
              <w:rPr>
                <w:noProof/>
              </w:rPr>
              <w:t>Euroopan parlamentti vahvistanut ensimmäisen käsittelyn kantansa:</w:t>
            </w:r>
          </w:p>
        </w:tc>
        <w:tc>
          <w:tcPr>
            <w:tcW w:w="2233" w:type="dxa"/>
          </w:tcPr>
          <w:p w:rsidR="00B47759" w:rsidRDefault="00230D16">
            <w:pPr>
              <w:ind w:left="284"/>
              <w:jc w:val="left"/>
              <w:rPr>
                <w:noProof/>
              </w:rPr>
            </w:pPr>
            <w:r>
              <w:rPr>
                <w:noProof/>
                <w:color w:val="000000"/>
              </w:rPr>
              <w:t>16. huhtikuuta 2014</w:t>
            </w:r>
          </w:p>
        </w:tc>
      </w:tr>
      <w:tr w:rsidR="00B47759">
        <w:tc>
          <w:tcPr>
            <w:tcW w:w="7054" w:type="dxa"/>
          </w:tcPr>
          <w:p w:rsidR="00B47759" w:rsidRDefault="00230D16">
            <w:pPr>
              <w:rPr>
                <w:noProof/>
              </w:rPr>
            </w:pPr>
            <w:r>
              <w:rPr>
                <w:noProof/>
              </w:rPr>
              <w:t>Neuvoston kanta vahvistettu:</w:t>
            </w:r>
          </w:p>
        </w:tc>
        <w:tc>
          <w:tcPr>
            <w:tcW w:w="2233" w:type="dxa"/>
          </w:tcPr>
          <w:p w:rsidR="00B47759" w:rsidRDefault="00230D16">
            <w:pPr>
              <w:ind w:left="284"/>
              <w:jc w:val="left"/>
              <w:rPr>
                <w:noProof/>
              </w:rPr>
            </w:pPr>
            <w:r>
              <w:rPr>
                <w:noProof/>
              </w:rPr>
              <w:t>2. maaliskuuta 2015.</w:t>
            </w:r>
          </w:p>
        </w:tc>
      </w:tr>
    </w:tbl>
    <w:p w:rsidR="00B47759" w:rsidRDefault="00230D16">
      <w:pPr>
        <w:pStyle w:val="ManualHeading1"/>
        <w:ind w:left="851" w:hanging="851"/>
        <w:rPr>
          <w:noProof/>
        </w:rPr>
      </w:pPr>
      <w:r>
        <w:rPr>
          <w:noProof/>
        </w:rPr>
        <w:t>2.</w:t>
      </w:r>
      <w:r>
        <w:rPr>
          <w:noProof/>
        </w:rPr>
        <w:tab/>
        <w:t>KOMISSION EHDOTUKSEN TAVOITE</w:t>
      </w:r>
    </w:p>
    <w:p w:rsidR="00B47759" w:rsidRDefault="00230D16">
      <w:pPr>
        <w:rPr>
          <w:noProof/>
          <w:szCs w:val="24"/>
        </w:rPr>
      </w:pPr>
      <w:r>
        <w:rPr>
          <w:noProof/>
        </w:rPr>
        <w:t xml:space="preserve">Ehdotuksen tavoitteena on vähentää kevyiden muovisten kantokassien kulutusta ja </w:t>
      </w:r>
      <w:r>
        <w:rPr>
          <w:noProof/>
        </w:rPr>
        <w:t>vähentää näin näiden kassien aiheuttamaa roskaantumista ja estää kasseja päätymästä ympäristöön, jossa ne hajoavat aina vaan pienemmiksi osiksi ja säilyvät ympäristössä hyvin pitkän ajan mikrohiukkasina, jotka aiheuttavat merkittävää vahinkoa elämille ja k</w:t>
      </w:r>
      <w:r>
        <w:rPr>
          <w:noProof/>
        </w:rPr>
        <w:t>asveille, erityisesti vesiympäristössä.</w:t>
      </w:r>
    </w:p>
    <w:p w:rsidR="00B47759" w:rsidRDefault="00230D16">
      <w:pPr>
        <w:pStyle w:val="ManualHeading1"/>
        <w:ind w:left="851" w:hanging="851"/>
        <w:rPr>
          <w:noProof/>
        </w:rPr>
      </w:pPr>
      <w:r>
        <w:rPr>
          <w:noProof/>
        </w:rPr>
        <w:t>3.</w:t>
      </w:r>
      <w:r>
        <w:rPr>
          <w:noProof/>
        </w:rPr>
        <w:tab/>
        <w:t>HUOMAUTUKSET NEUVOSTON KANNASTA</w:t>
      </w:r>
    </w:p>
    <w:p w:rsidR="00B47759" w:rsidRDefault="00230D16">
      <w:pPr>
        <w:rPr>
          <w:noProof/>
          <w:szCs w:val="24"/>
        </w:rPr>
      </w:pPr>
      <w:r>
        <w:rPr>
          <w:noProof/>
        </w:rPr>
        <w:t>Neuvoston kanta on Euroopan parlamentin ja neuvoston 17. marraskuuta 2014 tekemää poliittisen sopimuksen mukainen, ja siinä tuetaan komission tärkeintä tavoitetta, eli kevyiden muov</w:t>
      </w:r>
      <w:r>
        <w:rPr>
          <w:noProof/>
        </w:rPr>
        <w:t>isten kantokassien kulutuksen vähentämistä, mutta siinä poiketaan komission ehdotuksesta tietyiltä osin ja ehdotetaan uusia elementtejä.</w:t>
      </w:r>
    </w:p>
    <w:p w:rsidR="00B47759" w:rsidRDefault="00230D16">
      <w:pPr>
        <w:rPr>
          <w:noProof/>
          <w:szCs w:val="24"/>
        </w:rPr>
      </w:pPr>
      <w:r>
        <w:rPr>
          <w:noProof/>
        </w:rPr>
        <w:t>Komission ehdotuksessa edellytetään jäsenvaltioilta toimenpiteitä, mutta jätetään jäsenvaltioille toissijaisuusperiaatt</w:t>
      </w:r>
      <w:r>
        <w:rPr>
          <w:noProof/>
        </w:rPr>
        <w:t>een mukaisesti vapaus valita täytäntöönpanomenetelmät. Neuvoston ja Euroopan parlamentin tekemässä kompromississa edellytetään, että jäsenvaltiot sisällyttävät näihin toimenpiteisiin vähintään joko kansallisen vähennystavoitteen ja/tai pakollisen hinnan. K</w:t>
      </w:r>
      <w:r>
        <w:rPr>
          <w:noProof/>
        </w:rPr>
        <w:t xml:space="preserve">ompromissitekstissä on määritelty ennakolta kansallinen vähennystavoite, jos sellainen päädytään panemaan täytäntöön. </w:t>
      </w:r>
    </w:p>
    <w:p w:rsidR="00B47759" w:rsidRDefault="00230D16">
      <w:pPr>
        <w:rPr>
          <w:noProof/>
          <w:szCs w:val="24"/>
        </w:rPr>
      </w:pPr>
      <w:r>
        <w:rPr>
          <w:noProof/>
        </w:rPr>
        <w:lastRenderedPageBreak/>
        <w:t>Komissio ei pitänyt asianmukaisena pakollisen hinnoittelun tai määritetyn vähennystavoitteen ehdottamista tämän ehdotuksen antamisen ajan</w:t>
      </w:r>
      <w:r>
        <w:rPr>
          <w:noProof/>
        </w:rPr>
        <w:t>kohtana, koska tietojen ja yhteisten menetelmien saatavuudessa oli ongelmia ja koska se katsoi, että jäsenvaltioilla on parhaat tiedot valita toimenpiteet muovisten kantokassien kulutuksen vähentämiseksi.</w:t>
      </w:r>
    </w:p>
    <w:p w:rsidR="00B47759" w:rsidRDefault="00230D16">
      <w:pPr>
        <w:rPr>
          <w:noProof/>
          <w:szCs w:val="24"/>
        </w:rPr>
      </w:pPr>
      <w:r>
        <w:rPr>
          <w:noProof/>
        </w:rPr>
        <w:t>Vaikka komissio katsoo, että nämä säännökset ovat l</w:t>
      </w:r>
      <w:r>
        <w:rPr>
          <w:noProof/>
        </w:rPr>
        <w:t>iian ohjailevia, se voi kompromissin hengessä hyväksyä ne osana pakettia.</w:t>
      </w:r>
    </w:p>
    <w:p w:rsidR="00B47759" w:rsidRDefault="00230D16">
      <w:pPr>
        <w:rPr>
          <w:noProof/>
        </w:rPr>
      </w:pPr>
      <w:r>
        <w:rPr>
          <w:noProof/>
        </w:rPr>
        <w:t>Komissio voi hyväksyä neuvoston kannassa ehdotetut uudet elementit, erityisesti seuraavat:</w:t>
      </w:r>
    </w:p>
    <w:p w:rsidR="00B47759" w:rsidRDefault="00230D16">
      <w:pPr>
        <w:pStyle w:val="ListBullet"/>
        <w:rPr>
          <w:noProof/>
        </w:rPr>
      </w:pPr>
      <w:r>
        <w:rPr>
          <w:noProof/>
        </w:rPr>
        <w:t xml:space="preserve">Komissiolla ja jäsenvaltioilla on velvollisuus edistää aktiivisesti julkisia </w:t>
      </w:r>
      <w:r>
        <w:rPr>
          <w:noProof/>
        </w:rPr>
        <w:t>tiedotuskampanjoita vähintään vuoden ajan siitä määräajasta, jonka kuluessa direktiivi on saatettava osaksi kansallista lainsäädäntöä.</w:t>
      </w:r>
    </w:p>
    <w:p w:rsidR="00B47759" w:rsidRDefault="00230D16">
      <w:pPr>
        <w:pStyle w:val="ListBullet"/>
        <w:rPr>
          <w:noProof/>
        </w:rPr>
      </w:pPr>
      <w:r>
        <w:rPr>
          <w:noProof/>
        </w:rPr>
        <w:t xml:space="preserve">Jäsenvaltiot voivat panna direktiivin mukaiset toimenpiteet täytäntöön toimivaltaisten viranomaisten ja kyseessä olevien </w:t>
      </w:r>
      <w:r>
        <w:rPr>
          <w:noProof/>
        </w:rPr>
        <w:t>talouden alojen välisin sopimuksin.</w:t>
      </w:r>
      <w:r>
        <w:rPr>
          <w:noProof/>
          <w:color w:val="000000"/>
        </w:rPr>
        <w:t xml:space="preserve"> </w:t>
      </w:r>
      <w:r>
        <w:rPr>
          <w:noProof/>
        </w:rPr>
        <w:t>Tästä mahdollisuudesta on jo säädetty pakkauksia ja pakkausjätteitä koskevan direktiivin 22 artiklassa keräys-, palautus- ja hyödyntämisjärjestelmien yhteydessä.</w:t>
      </w:r>
    </w:p>
    <w:p w:rsidR="00B47759" w:rsidRDefault="00230D16">
      <w:pPr>
        <w:pStyle w:val="ListBullet"/>
        <w:rPr>
          <w:noProof/>
        </w:rPr>
      </w:pPr>
      <w:r>
        <w:rPr>
          <w:noProof/>
        </w:rPr>
        <w:t xml:space="preserve">Komissio kehittää ja hyväksyy täytäntöönpanosäädöksenä 12 </w:t>
      </w:r>
      <w:r>
        <w:rPr>
          <w:noProof/>
        </w:rPr>
        <w:t>kuukauden kuluessa direktiivin voimaantulosta menetelmät kevyiden muovisten kantokassien henkeä kohti määritetyn vuotuisen kulutuksen laskemiseksi sekä tätä koskevan raportointimuodon. Komissio tunnustaa luotettavien tietojen saatavuuden tarpeen ja pitää p</w:t>
      </w:r>
      <w:r>
        <w:rPr>
          <w:noProof/>
        </w:rPr>
        <w:t>eriaatteessa tätä vaatimusta hyväksyttävänä, vaikka se lisääkin jäsenvaltioiden ja talouden toimijoiden hallinnollista taakkaa. Täytäntöönpanosäädöksen laatiminen ja muodollinen hyväksyminen voi kuitenkin vaatia pidemmän ajan kuin ehdotetut 12 kuukautta.</w:t>
      </w:r>
    </w:p>
    <w:p w:rsidR="00B47759" w:rsidRDefault="00230D16">
      <w:pPr>
        <w:rPr>
          <w:noProof/>
        </w:rPr>
      </w:pPr>
      <w:r>
        <w:rPr>
          <w:noProof/>
        </w:rPr>
        <w:t>V</w:t>
      </w:r>
      <w:r>
        <w:rPr>
          <w:noProof/>
        </w:rPr>
        <w:t>aikka komissio katsookin, että useat elementit menevät pidemmälle kuin komission ehdotuksessa ja niitä olisi näin ollen käsiteltävä laajemmassa yhteydessä, se voi kompromissin hengessä kuitenkin hyväksyä seuraavat neuvoston kannassa esitetyt uudet elementi</w:t>
      </w:r>
      <w:r>
        <w:rPr>
          <w:noProof/>
        </w:rPr>
        <w:t>t:</w:t>
      </w:r>
    </w:p>
    <w:p w:rsidR="00B47759" w:rsidRDefault="00230D16">
      <w:pPr>
        <w:pStyle w:val="ListBullet"/>
        <w:rPr>
          <w:noProof/>
          <w:color w:val="000000"/>
        </w:rPr>
      </w:pPr>
      <w:r>
        <w:rPr>
          <w:noProof/>
        </w:rPr>
        <w:t xml:space="preserve">Komissio kehittää ja hyväksyy täytäntöönpanosäädöksenä 24 kuukauden kuluessa direktiivin voimaantulosta biohajoavia ja kotona kompostoitavia muovisia kantokasseja koskevan merkinnän.  </w:t>
      </w:r>
    </w:p>
    <w:p w:rsidR="00B47759" w:rsidRDefault="00230D16">
      <w:pPr>
        <w:pStyle w:val="ListBullet"/>
        <w:rPr>
          <w:noProof/>
          <w:color w:val="000000"/>
        </w:rPr>
      </w:pPr>
      <w:r>
        <w:rPr>
          <w:noProof/>
        </w:rPr>
        <w:t>Komissio arvioi erittäin kevyiden muovisten kantokassien vähentämism</w:t>
      </w:r>
      <w:r>
        <w:rPr>
          <w:noProof/>
        </w:rPr>
        <w:t xml:space="preserve">ahdollisuuksien elinkaarivaikutuksia ja antaa tarvittaessa lainsäädäntöehdotuksen  24 kuukauden kuluessa tämän direktiivin voimaantulosta. </w:t>
      </w:r>
    </w:p>
    <w:p w:rsidR="00B47759" w:rsidRDefault="00230D16">
      <w:pPr>
        <w:pStyle w:val="ListBullet"/>
        <w:rPr>
          <w:noProof/>
        </w:rPr>
      </w:pPr>
      <w:r>
        <w:rPr>
          <w:noProof/>
        </w:rPr>
        <w:t>Komissio arvioi oxo-hajoavien muovisten kantokassien käytön vaikutuksia ja laatii kertomuksen Euroopan parlamentille</w:t>
      </w:r>
      <w:r>
        <w:rPr>
          <w:noProof/>
        </w:rPr>
        <w:t xml:space="preserve"> ja neuvostolle ja tekee tarvittaessa tästä asiasta lainsäädäntöehdotuksen 24 kuukauden kuluessa direktiivin voimaantulosta.</w:t>
      </w:r>
    </w:p>
    <w:p w:rsidR="00B47759" w:rsidRDefault="00230D16">
      <w:pPr>
        <w:pStyle w:val="ManualHeading1"/>
        <w:ind w:left="851" w:hanging="851"/>
        <w:rPr>
          <w:noProof/>
        </w:rPr>
      </w:pPr>
      <w:r>
        <w:rPr>
          <w:noProof/>
        </w:rPr>
        <w:t>4.</w:t>
      </w:r>
      <w:r>
        <w:rPr>
          <w:noProof/>
        </w:rPr>
        <w:tab/>
        <w:t>PÄÄTELMÄT</w:t>
      </w:r>
    </w:p>
    <w:p w:rsidR="00B47759" w:rsidRDefault="00230D16">
      <w:pPr>
        <w:rPr>
          <w:noProof/>
        </w:rPr>
      </w:pPr>
      <w:r>
        <w:rPr>
          <w:noProof/>
        </w:rPr>
        <w:t>Vaikka komissio pahoitteleekin, että lainsäätäjien tekemä sopimus sisältää tiettyjä elementtejä, jotka eivät kuulu kom</w:t>
      </w:r>
      <w:r>
        <w:rPr>
          <w:noProof/>
        </w:rPr>
        <w:t>ission ehdotuksen soveltamisalaan, eivätkä ole paremman sääntelyn periaatteiden mukaisia, se pitää kuitenkin tervetulleena sitä, että lainsäätäjät ovat päässeet sopimukseen komission ehdotuksesta.</w:t>
      </w:r>
    </w:p>
    <w:p w:rsidR="00B47759" w:rsidRDefault="00230D16">
      <w:pPr>
        <w:rPr>
          <w:noProof/>
          <w:szCs w:val="24"/>
        </w:rPr>
      </w:pPr>
      <w:r>
        <w:rPr>
          <w:noProof/>
        </w:rPr>
        <w:t>Komissio kannattaa kompromissin hengessä neuvoston hyväksym</w:t>
      </w:r>
      <w:r>
        <w:rPr>
          <w:noProof/>
        </w:rPr>
        <w:t>ää kantaa, jotta Euroopan parlamentti voi hyväksyä sen lopullisesti toisessa käsittelyssä.</w:t>
      </w:r>
    </w:p>
    <w:p w:rsidR="00B47759" w:rsidRDefault="00230D16">
      <w:pPr>
        <w:rPr>
          <w:noProof/>
          <w:spacing w:val="-2"/>
        </w:rPr>
      </w:pPr>
      <w:r>
        <w:rPr>
          <w:noProof/>
        </w:rPr>
        <w:t>Komissio katsoo kuitenkin tarpeelliseksi antaa seuraavan ilmoituksen:</w:t>
      </w:r>
    </w:p>
    <w:p w:rsidR="00B47759" w:rsidRDefault="00230D16">
      <w:pPr>
        <w:pStyle w:val="Text1"/>
        <w:rPr>
          <w:noProof/>
        </w:rPr>
      </w:pPr>
      <w:r>
        <w:rPr>
          <w:noProof/>
        </w:rPr>
        <w:t xml:space="preserve">Komissio muistuttaa mieliin 4. marraskuuta 2013 antamansa ehdotuksen tavoitteet, eli muovisten </w:t>
      </w:r>
      <w:r>
        <w:rPr>
          <w:noProof/>
        </w:rPr>
        <w:t xml:space="preserve">kantokassien kulutuksesta ympäristölle aiheutuvien kielteisten vaikutusten rajoittamisen vähentämällä niiden kulutusta ja näin vähentämällä myös </w:t>
      </w:r>
      <w:r>
        <w:rPr>
          <w:noProof/>
        </w:rPr>
        <w:lastRenderedPageBreak/>
        <w:t>näiden kantokassien aiheuttamaa roskaantumista. Vaikka komissio pitääkin ehdotusta koskevaa sopimusta tervetull</w:t>
      </w:r>
      <w:r>
        <w:rPr>
          <w:noProof/>
        </w:rPr>
        <w:t xml:space="preserve">eena, se toteaa, että lainsäätäjien sopima lopullinen teksti sisältää tiettyjä elementtejä, jotka eivät kuulu komission ehdotuksen soveltamisalaan eivätkä ole parempaa sääntelyä koskevien periaatteiden mukaisia. Tästä saattaa aiheutua ongelmia direktiivin </w:t>
      </w:r>
      <w:r>
        <w:rPr>
          <w:noProof/>
        </w:rPr>
        <w:t>tulevan täytäntöönpanon yhteydessä jäsenvaltioille, komissiolle, kuluttajille ja talouden toimijoille.</w:t>
      </w:r>
    </w:p>
    <w:p w:rsidR="00B47759" w:rsidRDefault="00230D16">
      <w:pPr>
        <w:pStyle w:val="Text1"/>
        <w:rPr>
          <w:noProof/>
        </w:rPr>
      </w:pPr>
      <w:r>
        <w:rPr>
          <w:noProof/>
        </w:rPr>
        <w:t>Huolenaiheita aiheuttaneita kysymyksiä olivat seuraavat:</w:t>
      </w:r>
    </w:p>
    <w:p w:rsidR="00B47759" w:rsidRDefault="00230D16">
      <w:pPr>
        <w:pStyle w:val="Bullet1"/>
        <w:numPr>
          <w:ilvl w:val="0"/>
          <w:numId w:val="9"/>
        </w:numPr>
        <w:rPr>
          <w:i/>
          <w:noProof/>
        </w:rPr>
      </w:pPr>
      <w:r>
        <w:rPr>
          <w:i/>
          <w:noProof/>
        </w:rPr>
        <w:t>biohajoavia ja kotona kompostoitavia muovisia kantokasseja koskevan merkinnän hyväksyminen ilman</w:t>
      </w:r>
      <w:r>
        <w:rPr>
          <w:i/>
          <w:noProof/>
        </w:rPr>
        <w:t xml:space="preserve"> vaikutustenarviointia;</w:t>
      </w:r>
    </w:p>
    <w:p w:rsidR="00B47759" w:rsidRDefault="00230D16">
      <w:pPr>
        <w:pStyle w:val="Bullet1"/>
        <w:rPr>
          <w:i/>
          <w:noProof/>
        </w:rPr>
      </w:pPr>
      <w:r>
        <w:rPr>
          <w:i/>
          <w:noProof/>
        </w:rPr>
        <w:t>ylimääräinen hallinnollinen taakka jäsenvaltioille ja sidosryhmille, mukaan lukien uudet raportointivelvoitteet ja merkintävaatimukset;</w:t>
      </w:r>
    </w:p>
    <w:p w:rsidR="00B47759" w:rsidRDefault="00230D16">
      <w:pPr>
        <w:pStyle w:val="Bullet1"/>
        <w:rPr>
          <w:i/>
          <w:noProof/>
        </w:rPr>
      </w:pPr>
      <w:r>
        <w:rPr>
          <w:i/>
          <w:noProof/>
        </w:rPr>
        <w:t xml:space="preserve">säännökset, joita voitaisiin paremmin käsitellä muovijätteitä koskevan komission vihreän kirjan </w:t>
      </w:r>
      <w:r>
        <w:rPr>
          <w:i/>
          <w:noProof/>
        </w:rPr>
        <w:t xml:space="preserve">seurannan yhteydessä, esimerkiksi oxo-hajoavia kantokasseja koskevassa kertomuksessa; </w:t>
      </w:r>
    </w:p>
    <w:p w:rsidR="00B47759" w:rsidRDefault="00230D16">
      <w:pPr>
        <w:pStyle w:val="Bullet1"/>
        <w:rPr>
          <w:i/>
          <w:noProof/>
        </w:rPr>
      </w:pPr>
      <w:r>
        <w:rPr>
          <w:i/>
          <w:noProof/>
        </w:rPr>
        <w:t>mahdollisuus mukauttaa muovisiin kantokasseihin sovellettavia toimenpiteitä kantokassien ympäristövaikutusten ja muiden ominaisuuksien perusteella saattaa olla ongelmall</w:t>
      </w:r>
      <w:r>
        <w:rPr>
          <w:i/>
          <w:noProof/>
        </w:rPr>
        <w:t>ista syrjimättömyys- ja suhteellisuusperiaatteen sekä sisämarkkinoiden periaatteiden kannalta;</w:t>
      </w:r>
    </w:p>
    <w:p w:rsidR="00B47759" w:rsidRDefault="00230D16">
      <w:pPr>
        <w:pStyle w:val="Bullet1"/>
        <w:rPr>
          <w:i/>
          <w:noProof/>
        </w:rPr>
      </w:pPr>
      <w:r>
        <w:rPr>
          <w:i/>
          <w:noProof/>
        </w:rPr>
        <w:t xml:space="preserve">mahdollisuus asettaa kulutustavoitteita direktiivissä ennakolta määritellyn tason mukaisesti, vaikka käytettävissä ei ole asiaa koskevia tilastotietoja kaikkien </w:t>
      </w:r>
      <w:r>
        <w:rPr>
          <w:i/>
          <w:noProof/>
        </w:rPr>
        <w:t>jäsenvaltioiden osalta;</w:t>
      </w:r>
    </w:p>
    <w:p w:rsidR="00B47759" w:rsidRDefault="00230D16">
      <w:pPr>
        <w:pStyle w:val="Bullet1"/>
        <w:rPr>
          <w:i/>
          <w:noProof/>
        </w:rPr>
      </w:pPr>
      <w:r>
        <w:rPr>
          <w:i/>
          <w:noProof/>
        </w:rPr>
        <w:t>liian lyhyet määräajat, joiden puitteissa pitäisi laatia ja hyväksyä täytäntöönpanosäädöksillä kevyiden muovisten kantokassien kulutusta koskevan raportoinnin säännöt sekä biohajoavia muovisia kantokasseja koskevat merkinnät.</w:t>
      </w:r>
    </w:p>
    <w:sectPr w:rsidR="00B47759">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59" w:rsidRDefault="00230D16">
      <w:pPr>
        <w:spacing w:before="0" w:after="0"/>
      </w:pPr>
      <w:r>
        <w:separator/>
      </w:r>
    </w:p>
  </w:endnote>
  <w:endnote w:type="continuationSeparator" w:id="0">
    <w:p w:rsidR="00B47759" w:rsidRDefault="00230D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59" w:rsidRDefault="00230D16">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FI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59" w:rsidRDefault="00230D16">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w:instrText>
    </w:r>
    <w:r>
      <w:instrText xml:space="preserve">GE  \* MERGEFORMAT </w:instrText>
    </w:r>
    <w:r>
      <w:fldChar w:fldCharType="separate"/>
    </w:r>
    <w:r>
      <w:rPr>
        <w:noProof/>
      </w:rPr>
      <w:t>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59" w:rsidRDefault="00B47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59" w:rsidRDefault="00230D16">
      <w:pPr>
        <w:spacing w:before="0" w:after="0"/>
      </w:pPr>
      <w:r>
        <w:separator/>
      </w:r>
    </w:p>
  </w:footnote>
  <w:footnote w:type="continuationSeparator" w:id="0">
    <w:p w:rsidR="00B47759" w:rsidRDefault="00230D1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BD25A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59E3836"/>
    <w:lvl w:ilvl="0">
      <w:start w:val="1"/>
      <w:numFmt w:val="decimal"/>
      <w:pStyle w:val="ListNumber3"/>
      <w:lvlText w:val="%1."/>
      <w:lvlJc w:val="left"/>
      <w:pPr>
        <w:tabs>
          <w:tab w:val="num" w:pos="926"/>
        </w:tabs>
        <w:ind w:left="926" w:hanging="360"/>
      </w:pPr>
    </w:lvl>
  </w:abstractNum>
  <w:abstractNum w:abstractNumId="2">
    <w:nsid w:val="FFFFFF7F"/>
    <w:multiLevelType w:val="singleLevel"/>
    <w:tmpl w:val="5BCE41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2806B38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A6CC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EDE76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166E298"/>
    <w:lvl w:ilvl="0">
      <w:start w:val="1"/>
      <w:numFmt w:val="decimal"/>
      <w:pStyle w:val="ListNumber"/>
      <w:lvlText w:val="%1."/>
      <w:lvlJc w:val="left"/>
      <w:pPr>
        <w:tabs>
          <w:tab w:val="num" w:pos="360"/>
        </w:tabs>
        <w:ind w:left="360" w:hanging="360"/>
      </w:pPr>
    </w:lvl>
  </w:abstractNum>
  <w:abstractNum w:abstractNumId="7">
    <w:nsid w:val="FFFFFF89"/>
    <w:multiLevelType w:val="singleLevel"/>
    <w:tmpl w:val="BCDA71BE"/>
    <w:name w:val="0,72801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grammar="clean"/>
  <w:attachedTemplate r:id="rId1"/>
  <w:doNotTrackMoves/>
  <w:defaultTabStop w:val="720"/>
  <w:hyphenationZone w:val="425"/>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03-06 16:01:1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2"/>
    <w:docVar w:name="DQCWithWarnings" w:val="0"/>
    <w:docVar w:name="FigNum" w:val="1"/>
    <w:docVar w:name="LW_CONFIDENCE" w:val=" "/>
    <w:docVar w:name="LW_CONST_RESTREINT_UE" w:val="RESTREINT UE"/>
    <w:docVar w:name="LW_CORRIGENDUM" w:val="&lt;UNUSED&gt;"/>
    <w:docVar w:name="LW_COVERPAGE_GUID" w:val="D3F984FBB31F46DCB8FB32947F3EC638"/>
    <w:docVar w:name="LW_CROSSREFERENCE" w:val="&lt;UNUSED&gt;"/>
    <w:docVar w:name="LW_DocType" w:val="COM"/>
    <w:docVar w:name="LW_EMISSION" w:val="10.3.2015"/>
    <w:docVar w:name="LW_EMISSION_ISODATE" w:val="2015-03-10"/>
    <w:docVar w:name="LW_EMISSION_LOCATION" w:val="BRX"/>
    <w:docVar w:name="LW_EMISSION_PREFIX" w:val="Bryssel "/>
    <w:docVar w:name="LW_EMISSION_SUFFIX" w:val=" "/>
    <w:docVar w:name="LW_ID_DOCMODEL" w:val="SJ-028"/>
    <w:docVar w:name="LW_ID_DOCSTRUCTURE" w:val="COM/PL/CODEC"/>
    <w:docVar w:name="LW_ID_DOCTYPE" w:val="SJ-028"/>
    <w:docVar w:name="LW_INTERETEEE.CP" w:val="(ETA:n kannalta merkityksellinen teksti)"/>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371"/>
    <w:docVar w:name="LW_REF.II.NEW.CP_YEAR" w:val="2013"/>
    <w:docVar w:name="LW_REF.INST.NEW" w:val="COM"/>
    <w:docVar w:name="LW_REF.INST.NEW_ADOPTED" w:val="final"/>
    <w:docVar w:name="LW_REF.INST.NEW_TEXT" w:val="(2015) 124"/>
    <w:docVar w:name="LW_REF.INTERNE" w:val="&lt;UNUSED&gt;"/>
    <w:docVar w:name="LW_SOUS.TITRE.OBJ.CP" w:val="&lt;UNUSED&gt;"/>
    <w:docVar w:name="LW_SUPERTITRE" w:val="&lt;UNUSED&gt;"/>
    <w:docVar w:name="LW_TITRE.OBJ.CP" w:val="neuvoston vahvistamasta kannasta direktiivin 94/62/EY muuttamista kevyiden muovisten kantokassien osalta koskevan Euroopan parlamentin ja neuvoston direktiivin hyväksymisestä"/>
    <w:docVar w:name="LW_TYPE.DOC.CP" w:val="KOMISSION TIEDONANTO_x000b_EUROOPAN PARLAMENTILLE_x000b__x000b_Euroopan unionin toiminnasta tehdyn sopimuksen 294 artiklan 6 kohdan mukaisesti"/>
  </w:docVars>
  <w:rsids>
    <w:rsidRoot w:val="00B47759"/>
    <w:rsid w:val="00230D16"/>
    <w:rsid w:val="00B477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qFormat/>
    <w:rPr>
      <w:b/>
      <w:bCs/>
      <w:sz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semiHidden/>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link w:val="CommentText"/>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styleId="PlainText">
    <w:name w:val="Plain Text"/>
    <w:basedOn w:val="Normal"/>
    <w:link w:val="PlainTextChar"/>
    <w:uiPriority w:val="99"/>
    <w:unhideWhenUsed/>
    <w:pPr>
      <w:spacing w:before="0" w:after="0"/>
      <w:jc w:val="left"/>
    </w:pPr>
    <w:rPr>
      <w:rFonts w:ascii="Calibri" w:hAnsi="Calibri"/>
      <w:sz w:val="22"/>
      <w:szCs w:val="21"/>
    </w:rPr>
  </w:style>
  <w:style w:type="character" w:customStyle="1" w:styleId="PlainTextChar">
    <w:name w:val="Plain Text Char"/>
    <w:link w:val="PlainText"/>
    <w:uiPriority w:val="99"/>
    <w:rPr>
      <w:sz w:val="22"/>
      <w:szCs w:val="21"/>
      <w:lang w:eastAsia="fi-FI"/>
    </w:rPr>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B4B1-3510-4310-9FE6-77A22D87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725</Words>
  <Characters>6264</Characters>
  <Application>Microsoft Office Word</Application>
  <DocSecurity>0</DocSecurity>
  <Lines>116</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SUBHAN Marie Olga (SG)</cp:lastModifiedBy>
  <cp:revision>17</cp:revision>
  <cp:lastPrinted>2015-02-27T09:19:00Z</cp:lastPrinted>
  <dcterms:created xsi:type="dcterms:W3CDTF">2015-03-03T12:00:00Z</dcterms:created>
  <dcterms:modified xsi:type="dcterms:W3CDTF">2015-03-06T15:11:00Z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Yellow (DQC version 02)</vt:lpwstr>
  </property>
</Properties>
</file>