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E3" w:rsidRDefault="00D77A23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37F370AF83C47529493245471BAD1FF" style="width:450.75pt;height:339pt">
            <v:imagedata r:id="rId9" o:title=""/>
          </v:shape>
        </w:pict>
      </w:r>
    </w:p>
    <w:p w:rsidR="00617FE3" w:rsidRDefault="00617FE3">
      <w:pPr>
        <w:rPr>
          <w:noProof/>
        </w:rPr>
        <w:sectPr w:rsidR="00617FE3"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617FE3" w:rsidRDefault="00D77A23">
      <w:pPr>
        <w:pStyle w:val="Exposdesmotifstitre"/>
        <w:rPr>
          <w:noProof/>
        </w:rPr>
      </w:pPr>
      <w:r>
        <w:rPr>
          <w:noProof/>
        </w:rPr>
        <w:lastRenderedPageBreak/>
        <w:t>DÔVODOVÁ SPRÁVA</w:t>
      </w:r>
    </w:p>
    <w:p w:rsidR="00617FE3" w:rsidRDefault="00D77A23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KONTEXT NÁVRHU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 xml:space="preserve">V roku 2003 Rada prijala smernicu o zdaňovaní príjmu z úspor v podobe </w:t>
      </w:r>
      <w:r>
        <w:rPr>
          <w:noProof/>
        </w:rPr>
        <w:t>výplaty úrokov (ďalej len „smernica o zdaňovaní príjmu z úspor“). Táto smernica mala dva hlavné účely: zabrániť narušeniam pohybu kapitálu a umožniť účinné zdaňovanie výplat úrokov vykonaných vyplácajúcimi zástupcami usadenými v jednom členskom štáte fyzic</w:t>
      </w:r>
      <w:r>
        <w:rPr>
          <w:noProof/>
        </w:rPr>
        <w:t>kým osobám s bydliskom v inom členskom štáte. Smernica o zdaňovaní príjmu z úspor uľahčuje zdaňovanie tohto typu výplat úrokov v súlade s právnymi predpismi členského štátu, v ktorom má fyzická osoba prijímajúca príjem z úspor bydlisko, a to prostredníctvo</w:t>
      </w:r>
      <w:r>
        <w:rPr>
          <w:noProof/>
        </w:rPr>
        <w:t>m žiadosti o automatickú výmenu informácií o výplatách úrokov v prospech uvedených fyzických osôb. Ustanovenia smernice sa uplatňujú od 1. júla 2005, boli rozšírené na Bulharsko a Rumunsko v dôsledku pristúpenia týchto krajín 1. januára 2007 a na Chorvátsk</w:t>
      </w:r>
      <w:r>
        <w:rPr>
          <w:noProof/>
        </w:rPr>
        <w:t>o v dôsledku pristúpenia tejto krajiny 1. júla 2013.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>Smernica bola výsledkom záverov predsedníctva Európskej rady z 19. a 20. júna 2000, keď sa členské štáty dohodli, že s cieľom uplatniť zásadu, že všetci občania by mali platiť daň zo všetkých svojich prí</w:t>
      </w:r>
      <w:r>
        <w:rPr>
          <w:noProof/>
        </w:rPr>
        <w:t>jmov z úspor, je výmena informácií „v čo najväčšom možnom rozsahu“ hlavným cieľom EÚ v súlade s medzinárodným vývojom.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>Smernica, ktorá bola prijatá v roku 2003, sa vzťahovala na príjmy z úspor fyzických osôb vyplývajúce z pohľadávok (buď klasických úrokový</w:t>
      </w:r>
      <w:r>
        <w:rPr>
          <w:noProof/>
        </w:rPr>
        <w:t>ch výnosov alebo kapitálových výnosov z dlhových cenných papierov) prijaté buď priamo, alebo prostredníctvom investičných fondov, alebo prostredníctvom iných sprostredkovateľských nezdaňovaných subjektov. Zaviedla ustanovenia o automatickej výmene informác</w:t>
      </w:r>
      <w:r>
        <w:rPr>
          <w:noProof/>
        </w:rPr>
        <w:t>ií o tomto príjme z úspor, ktorý vyplácajú vyplácajúci zástupcovia usadení v jednom členskom štáte fyzickým osobám s bydliskom v inom členskom štáte. Všetky členské štáty s výnimkou Belgicka, Luxemburska a Rakúska bezodkladne zaviedli automatické systémy o</w:t>
      </w:r>
      <w:r>
        <w:rPr>
          <w:noProof/>
        </w:rPr>
        <w:t>znamovania informácií. Belgicku, Luxembursku a Rakúsku sa povolilo počas prechodného obdobia namiesto poskytovania informácií vyberať zrážkovú daň vo výške 15 % počas prvých troch rokov po nadobudnutí účinnosti smernice (do 30. júna 2008), vo výške 20 % po</w:t>
      </w:r>
      <w:r>
        <w:rPr>
          <w:noProof/>
        </w:rPr>
        <w:t>čas nasledujúcich troch rokov (do 30. júna 2011) a potom vo výške 35 %. Pravidlá stanovili, že 75 % príjmov z tejto zrážkovej dane sa má presunúť do členského štátu, v ktorom je investor usadený. Belgicko sa rozhodlo od 1. januára 2010 pozastaviť uplatňova</w:t>
      </w:r>
      <w:r>
        <w:rPr>
          <w:noProof/>
        </w:rPr>
        <w:t>nie prechodnej zrážkovej dane a začať výmenu informácií rovnakým spôsobom ako ostatné členské štáty. Luxembursko urobilo od 1. januára 2015 to isté.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>Rovnocenné opatrenia ako opatrenia stanovené v smernici o zdaňovaní príjmu z úspor sa od 1. júla 2005 uplat</w:t>
      </w:r>
      <w:r>
        <w:rPr>
          <w:noProof/>
        </w:rPr>
        <w:t>ňujú v piatich štátoch, ktoré nie sú členmi EÚ vrátane Švajčiarska, pokiaľ ide o príjem z úspor vyplácaný v týchto štátoch fyzickým osobám s bydliskom v EÚ. Rovnaké opatrenia, ako sú opatrenia stanovené v uvedenej smernici, sa od toho istého dátumu uplatňu</w:t>
      </w:r>
      <w:r>
        <w:rPr>
          <w:noProof/>
        </w:rPr>
        <w:t>jú v desiatich závislých alebo pridružených územiach členských štátov EÚ (dvanásť po rozdelení Holandských Antíl) prostredníctvom vykonávania dvojstranných dohôd, ktoré každá z týchto jurisdikcií podpísala s každým členským štátom. V nadväznosti na zmenu š</w:t>
      </w:r>
      <w:r>
        <w:rPr>
          <w:noProof/>
        </w:rPr>
        <w:t>tatútu ostrova Svätý Bartolomej sa Francúzsko zaviazalo, že Svätý Bartolomej bude uplatňovať súčasné aj budúce ustanovenia smernice o zdaňovaní príjmu z úspor aj smernice o administratívnej spolupráci.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>Po prvom preskúmaní smernice o zdaňovaní príjmu z úspo</w:t>
      </w:r>
      <w:r>
        <w:rPr>
          <w:noProof/>
        </w:rPr>
        <w:t>r Komisia navrhla v novembri 2008 niekoľko zmien s cieľom odstrániť existujúce medzery a účinnejšie predchádzať daňovým únikom. Účelom navrhovaných zmien smernice bolo zlepšiť smernicu prostredníctvom posilnenia opatrení, aby sa zabezpečilo zdaňovanie výpl</w:t>
      </w:r>
      <w:r>
        <w:rPr>
          <w:noProof/>
        </w:rPr>
        <w:t xml:space="preserve">at úrokov. Rozsah </w:t>
      </w:r>
      <w:r>
        <w:rPr>
          <w:noProof/>
        </w:rPr>
        <w:lastRenderedPageBreak/>
        <w:t>pôsobnosti ustanovení o sprostredkovateľských štruktúrach bol preto rozšírený. Návrh takisto rozšíril rozsah pôsobnosti smernice na príjmy z nástrojov, ktoré sú rovnocenné s dlhovými nástrojmi, t. j. inovačné finančné produkty a určité pr</w:t>
      </w:r>
      <w:r>
        <w:rPr>
          <w:noProof/>
        </w:rPr>
        <w:t>odukty životného poistenia. Uvedené zmeny prijala Rada prostredníctvom smernice 2014/48/EÚ z 24. marca 2014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(smernica, ktorou sa mení smernica o zdaňovaní príjmu z úspor). V článku 2 uvedenej smernice sa stanovuje, že členské štáty musia prijať a uverejni</w:t>
      </w:r>
      <w:r>
        <w:rPr>
          <w:noProof/>
        </w:rPr>
        <w:t>ť do 1. januára 2016 zákony, iné právne predpisy a správne opatrenia potrebné na dosiahnutie súladu so smernicou. Členské štáty sú povinné uplatňovať tieto ustanovenia od 1. januára 2017.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 xml:space="preserve">Zatiaľ čo Európska rada požiadala Radu, aby pristúpila k formálnemu </w:t>
      </w:r>
      <w:r>
        <w:rPr>
          <w:noProof/>
        </w:rPr>
        <w:t>prijatiu pozmeňujúcej smernice o zdaňovaní príjmu z úspor, dospela 21. marca 2014 k záveru, že globálny štandard, ktorý vypracovala Organizácia pre hospodársku spoluprácu a rozvoj (OECD), bude metóda automatickej výmeny informácií, ktorú bude EÚ uplatňovať</w:t>
      </w:r>
      <w:r>
        <w:rPr>
          <w:noProof/>
        </w:rPr>
        <w:t xml:space="preserve"> na svojom území. Európska rada na tento účel vyzvala Radu, aby zabezpečila, že ďalším prijatím zmeneného textu smernice o administratívnej spolupráci do konca roka 2014 bude právo EÚ úplne zosúladené s novým globálnym štandardom. 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>Komisia 12. júna 2013 sk</w:t>
      </w:r>
      <w:r>
        <w:rPr>
          <w:noProof/>
        </w:rPr>
        <w:t>utočne navrhla zmeny smernice 2011/16/EÚ o administratívnej spolupráci v oblasti daní. Hlavným účelom návrhu bolo poskytnúť členským štátom primeraný právny základ na úrovni EÚ pre vykonávanie globálneho štandardu pre automatickú výmenu informácií (globáln</w:t>
      </w:r>
      <w:r>
        <w:rPr>
          <w:noProof/>
        </w:rPr>
        <w:t>y štandard), ktorý vypracovala OECD. Rozsah pôsobnosti navrhovanej pozmeňujúcej smernice je veľmi široký, keďže pokrýva všetky typy finančných produktov (s osobitnými výnimkami) priamo alebo nepriamo v držbe fyzických osôb alebo neverejných subjektov. Táto</w:t>
      </w:r>
      <w:r>
        <w:rPr>
          <w:noProof/>
        </w:rPr>
        <w:t xml:space="preserve"> pozmeňujúca smernica bola prijatá 9. decembra 2014 – smernica Rady 2014/107/EÚ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(smernica, ktorou sa mení smernica o administratívnej spolupráci). V článku 2 uvedenej smernice sa stanovuje, že členské štáty musia prijať a uverejniť do 31. decembra 2015 zá</w:t>
      </w:r>
      <w:r>
        <w:rPr>
          <w:noProof/>
        </w:rPr>
        <w:t>kony, iné právne predpisy a správne opatrenia potrebné na dosiahnutie súladu so smernicou. Sú povinné uplatňovať tieto ustanovenia od 1. januára 2016 a začať výmenu informácií od septembra 2017. Rakúsko dostalo na základe štrukturálnych rozdielov výnimku p</w:t>
      </w:r>
      <w:r>
        <w:rPr>
          <w:noProof/>
        </w:rPr>
        <w:t>odľa článku 2 ods. 2 a smernicu môže začať uplatňovať až o jeden rok neskôr ako ostatné členské štáty. Rakúsko v čase prijatia smernice oznámilo, že výnimku nebude využívať v plnej miere. S výmenou informácií začne od septembra 2017 v prípade obmedzeného s</w:t>
      </w:r>
      <w:r>
        <w:rPr>
          <w:noProof/>
        </w:rPr>
        <w:t>úboru účtov (iba nové účty otvorené počas obdobia od 1. októbra 2016 do 31. decembra 2016), pričom výnimku využije v prípade ostatných účtov.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>V poslednom pododseku nového článku 8 ods. 3a zavedenom smernicou, ktorou sa mení smernica o administratívnej spol</w:t>
      </w:r>
      <w:r>
        <w:rPr>
          <w:noProof/>
        </w:rPr>
        <w:t>upráci, sa jasne uvádza, že ustanovenia v uvedenom odseku (odsek 3a) majú prednosť pred revidovanou smernicou o zdaňovaní príjmu z úspor. Keďže sa obe smernice v značnej miere prekrývajú, existovalo by len niekoľko prípadov, v ktorých by sa stále uplatňova</w:t>
      </w:r>
      <w:r>
        <w:rPr>
          <w:noProof/>
        </w:rPr>
        <w:t>la revidovaná smernica o zdaňovaní príjmu z úspor.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 xml:space="preserve">Tento malý počet prípadov vyplýva v zásade z troch dôvodov. Po prvé, v pozmeňujúcej smernici o administratívnej spolupráci sa stanovujú povinnosti týkajúce sa oznamovania pre finančné inštitúcie, ktoré sú </w:t>
      </w:r>
      <w:r>
        <w:rPr>
          <w:noProof/>
        </w:rPr>
        <w:t>subjektmi vymedzenými v smernici. Preto, na rozdiel od smernice o zdaňovaní príjmu z úspor, sa v smernici nestanovujú povinnosti týkajúce sa oznamovania pre fyzické osoby (napr. maklérov), ktoré môžu vyplácať finančné príjmy. Po druhé, v pozmeňujúcej smern</w:t>
      </w:r>
      <w:r>
        <w:rPr>
          <w:noProof/>
        </w:rPr>
        <w:t xml:space="preserve">ici o administratívnej spolupráci existujú niektoré výnimky týkajúce sa určitých penzijných/dôchodkových fondov, emitentov kreditných kariet, regulovaných </w:t>
      </w:r>
      <w:r>
        <w:rPr>
          <w:noProof/>
        </w:rPr>
        <w:lastRenderedPageBreak/>
        <w:t>daňovo zvýhodnených účtov a podobných finančných inštitúcií a produktov, ktoré predstavujú nízke rizi</w:t>
      </w:r>
      <w:r>
        <w:rPr>
          <w:noProof/>
        </w:rPr>
        <w:t>ko daňových únikov. Po tretie, prístup týkajúci sa vyplácajúceho zástupcu po prijatí podľa článku 4 ods. 2 smernice o zdaňovaní príjmu z úspor sa vzťahuje aj na úroky, ktoré vyplácajú nezúčastnené jurisdikcie prostredníctvom vyplácajúceho zástupcu v člensk</w:t>
      </w:r>
      <w:r>
        <w:rPr>
          <w:noProof/>
        </w:rPr>
        <w:t>om štáte po prijatí; navyše transparentný prístup podľa článku 2 ods. 3 a posilnený prístup týkajúci sa vyplácajúceho zástupcu po prijatí podľa článku 4 ods. 2 revidovanej smernice o zdaňovaní príjmu z úspor sa vzťahuje aj na príjem vyplatený prostredníctv</w:t>
      </w:r>
      <w:r>
        <w:rPr>
          <w:noProof/>
        </w:rPr>
        <w:t>om „aktívnych“ nefinančných subjektov, pokiaľ sú oslobodené od dane. Tieto zostávajúce prípady existujú v dôsledku miernych rozdielov v prístupoch prijatých v rámci smernice o zdaňovaní príjmu z úspor a pozmeňujúcej smernice o administratívnej spolupráci a</w:t>
      </w:r>
      <w:r>
        <w:rPr>
          <w:noProof/>
        </w:rPr>
        <w:t xml:space="preserve"> osobitných výnimiek, ktoré obsahujú obe smernice. Účinok týchto zostávajúcich prípadov, či už sa na ne vzťahujú alebo nevzťahujú právne predpisy EÚ v rámci tejto diskusie, je v kontexte celkového rozsahu pôsobnosti pozmeňujúcej smernice o administratívnej</w:t>
      </w:r>
      <w:r>
        <w:rPr>
          <w:noProof/>
        </w:rPr>
        <w:t xml:space="preserve"> spolupráci marginálny. Medzinárodné uplatňovanie globálneho štandardu a starostlivý dohľad nad jeho vykonávaním zo strany Globálneho fóra pre transparentnosť a výmenu informácií budú minimalizovať akékoľvek riziká spojené s týmito zostávajúcimi prípadmi.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>Z toho vyplýva, že prospech vyplývajúci zo zachovania oboch právnych nástrojov, ktoré pôsobia paralelne, by bol minimálny. Hoci by uvedené vyňatie stanovené v novom článku 8 ods. 3a zavedené v pozmeňujúcej smernici o administratívnej spolupráci mohlo vo vä</w:t>
      </w:r>
      <w:r>
        <w:rPr>
          <w:noProof/>
        </w:rPr>
        <w:t>čšine prípadov pomôcť vyhnúť sa oznamovaniu podľa smernice o zdaňovaní príjmu z úspor, koexistencia dvoch právnych nástrojov s podstatne podobným rozsahom pôsobnosti nie je v súlade so zásadami lepšej právnej regulácie ani v záujme jasnosti a právnej istot</w:t>
      </w:r>
      <w:r>
        <w:rPr>
          <w:noProof/>
        </w:rPr>
        <w:t xml:space="preserve">y. Okrem toho by zachovanie dvoch zároveň platných právnych systémov znamenalo existenciu dvoch súborov podobných, ale nie úplne zosúladených pravidiel týkajúcich sa pravidiel hĺbkového preverovania vo vzťahu ku klientovi, postupov a systémov oznamovania, </w:t>
      </w:r>
      <w:r>
        <w:rPr>
          <w:noProof/>
        </w:rPr>
        <w:t>a to pokiaľ ide o oznamovanie zo strany finančných inštitúcií príslušným orgánom, ako aj o vzájomné informovanie sa medzi príslušnými orgánmi. Náklady s tým spojené by výrazne prevýšili prínosy dodatočného krytia vyplývajúceho zo smernice o zdaňovaní príjm</w:t>
      </w:r>
      <w:r>
        <w:rPr>
          <w:noProof/>
        </w:rPr>
        <w:t>u z úspor.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 xml:space="preserve">S cieľom zabezpečiť existenciu len jedného platného štandardu pre automatickú výmenu informácií v rámci EÚ a zabrániť situáciám, keď sa zároveň uplatňujú dva štandardy, by sa smernica o zdaňovaní príjmu z úspor mala zrušiť. 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>Aby sa neponechali ž</w:t>
      </w:r>
      <w:r>
        <w:rPr>
          <w:noProof/>
        </w:rPr>
        <w:t>iadne medzery v oblasti oznamovania, zrušenie smernice o zdaňovaní príjmu z úspor musí byť dobre koordinované so začatím uplatňovania pozmeňujúcej smernice o administratívnej spolupráci najmä vzhľadom na predĺženie lehoty uplatňovania, ktoré bolo udelené R</w:t>
      </w:r>
      <w:r>
        <w:rPr>
          <w:noProof/>
        </w:rPr>
        <w:t>akúsku.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>Keďže cieľ tohto návrhu smernice, a to zrušenie smernice o zdaňovaní príjmu z úspor s dočasnými výnimkami potrebnými na ochranu nadobudnutých práv a zohľadnenie výnimky udelenej Rakúsku v rámci pozmeňujúcej smernice o administratívnej spolupráci, n</w:t>
      </w:r>
      <w:r>
        <w:rPr>
          <w:noProof/>
        </w:rPr>
        <w:t>ie je možné uspokojivo dosiahnuť na úrovni jednotlivých členských štátov, ale z dôvodu požadovanej jednotnosti a účinnosti ho preto možno lepšie dosiahnuť na úrovni Únie, môže Únia prijať opatrenia v súlade so zásadou subsidiarity podľa článku 5 Zmluvy o f</w:t>
      </w:r>
      <w:r>
        <w:rPr>
          <w:noProof/>
        </w:rPr>
        <w:t>ungovaní Európskej únie. V súlade so zásadou proporcionality podľa uvedeného článku tento návrh smernice neprekračuje rámec toho, čo je nevyhnutné na dosiahnutie tohto cieľa.</w:t>
      </w:r>
    </w:p>
    <w:p w:rsidR="00617FE3" w:rsidRDefault="00D77A23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VÝSLEDKY KONZULTÁCIÍ SO ZAINTERESOVANÝMI STRANAMI A POSÚDENÍ VPLYVU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 xml:space="preserve">Závery </w:t>
      </w:r>
      <w:r>
        <w:rPr>
          <w:noProof/>
        </w:rPr>
        <w:t>Európskej rady z 21. marca 2014 a vyhlásenie Rady pre hospodárske a finančné záležitosti z 9. decembra 2014 preukázali, že členské štáty jednoznačne uprednostňujú len jeden štandard pre automatickú výmenu informácií o finančných príjmoch. Tento štandard bo</w:t>
      </w:r>
      <w:r>
        <w:rPr>
          <w:noProof/>
        </w:rPr>
        <w:t>l teraz plne implementovaný prostredníctvom pozmeňujúcej smernice o administratívnej spolupráci.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>Na zasadnutiach expertnej skupiny Komisie o zdaňovaní príjmu z úspor experti zdôraznili, že je dôležité mať jeden systém, prostredníctvom ktorého sa informácie</w:t>
      </w:r>
      <w:r>
        <w:rPr>
          <w:noProof/>
        </w:rPr>
        <w:t xml:space="preserve"> automaticky oznamujú na účely priamych daní. Vysvetlili, že strany, ktoré zastupujú – finančné inštitúcie EÚ a sprostredkovatelia – by sa chceli vyhnúť zdvojeniu systémov oznamovania. Expertná skupina tiež uviedla, že v sektore sa už zavádzajú nové alebo </w:t>
      </w:r>
      <w:r>
        <w:rPr>
          <w:noProof/>
        </w:rPr>
        <w:t>upravujú existujúce systémy IT v rámci prípravy na zákon Spojených štátov amerických o dodržiavaní daňových predpisov v prípade zahraničných účtov (FATCA) a zdôraznila, že je potrebné, aby budúce právne predpisy EÚ o automatickej výmene informácií o finanč</w:t>
      </w:r>
      <w:r>
        <w:rPr>
          <w:noProof/>
        </w:rPr>
        <w:t xml:space="preserve">ných účtoch boli v súlade s globálnym štandardom OECD pre automatickú výmenu informácií (ktorý je sám osebe založený na zásadách hĺbkového preverovania vo vzťahu ku klientovi vypracovaných v rámci FATCA), aby sa znížili náklady na dodržiavanie predpisov a </w:t>
      </w:r>
      <w:r>
        <w:rPr>
          <w:noProof/>
        </w:rPr>
        <w:t>administratívna záťaž.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>Ako sa uvádza vyššie, zrušenie smernice o zdaňovaní príjmu z úspor bude mať na účinnosť automatickej výmeny informácií veľmi obmedzený vplyv, ak vôbec, v dôsledku pozmeňujúcej smernice o administratívnej spolupráci a v zásade predsta</w:t>
      </w:r>
      <w:r>
        <w:rPr>
          <w:noProof/>
        </w:rPr>
        <w:t>vuje opatrenie lepšej právnej regulácie. Z tohto dôvodu nebolo vypracované žiadne posúdenie vplyvu.</w:t>
      </w:r>
    </w:p>
    <w:p w:rsidR="00617FE3" w:rsidRDefault="00D77A23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PRÁVNE PRVKY NÁVRHU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 xml:space="preserve">V článku 1 sa stanovuje zrušenie smernice. Zrušenie sa koordinuje s uplatňovaním pozmeňujúcej smernice o administratívnej spolupráci </w:t>
      </w:r>
      <w:r>
        <w:rPr>
          <w:noProof/>
        </w:rPr>
        <w:t xml:space="preserve">medzi členskými štátmi. 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>Článok 1 ods. 1 písm. a) a článok 1 ods. 1 písm. b) zahŕňajú hlavné povinnosti týkajúce sa oznamovania podľa článku 4 ods. 2 a výmeny informácií uvedené v článkoch 8 a 9 smernice o zdaňovaní príjmu z úspor.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>V článku 1 ods. 1 písm. </w:t>
      </w:r>
      <w:r>
        <w:rPr>
          <w:noProof/>
        </w:rPr>
        <w:t>a) sa stanovuje, že hospodárske subjekty a členské štáty, v ktorých sú hospodárske subjekty usadené, oznamujú a vymieňajú si informácie, ktoré boli zhromaždené za rok 2015. Uvedené informácie sa týkajú vyplácajúcich zástupcov po prijatí podľa článku 4 ods.</w:t>
      </w:r>
      <w:r>
        <w:rPr>
          <w:noProof/>
        </w:rPr>
        <w:t> 2 smernice o zdaňovaní príjmu z úspor usadených v iných členských štátoch, ktoré sa oznamujú v rovnakej lehote, ako sa stanovuje v článku 9, a to „do šiestich mesiacov po skončení daňového roka“. Táto lehota je pre väčšinu členských štátov stanovená do 30</w:t>
      </w:r>
      <w:r>
        <w:rPr>
          <w:noProof/>
        </w:rPr>
        <w:t>. júna 2016, ale v prípade Spojeného kráľovstva do 5. októbra 2016. Rozšírenie uplatňovania je preto stanovené, aby zahrnulo aj lehotu pre Spojené kráľovstvo. Harmonogram zostáva otvorený pre akékoľvek následné opatrenia a opravy po uvedenom dátume.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>V člán</w:t>
      </w:r>
      <w:r>
        <w:rPr>
          <w:noProof/>
        </w:rPr>
        <w:t>ku 1 ods. 1 písm. b) sa stanovuje, že hospodárske subjekty a vyplácajúci zástupcovia a členské štáty, v ktorých sú usadení, oznamujú a vymieňajú si informácie, ktoré boli zhromaždené za rok 2015, ako sa stanovuje v článku 9 „do šiestich mesiacov po skončen</w:t>
      </w:r>
      <w:r>
        <w:rPr>
          <w:noProof/>
        </w:rPr>
        <w:t>í daňového roka“, a to do 30. júna 2016 pre väčšinu členských štátov, ale do 5. októbra 2016 v prípade Spojeného kráľovstva. Rozšírenie uplatňovania je preto stanovené na 5. október 2016, aby zahrnulo aj lehotu pre Spojené kráľovstvo. Harmonogram zostáva o</w:t>
      </w:r>
      <w:r>
        <w:rPr>
          <w:noProof/>
        </w:rPr>
        <w:t>tvorený pre akékoľvek doplnenie informácií a opravy potrebné po uvedenom dátume.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>V článku 1 ods. 2 sa uvádzajú osobitné ustanovenia, ktoré má implementovať Rakúsko.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>Rakúsko bude uplatňovať pozmeňujúcu smernicu o administratívnej spolupráci s oneskorením, k</w:t>
      </w:r>
      <w:r>
        <w:rPr>
          <w:noProof/>
        </w:rPr>
        <w:t xml:space="preserve">toré bude vo väčšine prípadov predstavovať jeden rok. Napriek tomu v čase prijatia smernice 9. decembra 2014 sa Rakúsko zaviazalo vymieňať si informácie už v roku 2017, aj keď len v prípade obmedzeného súboru účtov (iba nové účty otvorené počas obdobia od </w:t>
      </w:r>
      <w:r>
        <w:rPr>
          <w:noProof/>
        </w:rPr>
        <w:t>1. októbra 2016 do 31. decembra 2016), pričom výnimku zachová v prípade ostatných účtov.  Rakúsko bude preto smernicu o zdaňovaní príjmu z úspor musieť celkovo uplatňovať ďalší rok s výnimkou obmedzeného súboru účtov, ktoré sa budú podľa smernice o adminis</w:t>
      </w:r>
      <w:r>
        <w:rPr>
          <w:noProof/>
        </w:rPr>
        <w:t>tratívnej spolupráci oznamovať v roku 2017. Na rozdiel od Luxemburska, Rakúsko neuviedlo, že bude automatickú výmenu informácií v rámci smernice o zdaňovaní príjmu z úspor uplatňovať pred koncom prechodného obdobia uvedeného v článku 10 smernice. Takisto s</w:t>
      </w:r>
      <w:r>
        <w:rPr>
          <w:noProof/>
        </w:rPr>
        <w:t>a neočakáva, že Rakúsko splní podmienky pre ukončenie uvedeného prechodného obdobia do dátumu uplatňovania pozmeňujúcej smernice o administratívnej spolupráci. Preto sa na účely článku 1 ods. 2 predpokladá, že Rakúsko bude počas roka 2016 naďalej uplatňova</w:t>
      </w:r>
      <w:r>
        <w:rPr>
          <w:noProof/>
        </w:rPr>
        <w:t xml:space="preserve">ť prechodnú zrážkovú daň podľa smernice o zdaňovaní príjmu z úspor s výnimkou obmedzeného súboru účtov, ktoré Rakúsko oznámi v roku 2017 podľa pozmeňujúcej smernice o administratívnej spolupráci. 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>V článku 1 ods. 2 písm. a) sa preto uvádza odkaz na povinno</w:t>
      </w:r>
      <w:r>
        <w:rPr>
          <w:noProof/>
        </w:rPr>
        <w:t>sti Rakúska a súvisiace povinnosti vyplácajúcich zástupcov, ktorí sú v ňom usadení, prevádzať zrážkovú daň z výplat úrokov zrazenej v roku 2016 v súlade s článkom 12 smernice o zdaňovaní príjmu z úspor.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>Rakúsko bude musieť plniť svoje povinnosti, aj pokiaľ</w:t>
      </w:r>
      <w:r>
        <w:rPr>
          <w:noProof/>
        </w:rPr>
        <w:t xml:space="preserve"> ide o oznamovanie zo strany jeho hospodárskych subjektov podľa článku 4 ods. 2 posledného pododseku smernice o zdaňovaní príjmu z úspor v prípadoch, keď subjekt, ktorý prijíma výplaty úrokov od týchto hospodárskych subjektov a subjektov uvedených v článku</w:t>
      </w:r>
      <w:r>
        <w:rPr>
          <w:noProof/>
        </w:rPr>
        <w:t> 11 ods. 5 uvedenej smernice, formálne súhlasil, aby sa jeho meno, adresa a celková suma vyplatených alebo zabezpečených úrokov oznámili v súlade s článkom 4 ods. 2 posledným pododsekom uvedenej smernice. Príslušné ustanovenie, ktorým sa to zabezpečí, sa n</w:t>
      </w:r>
      <w:r>
        <w:rPr>
          <w:noProof/>
        </w:rPr>
        <w:t>achádza v článku 1 ods. 2 písm. b) tohto návrhu.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 xml:space="preserve">Okrem toho, ak by Rakúsko malo stanoviť postup podľa článku 13 ods. 1 písm. a) smernice o zdaňovaní príjmu z úspor, mali by sa takisto dodržiavať povinnosti Rakúska a príslušné povinnosti vyplácajúcich </w:t>
      </w:r>
      <w:r>
        <w:rPr>
          <w:noProof/>
        </w:rPr>
        <w:t>zástupcov, ktorí sú v ňom usadení, týkajúce sa oznamovania podľa kapitoly II smernice o zdaňovaní príjmu z úspor. Príslušné ustanovenie, ktorým sa to zabezpečí, sa nachádza v článku 1 ods. 2 písm. c) tohto návrhu.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>Všetky povinnosti stanovené v článku 1 ods</w:t>
      </w:r>
      <w:r>
        <w:rPr>
          <w:noProof/>
        </w:rPr>
        <w:t xml:space="preserve">. 2 by mali byť splnené do šiestich mesiacov od skončenia daňového roka v Rakúsku, t. j. 30. júna 2017. 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>Pre obmedzený súbor účtov, ktoré budú podliehať hĺbkovému preverovaniu vo vzťahu ku klientovi od 1. októbra 2016 a budú oznámené v roku 2017 podľa smer</w:t>
      </w:r>
      <w:r>
        <w:rPr>
          <w:noProof/>
        </w:rPr>
        <w:t>nice o administratívnej spolupráci v znení pozmeňujúcej smernice, sa v článku 1 ods. 3 stanovuje výnimka týkajúca sa predĺženia uplatňovania smernice o zdaňovaní príjmu z úspor.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>27 členských štátov, ktoré budú uplatňovať pozmeňujúcu smernicu o administratí</w:t>
      </w:r>
      <w:r>
        <w:rPr>
          <w:noProof/>
        </w:rPr>
        <w:t>vnej spolupráci od 1. januára 2016, bude musieť naďalej vydávať skutočným vlastníkom príjmu usadeným v týchto členských štátoch potvrdenie podľa článku 13 ods. 2 smernice o zdaňovaní príjmu z úspor. Keďže posledný deň, keď by  potvrdenie bolo uplatniteľné,</w:t>
      </w:r>
      <w:r>
        <w:rPr>
          <w:noProof/>
        </w:rPr>
        <w:t xml:space="preserve"> je posledným dňom, keď by Rakúsko uplatnilo zrážkovú daň podľa smernice o zdaňovaní príjmu z úspor, dátum v článku 1 ods. 1 písm. c) tohto návrhu je stanovený na 31. decembra 2016. Keďže Luxembursko bude uplatňovať smernicu o zdaňovaní príjmu z úspor bez </w:t>
      </w:r>
      <w:r>
        <w:rPr>
          <w:noProof/>
        </w:rPr>
        <w:t>toho, aby vyberalo zrážkovú daň od 1. januára 2015, Rakúsko je jediným členským štátom, ktorý bude uplatňovať zrážkovú daň podľa smernice o zdaňovaní príjmu z úspor v rokoch 2015 a 2016.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>Pravidlá na zamedzenie akéhokoľvek dvojitého zdanenia, ktoré by mohlo</w:t>
      </w:r>
      <w:r>
        <w:rPr>
          <w:noProof/>
        </w:rPr>
        <w:t xml:space="preserve"> byť dôsledkom uplatňovania prechodnej zrážkovej dane vyberanej podľa smernice o zdaňovaní príjmu z úspor, by sa tiež mali rozšíriť aj po dátume uplatňovania pozmeňujúcej smernice o administratívnej spolupráci. V závislosti od vnútroštátnych pravidiel v ko</w:t>
      </w:r>
      <w:r>
        <w:rPr>
          <w:noProof/>
        </w:rPr>
        <w:t>nkrétnom členskom štáte, ktorý má poskytnúť úver alebo náhradu podľa článku 14 smernice o zdaňovaní príjmu z úspor, sa uplatňovanie uvedeného ustanovenia bude musieť rozšíriť na obdobie po poslednom dátume, keď sa bude uplatňovať zrážková daň, ktorým je 31</w:t>
      </w:r>
      <w:r>
        <w:rPr>
          <w:noProof/>
        </w:rPr>
        <w:t>. december 2016 pre zrážkovú daň vyberanú v Rakúsku [pozri článok 1 ods. 1 písm. d) tohto návrhu]. Ide o prechodné opatrenie na ochranu nadobudnutých práv skutočných vlastníkov príjmu podľa článku 14 smernice o zdaňovaní príjmu z úspor so zreteľom na člens</w:t>
      </w:r>
      <w:r>
        <w:rPr>
          <w:noProof/>
        </w:rPr>
        <w:t>ký štát, v ktorom sú usadení.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>V článku 2 sa stanovuje, že táto smernica nadobúda účinnosť dvadsiatym dňom po jej uverejnení v </w:t>
      </w:r>
      <w:r>
        <w:rPr>
          <w:i/>
          <w:noProof/>
        </w:rPr>
        <w:t>Úradnom vestníku Európskej únie</w:t>
      </w:r>
      <w:r>
        <w:rPr>
          <w:noProof/>
        </w:rPr>
        <w:t>.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>V článku 3 sa stanovuje, že smernica je určená členským štátom.</w:t>
      </w:r>
    </w:p>
    <w:p w:rsidR="00617FE3" w:rsidRDefault="00D77A23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VPLYV NA ROZPOČET </w:t>
      </w:r>
    </w:p>
    <w:p w:rsidR="00617FE3" w:rsidRDefault="00D77A23">
      <w:pPr>
        <w:rPr>
          <w:rFonts w:eastAsia="Times New Roman"/>
          <w:noProof/>
          <w:szCs w:val="24"/>
        </w:rPr>
      </w:pPr>
      <w:r>
        <w:rPr>
          <w:noProof/>
        </w:rPr>
        <w:t>Tento návrh</w:t>
      </w:r>
      <w:r>
        <w:rPr>
          <w:noProof/>
        </w:rPr>
        <w:t xml:space="preserve"> nemá žiadny vplyv na rozpočet. </w:t>
      </w:r>
    </w:p>
    <w:p w:rsidR="00617FE3" w:rsidRDefault="00617FE3">
      <w:pPr>
        <w:spacing w:before="0" w:after="0"/>
        <w:jc w:val="left"/>
        <w:rPr>
          <w:noProof/>
        </w:rPr>
        <w:sectPr w:rsidR="00617FE3"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617FE3" w:rsidRDefault="00D77A23">
      <w:pPr>
        <w:pStyle w:val="Rfrenceinterinstitutionnelle"/>
        <w:rPr>
          <w:noProof/>
        </w:rPr>
      </w:pPr>
      <w:r>
        <w:rPr>
          <w:noProof/>
        </w:rPr>
        <w:t>2015/0065 (CNS)</w:t>
      </w:r>
    </w:p>
    <w:p w:rsidR="00617FE3" w:rsidRDefault="00D77A23">
      <w:pPr>
        <w:pStyle w:val="Statut"/>
        <w:rPr>
          <w:noProof/>
        </w:rPr>
      </w:pPr>
      <w:r>
        <w:rPr>
          <w:noProof/>
        </w:rPr>
        <w:t>Návrh</w:t>
      </w:r>
    </w:p>
    <w:p w:rsidR="00617FE3" w:rsidRDefault="00D77A23">
      <w:pPr>
        <w:pStyle w:val="Typedudocument"/>
        <w:rPr>
          <w:noProof/>
        </w:rPr>
      </w:pPr>
      <w:r>
        <w:rPr>
          <w:noProof/>
        </w:rPr>
        <w:t>SMERNICA RADY,</w:t>
      </w:r>
    </w:p>
    <w:p w:rsidR="00617FE3" w:rsidRDefault="00D77A23">
      <w:pPr>
        <w:pStyle w:val="Titreobjet"/>
        <w:rPr>
          <w:noProof/>
        </w:rPr>
      </w:pPr>
      <w:r>
        <w:rPr>
          <w:noProof/>
        </w:rPr>
        <w:t>ktorou sa zrušuje smernica Rady 2003/48/ES</w:t>
      </w:r>
    </w:p>
    <w:p w:rsidR="00617FE3" w:rsidRDefault="00D77A23">
      <w:pPr>
        <w:pStyle w:val="Institutionquiagit"/>
        <w:rPr>
          <w:noProof/>
        </w:rPr>
      </w:pPr>
      <w:r>
        <w:rPr>
          <w:noProof/>
        </w:rPr>
        <w:t>RADA EURÓPSKEJ ÚNIE,</w:t>
      </w:r>
    </w:p>
    <w:p w:rsidR="00617FE3" w:rsidRDefault="00D77A23">
      <w:pPr>
        <w:rPr>
          <w:noProof/>
        </w:rPr>
      </w:pPr>
      <w:r>
        <w:rPr>
          <w:noProof/>
        </w:rPr>
        <w:t xml:space="preserve">so zreteľom na </w:t>
      </w:r>
      <w:r>
        <w:rPr>
          <w:noProof/>
        </w:rPr>
        <w:t>Zmluvu o fungovaní Európskej únie, a najmä na jej článok 115,</w:t>
      </w:r>
    </w:p>
    <w:p w:rsidR="00617FE3" w:rsidRDefault="00D77A23">
      <w:pPr>
        <w:rPr>
          <w:noProof/>
        </w:rPr>
      </w:pPr>
      <w:r>
        <w:rPr>
          <w:noProof/>
        </w:rPr>
        <w:t>so zreteľom na návrh Európskej komisie,</w:t>
      </w:r>
    </w:p>
    <w:p w:rsidR="00617FE3" w:rsidRDefault="00D77A23">
      <w:pPr>
        <w:rPr>
          <w:noProof/>
        </w:rPr>
      </w:pPr>
      <w:r>
        <w:rPr>
          <w:noProof/>
        </w:rPr>
        <w:t>po postúpení návrhu legislatívneho aktu národným parlamentom,</w:t>
      </w:r>
    </w:p>
    <w:p w:rsidR="00617FE3" w:rsidRDefault="00D77A23">
      <w:pPr>
        <w:rPr>
          <w:noProof/>
        </w:rPr>
      </w:pPr>
      <w:r>
        <w:rPr>
          <w:noProof/>
        </w:rPr>
        <w:t xml:space="preserve">so zreteľom na stanovisko Európskeho parlamentu, </w:t>
      </w:r>
    </w:p>
    <w:p w:rsidR="00617FE3" w:rsidRDefault="00D77A23">
      <w:pPr>
        <w:rPr>
          <w:noProof/>
        </w:rPr>
      </w:pPr>
      <w:r>
        <w:rPr>
          <w:noProof/>
        </w:rPr>
        <w:t>so zreteľom na stanovisko Európskeho hospo</w:t>
      </w:r>
      <w:r>
        <w:rPr>
          <w:noProof/>
        </w:rPr>
        <w:t xml:space="preserve">dárskeho a sociálneho výboru, </w:t>
      </w:r>
    </w:p>
    <w:p w:rsidR="00617FE3" w:rsidRDefault="00D77A23">
      <w:pPr>
        <w:rPr>
          <w:noProof/>
        </w:rPr>
      </w:pPr>
      <w:r>
        <w:rPr>
          <w:noProof/>
        </w:rPr>
        <w:t>konajúc v súlade s mimoriadnym legislatívnym postupom,</w:t>
      </w:r>
    </w:p>
    <w:p w:rsidR="00617FE3" w:rsidRDefault="00D77A23">
      <w:pPr>
        <w:rPr>
          <w:noProof/>
        </w:rPr>
      </w:pPr>
      <w:r>
        <w:rPr>
          <w:noProof/>
        </w:rPr>
        <w:t>keďže:</w:t>
      </w:r>
    </w:p>
    <w:p w:rsidR="00617FE3" w:rsidRDefault="00D77A23"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Vychádzajúc z konsenzu, ktorý sa dosiahol na zasadnutí Európskej rady 20. júna 2000 o tom, že relevantné informácie by sa mali vymieňať na daňové účely v čo na</w:t>
      </w:r>
      <w:r>
        <w:rPr>
          <w:noProof/>
        </w:rPr>
        <w:t>jväčšom možnom rozsahu, sa smernica Rady 2003/48/ES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uplatňuje v členských štátoch od 1. júla 2005 s cieľom umožniť, aby príjem z úspor v podobe výplat úrokov vykonaných v jednom členskom štáte skutočným vlastníkom príjmu, ktorí sú fyzickými osobami s bydl</w:t>
      </w:r>
      <w:r>
        <w:rPr>
          <w:noProof/>
        </w:rPr>
        <w:t>iskom v inom členskom štáte, podliehal účinnému zdaňovaniu v súlade s právnymi predpismi príslušného členského štátu, čím sa odstránia narušenia v pohyboch kapitálu medzi členskými štátmi nezlučiteľné s vnútorným trhom.</w:t>
      </w:r>
    </w:p>
    <w:p w:rsidR="00617FE3" w:rsidRDefault="00D77A23"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Celosvetový rozmer výziev, ktoré</w:t>
      </w:r>
      <w:r>
        <w:rPr>
          <w:noProof/>
        </w:rPr>
        <w:t xml:space="preserve"> predstavujú cezhraničné daňové podvody a daňové úniky, je stredobodom pozornosti na globálnej úrovni a v rámci Únie. Neoznámené a nezdanené príjmy výrazne znižujú vnútroštátne daňové príjmy. Európska rada 22. mája 2013 uvítala prebiehajúce úsilie skupiny </w:t>
      </w:r>
      <w:r>
        <w:rPr>
          <w:noProof/>
        </w:rPr>
        <w:t>G8, skupiny G20 a Organizácie pre hospodársku spoluprácu a rozvoj (OECD) o vytvorenie globálneho štandardu.</w:t>
      </w:r>
    </w:p>
    <w:p w:rsidR="00617FE3" w:rsidRDefault="00D77A23"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V smernici 2011/16/EÚ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sa ustanovuje povinná automatická výmena určitých informácií medzi členskými štátmi a postupné rozšírenie jej rozsahu pôs</w:t>
      </w:r>
      <w:r>
        <w:rPr>
          <w:noProof/>
        </w:rPr>
        <w:t xml:space="preserve">obnosti na nové kategórie príjmov a kapitálu na účel boja proti cezhraničným daňovým podvodom a daňovým únikom. </w:t>
      </w:r>
    </w:p>
    <w:p w:rsidR="00617FE3" w:rsidRDefault="00D77A23"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Rada prijala 9. decembra 2014 smernicu 2014/107/EÚ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, ktorou sa mení smernica 2011/16/EÚ, ktorou sa rozširuje automatická výmena informácií </w:t>
      </w:r>
      <w:r>
        <w:rPr>
          <w:noProof/>
        </w:rPr>
        <w:t>na široké spektrum príjmov v súlade s globálnym štandardom, ktorý uverejnila Rada OECD v júli 2014, a zabezpečuje ucelený, jednotný a komplexný prístup v rámci celej Únie v oblasti automatickej výmeny informácií o finančných účtoch na vnútornom trhu.</w:t>
      </w:r>
    </w:p>
    <w:p w:rsidR="00617FE3" w:rsidRDefault="00D77A23"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S</w:t>
      </w:r>
      <w:r>
        <w:rPr>
          <w:noProof/>
        </w:rPr>
        <w:t>mernica 2014/107/EÚ má vo všeobecnosti širší rozsah pôsobnosti ako smernica 2003/48/ES a stanovuje sa v nej, že v prípade prekrývania sa rozsahu pôsobnosti, má prednosť smernica 2014/107/EÚ. Stále však existujú zostávajúce prípady, v ktorých by sa uplatňov</w:t>
      </w:r>
      <w:r>
        <w:rPr>
          <w:noProof/>
        </w:rPr>
        <w:t>ala len smernica 2003/48/ES. Tieto zostávajúce prípady sú dôsledkom miernych rozdielov v prístupe medzi oboma smernicami a rôznych osobitných výnimiek. Ak je v týchto obmedzených prípadoch rozsah pôsobnosti smernice 2003/48/ES mimo rozsahu pôsobnosti smern</w:t>
      </w:r>
      <w:r>
        <w:rPr>
          <w:noProof/>
        </w:rPr>
        <w:t>ice 2014/107/EÚ, príslušné ustanovenia smernice 2003/48/ES by sa naďalej uplatňovali, čo by malo za následok dvojité štandardy týkajúce sa oznamovania v rámci Únie. Nad menšími prínosmi zachovania tohto dvojitého oznamovania by prevážili náklady.</w:t>
      </w:r>
    </w:p>
    <w:p w:rsidR="00617FE3" w:rsidRDefault="00D77A23"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Európska rada 21. marca 2014 vyzvala Radu, aby zabezpečila plný súlad príslušného práva Únie s novým jednotným globálnym štandardom pre automatickú výmenu informácií, ktorý vypracovala OECD. Okrem toho pri prijímaní smernice 2014/107/EÚ Rada vyzvala Komisi</w:t>
      </w:r>
      <w:r>
        <w:rPr>
          <w:noProof/>
        </w:rPr>
        <w:t>u, aby predložila návrh na zrušenie smernice 2003/48/ES a aby koordinovala zrušenie uvedenej smernice s dátumom uplatňovania stanoveným v článku 2 smernice 2014/107/EÚ s náležitým zreteľom na výnimku, ktorá sa v nej poskytla Rakúsku. Smernica 2003/48/ES by</w:t>
      </w:r>
      <w:r>
        <w:rPr>
          <w:noProof/>
        </w:rPr>
        <w:t xml:space="preserve"> sa preto mala naďalej uplatňovať na Rakúsko počas dodatočného obdobia jedného roka. Vzhľadom na stanovisko, ktoré prijala Rada, by zrušenie smernice 2003/48/ES bolo potrebné, aby sa predišlo dvojitým povinnostiam týkajúcich sa oznamovania a aby sa ušetril</w:t>
      </w:r>
      <w:r>
        <w:rPr>
          <w:noProof/>
        </w:rPr>
        <w:t>i náklady pre daňové správy, ako aj hospodárske subjekty.</w:t>
      </w:r>
    </w:p>
    <w:p w:rsidR="00617FE3" w:rsidRDefault="00D77A23"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Podľa článku 2 smernice 2014/48/EÚ</w:t>
      </w:r>
      <w:r>
        <w:rPr>
          <w:rStyle w:val="FootnoteReference"/>
          <w:noProof/>
        </w:rPr>
        <w:footnoteReference w:id="6"/>
      </w:r>
      <w:r>
        <w:rPr>
          <w:noProof/>
        </w:rPr>
        <w:t>, ktorou sa mení smernica 2003/48/ES, by členské štáty mali prijať a uverejniť do 1. januára 2016 zákony, iné právne predpisy a správne opatrenia potrebné na d</w:t>
      </w:r>
      <w:r>
        <w:rPr>
          <w:noProof/>
        </w:rPr>
        <w:t>osiahnutie súladu s uvedenou smernicou. Tieto ustanovenia by mali uplatňovať od 1. januára 2017. V dôsledku zrušenia smernice 2003/48/ES by sa smernica 2014/48/EÚ už nemala transponovať.</w:t>
      </w:r>
    </w:p>
    <w:p w:rsidR="00617FE3" w:rsidRDefault="00D77A23"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S cieľom zabezpečiť plynulé pokračovanie automatického oznamovani</w:t>
      </w:r>
      <w:r>
        <w:rPr>
          <w:noProof/>
        </w:rPr>
        <w:t>a informácií o finančných účtoch by zrušenie smernice 2003/48/ES malo nadobudnúť účinnosť v ten istý deň, ako je deň začatia uplatňovania stanovený v článku 2 smernice 2014/107/EÚ.</w:t>
      </w:r>
    </w:p>
    <w:p w:rsidR="00617FE3" w:rsidRDefault="00D77A23"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Bez ohľadu na zrušenie smernice 2003/48/ES informácie získané vyplácajú</w:t>
      </w:r>
      <w:r>
        <w:rPr>
          <w:noProof/>
        </w:rPr>
        <w:t>cimi zástupcami, hospodárskymi subjektmi a členskými štátmi do dátumu zrušenia by sa mali spracúvať a prenášať tak, ako sa pôvodne predpokladalo, a povinnosti, ktoré vznikli pred týmto dátumom, by sa mali splniť.</w:t>
      </w:r>
    </w:p>
    <w:p w:rsidR="00617FE3" w:rsidRDefault="00D77A23"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Pokiaľ ide o zrážkovú daň vyberanú v p</w:t>
      </w:r>
      <w:r>
        <w:rPr>
          <w:noProof/>
        </w:rPr>
        <w:t>rechodnom období uvedenom v článku 10 smernice 2003/48/ES, členské štáty by mali s cieľom chrániť nadobudnuté práva skutočných vlastníkov príjmu naďalej poskytovať úvery alebo náhrady tak, ako sa pôvodne predpokladalo, a vydávať potvrdenia na základe žiado</w:t>
      </w:r>
      <w:r>
        <w:rPr>
          <w:noProof/>
        </w:rPr>
        <w:t>sti, ktoré by umožnili skutočným vlastníkom príjmu, aby sa zrážková daň nevyberala.</w:t>
      </w:r>
    </w:p>
    <w:p w:rsidR="00617FE3" w:rsidRDefault="00D77A23"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Mala by sa zohľadniť skutočnosť, že vzhľadom na štrukturálne rozdiely sa Rakúsku povolila výnimka podľa článku 2 ods. 2 smernice 2014/107/EÚ s maximálnym odkladom jedn</w:t>
      </w:r>
      <w:r>
        <w:rPr>
          <w:noProof/>
        </w:rPr>
        <w:t>ého roka. Rakúsko v čase prijatia uvedenej smernice oznámilo, že výnimku nebude v plnej miere využívať. Namiesto toho si bude Rakúsko vymieňať informácie do septembra 2017, aj keď v prípade obmedzeného súboru účtov, pričom v ostatných prípadoch bude uplatň</w:t>
      </w:r>
      <w:r>
        <w:rPr>
          <w:noProof/>
        </w:rPr>
        <w:t>ovať výnimku. Malo by sa preto prijať osobitné ustanovenie, aby sa zabezpečilo, že Rakúsko a vyplácajúci zástupcovia a hospodárske subjekty v ňom usadené budú naďalej uplatňovať ustanovenia smernice 2003/48/ES počas obdobia uplatňovania výnimky, okrem tých</w:t>
      </w:r>
      <w:r>
        <w:rPr>
          <w:noProof/>
        </w:rPr>
        <w:t xml:space="preserve"> účtov, na ktoré sa vzťahuje smernica 2014/107/EÚ, ktorou sa mení smernica 2011/16/EÚ.</w:t>
      </w:r>
    </w:p>
    <w:p w:rsidR="00617FE3" w:rsidRDefault="00D77A23"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V tejto smernici sa rešpektujú základné práva a dodržiavajú zásady, ktoré sú uznané predovšetkým Chartou základných práv Európskej únie vrátane práva na ochranu oso</w:t>
      </w:r>
      <w:r>
        <w:rPr>
          <w:noProof/>
        </w:rPr>
        <w:t>bných údajov a nič v tejto smernici tieto práva neobmedzuje ani neeliminuje.</w:t>
      </w:r>
    </w:p>
    <w:p w:rsidR="00617FE3" w:rsidRDefault="00D77A23"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Keďže cieľ tejto smernice, a to zrušenie smernice 2003/48/ES s dočasnými výnimkami potrebnými na ochranu nadobudnutých práv a zohľadnenie výnimky udelenej Rakúsku v rámci sme</w:t>
      </w:r>
      <w:r>
        <w:rPr>
          <w:noProof/>
        </w:rPr>
        <w:t>rnice 2014/107/EÚ, nie je možné uspokojivo dosiahnuť na úrovni jednotlivých členských štátov, ale z dôvodu požadovanej jednotnosti a účinnosti ho preto možno lepšie dosiahnuť na úrovni Únie, môže Únia prijať opatrenia v súlade so zásadou subsidiarity podľa</w:t>
      </w:r>
      <w:r>
        <w:rPr>
          <w:noProof/>
        </w:rPr>
        <w:t xml:space="preserve"> článku 5 Zmluvy o fungovaní Európskej únie. V súlade so zásadou proporcionality podľa uvedeného článku táto smernica neprekračuje rámec toho, čo je nevyhnutné na dosiahnutie tohto cieľa.</w:t>
      </w:r>
    </w:p>
    <w:p w:rsidR="00617FE3" w:rsidRDefault="00D77A23"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Smernica 2003/48/ES by sa preto mala zrušiť,</w:t>
      </w:r>
    </w:p>
    <w:p w:rsidR="00617FE3" w:rsidRDefault="00D77A23">
      <w:pPr>
        <w:pStyle w:val="Formuledadoption"/>
        <w:rPr>
          <w:noProof/>
        </w:rPr>
      </w:pPr>
      <w:r>
        <w:rPr>
          <w:noProof/>
        </w:rPr>
        <w:t>PRIJALA TÚTO SMERN</w:t>
      </w:r>
      <w:r>
        <w:rPr>
          <w:noProof/>
        </w:rPr>
        <w:t>ICU:</w:t>
      </w:r>
    </w:p>
    <w:p w:rsidR="00617FE3" w:rsidRDefault="00D77A23">
      <w:pPr>
        <w:pStyle w:val="Titrearticle"/>
        <w:rPr>
          <w:noProof/>
        </w:rPr>
      </w:pPr>
      <w:r>
        <w:rPr>
          <w:noProof/>
        </w:rPr>
        <w:t>Článok 1</w:t>
      </w:r>
    </w:p>
    <w:p w:rsidR="00617FE3" w:rsidRDefault="00D77A23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Smernica 2003/48/ES sa zrušuje s účinnosťou od 1. januára 2016.</w:t>
      </w:r>
    </w:p>
    <w:p w:rsidR="00617FE3" w:rsidRDefault="00D77A23">
      <w:pPr>
        <w:pStyle w:val="ManualNumPar1"/>
        <w:ind w:firstLine="0"/>
        <w:rPr>
          <w:noProof/>
        </w:rPr>
      </w:pPr>
      <w:r>
        <w:rPr>
          <w:noProof/>
        </w:rPr>
        <w:t>Podľa smernice 2003/48/ES zmenenej smernicou 2006/98/ES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sa však naďalej uplatňujú tieto povinnosti:</w:t>
      </w:r>
    </w:p>
    <w:p w:rsidR="00617FE3" w:rsidRDefault="00D77A23">
      <w:pPr>
        <w:pStyle w:val="ManualNumPar1"/>
        <w:ind w:firstLine="0"/>
        <w:rPr>
          <w:noProof/>
        </w:rPr>
      </w:pPr>
      <w:r>
        <w:rPr>
          <w:noProof/>
        </w:rPr>
        <w:t xml:space="preserve">a) povinnosti členských štátov a v nich usadených hospodárskych subjektov </w:t>
      </w:r>
      <w:r>
        <w:rPr>
          <w:noProof/>
        </w:rPr>
        <w:t>podľa článku 4 ods. 2 druhého pododseku smernice 2003/48/ES sa naďalej uplatňujú do 5. októbra 2016 alebo dovtedy, kým uvedené povinnosti nebudú splnené;</w:t>
      </w:r>
    </w:p>
    <w:p w:rsidR="00617FE3" w:rsidRDefault="00D77A23">
      <w:pPr>
        <w:pStyle w:val="ManualNumPar1"/>
        <w:ind w:firstLine="0"/>
        <w:rPr>
          <w:noProof/>
        </w:rPr>
      </w:pPr>
      <w:r>
        <w:rPr>
          <w:noProof/>
        </w:rPr>
        <w:t xml:space="preserve">b) povinnosti vyplácajúcich zástupcov podľa článku 8 a členských štátov vyplácajúcich zástupcov podľa </w:t>
      </w:r>
      <w:r>
        <w:rPr>
          <w:noProof/>
        </w:rPr>
        <w:t>článku 9 sa naďalej uplatňujú do 5. októbra 2016 alebo dovtedy, kým uvedené povinnosti nebudú splnené;</w:t>
      </w:r>
    </w:p>
    <w:p w:rsidR="00617FE3" w:rsidRDefault="00D77A23">
      <w:pPr>
        <w:pStyle w:val="ManualNumPar1"/>
        <w:ind w:firstLine="0"/>
        <w:rPr>
          <w:noProof/>
        </w:rPr>
      </w:pPr>
      <w:r>
        <w:rPr>
          <w:noProof/>
        </w:rPr>
        <w:t>c) povinnosti členských štátov skutočných vlastníkov príjmu, v ktorých majú skutoční vlastníci príjmu bydlisko na daňové účely, podľa článku 13 ods. 2 sa</w:t>
      </w:r>
      <w:r>
        <w:rPr>
          <w:noProof/>
        </w:rPr>
        <w:t xml:space="preserve"> naďalej uplatňujú do 31. decembra 2016;</w:t>
      </w:r>
    </w:p>
    <w:p w:rsidR="00617FE3" w:rsidRDefault="00D77A23">
      <w:pPr>
        <w:pStyle w:val="ManualNumPar1"/>
        <w:ind w:firstLine="0"/>
        <w:rPr>
          <w:noProof/>
        </w:rPr>
      </w:pPr>
      <w:r>
        <w:rPr>
          <w:noProof/>
        </w:rPr>
        <w:t>d) povinnosti členských štátov skutočných vlastníkov príjmu, v ktorých majú skutoční vlastníci príjmu bydlisko na daňové účely, podľa článku 14, pokiaľ ide o daň vyberanú zrážkou v roku 2016 a predchádzajúcich rokoc</w:t>
      </w:r>
      <w:r>
        <w:rPr>
          <w:noProof/>
        </w:rPr>
        <w:t>h, sa naďalej uplatňujú dovtedy, kým uvedené povinnosti nebudú splnené.</w:t>
      </w:r>
    </w:p>
    <w:p w:rsidR="00617FE3" w:rsidRDefault="00D77A23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Bez ohľadu na odsek 1 tohto článku sa smernica 2003/48/ES zmenená smernicou 2006/98/ES naďalej uplatňuje v celom rozsahu, pokiaľ ide o Rakúsko, do 31. decembra 2016 s výnimkou:</w:t>
      </w:r>
    </w:p>
    <w:p w:rsidR="00617FE3" w:rsidRDefault="00D77A23">
      <w:pPr>
        <w:pStyle w:val="ManualNumPar1"/>
        <w:ind w:firstLine="0"/>
        <w:rPr>
          <w:noProof/>
        </w:rPr>
      </w:pPr>
      <w:r>
        <w:rPr>
          <w:noProof/>
        </w:rPr>
        <w:t>a) p</w:t>
      </w:r>
      <w:r>
        <w:rPr>
          <w:noProof/>
        </w:rPr>
        <w:t>ovinností Rakúska a príslušných povinností v ňom usadených vyplácajúcich zástupcov a hospodárskych subjektov podľa článku 12, ktoré sa naďalej uplatňujú do 30. júna 2017 alebo dovtedy, kým uvedené povinnosti nebudú splnené;</w:t>
      </w:r>
    </w:p>
    <w:p w:rsidR="00617FE3" w:rsidRDefault="00D77A23">
      <w:pPr>
        <w:pStyle w:val="ManualNumPar1"/>
        <w:ind w:firstLine="0"/>
        <w:rPr>
          <w:noProof/>
        </w:rPr>
      </w:pPr>
      <w:r>
        <w:rPr>
          <w:noProof/>
        </w:rPr>
        <w:t>b) povinností Rakúska a v ňom us</w:t>
      </w:r>
      <w:r>
        <w:rPr>
          <w:noProof/>
        </w:rPr>
        <w:t>adených hospodárskych subjektov podľa článku 4 ods. 2 druhého pododseku, ktoré sa naďalej uplatňujú do 30. júna 2017 alebo dovtedy, kým uvedené povinnosti nebudú splnené;</w:t>
      </w:r>
    </w:p>
    <w:p w:rsidR="00617FE3" w:rsidRDefault="00D77A23">
      <w:pPr>
        <w:pStyle w:val="ManualNumPar1"/>
        <w:ind w:firstLine="0"/>
        <w:rPr>
          <w:noProof/>
        </w:rPr>
      </w:pPr>
      <w:r>
        <w:rPr>
          <w:noProof/>
        </w:rPr>
        <w:t>c) akýchkoľvek povinností Rakúska a príslušných povinností v ňom usadených vyplácajúc</w:t>
      </w:r>
      <w:r>
        <w:rPr>
          <w:noProof/>
        </w:rPr>
        <w:t>ich zástupcov, ktoré priamo alebo nepriamo vyplývajú z postupov uvedených v článku 13 a ktoré sa naďalej uplatňujú do 30. júna 2017 alebo dovtedy, kým uvedené povinnosti nebudú splnené.</w:t>
      </w:r>
    </w:p>
    <w:p w:rsidR="00617FE3" w:rsidRDefault="00D77A23"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Bez ohľadu na odsek 2 tohto článku sa smernica 2003/48/ES zmenená s</w:t>
      </w:r>
      <w:r>
        <w:rPr>
          <w:noProof/>
        </w:rPr>
        <w:t>mernicou 2006/98/ES neuplatňuje po 1. októbri 2016 na výplaty úrokov, pokiaľ ide o účty, v prípade ktorých boli splnené povinnosti týkajúce sa oznamovania a hĺbkového preverovania uvedené v prílohách I a II k smernici 2011/16/EÚ a v prípade ktorých Rakúsko</w:t>
      </w:r>
      <w:r>
        <w:rPr>
          <w:noProof/>
        </w:rPr>
        <w:t xml:space="preserve"> oznámilo prostredníctvom automatickej výmeny informácie uvedené v článku 8 ods. 3a smernice 2011/16/EÚ v lehote stanovenej v článku 8 ods. 6 písm. b) smernice 2011/16/EÚ. </w:t>
      </w:r>
    </w:p>
    <w:p w:rsidR="00617FE3" w:rsidRDefault="00D77A23">
      <w:pPr>
        <w:pStyle w:val="Titrearticle"/>
        <w:rPr>
          <w:noProof/>
        </w:rPr>
      </w:pPr>
      <w:r>
        <w:rPr>
          <w:noProof/>
        </w:rPr>
        <w:t>Článok 2</w:t>
      </w:r>
    </w:p>
    <w:p w:rsidR="00617FE3" w:rsidRDefault="00D77A23">
      <w:pPr>
        <w:rPr>
          <w:noProof/>
        </w:rPr>
      </w:pPr>
      <w:r>
        <w:rPr>
          <w:noProof/>
        </w:rPr>
        <w:t>Táto smernica nadobúda účinnosť dvadsiatym dňom po jej uverejnení v </w:t>
      </w:r>
      <w:r>
        <w:rPr>
          <w:i/>
          <w:noProof/>
        </w:rPr>
        <w:t>Úradno</w:t>
      </w:r>
      <w:r>
        <w:rPr>
          <w:i/>
          <w:noProof/>
        </w:rPr>
        <w:t>m vestníku Európskej únie</w:t>
      </w:r>
      <w:r>
        <w:rPr>
          <w:noProof/>
        </w:rPr>
        <w:t>.</w:t>
      </w:r>
    </w:p>
    <w:p w:rsidR="00617FE3" w:rsidRDefault="00D77A23">
      <w:pPr>
        <w:pStyle w:val="Titrearticle"/>
        <w:rPr>
          <w:noProof/>
        </w:rPr>
      </w:pPr>
      <w:r>
        <w:rPr>
          <w:noProof/>
        </w:rPr>
        <w:t>Článok 3</w:t>
      </w:r>
    </w:p>
    <w:p w:rsidR="00617FE3" w:rsidRDefault="00D77A23">
      <w:pPr>
        <w:rPr>
          <w:noProof/>
        </w:rPr>
      </w:pPr>
      <w:r>
        <w:rPr>
          <w:noProof/>
        </w:rPr>
        <w:t>Táto smernica je určená členským štátom.</w:t>
      </w:r>
    </w:p>
    <w:p w:rsidR="00617FE3" w:rsidRDefault="00D77A23">
      <w:pPr>
        <w:pStyle w:val="Fait"/>
        <w:rPr>
          <w:noProof/>
        </w:rPr>
      </w:pPr>
      <w:r>
        <w:rPr>
          <w:noProof/>
        </w:rPr>
        <w:t>V Bruseli</w:t>
      </w:r>
    </w:p>
    <w:p w:rsidR="00617FE3" w:rsidRDefault="00D77A23">
      <w:pPr>
        <w:pStyle w:val="Institutionquisigne"/>
        <w:rPr>
          <w:noProof/>
        </w:rPr>
      </w:pPr>
      <w:r>
        <w:rPr>
          <w:noProof/>
        </w:rPr>
        <w:tab/>
        <w:t>Za Radu</w:t>
      </w:r>
    </w:p>
    <w:p w:rsidR="00617FE3" w:rsidRDefault="00D77A23">
      <w:pPr>
        <w:pStyle w:val="Personnequisigne"/>
        <w:rPr>
          <w:noProof/>
        </w:rPr>
      </w:pPr>
      <w:r>
        <w:rPr>
          <w:noProof/>
        </w:rPr>
        <w:tab/>
        <w:t>predseda</w:t>
      </w:r>
    </w:p>
    <w:sectPr w:rsidR="00617FE3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E3" w:rsidRDefault="00D77A23">
      <w:pPr>
        <w:spacing w:before="0" w:after="0"/>
      </w:pPr>
      <w:r>
        <w:separator/>
      </w:r>
    </w:p>
  </w:endnote>
  <w:endnote w:type="continuationSeparator" w:id="0">
    <w:p w:rsidR="00617FE3" w:rsidRDefault="00D77A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E3" w:rsidRDefault="00D77A23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proofErr w:type="spellStart"/>
    <w:r>
      <w:rPr>
        <w:rFonts w:ascii="Arial" w:hAnsi="Arial" w:cs="Arial"/>
        <w:b/>
        <w:sz w:val="48"/>
      </w:rPr>
      <w:t>SK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E3" w:rsidRDefault="00D77A23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E3" w:rsidRDefault="00617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E3" w:rsidRDefault="00D77A23">
      <w:pPr>
        <w:spacing w:before="0" w:after="0"/>
      </w:pPr>
      <w:r>
        <w:separator/>
      </w:r>
    </w:p>
  </w:footnote>
  <w:footnote w:type="continuationSeparator" w:id="0">
    <w:p w:rsidR="00617FE3" w:rsidRDefault="00D77A23">
      <w:pPr>
        <w:spacing w:before="0" w:after="0"/>
      </w:pPr>
      <w:r>
        <w:continuationSeparator/>
      </w:r>
    </w:p>
  </w:footnote>
  <w:footnote w:id="1">
    <w:p w:rsidR="00617FE3" w:rsidRDefault="00D77A23"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Smernica Rady 2014/48/EÚ z 24. marca 2014, ktorou sa mení smernica 2003/48/ES o zdaňovaní príjmu z úspor v podobe výplaty úrokov (Ú. v. EÚ L 111</w:t>
      </w:r>
      <w:r>
        <w:t>, 15.4.2014, s. 50).</w:t>
      </w:r>
    </w:p>
  </w:footnote>
  <w:footnote w:id="2">
    <w:p w:rsidR="00617FE3" w:rsidRDefault="00D77A23"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</w:r>
      <w:r>
        <w:t>Smernica Rady 2014/107/EÚ z 9. decembra 2014, ktorou sa mení smernica 2011/16/EÚ, pokiaľ ide o povinnú automatickú výmenu informácií v oblasti daní (Ú. v. EÚ L 359, 16.12.2014, s. 1).</w:t>
      </w:r>
    </w:p>
  </w:footnote>
  <w:footnote w:id="3">
    <w:p w:rsidR="00617FE3" w:rsidRDefault="00D77A23">
      <w:pPr>
        <w:pStyle w:val="FootnoteText"/>
      </w:pPr>
      <w:r>
        <w:rPr>
          <w:rStyle w:val="FootnoteReference"/>
        </w:rPr>
        <w:footnoteRef/>
      </w:r>
      <w:r>
        <w:tab/>
      </w:r>
      <w:r>
        <w:t>Smernica Rady 2003/48/ES z 3. júna 2003 o zdaňo</w:t>
      </w:r>
      <w:r>
        <w:t>vaní príjmov z úspor v podobe výplaty úrokov (Ú. v. EÚ L 157, 26.6.2003, s. 38).</w:t>
      </w:r>
    </w:p>
  </w:footnote>
  <w:footnote w:id="4">
    <w:p w:rsidR="00617FE3" w:rsidRDefault="00D77A23">
      <w:pPr>
        <w:pStyle w:val="FootnoteText"/>
      </w:pPr>
      <w:r>
        <w:rPr>
          <w:rStyle w:val="FootnoteReference"/>
        </w:rPr>
        <w:footnoteRef/>
      </w:r>
      <w:r>
        <w:tab/>
      </w:r>
      <w:r>
        <w:t>Smernica Rady 2011/16/EÚ z 15. februára 2011 o administratívnej spolupráci v oblasti daní a zrušení smernice 77/799/EHS (Ú. v. EÚ L 64, 11.3.2011, s. 1).</w:t>
      </w:r>
    </w:p>
  </w:footnote>
  <w:footnote w:id="5">
    <w:p w:rsidR="00617FE3" w:rsidRDefault="00D77A23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Smernica Rady </w:t>
      </w:r>
      <w:r>
        <w:t>2014/107/EÚ z 9. decembra 2014, ktorou sa mení smernica 2011/16/EÚ, pokiaľ ide o povinnú automatickú výmenu informácií v oblasti daní (Ú. v. EÚ L 359, 16.12.2014, s. 1).</w:t>
      </w:r>
    </w:p>
  </w:footnote>
  <w:footnote w:id="6">
    <w:p w:rsidR="00617FE3" w:rsidRDefault="00D77A23">
      <w:pPr>
        <w:pStyle w:val="FootnoteText"/>
      </w:pPr>
      <w:r>
        <w:rPr>
          <w:rStyle w:val="FootnoteReference"/>
        </w:rPr>
        <w:footnoteRef/>
      </w:r>
      <w:r>
        <w:tab/>
      </w:r>
      <w:r>
        <w:t>Smernica Rady 2014/48/EÚ z 24. marca 2014, ktorou sa mení smernica 2003/48/ES o zdaň</w:t>
      </w:r>
      <w:r>
        <w:t>ovaní príjmu z úspor v podobe výplaty úrokov (Ú. v. EÚ L 111, 15.4.2014, s. 50).</w:t>
      </w:r>
    </w:p>
  </w:footnote>
  <w:footnote w:id="7">
    <w:p w:rsidR="00617FE3" w:rsidRDefault="00D77A23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Smernica Rady 2006/98/ES z 20. novembra 2006, ktorou sa z dôvodu pristúpenia Bulharska a Rumunska upravujú určité smernice v oblasti zdaňovania (Ú. v. EÚ L 363, 20.12.2006, </w:t>
      </w:r>
      <w:r>
        <w:t>s. 129).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C5AF2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E5A80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5762B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C082F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67C09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2F250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076D1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14258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3-19 10:21:4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Yellow"/>
    <w:docVar w:name="DQCVersion" w:val="2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037F370AF83C47529493245471BAD1FF"/>
    <w:docVar w:name="LW_CROSSREFERENCE" w:val="&lt;UNUSED&gt;"/>
    <w:docVar w:name="LW_DocType" w:val="COM"/>
    <w:docVar w:name="LW_EMISSION" w:val="18. 3. 2015"/>
    <w:docVar w:name="LW_EMISSION_ISODATE" w:val="2015-03-18"/>
    <w:docVar w:name="LW_EMISSION_LOCATION" w:val="BRX"/>
    <w:docVar w:name="LW_EMISSION_PREFIX" w:val="V Bruseli"/>
    <w:docVar w:name="LW_EMISSION_SUFFIX" w:val=" "/>
    <w:docVar w:name="LW_ID_DOCMODEL" w:val="SJ-017"/>
    <w:docVar w:name="LW_ID_DOCSIGNATURE" w:val="SJ-017"/>
    <w:docVar w:name="LW_ID_DOCSTRUCTURE" w:val="COM/PL/ORG"/>
    <w:docVar w:name="LW_ID_DOCTYPE" w:val="SJ-017"/>
    <w:docVar w:name="LW_ID_STATUT" w:val="SJ-017"/>
    <w:docVar w:name="LW_INTERETEEE.CP" w:val="&lt;UNUSED&gt;"/>
    <w:docVar w:name="LW_LANGUE" w:val="SK"/>
    <w:docVar w:name="LW_MARKING" w:val="&lt;UNUSED&gt;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CNS"/>
    <w:docVar w:name="LW_REF.II.NEW.CP_NUMBER" w:val="0065"/>
    <w:docVar w:name="LW_REF.II.NEW.CP_YEAR" w:val="2015"/>
    <w:docVar w:name="LW_REF.INST.NEW" w:val="COM"/>
    <w:docVar w:name="LW_REF.INST.NEW_ADOPTED" w:val="final"/>
    <w:docVar w:name="LW_REF.INST.NEW_TEXT" w:val="(2015) 129"/>
    <w:docVar w:name="LW_REF.INTERNE" w:val="&lt;UNUSED&gt;"/>
    <w:docVar w:name="LW_SOUS.TITRE.OBJ.CP" w:val="&lt;UNUSED&gt;"/>
    <w:docVar w:name="LW_STATUT.CP" w:val="Návrh"/>
    <w:docVar w:name="LW_SUPERTITRE" w:val="&lt;UNUSED&gt;"/>
    <w:docVar w:name="LW_TITRE.OBJ.CP" w:val="ktorou sa zru\u353?uje smernica Rady 2003/48/ES"/>
    <w:docVar w:name="LW_TYPE.DOC.CP" w:val="SMERNICA RADY,"/>
  </w:docVars>
  <w:rsids>
    <w:rsidRoot w:val="00617FE3"/>
    <w:rsid w:val="00617FE3"/>
    <w:rsid w:val="00D7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35B4-0A96-4686-BD7A-726360B8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11</Pages>
  <Words>4218</Words>
  <Characters>24804</Characters>
  <Application>Microsoft Office Word</Application>
  <DocSecurity>0</DocSecurity>
  <Lines>387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PAREDES ECHAURI Cristina (CAB-ALMUNIA)</cp:lastModifiedBy>
  <cp:revision>19</cp:revision>
  <dcterms:created xsi:type="dcterms:W3CDTF">2015-03-18T13:12:00Z</dcterms:created>
  <dcterms:modified xsi:type="dcterms:W3CDTF">2015-03-19T09:33:00Z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20141001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SJ-017</vt:lpwstr>
  </property>
  <property fmtid="{D5CDD505-2E9C-101B-9397-08002B2CF9AE}" pid="10" name="DQCStatus">
    <vt:lpwstr>Yellow (DQC version 02)</vt:lpwstr>
  </property>
</Properties>
</file>