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BD" w:rsidRDefault="00FD0A5C">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9AFC3E7034C40CD9782F3557A3C4E17" style="width:450.75pt;height:366pt">
            <v:imagedata r:id="rId12" o:title=""/>
          </v:shape>
        </w:pict>
      </w:r>
    </w:p>
    <w:p w:rsidR="00051BBD" w:rsidRDefault="00051BBD">
      <w:pPr>
        <w:rPr>
          <w:noProof/>
        </w:rPr>
        <w:sectPr w:rsidR="00051BBD">
          <w:footerReference w:type="default" r:id="rId13"/>
          <w:pgSz w:w="11907" w:h="16839"/>
          <w:pgMar w:top="1134" w:right="1417" w:bottom="1134" w:left="1417" w:header="709" w:footer="709" w:gutter="0"/>
          <w:pgNumType w:start="1"/>
          <w:cols w:space="720"/>
          <w:docGrid w:linePitch="360"/>
        </w:sectPr>
      </w:pPr>
    </w:p>
    <w:p w:rsidR="00051BBD" w:rsidRDefault="00FD0A5C">
      <w:pPr>
        <w:pStyle w:val="Exposdesmotifstitre"/>
        <w:rPr>
          <w:noProof/>
        </w:rPr>
      </w:pPr>
      <w:r>
        <w:rPr>
          <w:noProof/>
        </w:rPr>
        <w:lastRenderedPageBreak/>
        <w:t>BEGRUNDELSE</w:t>
      </w:r>
    </w:p>
    <w:p w:rsidR="00051BBD" w:rsidRDefault="00FD0A5C">
      <w:pPr>
        <w:pStyle w:val="ManualHeading1"/>
        <w:rPr>
          <w:noProof/>
        </w:rPr>
      </w:pPr>
      <w:r>
        <w:rPr>
          <w:noProof/>
        </w:rPr>
        <w:t>1.</w:t>
      </w:r>
      <w:r>
        <w:rPr>
          <w:noProof/>
        </w:rPr>
        <w:tab/>
        <w:t>BAGGRUND FOR FORSLAGET</w:t>
      </w:r>
    </w:p>
    <w:p w:rsidR="00051BBD" w:rsidRDefault="00FD0A5C">
      <w:pPr>
        <w:pStyle w:val="ManualHeading2"/>
        <w:rPr>
          <w:noProof/>
        </w:rPr>
      </w:pPr>
      <w:r>
        <w:rPr>
          <w:noProof/>
        </w:rPr>
        <w:t>1.1.</w:t>
      </w:r>
      <w:r>
        <w:rPr>
          <w:noProof/>
        </w:rPr>
        <w:tab/>
        <w:t>Generel baggrund</w:t>
      </w:r>
    </w:p>
    <w:p w:rsidR="00051BBD" w:rsidRDefault="00FD0A5C">
      <w:pPr>
        <w:spacing w:after="0"/>
        <w:rPr>
          <w:noProof/>
        </w:rPr>
      </w:pPr>
      <w:r>
        <w:rPr>
          <w:noProof/>
        </w:rPr>
        <w:t xml:space="preserve">Virksomheder har sædvanligvis anset </w:t>
      </w:r>
      <w:r>
        <w:rPr>
          <w:noProof/>
        </w:rPr>
        <w:t>skatteplanlægning for at være legitim ud fra den betragtning, at de benytter retlige ordninger til at mindske deres skattetilsvar. Men skatteplanlægning er blevet mere vidtrækkende i de senere år og breder sig over flere jurisdiktioner, og skattepligtig fo</w:t>
      </w:r>
      <w:r>
        <w:rPr>
          <w:noProof/>
        </w:rPr>
        <w:t>rtjeneste flyttes til stater, som har gunstige skatteordninger. Denne "aggressive" form for skatteplanlægning kan antage mange forskellige former og kan f.eks. bestå i at udnytte de tekniske aspekter i et skattesystem eller divergenser mellem to eller fler</w:t>
      </w:r>
      <w:r>
        <w:rPr>
          <w:noProof/>
        </w:rPr>
        <w:t>e skattesystemer til at skulle betale mindre skat eller til helt at undgå at betale skat. Konsekvenserne heraf kan være dobbelte fradrag (f.eks. at den samme udgift fradrages i både kildestaten og bopælsstaten) og dobbelt ikkebeskatning (f.eks. at indkomst</w:t>
      </w:r>
      <w:r>
        <w:rPr>
          <w:noProof/>
        </w:rPr>
        <w:t xml:space="preserve"> ikke beskattes i hverken kildestaten eller i den stat, hvor modtageren har sin bopæl)</w:t>
      </w:r>
      <w:r>
        <w:rPr>
          <w:rStyle w:val="FootnoteReference"/>
          <w:noProof/>
        </w:rPr>
        <w:footnoteReference w:id="1"/>
      </w:r>
      <w:r>
        <w:rPr>
          <w:noProof/>
        </w:rPr>
        <w:t>. Dette bliver i mange tilfælde understøttet af afgørelser, som udstedes af nationale administrationer, og som over for et selskab bekræfter, hvordan en specifik transak</w:t>
      </w:r>
      <w:r>
        <w:rPr>
          <w:noProof/>
        </w:rPr>
        <w:t>tion vil blive beskattet i henhold til eksisterende lovgivning, hvorved de giver en retssikkerhed for den struktur, der er indført. Selv om medlemsstaterne er forpligtede til at sikre, at de skatteafgørelser, som de udsteder, er i overensstemmelse med eksi</w:t>
      </w:r>
      <w:r>
        <w:rPr>
          <w:noProof/>
        </w:rPr>
        <w:t xml:space="preserve">sterende EU-lovgivning og national lovgivning, kan den manglende gennemsigtighed ved sådanne afgørelser indvirke på andre lande, som har tilknytning til dem, der begunstiges af aftalerne. </w:t>
      </w:r>
    </w:p>
    <w:p w:rsidR="00051BBD" w:rsidRDefault="00FD0A5C">
      <w:pPr>
        <w:rPr>
          <w:noProof/>
        </w:rPr>
      </w:pPr>
      <w:r>
        <w:rPr>
          <w:noProof/>
        </w:rPr>
        <w:t>Skatteundgåelse har ligesom skattesvig og skatteunddragelse en vigt</w:t>
      </w:r>
      <w:r>
        <w:rPr>
          <w:noProof/>
        </w:rPr>
        <w:t>ig grænseoverskridende dimension. Globalisering og stigende mobilitet blandt skatteydere kan gøre det vanskeligt for medlemsstaterne at ansætte skattegrundlaget korrekt.  Dette fænomen kan påvirke beskatningssystemernes funktion og føre til skatteundgåelse</w:t>
      </w:r>
      <w:r>
        <w:rPr>
          <w:noProof/>
        </w:rPr>
        <w:t xml:space="preserve"> og skatteunddragelse og dermed være til skade for det indre markeds funktion. </w:t>
      </w:r>
    </w:p>
    <w:p w:rsidR="00051BBD" w:rsidRDefault="00FD0A5C">
      <w:pPr>
        <w:rPr>
          <w:noProof/>
        </w:rPr>
      </w:pPr>
      <w:r>
        <w:rPr>
          <w:noProof/>
        </w:rPr>
        <w:t>Derfor kan medlemsstaterne kun afhjælpe dette problem, hvis de bliver enige om at handle i fællesskab. En forbedring af det administrative samarbejde mellem medlemsstaternes sk</w:t>
      </w:r>
      <w:r>
        <w:rPr>
          <w:noProof/>
        </w:rPr>
        <w:t>atteadministrationer er således et af hovedmålene for Kommissionens strategi.</w:t>
      </w:r>
    </w:p>
    <w:p w:rsidR="00051BBD" w:rsidRDefault="00FD0A5C">
      <w:pPr>
        <w:rPr>
          <w:noProof/>
          <w:szCs w:val="24"/>
        </w:rPr>
      </w:pPr>
      <w:r>
        <w:rPr>
          <w:noProof/>
        </w:rPr>
        <w:t xml:space="preserve">Rådets direktiv 2011/16/EU blev vedtaget for at erstatte et tidligere direktiv om bistand mellem medlemsstaterne (Rådets direktiv 77/799/EØF) som en reaktion på medlemsstaternes </w:t>
      </w:r>
      <w:r>
        <w:rPr>
          <w:noProof/>
        </w:rPr>
        <w:t>behov for øget administrativt samarbejde på beskatningsområdet.</w:t>
      </w:r>
    </w:p>
    <w:p w:rsidR="00051BBD" w:rsidRDefault="00FD0A5C">
      <w:pPr>
        <w:rPr>
          <w:noProof/>
        </w:rPr>
      </w:pPr>
      <w:r>
        <w:rPr>
          <w:noProof/>
        </w:rPr>
        <w:t>Formålet med nærværende forslag er at sikre, at direktiv 2011/16/EU har regler for et omfattende og effektivt administrativt samarbejde mellem skatteadministrationer, som kræver obligatorisk a</w:t>
      </w:r>
      <w:r>
        <w:rPr>
          <w:noProof/>
        </w:rPr>
        <w:t>utomatisk udveksling af oplysninger om forhåndsgodkendte grænseoverskridende afgørelser og forhåndsgodkendte prisfastsættelsesordninger, en særlig type forhåndsgodkendt grænseoverskridende afgørelse, der anvendes i forbindelse med interne afregningspriser.</w:t>
      </w:r>
      <w:r>
        <w:rPr>
          <w:noProof/>
        </w:rPr>
        <w:t xml:space="preserve"> Skattestrukturer, som fører til en lav beskatning af indkomst i den medlemsstat, der udsteder afgørelsen, kan føre til, at der kun er små indkomstbeløb, som kan beskattes i andre involverede medlemsstater, hvilket er med til at udhule deres skattegrundlag</w:t>
      </w:r>
      <w:r>
        <w:rPr>
          <w:noProof/>
        </w:rPr>
        <w:t xml:space="preserve">. </w:t>
      </w:r>
    </w:p>
    <w:p w:rsidR="00051BBD" w:rsidRDefault="00FD0A5C">
      <w:pPr>
        <w:rPr>
          <w:noProof/>
        </w:rPr>
      </w:pPr>
      <w:r>
        <w:rPr>
          <w:noProof/>
        </w:rPr>
        <w:t>Forslaget kræver, at medlemsstaterne automatisk udveksler grundlæggende information om forhåndsgodkendte grænseoverskridende afgørelser og forhåndsgodkendte prisfastsættelsesordninger med alle andre medlemsstater. Dette er baseret på princippet om, at d</w:t>
      </w:r>
      <w:r>
        <w:rPr>
          <w:noProof/>
        </w:rPr>
        <w:t xml:space="preserve">et er de andre medlemsstater, som er bedst placeret til at vurdere den potentielle indvirkning og relevansen af sådanne afgørelser, snarere end den medlemsstat, som giver afgørelsen. I </w:t>
      </w:r>
      <w:r>
        <w:rPr>
          <w:noProof/>
        </w:rPr>
        <w:lastRenderedPageBreak/>
        <w:t>relevante tilfælde kan medlemsstater, der modtager informationen, anmod</w:t>
      </w:r>
      <w:r>
        <w:rPr>
          <w:noProof/>
        </w:rPr>
        <w:t xml:space="preserve">e om mere detaljerede oplysninger. </w:t>
      </w:r>
    </w:p>
    <w:p w:rsidR="00051BBD" w:rsidRDefault="00FD0A5C">
      <w:pPr>
        <w:rPr>
          <w:noProof/>
        </w:rPr>
      </w:pPr>
      <w:r>
        <w:rPr>
          <w:noProof/>
        </w:rPr>
        <w:t>Forslaget er blevet specifikt udformet, så den automatiske informationsudveksling om aftaler kan bygge på eksisterende regler i direktiv 2011/16/EU vedrørende de praktiske ordninger for udveksling af information, bl.a. b</w:t>
      </w:r>
      <w:r>
        <w:rPr>
          <w:noProof/>
        </w:rPr>
        <w:t>rugen af standardformularer. Det er også på linje med den internationale udvikling inden for OECD og OECD’s arbejde med BEPS.</w:t>
      </w:r>
    </w:p>
    <w:p w:rsidR="00051BBD" w:rsidRDefault="00FD0A5C">
      <w:pPr>
        <w:rPr>
          <w:noProof/>
        </w:rPr>
      </w:pPr>
      <w:r>
        <w:rPr>
          <w:noProof/>
        </w:rPr>
        <w:t>I løbet af 2012 gennemgik Gruppen vedrørende Adfærdskodeksen (erhvervsbeskatning)</w:t>
      </w:r>
      <w:r>
        <w:rPr>
          <w:rStyle w:val="FootnoteReference"/>
          <w:noProof/>
        </w:rPr>
        <w:footnoteReference w:id="2"/>
      </w:r>
      <w:r>
        <w:rPr>
          <w:noProof/>
        </w:rPr>
        <w:t xml:space="preserve"> udviklingen i medlemsstaternes procedurer for s</w:t>
      </w:r>
      <w:r>
        <w:rPr>
          <w:noProof/>
        </w:rPr>
        <w:t>katteafgørelser. Gruppen identificerede de typer af grænseoverskridende afgørelser, som der burde udveksles oplysninger om spontant, og anbefalede, at der blev udformet en "standardinstruktion", som medlemsstaterne vil kunne anvende som reference til inter</w:t>
      </w:r>
      <w:r>
        <w:rPr>
          <w:noProof/>
        </w:rPr>
        <w:t>n brug</w:t>
      </w:r>
      <w:r>
        <w:rPr>
          <w:rStyle w:val="FootnoteReference"/>
          <w:noProof/>
        </w:rPr>
        <w:footnoteReference w:id="3"/>
      </w:r>
      <w:r>
        <w:rPr>
          <w:noProof/>
        </w:rPr>
        <w:t xml:space="preserve">. Ifølge standardinstruktionen bør information om grænseoverskridende afgørelser sendes spontant som anført i artikel 9 i direktiv 2011/16/EU ved anvendelse af elektroniske standardformularer og elektroniske medier som anført i direktivet, og dette </w:t>
      </w:r>
      <w:r>
        <w:rPr>
          <w:noProof/>
        </w:rPr>
        <w:t>senest en måned, efter at afgørelsen er udstedt på linje med fristen i artikel 10 i direktivet. Ifølge instruktionen skal medlemsstaterne sørge for, at der er kommunikationskanaler til rådighed herfor mellem medlemsstaterne, og at der bliver givet god udda</w:t>
      </w:r>
      <w:r>
        <w:rPr>
          <w:noProof/>
        </w:rPr>
        <w:t>nnelse og vejledning i forhold vedrørende disse afgørelser. Den giver også vejledning i, hvilket indhold der skal være i den information, der sendes spontant. Men standardinstruktionen er ikke retligt bindende. Der er i praksis kun lidt informationsudveksl</w:t>
      </w:r>
      <w:r>
        <w:rPr>
          <w:noProof/>
        </w:rPr>
        <w:t xml:space="preserve">ing mellem medlemsstaterne om deres skatteafgørelser eller ordninger om interne afregningspriser, selv når disse har en indvirkning på andre lande. </w:t>
      </w:r>
    </w:p>
    <w:p w:rsidR="00051BBD" w:rsidRDefault="00FD0A5C">
      <w:pPr>
        <w:rPr>
          <w:noProof/>
        </w:rPr>
      </w:pPr>
      <w:r>
        <w:rPr>
          <w:noProof/>
        </w:rPr>
        <w:t>Derfor forekommer det nødvendigt, at der inden for EU bliver en mere systematisk, bindende tilgang til info</w:t>
      </w:r>
      <w:r>
        <w:rPr>
          <w:noProof/>
        </w:rPr>
        <w:t>rmationsudveksling om afgørelser, således at der er sikkerhed for, at når en medlemsstat godkender en skatteafgørelse eller en ordning om interne afregningspriser, vil enhver anden medlemsstat, der påvirkes heraf, kunne træffe alle hermed forbundne nødvend</w:t>
      </w:r>
      <w:r>
        <w:rPr>
          <w:noProof/>
        </w:rPr>
        <w:t xml:space="preserve">ige foranstaltninger. </w:t>
      </w:r>
    </w:p>
    <w:p w:rsidR="00051BBD" w:rsidRDefault="00FD0A5C">
      <w:pPr>
        <w:rPr>
          <w:noProof/>
        </w:rPr>
      </w:pPr>
      <w:r>
        <w:rPr>
          <w:noProof/>
        </w:rPr>
        <w:t>Kommissionen forpligtede sig den 16. december 2014 til at komme med et sådant forslag om automatisk udveksling af oplysninger om grænseoverskridende afgørelser, og dette er afspejlet i Kommissionens arbejdsprogram for 2015</w:t>
      </w:r>
      <w:r>
        <w:rPr>
          <w:rStyle w:val="FootnoteReference"/>
          <w:noProof/>
        </w:rPr>
        <w:footnoteReference w:id="4"/>
      </w:r>
      <w:r>
        <w:rPr>
          <w:noProof/>
        </w:rPr>
        <w:t>.</w:t>
      </w:r>
    </w:p>
    <w:p w:rsidR="00051BBD" w:rsidRDefault="00FD0A5C">
      <w:pPr>
        <w:pStyle w:val="ManualHeading1"/>
        <w:rPr>
          <w:noProof/>
        </w:rPr>
      </w:pPr>
      <w:r>
        <w:rPr>
          <w:noProof/>
        </w:rPr>
        <w:t>2.</w:t>
      </w:r>
      <w:r>
        <w:rPr>
          <w:noProof/>
        </w:rPr>
        <w:tab/>
        <w:t>RESUL</w:t>
      </w:r>
      <w:r>
        <w:rPr>
          <w:noProof/>
        </w:rPr>
        <w:t>TAT AF HØRINGER AF INTERESSEREDE PARTER OG KONSEKVENSANALYSER</w:t>
      </w:r>
    </w:p>
    <w:p w:rsidR="00051BBD" w:rsidRDefault="00FD0A5C">
      <w:pPr>
        <w:pStyle w:val="ManualHeading2"/>
        <w:rPr>
          <w:noProof/>
        </w:rPr>
      </w:pPr>
      <w:r>
        <w:rPr>
          <w:noProof/>
        </w:rPr>
        <w:t>2.1.</w:t>
      </w:r>
      <w:r>
        <w:rPr>
          <w:noProof/>
        </w:rPr>
        <w:tab/>
        <w:t>Høringer i forbindelse med handlingsplanen om skattesvig og skatteunddragelse og med henstillinger (COM(2012) 722) og andre fora</w:t>
      </w:r>
    </w:p>
    <w:p w:rsidR="00051BBD" w:rsidRDefault="00FD0A5C">
      <w:pPr>
        <w:rPr>
          <w:noProof/>
        </w:rPr>
      </w:pPr>
      <w:r>
        <w:rPr>
          <w:noProof/>
        </w:rPr>
        <w:t>Europa-Parlamentet vedtog den 21. maj 2013 en beslutning</w:t>
      </w:r>
      <w:r>
        <w:rPr>
          <w:rStyle w:val="FootnoteReference"/>
          <w:noProof/>
        </w:rPr>
        <w:footnoteReference w:id="5"/>
      </w:r>
      <w:r>
        <w:rPr>
          <w:noProof/>
        </w:rPr>
        <w:t>, h</w:t>
      </w:r>
      <w:r>
        <w:rPr>
          <w:noProof/>
        </w:rPr>
        <w:t>vori det glædede sig over Kommissionens handlingsplan og dens henstillinger og opfordrede medlemsstaterne til at følge op på deres forpligtelser og tage imod handlingsplanen. Og det understregede, at EU burde indtage en ledende rolle i globale drøftelser o</w:t>
      </w:r>
      <w:r>
        <w:rPr>
          <w:noProof/>
        </w:rPr>
        <w:t>m bekæmpelse af skattesvig, skatteundgåelse og skattely, navnlig med hensyn til at fremme udveksling af oplysninger.</w:t>
      </w:r>
    </w:p>
    <w:p w:rsidR="00051BBD" w:rsidRDefault="00FD0A5C">
      <w:pPr>
        <w:rPr>
          <w:noProof/>
        </w:rPr>
      </w:pPr>
      <w:r>
        <w:rPr>
          <w:noProof/>
        </w:rPr>
        <w:lastRenderedPageBreak/>
        <w:t>Det Europæiske Økonomiske og Sociale Udvalg vedtog en udtalelse den 17. april 2013</w:t>
      </w:r>
      <w:r>
        <w:rPr>
          <w:rStyle w:val="FootnoteReference"/>
          <w:noProof/>
        </w:rPr>
        <w:footnoteReference w:id="6"/>
      </w:r>
      <w:r>
        <w:rPr>
          <w:noProof/>
        </w:rPr>
        <w:t xml:space="preserve">.  Udvalget bakkede op om Kommissionens handlingsplan og støttede Kommissionen i dens bestræbelser på at finde praktiske løsninger, der kunne mindske skattesvig og skatteunddragelse. </w:t>
      </w:r>
    </w:p>
    <w:p w:rsidR="00051BBD" w:rsidRDefault="00FD0A5C">
      <w:pPr>
        <w:rPr>
          <w:noProof/>
        </w:rPr>
      </w:pPr>
      <w:r>
        <w:rPr>
          <w:noProof/>
        </w:rPr>
        <w:t>I de senere år har medlemsstaterne arbejdet i Gruppen vedrørende Adfærds</w:t>
      </w:r>
      <w:r>
        <w:rPr>
          <w:noProof/>
        </w:rPr>
        <w:t>kodeksen på at forbedre udvekslingen af information om grænseoverskridende afgørelser og om interne afregningspriser. Konklusionerne fra Gruppen vedrørende Adfærdskodeksen er blevet sendt til Rådet med jævne mellemrun i form af rapporter</w:t>
      </w:r>
      <w:r>
        <w:rPr>
          <w:rStyle w:val="FootnoteReference"/>
          <w:noProof/>
        </w:rPr>
        <w:footnoteReference w:id="7"/>
      </w:r>
      <w:r>
        <w:rPr>
          <w:noProof/>
        </w:rPr>
        <w:t xml:space="preserve">. </w:t>
      </w:r>
    </w:p>
    <w:p w:rsidR="00051BBD" w:rsidRDefault="00FD0A5C">
      <w:pPr>
        <w:pStyle w:val="ManualHeading2"/>
        <w:rPr>
          <w:noProof/>
        </w:rPr>
      </w:pPr>
      <w:r>
        <w:rPr>
          <w:noProof/>
        </w:rPr>
        <w:t>2.2.</w:t>
      </w:r>
      <w:r>
        <w:rPr>
          <w:noProof/>
        </w:rPr>
        <w:tab/>
        <w:t>Medlemssta</w:t>
      </w:r>
      <w:r>
        <w:rPr>
          <w:noProof/>
        </w:rPr>
        <w:t>ter</w:t>
      </w:r>
    </w:p>
    <w:p w:rsidR="00051BBD" w:rsidRDefault="00FD0A5C">
      <w:pPr>
        <w:rPr>
          <w:noProof/>
        </w:rPr>
      </w:pPr>
      <w:r>
        <w:rPr>
          <w:noProof/>
        </w:rPr>
        <w:t>Dette direktiv er baseret på den standardinstruktion, som medlemsstaterne blev enige om i 2014, og afspejler derfor det arbejde, der allerede er gjort af medlemsstaternes repræsentanter i flere europæiske fora. Medlemsstaterne har allerede i længere ti</w:t>
      </w:r>
      <w:r>
        <w:rPr>
          <w:noProof/>
        </w:rPr>
        <w:t xml:space="preserve">d drøftet princippet om informationsudveksling i forbindelse med skatteafgørelser, men dette har endnu ikke ført til en effektiv ramme for en sådan udveksling. </w:t>
      </w:r>
    </w:p>
    <w:p w:rsidR="00051BBD" w:rsidRDefault="00FD0A5C">
      <w:pPr>
        <w:pStyle w:val="ManualHeading2"/>
        <w:rPr>
          <w:noProof/>
        </w:rPr>
      </w:pPr>
      <w:r>
        <w:rPr>
          <w:noProof/>
        </w:rPr>
        <w:t>2.3.</w:t>
      </w:r>
      <w:r>
        <w:rPr>
          <w:noProof/>
        </w:rPr>
        <w:tab/>
        <w:t>Nærhedsprincippet og proportionalitetsprincippet</w:t>
      </w:r>
    </w:p>
    <w:p w:rsidR="00051BBD" w:rsidRDefault="00FD0A5C">
      <w:pPr>
        <w:rPr>
          <w:noProof/>
        </w:rPr>
      </w:pPr>
      <w:r>
        <w:rPr>
          <w:noProof/>
        </w:rPr>
        <w:t>Dette forslag er i overensstemmelse med n</w:t>
      </w:r>
      <w:r>
        <w:rPr>
          <w:noProof/>
        </w:rPr>
        <w:t>ærhedsprincippet og proportionalitetsprincippet som fastsat i artikel 5, henholdsvis stk. 3 og 4, i traktaten om Den Europæiske Union.</w:t>
      </w:r>
    </w:p>
    <w:p w:rsidR="00051BBD" w:rsidRDefault="00FD0A5C">
      <w:pPr>
        <w:rPr>
          <w:noProof/>
        </w:rPr>
      </w:pPr>
      <w:r>
        <w:rPr>
          <w:noProof/>
        </w:rPr>
        <w:t>I henhold til artikel 115 i TEUF skal der ske indbyrdes tilnærmelse af medlemsstaternes love og administrative bestemmels</w:t>
      </w:r>
      <w:r>
        <w:rPr>
          <w:noProof/>
        </w:rPr>
        <w:t xml:space="preserve">er, der direkte indvirker på det indre markeds oprettelse eller funktion og gør tilnærmelsen af love nødvendig. </w:t>
      </w:r>
    </w:p>
    <w:p w:rsidR="00051BBD" w:rsidRDefault="00FD0A5C">
      <w:pPr>
        <w:rPr>
          <w:noProof/>
        </w:rPr>
      </w:pPr>
      <w:r>
        <w:rPr>
          <w:noProof/>
        </w:rPr>
        <w:t>Målet med at sikre, at alle medlemsstater har tilstrækkelig information om forhåndsgodkendte grænseoverskridende afgørelser og forhåndsgodkendt</w:t>
      </w:r>
      <w:r>
        <w:rPr>
          <w:noProof/>
        </w:rPr>
        <w:t xml:space="preserve">e prisfastsættelsesordninger, kan ikke i tilstrækkelig grad opfyldes gennem en ikkesamordnet indsats, som gennemføres af medlemsstaterne hver for sig. Derfor kræver udveksling af information om afgørelser, som potentielt vil kunne påvirke skattegrundlaget </w:t>
      </w:r>
      <w:r>
        <w:rPr>
          <w:noProof/>
        </w:rPr>
        <w:t>i mere end en medlemsstat, en fælles, obligatorisk tilgang. Desuden er det grænseoverskridende element en iboende del af den foreslåede foranstaltning. En effektiv information om forhåndsgodkendte grænseoverskridende afgørelser og forhåndsgodkendte prisfas</w:t>
      </w:r>
      <w:r>
        <w:rPr>
          <w:noProof/>
        </w:rPr>
        <w:t>tsættelsesordninger kan derfor kun opnås ved tiltag på EU-plan.</w:t>
      </w:r>
    </w:p>
    <w:p w:rsidR="00051BBD" w:rsidRDefault="00FD0A5C">
      <w:pPr>
        <w:autoSpaceDE w:val="0"/>
        <w:autoSpaceDN w:val="0"/>
        <w:adjustRightInd w:val="0"/>
        <w:rPr>
          <w:noProof/>
        </w:rPr>
      </w:pPr>
      <w:r>
        <w:rPr>
          <w:noProof/>
        </w:rPr>
        <w:t xml:space="preserve">Standardinstruktionen kan antages at ville forbedre situationen, men et lovgivningsgrundlag må anses for at være mere effektivt. Og så længe det er den udstedende medlemsstat, der på baggrund </w:t>
      </w:r>
      <w:r>
        <w:rPr>
          <w:noProof/>
        </w:rPr>
        <w:t>af sin egen lovramme skal vurdere relevansen af en given afgørelse for andre medlemsstater, vil der blive ved med at mangle gennemsigtighed. Skatteydere kan drage fordel af, at der ikke er fælles regler for udveksling af information, og kan oprette struktu</w:t>
      </w:r>
      <w:r>
        <w:rPr>
          <w:noProof/>
        </w:rPr>
        <w:t>rer, hvor fortjeneste flyttes til lande med lav skat, hvilket ikke nødvendigvis er de lande, hvor de økonomiske aktiviteter, der skaber fortjeneste, udøves, og hvor værdien skabes</w:t>
      </w:r>
      <w:r>
        <w:rPr>
          <w:rStyle w:val="FootnoteReference"/>
          <w:noProof/>
        </w:rPr>
        <w:footnoteReference w:id="8"/>
      </w:r>
      <w:r>
        <w:rPr>
          <w:noProof/>
        </w:rPr>
        <w:t>. Da skatteafgørelser ofte gives for grænseoverskridende strukturer, er medl</w:t>
      </w:r>
      <w:r>
        <w:rPr>
          <w:noProof/>
        </w:rPr>
        <w:t>emsstaterne afhængige af hinanden for at få et komplet billede heraf. Derfor er medlemsstater, som samarbejder med hinanden, i en bedre position end medlemsstater, der handler hver for sig, til at sikre, at systemet med udveksling af oplysninger om skattea</w:t>
      </w:r>
      <w:r>
        <w:rPr>
          <w:noProof/>
        </w:rPr>
        <w:t xml:space="preserve">fgørelser er effektivt og fyldestgørende. En harmoniseret EU-tilgang vil være mere effektiv til at sikre gennemsigtighed på skatteområdet og samarbejde mellem skatteadministrationer i kampen mod skatteundgåelse. </w:t>
      </w:r>
    </w:p>
    <w:p w:rsidR="00051BBD" w:rsidRDefault="00FD0A5C">
      <w:pPr>
        <w:rPr>
          <w:noProof/>
        </w:rPr>
      </w:pPr>
      <w:r>
        <w:rPr>
          <w:noProof/>
        </w:rPr>
        <w:t xml:space="preserve">Det specifikke problem, som der skal tages </w:t>
      </w:r>
      <w:r>
        <w:rPr>
          <w:noProof/>
        </w:rPr>
        <w:t>politisk fat om, er den manglende gennemsigtighed i skatteafgørelser med en grænseoverskridende dimension, idet det indvirker negativt på bl.a. det indre markeds funktion. Politisk kan der kun tages fat om afgørelser med et grænseoverskridende element. Det</w:t>
      </w:r>
      <w:r>
        <w:rPr>
          <w:noProof/>
        </w:rPr>
        <w:t xml:space="preserve"> skal ske ved en to trins tilgang, hvor der skal gives en grundlæggende række oplysninger som defineret i direktivet til alle EU-medlemsstater. Ved de oplysninger, der skal deles, skal der være en balance mellem, at de på den ene side skal være så kortfatt</w:t>
      </w:r>
      <w:r>
        <w:rPr>
          <w:noProof/>
        </w:rPr>
        <w:t>ede som muligt, og at den modtagende medlemsstat på den anden side har tilstrækkelig information til at kunne vurdere, om der skal anmodes om yderligere information. Det næste trin er så, at de medlemsstater, som kan påvise, at oplysningerne kan forudses a</w:t>
      </w:r>
      <w:r>
        <w:rPr>
          <w:noProof/>
        </w:rPr>
        <w:t>t være relevante for dem, kan anmode om mere detaljerede oplysninger efter de nuværende bestemmelser i direktivet. Dermed er forslaget et passende svar på det identificerede problem, fordi det begrænser sig selv til forhåndsgodkendte grænseoverskridende af</w:t>
      </w:r>
      <w:r>
        <w:rPr>
          <w:noProof/>
        </w:rPr>
        <w:t>gørelser og forhåndsgodkendte prisfastsættelsesordninger med en grænseoverskridende dimension.  Det er også baseret på den automatiske udveksling af basisinformation, som skal give den enkelte medlemsstat mulighed for at fastslå, og den skal anmode om mere</w:t>
      </w:r>
      <w:r>
        <w:rPr>
          <w:noProof/>
        </w:rPr>
        <w:t xml:space="preserve"> detaljerede oplysninger. De foreslåede ændringer går dermed ikke videre, end hvad der er nødvendigt for at afhjælpe de pågældende problemer og på den måde nå traktatens mål og en korrekt og effektiv funktion af det indre marked. </w:t>
      </w:r>
    </w:p>
    <w:p w:rsidR="00051BBD" w:rsidRDefault="00FD0A5C">
      <w:pPr>
        <w:pStyle w:val="ManualHeading2"/>
        <w:rPr>
          <w:noProof/>
        </w:rPr>
      </w:pPr>
      <w:r>
        <w:rPr>
          <w:noProof/>
        </w:rPr>
        <w:t>2.4.</w:t>
      </w:r>
      <w:r>
        <w:rPr>
          <w:noProof/>
        </w:rPr>
        <w:tab/>
        <w:t xml:space="preserve">Arbejdsdokument fra </w:t>
      </w:r>
      <w:r>
        <w:rPr>
          <w:noProof/>
        </w:rPr>
        <w:t>Kommissionens tjenestegrene</w:t>
      </w:r>
    </w:p>
    <w:p w:rsidR="00051BBD" w:rsidRDefault="00FD0A5C">
      <w:pPr>
        <w:rPr>
          <w:noProof/>
        </w:rPr>
      </w:pPr>
      <w:r>
        <w:rPr>
          <w:noProof/>
        </w:rPr>
        <w:t xml:space="preserve">I det ledsagende arbejdsdokument evalueres de politiske muligheder på grundlag af kriterierne om effektivitet, virkningsfuldhed, sammenhæng og sociale indvirkninger samt grundlæggende rettigheder. Kommissionen har udarbejdet en </w:t>
      </w:r>
      <w:r>
        <w:rPr>
          <w:noProof/>
        </w:rPr>
        <w:t xml:space="preserve">analyse af mulighederne, som kan bruges som grundlag for at vælge den rette politiske mulighed. </w:t>
      </w:r>
    </w:p>
    <w:p w:rsidR="00051BBD" w:rsidRDefault="00FD0A5C">
      <w:pPr>
        <w:pStyle w:val="ManualHeading1"/>
        <w:rPr>
          <w:noProof/>
        </w:rPr>
      </w:pPr>
      <w:r>
        <w:rPr>
          <w:noProof/>
        </w:rPr>
        <w:t>3.</w:t>
      </w:r>
      <w:r>
        <w:rPr>
          <w:noProof/>
        </w:rPr>
        <w:tab/>
        <w:t>JURIDISKE ASPEKTER AF FORSLAGET</w:t>
      </w:r>
    </w:p>
    <w:p w:rsidR="00051BBD" w:rsidRDefault="00FD0A5C">
      <w:pPr>
        <w:rPr>
          <w:noProof/>
        </w:rPr>
      </w:pPr>
      <w:r>
        <w:rPr>
          <w:noProof/>
        </w:rPr>
        <w:t>Målet med dette forslag er at sikre, at oplysninger om forhåndsgodkendte grænseoverskridende afgørelser og forhåndsgodkendte</w:t>
      </w:r>
      <w:r>
        <w:rPr>
          <w:noProof/>
        </w:rPr>
        <w:t xml:space="preserve"> prisfastsættelsesordninger automatisk bliver udvekslet mellem medlemsstaterne, når betingelserne i den nye artikel 8a er opfyldt. </w:t>
      </w:r>
    </w:p>
    <w:p w:rsidR="00051BBD" w:rsidRDefault="00FD0A5C">
      <w:pPr>
        <w:rPr>
          <w:noProof/>
        </w:rPr>
      </w:pPr>
      <w:r>
        <w:rPr>
          <w:noProof/>
        </w:rPr>
        <w:t>Med henblik herpå ændrer forslaget direktiv 2011/16/EU som ændret ved direktiv 2014/107/EU</w:t>
      </w:r>
      <w:r>
        <w:rPr>
          <w:rStyle w:val="FootnoteReference"/>
          <w:noProof/>
        </w:rPr>
        <w:footnoteReference w:id="9"/>
      </w:r>
      <w:r>
        <w:rPr>
          <w:noProof/>
        </w:rPr>
        <w:t>, ved at der indføres et specifik</w:t>
      </w:r>
      <w:r>
        <w:rPr>
          <w:noProof/>
        </w:rPr>
        <w:t xml:space="preserve">t krav om automatisk udveksling af oplysninger om forhåndsgodkendte grænseoverskridende afgørelser og forhåndsgodkendte prisfastsættelsesordninger.  </w:t>
      </w:r>
    </w:p>
    <w:p w:rsidR="00051BBD" w:rsidRDefault="00FD0A5C">
      <w:pPr>
        <w:rPr>
          <w:noProof/>
        </w:rPr>
      </w:pPr>
      <w:r>
        <w:rPr>
          <w:noProof/>
        </w:rPr>
        <w:t>Med artikel 1, stk. 3, i det foreslåede direktiv indsættes en ny artikel 8a i det eksisterende direktiv, h</w:t>
      </w:r>
      <w:r>
        <w:rPr>
          <w:noProof/>
        </w:rPr>
        <w:t>vori der er fastsat anvendelsesområde og betingelser for den obligatoriske automatiske udveksling af oplysninger om skatteafgørelser og ordninger om interne afregningspriser som defineret i det foreslåede direktiv og indsat ved artikel 1, stk. 1, i forslag</w:t>
      </w:r>
      <w:r>
        <w:rPr>
          <w:noProof/>
        </w:rPr>
        <w:t xml:space="preserve">et. Ifølge artikel 8a, stk. 1, skal de kompetente myndigheder i en medlemsstat ved automatisk udveksling meddele oplysninger om skatteafgørelser, som de udsteder eller ændrer, til de kompetente myndigheder i alle andre medlemsstater. Denne forpligtelse er </w:t>
      </w:r>
      <w:r>
        <w:rPr>
          <w:noProof/>
        </w:rPr>
        <w:t>udvidet til at omfatte afgørelser, der er udstedt inden for ti år før datoen for, hvornår det foreslåede direktiv får virkning, og som stadig er gyldige på datoen for direktivets ikrafttræden (artikel 8a, stk. 2).</w:t>
      </w:r>
    </w:p>
    <w:p w:rsidR="00051BBD" w:rsidRDefault="00FD0A5C">
      <w:pPr>
        <w:rPr>
          <w:noProof/>
        </w:rPr>
      </w:pPr>
      <w:r>
        <w:rPr>
          <w:noProof/>
        </w:rPr>
        <w:t>Med artikel 1, stk. 6, i det foreslåede di</w:t>
      </w:r>
      <w:r>
        <w:rPr>
          <w:noProof/>
        </w:rPr>
        <w:t>rektiv får Kommissionen mulighed for at oprette et sikkert centralregister med oplysninger, der skal meddeles inden for rammerne af dette forslag. Dette centralregister vil både gøre det lettere at udveksle information, og kan støtte medlemsstaterne, når d</w:t>
      </w:r>
      <w:r>
        <w:rPr>
          <w:noProof/>
        </w:rPr>
        <w:t xml:space="preserve">e skal undersøge og reagere på afgørelser, der udveksles mellem medlemsstaterne. </w:t>
      </w:r>
    </w:p>
    <w:p w:rsidR="00051BBD" w:rsidRDefault="00FD0A5C">
      <w:pPr>
        <w:rPr>
          <w:noProof/>
        </w:rPr>
      </w:pPr>
      <w:r>
        <w:rPr>
          <w:noProof/>
        </w:rPr>
        <w:t>Det foreslåede direktiv ajourfører også reglerne i direktivet fra 2011 om levering af feedback, praktiske bestemmelser om informationsudveksling og evaluering af det administ</w:t>
      </w:r>
      <w:r>
        <w:rPr>
          <w:noProof/>
        </w:rPr>
        <w:t>rative samarbejde, således at de udvides til at omfatte automatiske udveksling af oplysninger om forhåndsgodkendte grænseoverskridende afgørelser og forhåndsgodkendte prisfastsættelsesordninger.</w:t>
      </w:r>
    </w:p>
    <w:p w:rsidR="00051BBD" w:rsidRDefault="00FD0A5C">
      <w:pPr>
        <w:rPr>
          <w:noProof/>
        </w:rPr>
      </w:pPr>
      <w:r>
        <w:rPr>
          <w:noProof/>
        </w:rPr>
        <w:t>Genstanden for disse ændringer falder ind under det samme ret</w:t>
      </w:r>
      <w:r>
        <w:rPr>
          <w:noProof/>
        </w:rPr>
        <w:t>sgrundlag som direktiv 2011/16/EU, dvs. artikel 115 i traktaten om Den Europæiske Unions funktionsmåde (TEUF), der har som mål at sikre det indre markeds funktion.</w:t>
      </w:r>
    </w:p>
    <w:p w:rsidR="00051BBD" w:rsidRDefault="00FD0A5C">
      <w:pPr>
        <w:pStyle w:val="ManualHeading1"/>
        <w:rPr>
          <w:noProof/>
        </w:rPr>
      </w:pPr>
      <w:r>
        <w:rPr>
          <w:noProof/>
        </w:rPr>
        <w:t>4.</w:t>
      </w:r>
      <w:r>
        <w:rPr>
          <w:noProof/>
        </w:rPr>
        <w:tab/>
        <w:t>VIRKNINGER FOR BUDGETTET</w:t>
      </w:r>
    </w:p>
    <w:p w:rsidR="00051BBD" w:rsidRDefault="00FD0A5C">
      <w:pPr>
        <w:rPr>
          <w:noProof/>
        </w:rPr>
      </w:pPr>
      <w:r>
        <w:rPr>
          <w:noProof/>
        </w:rPr>
        <w:t>Indvirkningen af forslaget for EU-budgettet er beskrevet i den f</w:t>
      </w:r>
      <w:r>
        <w:rPr>
          <w:noProof/>
        </w:rPr>
        <w:t>inansieringsoversigt, der er vedlagt dette forslag, og den vil ligge inden for tilgængelige ressourcer.  Omkostningerne til ekstra IT-værktøjer og det mulige centralregister, som Kommissionen vil kunne udvikle senere for at lette meddelelsen af oplysninger</w:t>
      </w:r>
      <w:r>
        <w:rPr>
          <w:noProof/>
        </w:rPr>
        <w:t xml:space="preserve"> mellem medlemsstaterne og sørge for oplagring, vil blive finansieret via FISCALIS 2020-programmet, der er omhandlet i forordning (EU) nr. 1286/2013, ifølge hvilken der skal ydes finansiel støtte til aktiviteter, der kan forbedre det administrative samarbe</w:t>
      </w:r>
      <w:r>
        <w:rPr>
          <w:noProof/>
        </w:rPr>
        <w:t>jde mellem skattemyndigheder i EU.</w:t>
      </w:r>
    </w:p>
    <w:p w:rsidR="00051BBD" w:rsidRDefault="00051BBD">
      <w:pPr>
        <w:rPr>
          <w:noProof/>
        </w:rPr>
        <w:sectPr w:rsidR="00051BBD">
          <w:footerReference w:type="default" r:id="rId14"/>
          <w:footerReference w:type="first" r:id="rId15"/>
          <w:pgSz w:w="11907" w:h="16839"/>
          <w:pgMar w:top="1134" w:right="1417" w:bottom="1134" w:left="1417" w:header="709" w:footer="709" w:gutter="0"/>
          <w:cols w:space="708"/>
          <w:docGrid w:linePitch="360"/>
        </w:sectPr>
      </w:pPr>
    </w:p>
    <w:p w:rsidR="00051BBD" w:rsidRDefault="00FD0A5C">
      <w:pPr>
        <w:pStyle w:val="Rfrenceinterinstitutionnelle"/>
        <w:rPr>
          <w:noProof/>
        </w:rPr>
      </w:pPr>
      <w:r>
        <w:rPr>
          <w:noProof/>
        </w:rPr>
        <w:t>2015/0068 (CNS)</w:t>
      </w:r>
    </w:p>
    <w:p w:rsidR="00051BBD" w:rsidRDefault="00FD0A5C">
      <w:pPr>
        <w:pStyle w:val="Statut"/>
        <w:rPr>
          <w:noProof/>
        </w:rPr>
      </w:pPr>
      <w:r>
        <w:rPr>
          <w:noProof/>
        </w:rPr>
        <w:t>Forslag til</w:t>
      </w:r>
    </w:p>
    <w:p w:rsidR="00051BBD" w:rsidRDefault="00FD0A5C">
      <w:pPr>
        <w:pStyle w:val="Typedudocument"/>
        <w:rPr>
          <w:noProof/>
        </w:rPr>
      </w:pPr>
      <w:r>
        <w:rPr>
          <w:noProof/>
        </w:rPr>
        <w:t>RÅDETS DIREKTIV</w:t>
      </w:r>
    </w:p>
    <w:p w:rsidR="00051BBD" w:rsidRDefault="00FD0A5C">
      <w:pPr>
        <w:pStyle w:val="Titreobjet"/>
        <w:rPr>
          <w:noProof/>
        </w:rPr>
      </w:pPr>
      <w:r>
        <w:rPr>
          <w:noProof/>
        </w:rPr>
        <w:t>om ændring af direktiv 2011/16/EU for så vidt angår obligatorisk automatisk</w:t>
      </w:r>
      <w:r>
        <w:rPr>
          <w:noProof/>
        </w:rPr>
        <w:t xml:space="preserve"> udveksling af oplysninger på beskatningsområdet</w:t>
      </w:r>
    </w:p>
    <w:p w:rsidR="00051BBD" w:rsidRDefault="00FD0A5C">
      <w:pPr>
        <w:pStyle w:val="Institutionquiagit"/>
        <w:rPr>
          <w:noProof/>
        </w:rPr>
      </w:pPr>
      <w:r>
        <w:rPr>
          <w:noProof/>
        </w:rPr>
        <w:t>RÅDET FOR DEN EUROPÆISKE UNION HAR —</w:t>
      </w:r>
    </w:p>
    <w:p w:rsidR="00051BBD" w:rsidRDefault="00FD0A5C">
      <w:pPr>
        <w:rPr>
          <w:noProof/>
        </w:rPr>
      </w:pPr>
      <w:r>
        <w:rPr>
          <w:noProof/>
        </w:rPr>
        <w:t>under henvisning til traktaten om Den Europæiske Unions funktionsmåde, særlig artikel 115,</w:t>
      </w:r>
    </w:p>
    <w:p w:rsidR="00051BBD" w:rsidRDefault="00FD0A5C">
      <w:pPr>
        <w:rPr>
          <w:noProof/>
        </w:rPr>
      </w:pPr>
      <w:r>
        <w:rPr>
          <w:noProof/>
        </w:rPr>
        <w:t>under henvisning til forslag fra Europa-Kommissionen,</w:t>
      </w:r>
    </w:p>
    <w:p w:rsidR="00051BBD" w:rsidRDefault="00FD0A5C">
      <w:pPr>
        <w:rPr>
          <w:noProof/>
        </w:rPr>
      </w:pPr>
      <w:r>
        <w:rPr>
          <w:noProof/>
        </w:rPr>
        <w:t>efter fremsendelse af udk</w:t>
      </w:r>
      <w:r>
        <w:rPr>
          <w:noProof/>
        </w:rPr>
        <w:t>ast til lovgivningsmæssig retsakt til de nationale parlamenter,</w:t>
      </w:r>
    </w:p>
    <w:p w:rsidR="00051BBD" w:rsidRDefault="00FD0A5C">
      <w:pPr>
        <w:rPr>
          <w:noProof/>
        </w:rPr>
      </w:pPr>
      <w:r>
        <w:rPr>
          <w:noProof/>
        </w:rPr>
        <w:t>under henvisning til udtalelse fra Europa-Parlamentet</w:t>
      </w:r>
      <w:r>
        <w:rPr>
          <w:rStyle w:val="FootnoteReference"/>
          <w:noProof/>
        </w:rPr>
        <w:footnoteReference w:id="10"/>
      </w:r>
      <w:r>
        <w:rPr>
          <w:noProof/>
        </w:rPr>
        <w:t xml:space="preserve">, </w:t>
      </w:r>
    </w:p>
    <w:p w:rsidR="00051BBD" w:rsidRDefault="00FD0A5C">
      <w:pPr>
        <w:rPr>
          <w:noProof/>
        </w:rPr>
      </w:pPr>
      <w:r>
        <w:rPr>
          <w:noProof/>
        </w:rPr>
        <w:t>under henvisning til udtalelse fra Det Europæiske Økonomiske og Sociale Udvalg</w:t>
      </w:r>
      <w:r>
        <w:rPr>
          <w:rStyle w:val="FootnoteReference"/>
          <w:noProof/>
        </w:rPr>
        <w:footnoteReference w:id="11"/>
      </w:r>
      <w:r>
        <w:rPr>
          <w:noProof/>
        </w:rPr>
        <w:t xml:space="preserve">, </w:t>
      </w:r>
    </w:p>
    <w:p w:rsidR="00051BBD" w:rsidRDefault="00FD0A5C">
      <w:pPr>
        <w:rPr>
          <w:noProof/>
        </w:rPr>
      </w:pPr>
      <w:r>
        <w:rPr>
          <w:noProof/>
        </w:rPr>
        <w:t>under henvisning til udtalelse fra Regionsudvalget</w:t>
      </w:r>
      <w:r>
        <w:rPr>
          <w:rStyle w:val="FootnoteReference"/>
          <w:noProof/>
        </w:rPr>
        <w:footnoteReference w:id="12"/>
      </w:r>
      <w:r>
        <w:rPr>
          <w:noProof/>
        </w:rPr>
        <w:t xml:space="preserve">, </w:t>
      </w:r>
    </w:p>
    <w:p w:rsidR="00051BBD" w:rsidRDefault="00FD0A5C">
      <w:pPr>
        <w:rPr>
          <w:noProof/>
        </w:rPr>
      </w:pPr>
      <w:r>
        <w:rPr>
          <w:noProof/>
        </w:rPr>
        <w:t>efter en særlig lovgivningsprocedure, og</w:t>
      </w:r>
    </w:p>
    <w:p w:rsidR="00051BBD" w:rsidRDefault="00FD0A5C">
      <w:pPr>
        <w:rPr>
          <w:noProof/>
        </w:rPr>
      </w:pPr>
      <w:r>
        <w:rPr>
          <w:noProof/>
        </w:rPr>
        <w:t>ud fra følgende betragtninger:</w:t>
      </w:r>
    </w:p>
    <w:p w:rsidR="00051BBD" w:rsidRDefault="00FD0A5C">
      <w:pPr>
        <w:pStyle w:val="ManualConsidrant"/>
        <w:rPr>
          <w:noProof/>
        </w:rPr>
      </w:pPr>
      <w:r>
        <w:t>(1)</w:t>
      </w:r>
      <w:r>
        <w:tab/>
      </w:r>
      <w:r>
        <w:rPr>
          <w:noProof/>
        </w:rPr>
        <w:t>Udfordringen i forbindelse med grænseoverskridende skatteundgåelse, aggressiv skatteplanlægning og skadelig skattekonkurrence er blevet stadig større og er kommet stærkt i fokus i</w:t>
      </w:r>
      <w:r>
        <w:rPr>
          <w:noProof/>
        </w:rPr>
        <w:t>nden for Unionen og på globalt plan. En udhuling af skattegrundlaget reducerer de nationale skatteindtægter betydeligt, og det forhindrer medlemsstaterne i at anvende vækstfremmende skattepolitikker. Det er navnligt afgørelser vedrørende skattebaserede str</w:t>
      </w:r>
      <w:r>
        <w:rPr>
          <w:noProof/>
        </w:rPr>
        <w:t>ukturer, der føret til en lav beskatning af kunstigt høje indkomstbeløb i det land, der giver den forhåndsgodkendte afgørelse, hvilket kan indebære, at der er kunstigt lave beløb tilbage, som kan beskattes i andre involverede lande. Det er derfor yderst på</w:t>
      </w:r>
      <w:r>
        <w:rPr>
          <w:noProof/>
        </w:rPr>
        <w:t>trængende, at der bliver mere gennemsigtighed. De værktøjer og mekanismer, der blev indført med Rådets direktiv 2011/16/EU</w:t>
      </w:r>
      <w:r>
        <w:rPr>
          <w:rStyle w:val="FootnoteReference"/>
          <w:noProof/>
        </w:rPr>
        <w:footnoteReference w:id="13"/>
      </w:r>
      <w:r>
        <w:rPr>
          <w:noProof/>
        </w:rPr>
        <w:t xml:space="preserve">, må gøres bedre for at nå dertil. </w:t>
      </w:r>
    </w:p>
    <w:p w:rsidR="00051BBD" w:rsidRDefault="00FD0A5C">
      <w:pPr>
        <w:pStyle w:val="ManualConsidrant"/>
        <w:rPr>
          <w:noProof/>
        </w:rPr>
      </w:pPr>
      <w:r>
        <w:t>(2)</w:t>
      </w:r>
      <w:r>
        <w:tab/>
      </w:r>
      <w:r>
        <w:rPr>
          <w:noProof/>
        </w:rPr>
        <w:t>Det Europæiske Råd understregede i sine konklusioner fra 18. december 2014, at der er et akut</w:t>
      </w:r>
      <w:r>
        <w:rPr>
          <w:noProof/>
        </w:rPr>
        <w:t xml:space="preserve"> behov for at gøre fremskridt med indsatsen for at bekæmpe skatteundgåelse og aggressiv skatteplanlægning, såvel på globalt plan som på EU-plan.  Det Europæiske Råd understreger betydningen af gennemsigtighed og glædede sig over Kommissionens hensigt om at</w:t>
      </w:r>
      <w:r>
        <w:rPr>
          <w:noProof/>
        </w:rPr>
        <w:t xml:space="preserve"> forelægge et forslag om automatisk udveksling af oplysninger om afgørelser i skattespørgsmål i Unionen. </w:t>
      </w:r>
    </w:p>
    <w:p w:rsidR="00051BBD" w:rsidRDefault="00FD0A5C">
      <w:pPr>
        <w:pStyle w:val="ManualConsidrant"/>
        <w:rPr>
          <w:noProof/>
        </w:rPr>
      </w:pPr>
      <w:r>
        <w:t>(3)</w:t>
      </w:r>
      <w:r>
        <w:tab/>
      </w:r>
      <w:r>
        <w:rPr>
          <w:noProof/>
        </w:rPr>
        <w:t xml:space="preserve">Ifølge direktiv 2011/16/EU skal der ske obligatorisk udveksling af information mellem medlemsstaterne i fem specifikke tilfælde og inden for </w:t>
      </w:r>
      <w:r>
        <w:rPr>
          <w:noProof/>
        </w:rPr>
        <w:t>bestemte frister. Den spontane udveksling af information i tilfælde, hvor den kompetente myndighed i en medlemsstat har grund til at antage, at der kan være et skattetab i en anden medlemsstat, gælder allerede for skatteafgørelser, som en medlemsstat giver</w:t>
      </w:r>
      <w:r>
        <w:rPr>
          <w:noProof/>
        </w:rPr>
        <w:t xml:space="preserve"> en specifik skatteyder med hensyn til fortolkning eller anvendelse af skattebestemmelser i fremtiden, og som har en grænseoverskridende dimension.</w:t>
      </w:r>
    </w:p>
    <w:p w:rsidR="00051BBD" w:rsidRDefault="00FD0A5C">
      <w:pPr>
        <w:pStyle w:val="ManualConsidrant"/>
        <w:rPr>
          <w:noProof/>
        </w:rPr>
      </w:pPr>
      <w:r>
        <w:t>(4)</w:t>
      </w:r>
      <w:r>
        <w:tab/>
      </w:r>
      <w:r>
        <w:rPr>
          <w:noProof/>
        </w:rPr>
        <w:t>Men den egentlige, spontane udveksling af information om forhåndsgodkendte afgørelser og forhåndsgodkend</w:t>
      </w:r>
      <w:r>
        <w:rPr>
          <w:noProof/>
        </w:rPr>
        <w:t xml:space="preserve">te prisfastsættelsesordninger bliver forhindret af, at der er mange betydelige, praktiske vanskeligheder, f.eks. at det er op til den udstedende medlemsstats skøn at beslutte, hvilke andre medlemsstater der bør informeres.   </w:t>
      </w:r>
    </w:p>
    <w:p w:rsidR="00051BBD" w:rsidRDefault="00FD0A5C">
      <w:pPr>
        <w:pStyle w:val="ManualConsidrant"/>
        <w:rPr>
          <w:noProof/>
        </w:rPr>
      </w:pPr>
      <w:r>
        <w:t>(5)</w:t>
      </w:r>
      <w:r>
        <w:tab/>
      </w:r>
      <w:r>
        <w:rPr>
          <w:noProof/>
        </w:rPr>
        <w:t>Muligheden for at nægte at</w:t>
      </w:r>
      <w:r>
        <w:rPr>
          <w:noProof/>
        </w:rPr>
        <w:t xml:space="preserve"> udlevere information, hvis det vil føre til, at der videregives en erhvervsmæssig, industriel eller faglig hemmelighed, en fremstillingsmetode eller oplysninger, hvis videregivelse ville stride mod almene interesser, bør ikke gælde for bestemmelserne om o</w:t>
      </w:r>
      <w:r>
        <w:rPr>
          <w:noProof/>
        </w:rPr>
        <w:t>bligatorisk udveksling af information om forhåndsgodkendte afgørelser og forhåndsgodkendte prisfastsættelsesordninger for at undgå, at disse udvekslinger bliver mindre effektive. Den information, som der stilles krav om skal deles med alle medlemsstater, e</w:t>
      </w:r>
      <w:r>
        <w:rPr>
          <w:noProof/>
        </w:rPr>
        <w:t>r begrænset af sin natur, hvilket bør kunne sikre, at disse erhvervsmæssige interesser bliver tilstrækkeligt beskyttet.</w:t>
      </w:r>
    </w:p>
    <w:p w:rsidR="00051BBD" w:rsidRDefault="00FD0A5C">
      <w:pPr>
        <w:pStyle w:val="ManualConsidrant"/>
        <w:rPr>
          <w:noProof/>
        </w:rPr>
      </w:pPr>
      <w:r>
        <w:t>(6)</w:t>
      </w:r>
      <w:r>
        <w:tab/>
      </w:r>
      <w:r>
        <w:rPr>
          <w:noProof/>
        </w:rPr>
        <w:t>For at kunne høste fordelene ved den obligatoriske, automatiske udveksling af forhåndsgodkendte grænseoverskridende afgørelser og fo</w:t>
      </w:r>
      <w:r>
        <w:rPr>
          <w:noProof/>
        </w:rPr>
        <w:t xml:space="preserve">rhåndsgodkendte prisfastsættelsesordninger bør informationen meddeles straks efter, at de er udstedt, og derfor bør der fastlægges regelmæssige intervaller for meddelelsen af informationen. </w:t>
      </w:r>
    </w:p>
    <w:p w:rsidR="00051BBD" w:rsidRDefault="00FD0A5C">
      <w:pPr>
        <w:pStyle w:val="ManualConsidrant"/>
        <w:rPr>
          <w:noProof/>
        </w:rPr>
      </w:pPr>
      <w:r>
        <w:t>(7)</w:t>
      </w:r>
      <w:r>
        <w:tab/>
      </w:r>
      <w:r>
        <w:rPr>
          <w:noProof/>
        </w:rPr>
        <w:t>Den obligatoriske udveksling om forhåndsgodkendte grænseovers</w:t>
      </w:r>
      <w:r>
        <w:rPr>
          <w:noProof/>
        </w:rPr>
        <w:t>kridende afgørelser og forhåndsgodkendte prisfastsættelsesordninger bør i hvert enkelt tilfælde indebære, at der skal meddeles et nærmere fastsat sæt af basisoplysninger til alle medlemsstater. Kommissionen bør vedtage alle foranstaltninger, der måtte være</w:t>
      </w:r>
      <w:r>
        <w:rPr>
          <w:noProof/>
        </w:rPr>
        <w:t xml:space="preserve"> nødvendige for at standardisere meddelelsen af sådanne oplysninger efter den procedure, der er fastlagt i direktiv 2011/16/EF til indførelse af en standardformular, som skal anvendes ved udveksling af information. Denne procedure bør også anvendes, når de</w:t>
      </w:r>
      <w:r>
        <w:rPr>
          <w:noProof/>
        </w:rPr>
        <w:t xml:space="preserve">r skal vedtages nødvendige foranstaltninger og praktiske ordninger til gennemførelsen af informationsudvekslingen. </w:t>
      </w:r>
    </w:p>
    <w:p w:rsidR="00051BBD" w:rsidRDefault="00FD0A5C">
      <w:pPr>
        <w:pStyle w:val="ManualConsidrant"/>
        <w:rPr>
          <w:noProof/>
        </w:rPr>
      </w:pPr>
      <w:r>
        <w:t>(8)</w:t>
      </w:r>
      <w:r>
        <w:tab/>
      </w:r>
      <w:r>
        <w:rPr>
          <w:noProof/>
        </w:rPr>
        <w:t xml:space="preserve">Medlemsstaterne bør også udveksle den information, der skal meddeles, med Kommissionen. Dermed vil Kommissionen på et hvilket som helst </w:t>
      </w:r>
      <w:r>
        <w:rPr>
          <w:noProof/>
        </w:rPr>
        <w:t>tidspunkt kunne overvåge og evaluere den faktiske anvendelse af udvekslingen af information om forhåndsgodkendte grænseoverskridende afgørelser og forhåndsgodkendte prisfastsættelsesordninger. Denne meddelelse vil ikke fratage medlemsstaten dens forpligtel</w:t>
      </w:r>
      <w:r>
        <w:rPr>
          <w:noProof/>
        </w:rPr>
        <w:t xml:space="preserve">se til at anmelde statsstøtte til Kommissionen. </w:t>
      </w:r>
    </w:p>
    <w:p w:rsidR="00051BBD" w:rsidRDefault="00FD0A5C">
      <w:pPr>
        <w:pStyle w:val="ManualConsidrant"/>
        <w:rPr>
          <w:noProof/>
        </w:rPr>
      </w:pPr>
      <w:r>
        <w:t>(9)</w:t>
      </w:r>
      <w:r>
        <w:tab/>
      </w:r>
      <w:r>
        <w:rPr>
          <w:noProof/>
        </w:rPr>
        <w:t>Feedback fra den modtagende medlemsstat til den medlemsstat, der sender informationen, er nødvendig, for at der kan være et effektivt system med automatisk informationsudveksling. Det er derfor hensigtsm</w:t>
      </w:r>
      <w:r>
        <w:rPr>
          <w:noProof/>
        </w:rPr>
        <w:t>æssigt at sørge for, at der er foranstaltninger, hvorigennem der kan gives feedback i de tilfælde, hvor informationen er blevet anvendt, og hvor der ikke kan gives feedback i henhold til andre bestemmelser i direktiv 2011/16/EU.</w:t>
      </w:r>
    </w:p>
    <w:p w:rsidR="00051BBD" w:rsidRDefault="00FD0A5C">
      <w:pPr>
        <w:pStyle w:val="ManualConsidrant"/>
        <w:rPr>
          <w:noProof/>
        </w:rPr>
      </w:pPr>
      <w:r>
        <w:t>(10)</w:t>
      </w:r>
      <w:r>
        <w:tab/>
      </w:r>
      <w:r>
        <w:rPr>
          <w:noProof/>
        </w:rPr>
        <w:t>En medlemsstat bør kun</w:t>
      </w:r>
      <w:r>
        <w:rPr>
          <w:noProof/>
        </w:rPr>
        <w:t>ne henholde sig til artikel 5 i direktiv 2011/16/EU hvad angår udveksling af information efter anmodning om at få yderligere oplysninger, herunder den fuldstændige tekst med forhåndsgodkendte grænseoverskridende afgørelser og forhåndsgodkendte prisfastsætt</w:t>
      </w:r>
      <w:r>
        <w:rPr>
          <w:noProof/>
        </w:rPr>
        <w:t>elsesordninger, fra den medlemsstat, der har udstedt sådanne afgørelser eller ordninger.</w:t>
      </w:r>
    </w:p>
    <w:p w:rsidR="00051BBD" w:rsidRDefault="00FD0A5C">
      <w:pPr>
        <w:pStyle w:val="ManualConsidrant"/>
        <w:rPr>
          <w:noProof/>
        </w:rPr>
      </w:pPr>
      <w:r>
        <w:t>(11)</w:t>
      </w:r>
      <w:r>
        <w:tab/>
      </w:r>
      <w:r>
        <w:rPr>
          <w:noProof/>
        </w:rPr>
        <w:t xml:space="preserve">Medlemsstaterne bør træffe alle nødvendige foranstaltninger for at fjerne enhver hindring, som kan være til hinder for en effektiv og bredest mulig, obligatorisk </w:t>
      </w:r>
      <w:r>
        <w:rPr>
          <w:noProof/>
        </w:rPr>
        <w:t xml:space="preserve">udveksling af information om forhåndsgodkendte grænseoverskridende afgørelser og forhåndsgodkendte prisfastsættelsesordninger. </w:t>
      </w:r>
    </w:p>
    <w:p w:rsidR="00051BBD" w:rsidRDefault="00FD0A5C">
      <w:pPr>
        <w:pStyle w:val="ManualConsidrant"/>
        <w:rPr>
          <w:noProof/>
        </w:rPr>
      </w:pPr>
      <w:r>
        <w:t>(12)</w:t>
      </w:r>
      <w:r>
        <w:tab/>
      </w:r>
      <w:r>
        <w:rPr>
          <w:noProof/>
        </w:rPr>
        <w:t>For at opnå en mere effektiv brug af ressourcer, gøre udvekslingen af oplysninger lettere og undgå, at medlemsstaterne hver</w:t>
      </w:r>
      <w:r>
        <w:rPr>
          <w:noProof/>
        </w:rPr>
        <w:t xml:space="preserve"> især bliver nødt til at foretage samme udvikling af deres systemer til oplagring af information, bør der være en specifik bestemmelse om, at der oprettes et centralt register, som er tilgængeligt for alle medlemsstater og Kommissionen, og hvor medlemsstat</w:t>
      </w:r>
      <w:r>
        <w:rPr>
          <w:noProof/>
        </w:rPr>
        <w:t>erne kan uploade og lagre information i stedet for at udveksle den via e-mail. Det nødvendige praktiske arbejde med at oprette et sådant register bør vedtages af Kommissionen efter proceduren i artikel 26, stk. 2, i direktiv 2011/16/EU.</w:t>
      </w:r>
    </w:p>
    <w:p w:rsidR="00051BBD" w:rsidRDefault="00FD0A5C">
      <w:pPr>
        <w:pStyle w:val="ManualConsidrant"/>
        <w:rPr>
          <w:noProof/>
        </w:rPr>
      </w:pPr>
      <w:r>
        <w:t>(13)</w:t>
      </w:r>
      <w:r>
        <w:tab/>
      </w:r>
      <w:r>
        <w:rPr>
          <w:noProof/>
        </w:rPr>
        <w:t>Med hensyn til</w:t>
      </w:r>
      <w:r>
        <w:rPr>
          <w:noProof/>
        </w:rPr>
        <w:t xml:space="preserve"> arten og omfanget af de ændringer, der indførtes ved direktiv 2014/107/EU og nu ved nærværende direktiv, bør tidsrammen for indgivelse af information, statistikker og rapporter, som er omhandlet i direktiv 2011/16/EU, forlænges. Ved en sådan forlængelse b</w:t>
      </w:r>
      <w:r>
        <w:rPr>
          <w:noProof/>
        </w:rPr>
        <w:t>ør det sikres, at der ved den information, der skal gives, kan tages hensyn til de erfaringer, der opnås med sådanne ændringer. Forlængelsen bør gælde for både statistikker og anden information, som medlemsstaterne skal indgive inden 1. juli 2016, og for d</w:t>
      </w:r>
      <w:r>
        <w:rPr>
          <w:noProof/>
        </w:rPr>
        <w:t>en rapport og i givet fald det forslag, der skal forelægges af Kommissionen inden den 1. juli 2017.</w:t>
      </w:r>
    </w:p>
    <w:p w:rsidR="00051BBD" w:rsidRDefault="00FD0A5C">
      <w:pPr>
        <w:pStyle w:val="ManualConsidrant"/>
        <w:rPr>
          <w:noProof/>
        </w:rPr>
      </w:pPr>
      <w:r>
        <w:t>(14)</w:t>
      </w:r>
      <w:r>
        <w:tab/>
      </w:r>
      <w:r>
        <w:rPr>
          <w:noProof/>
        </w:rPr>
        <w:t>I tråd med den gradvise tilgang, der slås til lyd for i direktiv 2011/16/EU, er det hensigtsmæssigt at tilpasse de tidsfrister for den eksisterende, ob</w:t>
      </w:r>
      <w:r>
        <w:rPr>
          <w:noProof/>
        </w:rPr>
        <w:t xml:space="preserve">ligatoriske udveksling af oplysninger, der er omhandlet i artikel 8, stk. 1, i direktiv 2011/16/EU, for at sikre, at den tilgængelige information om kategorierne bliver meddelt senest ni måneder efter udgangen af det skatteår, som den vedrører. </w:t>
      </w:r>
    </w:p>
    <w:p w:rsidR="00051BBD" w:rsidRDefault="00FD0A5C">
      <w:pPr>
        <w:pStyle w:val="ManualConsidrant"/>
        <w:rPr>
          <w:noProof/>
        </w:rPr>
      </w:pPr>
      <w:r>
        <w:t>(15)</w:t>
      </w:r>
      <w:r>
        <w:tab/>
      </w:r>
      <w:r>
        <w:rPr>
          <w:noProof/>
        </w:rPr>
        <w:t>De nu</w:t>
      </w:r>
      <w:r>
        <w:rPr>
          <w:noProof/>
        </w:rPr>
        <w:t xml:space="preserve">værende bestemmelser om fortrolighed bør ændres, så de afspejler udvidelsen af obligatorisk, automatisk udveksling af information til at omfatte forhåndsgodkendte grænseoverskridende afgørelser og forhåndsgodkendte prisfastsættelsesordninger.  </w:t>
      </w:r>
    </w:p>
    <w:p w:rsidR="00051BBD" w:rsidRDefault="00FD0A5C">
      <w:pPr>
        <w:pStyle w:val="ManualConsidrant"/>
        <w:rPr>
          <w:noProof/>
        </w:rPr>
      </w:pPr>
      <w:r>
        <w:t>(16)</w:t>
      </w:r>
      <w:r>
        <w:tab/>
      </w:r>
      <w:r>
        <w:rPr>
          <w:noProof/>
        </w:rPr>
        <w:t xml:space="preserve">Dette </w:t>
      </w:r>
      <w:r>
        <w:rPr>
          <w:noProof/>
        </w:rPr>
        <w:t>direktiv respekterer de grundlæggende rettigheder og overholder de principper, der navnlig er anerkendt i Den Europæiske Unions charter om grundlæggende rettigheder. Det søger navnligt at sikre fuld respekt for retten til beskyttelse af personoplysninger o</w:t>
      </w:r>
      <w:r>
        <w:rPr>
          <w:noProof/>
        </w:rPr>
        <w:t xml:space="preserve">g friheden til at drive virksomhed. </w:t>
      </w:r>
    </w:p>
    <w:p w:rsidR="00051BBD" w:rsidRDefault="00FD0A5C">
      <w:pPr>
        <w:pStyle w:val="ManualConsidrant"/>
        <w:rPr>
          <w:noProof/>
        </w:rPr>
      </w:pPr>
      <w:r>
        <w:t>(17)</w:t>
      </w:r>
      <w:r>
        <w:tab/>
      </w:r>
      <w:r>
        <w:rPr>
          <w:noProof/>
        </w:rPr>
        <w:t>Målet for dette direktiv, nemlig at sikre et effektivt administrativt samarbejde mellem medlemsstaterne på betingelser, som er forenelige med det indre markeds funktion, kan ikke i tilstrækkelig grad opfyldes af me</w:t>
      </w:r>
      <w:r>
        <w:rPr>
          <w:noProof/>
        </w:rPr>
        <w:t>dlemsstaterne, men kan på grund af den påkrævede ensartethed og effektivitet bedre nås på EU-plan; Unionen kan derfor træffe foranstaltninger i overensstemmelse med nærhedsprincippet, jf. artikel 5 i traktaten om Den Europæiske Union. I overensstemmelse me</w:t>
      </w:r>
      <w:r>
        <w:rPr>
          <w:noProof/>
        </w:rPr>
        <w:t xml:space="preserve">d proportionalitetsprincippet, jf. nævnte artikel, går direktivet ikke videre, end hvad der er nødvendigt for at nå dette mål. </w:t>
      </w:r>
    </w:p>
    <w:p w:rsidR="00051BBD" w:rsidRDefault="00FD0A5C">
      <w:pPr>
        <w:pStyle w:val="ManualConsidrant"/>
        <w:rPr>
          <w:noProof/>
        </w:rPr>
      </w:pPr>
      <w:r>
        <w:t>(18)</w:t>
      </w:r>
      <w:r>
        <w:tab/>
      </w:r>
      <w:r>
        <w:rPr>
          <w:noProof/>
        </w:rPr>
        <w:t>I henhold til den fælles politiske erklæring af 28. september 2011 fra medlemsstaterne og Kommissionen om forklarende dokum</w:t>
      </w:r>
      <w:r>
        <w:rPr>
          <w:noProof/>
        </w:rPr>
        <w:t>enter</w:t>
      </w:r>
      <w:r>
        <w:rPr>
          <w:rStyle w:val="FootnoteReference"/>
          <w:noProof/>
        </w:rPr>
        <w:footnoteReference w:id="14"/>
      </w:r>
      <w:r>
        <w:rPr>
          <w:noProof/>
        </w:rPr>
        <w:t xml:space="preserve"> har medlemsstaterne forpligtet sig til i tilfælde, hvor det er berettiget, at lade meddelelsen af gennemførelsesforanstaltninger ledsage af et eller flere dokumenter, der forklarer forholdet mellem et direktivs bestanddele og de tilsvarende dele i d</w:t>
      </w:r>
      <w:r>
        <w:rPr>
          <w:noProof/>
        </w:rPr>
        <w:t>e nationale gennemførelsesinstrumenter. I forbindelse med dette direktiv finder lovgiver, at fremsendelsen af sådanne dokumenter er berettiget.</w:t>
      </w:r>
    </w:p>
    <w:p w:rsidR="00051BBD" w:rsidRDefault="00FD0A5C">
      <w:pPr>
        <w:pStyle w:val="ManualConsidrant"/>
        <w:rPr>
          <w:noProof/>
        </w:rPr>
      </w:pPr>
      <w:r>
        <w:t>(19)</w:t>
      </w:r>
      <w:r>
        <w:tab/>
      </w:r>
      <w:r>
        <w:rPr>
          <w:noProof/>
        </w:rPr>
        <w:t>Direktiv 2011/16/EU bør derfor ændres i overensstemmelse hermed —</w:t>
      </w:r>
    </w:p>
    <w:p w:rsidR="00051BBD" w:rsidRDefault="00FD0A5C">
      <w:pPr>
        <w:pStyle w:val="Formuledadoption"/>
        <w:rPr>
          <w:noProof/>
        </w:rPr>
      </w:pPr>
      <w:r>
        <w:rPr>
          <w:noProof/>
        </w:rPr>
        <w:t>VEDTAGET DETTE DIREKTIV:</w:t>
      </w:r>
    </w:p>
    <w:p w:rsidR="00051BBD" w:rsidRDefault="00FD0A5C">
      <w:pPr>
        <w:pStyle w:val="Titrearticle"/>
        <w:rPr>
          <w:noProof/>
        </w:rPr>
      </w:pPr>
      <w:r>
        <w:rPr>
          <w:noProof/>
        </w:rPr>
        <w:t>Artikel 1</w:t>
      </w:r>
    </w:p>
    <w:p w:rsidR="00051BBD" w:rsidRDefault="00FD0A5C">
      <w:pPr>
        <w:rPr>
          <w:noProof/>
        </w:rPr>
      </w:pPr>
      <w:r>
        <w:rPr>
          <w:noProof/>
        </w:rPr>
        <w:t xml:space="preserve">I </w:t>
      </w:r>
      <w:r>
        <w:rPr>
          <w:noProof/>
        </w:rPr>
        <w:t>direktiv 2011/16/EU foretages følgende ændringer:</w:t>
      </w:r>
    </w:p>
    <w:p w:rsidR="00051BBD" w:rsidRDefault="00FD0A5C">
      <w:pPr>
        <w:rPr>
          <w:b/>
          <w:noProof/>
        </w:rPr>
      </w:pPr>
      <w:r>
        <w:rPr>
          <w:noProof/>
        </w:rPr>
        <w:t>1)</w:t>
      </w:r>
      <w:r>
        <w:rPr>
          <w:noProof/>
        </w:rPr>
        <w:tab/>
        <w:t>Artikel 3 ændres som følger:</w:t>
      </w:r>
    </w:p>
    <w:p w:rsidR="00051BBD" w:rsidRDefault="00FD0A5C">
      <w:pPr>
        <w:rPr>
          <w:b/>
          <w:noProof/>
        </w:rPr>
      </w:pPr>
      <w:r>
        <w:rPr>
          <w:noProof/>
        </w:rPr>
        <w:tab/>
        <w:t>a) Nr. 9 affattes således:</w:t>
      </w:r>
    </w:p>
    <w:p w:rsidR="00051BBD" w:rsidRDefault="00FD0A5C">
      <w:pPr>
        <w:ind w:left="720"/>
        <w:rPr>
          <w:noProof/>
        </w:rPr>
      </w:pPr>
      <w:r>
        <w:rPr>
          <w:noProof/>
        </w:rPr>
        <w:t xml:space="preserve">"9) "automatisk udveksling af oplysninger": </w:t>
      </w:r>
    </w:p>
    <w:p w:rsidR="00051BBD" w:rsidRDefault="00FD0A5C">
      <w:pPr>
        <w:ind w:left="720"/>
        <w:rPr>
          <w:noProof/>
        </w:rPr>
      </w:pPr>
      <w:r>
        <w:rPr>
          <w:noProof/>
        </w:rPr>
        <w:t>a) i forbindelse med artikel 8, stk. 1, og artikel 8a systematisk meddelelse til en anden medlemsstat</w:t>
      </w:r>
      <w:r>
        <w:rPr>
          <w:noProof/>
        </w:rPr>
        <w:t>, uden forudgående anmodning, af oplysninger, som er defineret på forhånd, med forud fastsatte regelmæssige intervaller. I forbindelse med artikel 8, stk. 1, vedrører henvisningen til tilgængelige oplysninger de oplysninger i sagsakterne i den medlemsstat,</w:t>
      </w:r>
      <w:r>
        <w:rPr>
          <w:noProof/>
        </w:rPr>
        <w:t xml:space="preserve"> der meddeler oplysningerne, som kan indhentes i medfør af procedurerne til indsamling og behandling af oplysninger i den pågældende medlemsstat</w:t>
      </w:r>
    </w:p>
    <w:p w:rsidR="00051BBD" w:rsidRDefault="00FD0A5C">
      <w:pPr>
        <w:ind w:left="720"/>
        <w:rPr>
          <w:noProof/>
        </w:rPr>
      </w:pPr>
      <w:r>
        <w:rPr>
          <w:noProof/>
        </w:rPr>
        <w:t>b) i forbindelse med artikel 8, stk. 3a, systematisk meddelelse af oplysninger, som er defineret på forhånd, om</w:t>
      </w:r>
      <w:r>
        <w:rPr>
          <w:noProof/>
        </w:rPr>
        <w:t xml:space="preserve"> personer, der er hjemmehørende i andre medlemsstater, til den relevante medlemsstat, hvor den pågældende person er hjemmehørende, uden forudgående anmodning og med forud fastsatte regelmæssige intervaller. I forbindelse med artikel 8, stk. 3a, artikel 8, </w:t>
      </w:r>
      <w:r>
        <w:rPr>
          <w:noProof/>
        </w:rPr>
        <w:t>stk. 7a, artikel 21, stk. 2, og artikel 25, stk. 2 og 3, tillægges udtrykkene med stort begyndelsesbogstav den betydning, de har i henhold til de tilsvarende definitioner fastsat i bilag I</w:t>
      </w:r>
    </w:p>
    <w:p w:rsidR="00051BBD" w:rsidRDefault="00FD0A5C">
      <w:pPr>
        <w:ind w:left="720"/>
        <w:rPr>
          <w:noProof/>
        </w:rPr>
      </w:pPr>
      <w:r>
        <w:rPr>
          <w:noProof/>
        </w:rPr>
        <w:t xml:space="preserve">c) i forbindelse med alle bestemmelser undtagen artikel 8, stk. 1, </w:t>
      </w:r>
      <w:r>
        <w:rPr>
          <w:noProof/>
        </w:rPr>
        <w:t>artikel 8, stk. 3a, og artikel 8a systematisk meddelelse af oplysninger, som er defineret på forhånd, i overensstemmelse med litra a) og b) i dette nummer.</w:t>
      </w:r>
    </w:p>
    <w:p w:rsidR="00051BBD" w:rsidRDefault="00FD0A5C">
      <w:pPr>
        <w:ind w:left="720"/>
        <w:rPr>
          <w:b/>
          <w:noProof/>
        </w:rPr>
      </w:pPr>
      <w:r>
        <w:rPr>
          <w:noProof/>
        </w:rPr>
        <w:t>b) Følgende indsættes som nr. 14), 15) og 16):</w:t>
      </w:r>
    </w:p>
    <w:p w:rsidR="00051BBD" w:rsidRDefault="00FD0A5C">
      <w:pPr>
        <w:ind w:left="720"/>
        <w:rPr>
          <w:noProof/>
        </w:rPr>
      </w:pPr>
      <w:r>
        <w:rPr>
          <w:noProof/>
        </w:rPr>
        <w:t>"14) "forhåndsgodkendte grænseoverskridende afgørelse</w:t>
      </w:r>
      <w:r>
        <w:rPr>
          <w:noProof/>
        </w:rPr>
        <w:t>r": enhver afgørelse, meddelelse eller andet instrument eller tiltag med tilsvarende virkninger, også hvis udstedt i forbindelse med skatterevision, som:</w:t>
      </w:r>
    </w:p>
    <w:p w:rsidR="00051BBD" w:rsidRDefault="00FD0A5C">
      <w:pPr>
        <w:ind w:left="720"/>
        <w:rPr>
          <w:noProof/>
        </w:rPr>
      </w:pPr>
      <w:r>
        <w:rPr>
          <w:noProof/>
        </w:rPr>
        <w:t>a) gives af eller på vegne af regeringen eller skattemyndigheden i en medlemsstat eller enhver territo</w:t>
      </w:r>
      <w:r>
        <w:rPr>
          <w:noProof/>
        </w:rPr>
        <w:t xml:space="preserve">rial eller administrativ underafdeling deraf til en person </w:t>
      </w:r>
    </w:p>
    <w:p w:rsidR="00051BBD" w:rsidRDefault="00FD0A5C">
      <w:pPr>
        <w:ind w:left="720"/>
        <w:rPr>
          <w:noProof/>
        </w:rPr>
      </w:pPr>
      <w:r>
        <w:rPr>
          <w:noProof/>
        </w:rPr>
        <w:t>b) vedrører fortolkningen eller anvendelsen af en retlig eller administrativ bestemmelse om forvaltningen eller håndhævelsen af nationale love vedrørende skatter i medlemsstaten eller dens territo</w:t>
      </w:r>
      <w:r>
        <w:rPr>
          <w:noProof/>
        </w:rPr>
        <w:t>riale eller administrative underafdelinger</w:t>
      </w:r>
    </w:p>
    <w:p w:rsidR="00051BBD" w:rsidRDefault="00FD0A5C">
      <w:pPr>
        <w:ind w:left="720"/>
        <w:rPr>
          <w:noProof/>
        </w:rPr>
      </w:pPr>
      <w:r>
        <w:rPr>
          <w:noProof/>
        </w:rPr>
        <w:t xml:space="preserve">c) vedrører en grænseoverskridende transaktion eller et spørgsmål om, hvorvidt aktiviteter, som udøves af en juridisk person i en anden medlemsstat, skaber et fast forretningssted eller ikke, og </w:t>
      </w:r>
    </w:p>
    <w:p w:rsidR="00051BBD" w:rsidRDefault="00FD0A5C">
      <w:pPr>
        <w:ind w:left="720"/>
        <w:rPr>
          <w:noProof/>
        </w:rPr>
      </w:pPr>
      <w:r>
        <w:rPr>
          <w:noProof/>
        </w:rPr>
        <w:t>d) er truffet for</w:t>
      </w:r>
      <w:r>
        <w:rPr>
          <w:noProof/>
        </w:rPr>
        <w:t>ud for transaktionerne eller aktiviteterne i den anden medlemsstat, som potentielt skaber et fast forretningssted, eller for udfyldelsen af en skatteangivelse, som dækker den periode, hvor transaktionen eller rækken af transaktioner eller aktiviteter fandt</w:t>
      </w:r>
      <w:r>
        <w:rPr>
          <w:noProof/>
        </w:rPr>
        <w:t xml:space="preserve"> sted. </w:t>
      </w:r>
    </w:p>
    <w:p w:rsidR="00051BBD" w:rsidRDefault="00FD0A5C">
      <w:pPr>
        <w:ind w:left="720"/>
        <w:rPr>
          <w:noProof/>
        </w:rPr>
      </w:pPr>
      <w:r>
        <w:rPr>
          <w:noProof/>
        </w:rPr>
        <w:t>Den grænseoverskridende transaktion kan omfatte, men er ikke begrænset til at foretage investeringer, at levere varer, tjenesteydelser eller finansielle midler eller at anvende materielle eller immaterielle aktiver og skal ikke nødvendigvis direkte</w:t>
      </w:r>
      <w:r>
        <w:rPr>
          <w:noProof/>
        </w:rPr>
        <w:t xml:space="preserve"> involvere den person, der modtager den forhåndsgodkendte grænseoverskridende afgørelse</w:t>
      </w:r>
    </w:p>
    <w:p w:rsidR="00051BBD" w:rsidRDefault="00FD0A5C">
      <w:pPr>
        <w:ind w:left="720"/>
        <w:rPr>
          <w:noProof/>
        </w:rPr>
      </w:pPr>
      <w:r>
        <w:rPr>
          <w:noProof/>
        </w:rPr>
        <w:t>15) "forhåndsgodkendt prisfastsættelsesordning": enhver aftale, meddelelse eller andet instrument eller tiltag med tilsvarende virkninger, også hvis udstedt i forbindel</w:t>
      </w:r>
      <w:r>
        <w:rPr>
          <w:noProof/>
        </w:rPr>
        <w:t>se med skatterevision, som gives af eller på vegne af regeringen eller skattemyndigheden i en eller flere medlemsstater, herunder enhver territorial eller administrativ underafdeling deraf, til en person, og som på forhånd for grænseoverskridende transakti</w:t>
      </w:r>
      <w:r>
        <w:rPr>
          <w:noProof/>
        </w:rPr>
        <w:t>oner mellem forbundne foretagender fastsætter et passende sæt af kriterier for fastsættelsen af interne afregningspriser for disse transaktioner eller fastsætter tildeling af fortjeneste til et fast forretningssted.</w:t>
      </w:r>
    </w:p>
    <w:p w:rsidR="00051BBD" w:rsidRDefault="00FD0A5C">
      <w:pPr>
        <w:ind w:left="720"/>
        <w:rPr>
          <w:noProof/>
        </w:rPr>
      </w:pPr>
      <w:r>
        <w:rPr>
          <w:noProof/>
        </w:rPr>
        <w:t xml:space="preserve">Virksomheder er forbundne foretagender, </w:t>
      </w:r>
      <w:r>
        <w:rPr>
          <w:noProof/>
        </w:rPr>
        <w:t xml:space="preserve">hvis en af virksomhederne direkte eller indirekte deltager i en anden virksomheds forvaltning, kontrol eller kapital, eller hvis de samme personer deltager direkte eller indirekte i virksomhedernes forvaltning, kontrol eller kapital. </w:t>
      </w:r>
    </w:p>
    <w:p w:rsidR="00051BBD" w:rsidRDefault="00FD0A5C">
      <w:pPr>
        <w:ind w:left="720"/>
        <w:rPr>
          <w:noProof/>
        </w:rPr>
      </w:pPr>
      <w:r>
        <w:rPr>
          <w:noProof/>
        </w:rPr>
        <w:t>Interne afregningspri</w:t>
      </w:r>
      <w:r>
        <w:rPr>
          <w:noProof/>
        </w:rPr>
        <w:t>ser er de priser, som en virksomhed benytter ved overførsel af fysiske varer og immaterielle goder eller ved levering af tjenesteydelser til forbundne foretagender, og "intern prisafregning" skal fortolkes i overensstemmelse hermed</w:t>
      </w:r>
    </w:p>
    <w:p w:rsidR="00051BBD" w:rsidRDefault="00FD0A5C">
      <w:pPr>
        <w:ind w:left="720"/>
        <w:rPr>
          <w:noProof/>
        </w:rPr>
      </w:pPr>
      <w:r>
        <w:rPr>
          <w:noProof/>
        </w:rPr>
        <w:t xml:space="preserve">16) I forbindelse med nr. 14) forstås ved "grænseoverskridende transaktion": en transaktion eller rækker af transaktioner, hvor: </w:t>
      </w:r>
    </w:p>
    <w:p w:rsidR="00051BBD" w:rsidRDefault="00FD0A5C">
      <w:pPr>
        <w:ind w:left="720"/>
        <w:rPr>
          <w:noProof/>
        </w:rPr>
      </w:pPr>
      <w:r>
        <w:rPr>
          <w:noProof/>
        </w:rPr>
        <w:t xml:space="preserve">a) ikke alle parterne i transaktionerne eller rækkerne af transaktioner er skattemæssigt hjemmehørende i den medlemsstat, der </w:t>
      </w:r>
      <w:r>
        <w:rPr>
          <w:noProof/>
        </w:rPr>
        <w:t>giver den forhåndsgodkendte grænseoverskridende afgørelse, eller</w:t>
      </w:r>
    </w:p>
    <w:p w:rsidR="00051BBD" w:rsidRDefault="00FD0A5C">
      <w:pPr>
        <w:ind w:left="720"/>
        <w:rPr>
          <w:noProof/>
        </w:rPr>
      </w:pPr>
      <w:r>
        <w:rPr>
          <w:noProof/>
        </w:rPr>
        <w:t xml:space="preserve">b) en hvilken som helst af parterne i transaktionen eller rækkerne af transaktioner er samtidig skattemæssigt hjemmehørende i mere end en jurisdiktion, eller </w:t>
      </w:r>
    </w:p>
    <w:p w:rsidR="00051BBD" w:rsidRDefault="00FD0A5C">
      <w:pPr>
        <w:ind w:left="720"/>
        <w:rPr>
          <w:noProof/>
        </w:rPr>
      </w:pPr>
      <w:r>
        <w:rPr>
          <w:noProof/>
        </w:rPr>
        <w:t>c) en af parterne i transaktione</w:t>
      </w:r>
      <w:r>
        <w:rPr>
          <w:noProof/>
        </w:rPr>
        <w:t>n eller rækkerne af transaktioner driver virksomhed i en anden medlemsstat gennem et fast forretningssted, og at transaktionen eller rækkerne af transaktioner udgør en del af eller hele det faste forretningssteds virksomhed. En grænseoverskridende transakt</w:t>
      </w:r>
      <w:r>
        <w:rPr>
          <w:noProof/>
        </w:rPr>
        <w:t xml:space="preserve">ion eller rækker af transaktioner omfatter også ordninger, som en enkelt juridisk person har med hensyn til forretningsaktiviteter i en anden medlemsstat, som denne person udøver gennem et fast forretningssted.  </w:t>
      </w:r>
    </w:p>
    <w:p w:rsidR="00051BBD" w:rsidRDefault="00FD0A5C">
      <w:pPr>
        <w:ind w:left="720"/>
        <w:rPr>
          <w:noProof/>
        </w:rPr>
      </w:pPr>
      <w:r>
        <w:rPr>
          <w:noProof/>
        </w:rPr>
        <w:t>I forbindelse med nr. 15) forstås ved "græn</w:t>
      </w:r>
      <w:r>
        <w:rPr>
          <w:noProof/>
        </w:rPr>
        <w:t xml:space="preserve">seoverskridende transaktion": en transaktion eller rækker af transaktioner, der involverer forbundne foretagender, som ikke alle er skattemæssigt hjemmehørende i en enkelt medlemsstats område." </w:t>
      </w:r>
    </w:p>
    <w:p w:rsidR="00051BBD" w:rsidRDefault="00FD0A5C">
      <w:pPr>
        <w:ind w:left="720" w:hanging="720"/>
        <w:rPr>
          <w:b/>
          <w:noProof/>
        </w:rPr>
      </w:pPr>
      <w:r>
        <w:rPr>
          <w:noProof/>
        </w:rPr>
        <w:t>2)</w:t>
      </w:r>
      <w:r>
        <w:rPr>
          <w:noProof/>
        </w:rPr>
        <w:tab/>
        <w:t>Artikel 8 ændres som følger:</w:t>
      </w:r>
      <w:r>
        <w:rPr>
          <w:b/>
          <w:noProof/>
        </w:rPr>
        <w:t xml:space="preserve"> </w:t>
      </w:r>
    </w:p>
    <w:p w:rsidR="00051BBD" w:rsidRDefault="00FD0A5C">
      <w:pPr>
        <w:ind w:left="720" w:hanging="720"/>
        <w:rPr>
          <w:noProof/>
        </w:rPr>
      </w:pPr>
      <w:r>
        <w:rPr>
          <w:noProof/>
        </w:rPr>
        <w:tab/>
        <w:t>a) Afsnit 4 og 5 ophæves.</w:t>
      </w:r>
    </w:p>
    <w:p w:rsidR="00051BBD" w:rsidRDefault="00FD0A5C">
      <w:pPr>
        <w:ind w:left="720"/>
        <w:rPr>
          <w:noProof/>
        </w:rPr>
      </w:pPr>
      <w:r>
        <w:rPr>
          <w:noProof/>
        </w:rPr>
        <w:t>b) Stk. 6 affattes således:</w:t>
      </w:r>
    </w:p>
    <w:p w:rsidR="00051BBD" w:rsidRDefault="00FD0A5C">
      <w:pPr>
        <w:ind w:left="720"/>
        <w:rPr>
          <w:noProof/>
        </w:rPr>
      </w:pPr>
      <w:r>
        <w:rPr>
          <w:noProof/>
        </w:rPr>
        <w:t xml:space="preserve">"6. Meddelelsen af oplysninger finder sted som følger: </w:t>
      </w:r>
    </w:p>
    <w:p w:rsidR="00051BBD" w:rsidRDefault="00FD0A5C">
      <w:pPr>
        <w:ind w:left="720"/>
        <w:rPr>
          <w:noProof/>
        </w:rPr>
      </w:pPr>
      <w:r>
        <w:rPr>
          <w:noProof/>
        </w:rPr>
        <w:t xml:space="preserve">a) for kategorierne i stk. 1: mindst én gang om året inden for ni måneder efter udgangen af det skatteår i medlemsstaten, som oplysningerne vedrører  </w:t>
      </w:r>
    </w:p>
    <w:p w:rsidR="00051BBD" w:rsidRDefault="00FD0A5C">
      <w:pPr>
        <w:ind w:left="720"/>
        <w:rPr>
          <w:noProof/>
        </w:rPr>
      </w:pPr>
      <w:r>
        <w:rPr>
          <w:noProof/>
        </w:rPr>
        <w:t>b) for kategorierne i</w:t>
      </w:r>
      <w:r>
        <w:rPr>
          <w:noProof/>
        </w:rPr>
        <w:t xml:space="preserve"> stk. 3a: årligt, senest ni måneder efter udgangen af det kalenderår eller anden relevant indberetningsperiode, som oplysningerne vedrører."</w:t>
      </w:r>
    </w:p>
    <w:p w:rsidR="00051BBD" w:rsidRDefault="00FD0A5C">
      <w:pPr>
        <w:tabs>
          <w:tab w:val="left" w:pos="709"/>
        </w:tabs>
        <w:ind w:left="709" w:hanging="709"/>
        <w:rPr>
          <w:b/>
          <w:noProof/>
        </w:rPr>
      </w:pPr>
      <w:r>
        <w:rPr>
          <w:b/>
          <w:noProof/>
        </w:rPr>
        <w:t xml:space="preserve"> </w:t>
      </w:r>
      <w:r>
        <w:rPr>
          <w:noProof/>
        </w:rPr>
        <w:t>3)</w:t>
      </w:r>
      <w:r>
        <w:rPr>
          <w:noProof/>
        </w:rPr>
        <w:tab/>
        <w:t>Som artikel 8 a og 8b indsættes:</w:t>
      </w:r>
    </w:p>
    <w:p w:rsidR="00051BBD" w:rsidRDefault="00FD0A5C">
      <w:pPr>
        <w:ind w:left="720"/>
        <w:rPr>
          <w:noProof/>
        </w:rPr>
      </w:pPr>
      <w:r>
        <w:rPr>
          <w:noProof/>
        </w:rPr>
        <w:t>"Artikel 8a</w:t>
      </w:r>
    </w:p>
    <w:p w:rsidR="00051BBD" w:rsidRDefault="00FD0A5C">
      <w:pPr>
        <w:ind w:left="720"/>
        <w:rPr>
          <w:b/>
          <w:noProof/>
        </w:rPr>
      </w:pPr>
      <w:r>
        <w:rPr>
          <w:b/>
          <w:noProof/>
        </w:rPr>
        <w:t>Anvendelsesområde og betingelser for obligatorisk automatisk udvek</w:t>
      </w:r>
      <w:r>
        <w:rPr>
          <w:b/>
          <w:noProof/>
        </w:rPr>
        <w:t>sling af oplysninger om forhåndsgodkendte grænseoverskridende afgørelser og forhåndsgodkendte prisfastsættelsesordninger</w:t>
      </w:r>
    </w:p>
    <w:p w:rsidR="00051BBD" w:rsidRDefault="00FD0A5C">
      <w:pPr>
        <w:ind w:left="720"/>
        <w:rPr>
          <w:noProof/>
        </w:rPr>
      </w:pPr>
      <w:r>
        <w:rPr>
          <w:noProof/>
        </w:rPr>
        <w:t>1. Den kompetente myndighed i en medlemsstat, der udsteder eller ændrer en forhåndsgodkendt grænseoverskridende afgørelse og forhåndsgo</w:t>
      </w:r>
      <w:r>
        <w:rPr>
          <w:noProof/>
        </w:rPr>
        <w:t xml:space="preserve">dkendt prisfastsættelsesordning efter ikrafttrædelsen af dette direktiv meddeler ved automatisk udveksling dette til de kompetente myndigheder i alle andre medlemsstater og til Europa-Kommissionen.  </w:t>
      </w:r>
    </w:p>
    <w:p w:rsidR="00051BBD" w:rsidRDefault="00FD0A5C">
      <w:pPr>
        <w:ind w:left="720"/>
        <w:rPr>
          <w:noProof/>
        </w:rPr>
      </w:pPr>
      <w:r>
        <w:rPr>
          <w:noProof/>
        </w:rPr>
        <w:t>2. Den kompetente myndighed i en medlemsstat meddeler og</w:t>
      </w:r>
      <w:r>
        <w:rPr>
          <w:noProof/>
        </w:rPr>
        <w:t>så de kompetente myndigheder i alle andre medlemsstater og Europa-Kommissionen oplysninger om forhåndsgodkendte grænseoverskridende afgørelser og forhåndsgodkendte prisfastsættelsesordninger, der er udstedt inden for en periode på ti år før ikrafttrædelsen</w:t>
      </w:r>
      <w:r>
        <w:rPr>
          <w:noProof/>
        </w:rPr>
        <w:t xml:space="preserve">, men som stadig er gyldige på datoen for ikrafttrædelsen af dette direktiv. </w:t>
      </w:r>
    </w:p>
    <w:p w:rsidR="00051BBD" w:rsidRDefault="00FD0A5C">
      <w:pPr>
        <w:ind w:left="720"/>
        <w:rPr>
          <w:noProof/>
        </w:rPr>
      </w:pPr>
      <w:r>
        <w:rPr>
          <w:noProof/>
        </w:rPr>
        <w:t>3. Stk. 1 finder ikke anvendelse, i tilfælde af at en forhåndsgodkendt grænseoverskridende afgørelse udelukkende vedrører og involverer skatteanliggende for en eller flere fysisk</w:t>
      </w:r>
      <w:r>
        <w:rPr>
          <w:noProof/>
        </w:rPr>
        <w:t>e personer.</w:t>
      </w:r>
    </w:p>
    <w:p w:rsidR="00051BBD" w:rsidRDefault="00FD0A5C">
      <w:pPr>
        <w:ind w:left="720"/>
        <w:rPr>
          <w:noProof/>
        </w:rPr>
      </w:pPr>
      <w:r>
        <w:rPr>
          <w:noProof/>
        </w:rPr>
        <w:t xml:space="preserve">4. Udvekslingen af oplysninger finder sted som følger: </w:t>
      </w:r>
    </w:p>
    <w:p w:rsidR="00051BBD" w:rsidRDefault="00FD0A5C">
      <w:pPr>
        <w:ind w:left="720"/>
        <w:rPr>
          <w:noProof/>
        </w:rPr>
      </w:pPr>
      <w:r>
        <w:rPr>
          <w:noProof/>
        </w:rPr>
        <w:t>a) for oplysninger, der udveksles i medfør af stk. 1: inden for en måned efter udgangen af det kvartal, hvor den forhåndsgodkendte grænseoverskridende afgørelse eller forhåndsgodkendte pri</w:t>
      </w:r>
      <w:r>
        <w:rPr>
          <w:noProof/>
        </w:rPr>
        <w:t>sfastsættelsesordning blev udstedt eller ændret</w:t>
      </w:r>
    </w:p>
    <w:p w:rsidR="00051BBD" w:rsidRDefault="00FD0A5C">
      <w:pPr>
        <w:ind w:left="720"/>
        <w:rPr>
          <w:noProof/>
        </w:rPr>
      </w:pPr>
      <w:r>
        <w:rPr>
          <w:noProof/>
        </w:rPr>
        <w:t>b) for oplysninger, der udveksles i medfør af stk. 2: inden den 31. december 2016.</w:t>
      </w:r>
    </w:p>
    <w:p w:rsidR="00051BBD" w:rsidRDefault="00FD0A5C">
      <w:pPr>
        <w:ind w:left="720"/>
        <w:rPr>
          <w:noProof/>
        </w:rPr>
      </w:pPr>
      <w:r>
        <w:rPr>
          <w:noProof/>
        </w:rPr>
        <w:t xml:space="preserve">5. Oplysninger, der skal meddeles af en medlemsstat i medfør af denne artikel, skal som et minimum omfatte følgende: </w:t>
      </w:r>
    </w:p>
    <w:p w:rsidR="00051BBD" w:rsidRDefault="00FD0A5C">
      <w:pPr>
        <w:ind w:left="720"/>
        <w:rPr>
          <w:noProof/>
        </w:rPr>
      </w:pPr>
      <w:r>
        <w:rPr>
          <w:noProof/>
        </w:rPr>
        <w:t>a) iden</w:t>
      </w:r>
      <w:r>
        <w:rPr>
          <w:noProof/>
        </w:rPr>
        <w:t>tifikation af skatteyderen og i givet fald den selskabskoncern, som den tilhører</w:t>
      </w:r>
    </w:p>
    <w:p w:rsidR="00051BBD" w:rsidRDefault="00FD0A5C">
      <w:pPr>
        <w:ind w:left="720"/>
        <w:rPr>
          <w:noProof/>
        </w:rPr>
      </w:pPr>
      <w:r>
        <w:rPr>
          <w:noProof/>
        </w:rPr>
        <w:t>b) indholdet af den forhåndsgodkendte grænseoverskridende afgørelse eller forhåndsgodkendte prisfastsættelsesordning, herunder en beskrivelse af de relevante forretningsaktivi</w:t>
      </w:r>
      <w:r>
        <w:rPr>
          <w:noProof/>
        </w:rPr>
        <w:t xml:space="preserve">teter eller transaktioner eller rækker af transaktioner </w:t>
      </w:r>
    </w:p>
    <w:p w:rsidR="00051BBD" w:rsidRDefault="00FD0A5C">
      <w:pPr>
        <w:ind w:left="720"/>
        <w:rPr>
          <w:noProof/>
        </w:rPr>
      </w:pPr>
      <w:r>
        <w:rPr>
          <w:noProof/>
        </w:rPr>
        <w:t xml:space="preserve">c) beskrivelse af det sæt af kriterier, der anvendes til af fastslå den interne prisfastsættelse eller selve den interne afregningspris i tilfælde af en forhåndsgodkendt prisfastsættelsesordning </w:t>
      </w:r>
    </w:p>
    <w:p w:rsidR="00051BBD" w:rsidRDefault="00FD0A5C">
      <w:pPr>
        <w:ind w:left="720"/>
        <w:rPr>
          <w:noProof/>
        </w:rPr>
      </w:pPr>
      <w:r>
        <w:rPr>
          <w:noProof/>
        </w:rPr>
        <w:t xml:space="preserve">d) </w:t>
      </w:r>
      <w:r>
        <w:rPr>
          <w:noProof/>
        </w:rPr>
        <w:t xml:space="preserve">identifikation af de andre medlemsstater, som sandsynligvis vil blive direkte eller indirekte berørt af den forhåndsgodkendte grænseoverskridende afgørelse eller forhåndsgodkendte prisfastsættelsesordning </w:t>
      </w:r>
    </w:p>
    <w:p w:rsidR="00051BBD" w:rsidRDefault="00FD0A5C">
      <w:pPr>
        <w:ind w:left="720"/>
        <w:rPr>
          <w:noProof/>
        </w:rPr>
      </w:pPr>
      <w:r>
        <w:rPr>
          <w:noProof/>
        </w:rPr>
        <w:t>e) identifikation af enhver person, bortset fra en</w:t>
      </w:r>
      <w:r>
        <w:rPr>
          <w:noProof/>
        </w:rPr>
        <w:t xml:space="preserve"> fysisk person, i de andre medlemsstater, som sandsynligvis vil blive direkte eller indirekte berørt af den forhåndsgodkendte grænseoverskridende afgørelse eller forhåndsgodkendte prisfastsættelsesordning (med angivelse af, hvilken medlemsstat den berørte </w:t>
      </w:r>
      <w:r>
        <w:rPr>
          <w:noProof/>
        </w:rPr>
        <w:t>person har tilknytning til).</w:t>
      </w:r>
    </w:p>
    <w:p w:rsidR="00051BBD" w:rsidRDefault="00FD0A5C">
      <w:pPr>
        <w:ind w:left="720"/>
        <w:rPr>
          <w:noProof/>
        </w:rPr>
      </w:pPr>
      <w:r>
        <w:rPr>
          <w:noProof/>
        </w:rPr>
        <w:t>6. For at lette udvekslingen fastsætter Kommissionen alle foranstaltninger og praktiske bestemmelser, der er nødvendige for gennemførelsen af denne artikel, herunder foranstaltninger, der skal standardisere meddelelsen af oplys</w:t>
      </w:r>
      <w:r>
        <w:rPr>
          <w:noProof/>
        </w:rPr>
        <w:t xml:space="preserve">ninger i henhold til stk. 5 i denne artikel, som led i proceduren for fastlæggelse af den standardformular, der er omhandlet i artikel 20, stk. 5. </w:t>
      </w:r>
    </w:p>
    <w:p w:rsidR="00051BBD" w:rsidRDefault="00FD0A5C">
      <w:pPr>
        <w:ind w:left="720"/>
        <w:rPr>
          <w:noProof/>
        </w:rPr>
      </w:pPr>
      <w:r>
        <w:rPr>
          <w:noProof/>
        </w:rPr>
        <w:t>7. Den kompetente myndighed, til hvilken oplysningerne er meddelt i henhold til stk. 1, bekræfter omgående o</w:t>
      </w:r>
      <w:r>
        <w:rPr>
          <w:noProof/>
        </w:rPr>
        <w:t xml:space="preserve">g under alle omstændigheder senest syv hverdage efter modtagelsen, om muligt elektronisk, modtagelsen af oplysningerne over for den kompetente myndighed, der leverede oplysningerne. </w:t>
      </w:r>
    </w:p>
    <w:p w:rsidR="00051BBD" w:rsidRDefault="00FD0A5C">
      <w:pPr>
        <w:ind w:left="720"/>
        <w:rPr>
          <w:noProof/>
        </w:rPr>
      </w:pPr>
      <w:r>
        <w:rPr>
          <w:noProof/>
        </w:rPr>
        <w:t>8. Medlemsstaterne kan i henhold til artikel 5 anmode om yderligere oplys</w:t>
      </w:r>
      <w:r>
        <w:rPr>
          <w:noProof/>
        </w:rPr>
        <w:t>ninger, herunder den fulde tekst til en forhåndsgodkendt grænseoverskridende afgørelse eller en forhåndsgodkendt prisfastsættelsesordning, fra den medlemsstat, som udstedte den.</w:t>
      </w:r>
    </w:p>
    <w:p w:rsidR="00051BBD" w:rsidRDefault="00FD0A5C">
      <w:pPr>
        <w:ind w:left="720"/>
        <w:rPr>
          <w:noProof/>
        </w:rPr>
      </w:pPr>
      <w:r>
        <w:rPr>
          <w:noProof/>
        </w:rPr>
        <w:t xml:space="preserve">9. Artikel 17, stk. 4, finder ikke anvendelse på oplysninger, der udveksles i </w:t>
      </w:r>
      <w:r>
        <w:rPr>
          <w:noProof/>
        </w:rPr>
        <w:t>henhold til stk. 1 og 2 i nærværende artikel.</w:t>
      </w:r>
    </w:p>
    <w:p w:rsidR="00051BBD" w:rsidRDefault="00FD0A5C">
      <w:pPr>
        <w:ind w:left="720"/>
        <w:rPr>
          <w:noProof/>
        </w:rPr>
      </w:pPr>
      <w:r>
        <w:rPr>
          <w:noProof/>
        </w:rPr>
        <w:t>Artikel 8b</w:t>
      </w:r>
    </w:p>
    <w:p w:rsidR="00051BBD" w:rsidRDefault="00FD0A5C">
      <w:pPr>
        <w:ind w:left="720"/>
        <w:rPr>
          <w:b/>
          <w:noProof/>
        </w:rPr>
      </w:pPr>
      <w:r>
        <w:rPr>
          <w:b/>
          <w:noProof/>
        </w:rPr>
        <w:t>Statistikker over automatiske udvekslinger</w:t>
      </w:r>
    </w:p>
    <w:p w:rsidR="00051BBD" w:rsidRDefault="00FD0A5C">
      <w:pPr>
        <w:ind w:left="720"/>
        <w:rPr>
          <w:noProof/>
        </w:rPr>
      </w:pPr>
      <w:r>
        <w:rPr>
          <w:noProof/>
        </w:rPr>
        <w:t xml:space="preserve">1. Inden den 1. oktober 2017 indgiver medlemsstaterne årligt statistikker til Kommissionen over mængden af automatiske udvekslinger i henhold til artikel 8 </w:t>
      </w:r>
      <w:r>
        <w:rPr>
          <w:noProof/>
        </w:rPr>
        <w:t>og 8a og, i det omfang det er muligt, oplysninger om administrative og andre relevante omkostninger og fordele i forbindelse med de stedfundne udvekslinger og om mulige ændringer for såvel skattemyndighederne som for tredjeparter.</w:t>
      </w:r>
    </w:p>
    <w:p w:rsidR="00051BBD" w:rsidRDefault="00FD0A5C">
      <w:pPr>
        <w:ind w:left="720"/>
        <w:rPr>
          <w:noProof/>
        </w:rPr>
      </w:pPr>
      <w:r>
        <w:rPr>
          <w:noProof/>
        </w:rPr>
        <w:t>2. Inden den 1. oktober 2</w:t>
      </w:r>
      <w:r>
        <w:rPr>
          <w:noProof/>
        </w:rPr>
        <w:t>018 aflægger Kommissionen en rapport med en oversigt over og en vurdering af de modtagne statistikker og oplysninger i henhold til stk. 1 i denne artikel med hensyn til spørgsmål vedrørende f.eks. de administrative og andre relevante omkostninger og fordel</w:t>
      </w:r>
      <w:r>
        <w:rPr>
          <w:noProof/>
        </w:rPr>
        <w:t>e ved automatisk udveksling af oplysninger samt praktiske forhold i tilknytning hertil. Kommissionen forelægger eventuelt et forslag for Rådet om de kategorier af indkomst og kapital og/eller de betingelser, der er fastsat i artikel 8, stk. 1, herunder bet</w:t>
      </w:r>
      <w:r>
        <w:rPr>
          <w:noProof/>
        </w:rPr>
        <w:t>ingelsen om, at oplysninger om personer, der er hjemmehørende i andre medlemsstater, skal være tilgængelige."</w:t>
      </w:r>
    </w:p>
    <w:p w:rsidR="00051BBD" w:rsidRDefault="00FD0A5C">
      <w:pPr>
        <w:rPr>
          <w:b/>
          <w:noProof/>
        </w:rPr>
      </w:pPr>
      <w:r>
        <w:rPr>
          <w:noProof/>
        </w:rPr>
        <w:t>4)</w:t>
      </w:r>
      <w:r>
        <w:rPr>
          <w:noProof/>
        </w:rPr>
        <w:tab/>
        <w:t>I artikel 14 indsættes som stk. 3:</w:t>
      </w:r>
    </w:p>
    <w:p w:rsidR="00051BBD" w:rsidRDefault="00FD0A5C">
      <w:pPr>
        <w:ind w:left="720"/>
        <w:rPr>
          <w:noProof/>
        </w:rPr>
      </w:pPr>
      <w:r>
        <w:rPr>
          <w:noProof/>
        </w:rPr>
        <w:t xml:space="preserve">"3. Hvis en medlemsstat gør brug af oplysninger, der meddeles af en anden medlemsstat i henhold til artikel </w:t>
      </w:r>
      <w:r>
        <w:rPr>
          <w:noProof/>
        </w:rPr>
        <w:t>8a, sender den feedback herom til den kompetente myndighed, der har leveret oplysningerne, så hurtigt som muligt og senest tre måneder, efter at resultatet af anvendelsen af de ønskede oplysninger er kendt, undtagen hvis der allerede er givet feedback i me</w:t>
      </w:r>
      <w:r>
        <w:rPr>
          <w:noProof/>
        </w:rPr>
        <w:t>dfør af stk. 1 i nærværende artikel. Kommissionen fastsætter de nærmere bestemmelser i overensstemmelse med proceduren i artikel 26, stk. 2."</w:t>
      </w:r>
    </w:p>
    <w:p w:rsidR="00051BBD" w:rsidRDefault="00FD0A5C">
      <w:pPr>
        <w:rPr>
          <w:b/>
          <w:noProof/>
        </w:rPr>
      </w:pPr>
      <w:r>
        <w:rPr>
          <w:noProof/>
        </w:rPr>
        <w:t>5)</w:t>
      </w:r>
      <w:r>
        <w:rPr>
          <w:noProof/>
        </w:rPr>
        <w:tab/>
        <w:t>I artikel 20 indsættes som stk. 5:</w:t>
      </w:r>
    </w:p>
    <w:p w:rsidR="00051BBD" w:rsidRDefault="00FD0A5C">
      <w:pPr>
        <w:ind w:left="720"/>
        <w:rPr>
          <w:noProof/>
        </w:rPr>
      </w:pPr>
      <w:r>
        <w:rPr>
          <w:noProof/>
        </w:rPr>
        <w:t>"5. Den automatiske udveksling af oplysninger om forhåndsgodkendte grænseove</w:t>
      </w:r>
      <w:r>
        <w:rPr>
          <w:noProof/>
        </w:rPr>
        <w:t>rskridende afgørelser og forhåndsgodkendte prisfastsættelsesordninger i medfør af artikel 8a foretages ved hjælp af en standardformular, når denne formular er blevet vedtaget af Kommissionen efter proceduren i artikel 26, stk. 2."</w:t>
      </w:r>
    </w:p>
    <w:p w:rsidR="00051BBD" w:rsidRDefault="00FD0A5C">
      <w:pPr>
        <w:rPr>
          <w:b/>
          <w:noProof/>
        </w:rPr>
      </w:pPr>
      <w:r>
        <w:rPr>
          <w:noProof/>
        </w:rPr>
        <w:t>6)</w:t>
      </w:r>
      <w:r>
        <w:rPr>
          <w:noProof/>
        </w:rPr>
        <w:tab/>
        <w:t>I artikel 21 indsættes</w:t>
      </w:r>
      <w:r>
        <w:rPr>
          <w:noProof/>
        </w:rPr>
        <w:t xml:space="preserve"> som stk. 5:</w:t>
      </w:r>
    </w:p>
    <w:p w:rsidR="00051BBD" w:rsidRDefault="00FD0A5C">
      <w:pPr>
        <w:ind w:left="720"/>
        <w:rPr>
          <w:noProof/>
        </w:rPr>
      </w:pPr>
      <w:r>
        <w:rPr>
          <w:noProof/>
        </w:rPr>
        <w:t>"5. Kommissionen udvikler et sikkert centralregister, hvor oplysninger, der skal meddeles inden for rammerne af artikel 8a i dette direktiv, kan indføres med henblik på den automatiske udveksling, der er omhandlet i stk. 1 og 2 i artikel 8a. K</w:t>
      </w:r>
      <w:r>
        <w:rPr>
          <w:noProof/>
        </w:rPr>
        <w:t>ommissionen har adgang til de oplysninger, der indføres i dette register. Kommissionen vedtager de nødvendige praktiske bestemmelser efter proceduren i artikel 26, stk. 2."</w:t>
      </w:r>
    </w:p>
    <w:p w:rsidR="00051BBD" w:rsidRDefault="00FD0A5C">
      <w:pPr>
        <w:rPr>
          <w:noProof/>
        </w:rPr>
      </w:pPr>
      <w:r>
        <w:rPr>
          <w:noProof/>
        </w:rPr>
        <w:t>7)</w:t>
      </w:r>
      <w:r>
        <w:rPr>
          <w:noProof/>
        </w:rPr>
        <w:tab/>
        <w:t>Artikel 23 ændres som følger:</w:t>
      </w:r>
    </w:p>
    <w:p w:rsidR="00051BBD" w:rsidRDefault="00FD0A5C">
      <w:pPr>
        <w:ind w:firstLine="720"/>
        <w:rPr>
          <w:noProof/>
        </w:rPr>
      </w:pPr>
      <w:r>
        <w:rPr>
          <w:noProof/>
        </w:rPr>
        <w:t>Stk. 3 affattes således:</w:t>
      </w:r>
    </w:p>
    <w:p w:rsidR="00051BBD" w:rsidRDefault="00FD0A5C">
      <w:pPr>
        <w:ind w:left="720"/>
        <w:rPr>
          <w:noProof/>
        </w:rPr>
      </w:pPr>
      <w:r>
        <w:rPr>
          <w:noProof/>
        </w:rPr>
        <w:t>"3. Medlemsstaterne sende</w:t>
      </w:r>
      <w:r>
        <w:rPr>
          <w:noProof/>
        </w:rPr>
        <w:t>r Kommissionen en årlig vurdering af, om den automatiske udveksling af oplysninger som omhandlet i artikel 8 og artikel 8a er effektiv, og af de opnåede konkrete resultater. Kommissionen fastsætter efter proceduren i artikel 26, stk. 2, i hvilken form og e</w:t>
      </w:r>
      <w:r>
        <w:rPr>
          <w:noProof/>
        </w:rPr>
        <w:t>fter hvilke retningslinjer denne årlige evaluering skal fremsendes."</w:t>
      </w:r>
    </w:p>
    <w:p w:rsidR="00051BBD" w:rsidRDefault="00FD0A5C">
      <w:pPr>
        <w:rPr>
          <w:b/>
          <w:noProof/>
        </w:rPr>
      </w:pPr>
      <w:r>
        <w:rPr>
          <w:noProof/>
        </w:rPr>
        <w:t>b) Afsnit 5 og 6 ophæves.</w:t>
      </w:r>
    </w:p>
    <w:p w:rsidR="00051BBD" w:rsidRDefault="00FD0A5C">
      <w:pPr>
        <w:rPr>
          <w:b/>
          <w:noProof/>
        </w:rPr>
      </w:pPr>
      <w:r>
        <w:rPr>
          <w:noProof/>
        </w:rPr>
        <w:t>8)</w:t>
      </w:r>
      <w:r>
        <w:rPr>
          <w:noProof/>
        </w:rPr>
        <w:tab/>
        <w:t>Som artikel 23 a indsættes:</w:t>
      </w:r>
    </w:p>
    <w:p w:rsidR="00051BBD" w:rsidRDefault="00FD0A5C">
      <w:pPr>
        <w:ind w:left="720"/>
        <w:rPr>
          <w:noProof/>
        </w:rPr>
      </w:pPr>
      <w:r>
        <w:rPr>
          <w:noProof/>
        </w:rPr>
        <w:t>"Artikel 23a</w:t>
      </w:r>
    </w:p>
    <w:p w:rsidR="00051BBD" w:rsidRDefault="00FD0A5C">
      <w:pPr>
        <w:ind w:left="720"/>
        <w:rPr>
          <w:noProof/>
        </w:rPr>
      </w:pPr>
      <w:r>
        <w:rPr>
          <w:noProof/>
        </w:rPr>
        <w:t>Fortrolig behandling af oplysninger</w:t>
      </w:r>
    </w:p>
    <w:p w:rsidR="00051BBD" w:rsidRDefault="00FD0A5C">
      <w:pPr>
        <w:ind w:left="720"/>
        <w:rPr>
          <w:noProof/>
        </w:rPr>
      </w:pPr>
      <w:r>
        <w:rPr>
          <w:noProof/>
        </w:rPr>
        <w:t xml:space="preserve">1. Oplysninger, der meddeles til Kommissionen i medfør af dette direktiv, </w:t>
      </w:r>
      <w:r>
        <w:rPr>
          <w:noProof/>
        </w:rPr>
        <w:t>behandles fortroligt af Kommissionen i overensstemmelse med de bestemmelser, der gælder for Unionens myndigheder.</w:t>
      </w:r>
    </w:p>
    <w:p w:rsidR="00051BBD" w:rsidRDefault="00FD0A5C">
      <w:pPr>
        <w:ind w:left="720"/>
        <w:rPr>
          <w:noProof/>
        </w:rPr>
      </w:pPr>
      <w:r>
        <w:rPr>
          <w:noProof/>
        </w:rPr>
        <w:t>2. Oplysninger, der meddeles til Kommissionen af en medlemsstat i medfør af artikel 23, og enhver rapport eller ethvert dokument, som Kommissi</w:t>
      </w:r>
      <w:r>
        <w:rPr>
          <w:noProof/>
        </w:rPr>
        <w:t xml:space="preserve">onen udarbejder under anvendelse af sådanne oplysninger, kan videresendes til andre medlemsstater. Sådanne oplysninger er omfattet af tavshedspligt og nyder samme beskyttelse som den, der gælder for tilsvarende oplysninger i henhold til lovgivningen i den </w:t>
      </w:r>
      <w:r>
        <w:rPr>
          <w:noProof/>
        </w:rPr>
        <w:t>medlemsstat, der modtager dem.</w:t>
      </w:r>
    </w:p>
    <w:p w:rsidR="00051BBD" w:rsidRDefault="00FD0A5C">
      <w:pPr>
        <w:ind w:left="720"/>
        <w:rPr>
          <w:noProof/>
        </w:rPr>
      </w:pPr>
      <w:r>
        <w:rPr>
          <w:noProof/>
        </w:rPr>
        <w:t xml:space="preserve">Rapporter og dokumenter udarbejdet af Kommissionen som omhandlet i første afsnit må kun anvendes af medlemsstaterne til analyseformål, men må ikke offentliggøres eller gøres tilgængelige for andre personer eller organer uden </w:t>
      </w:r>
      <w:r>
        <w:rPr>
          <w:noProof/>
        </w:rPr>
        <w:t>Kommissionens udtrykkelige samtykke."</w:t>
      </w:r>
    </w:p>
    <w:p w:rsidR="00051BBD" w:rsidRDefault="00FD0A5C">
      <w:pPr>
        <w:rPr>
          <w:b/>
          <w:noProof/>
        </w:rPr>
      </w:pPr>
      <w:r>
        <w:rPr>
          <w:noProof/>
        </w:rPr>
        <w:t>9)</w:t>
      </w:r>
      <w:r>
        <w:rPr>
          <w:noProof/>
        </w:rPr>
        <w:tab/>
        <w:t>I artikel 25 indsættes som stk. 1a:</w:t>
      </w:r>
    </w:p>
    <w:p w:rsidR="00051BBD" w:rsidRDefault="00FD0A5C">
      <w:pPr>
        <w:ind w:left="720"/>
        <w:rPr>
          <w:noProof/>
        </w:rPr>
      </w:pPr>
      <w:r>
        <w:rPr>
          <w:noProof/>
        </w:rPr>
        <w:t>"1a. Forordning (EF) nr. 45/2001 gælder for behandling af personoplysninger i henhold til dette direktiv i Unionens institutioner og organer. Men med henblik på korrekt anvendelse</w:t>
      </w:r>
      <w:r>
        <w:rPr>
          <w:noProof/>
        </w:rPr>
        <w:t xml:space="preserve"> af nærværende direktiv er rækkevidden af de forpligtelser og rettigheder, der er fastsat i artikel 11, artikel 12, stk. 1, og artikel 13-17 i forordning (EF) nr. 45/2001 begrænset til det omfang, det er nødvendigt for at beskytte de interesser, der er næv</w:t>
      </w:r>
      <w:r>
        <w:rPr>
          <w:noProof/>
        </w:rPr>
        <w:t>nt i artikel 20, stk. 1, litra b), i nævnte forordning."</w:t>
      </w:r>
    </w:p>
    <w:p w:rsidR="00051BBD" w:rsidRDefault="00FD0A5C">
      <w:pPr>
        <w:pStyle w:val="Titrearticle"/>
        <w:rPr>
          <w:noProof/>
        </w:rPr>
      </w:pPr>
      <w:r>
        <w:rPr>
          <w:noProof/>
        </w:rPr>
        <w:t>Artikel 2</w:t>
      </w:r>
    </w:p>
    <w:p w:rsidR="00051BBD" w:rsidRDefault="00FD0A5C">
      <w:pPr>
        <w:pStyle w:val="ManualNumPar1"/>
        <w:ind w:left="709" w:hanging="709"/>
        <w:rPr>
          <w:noProof/>
        </w:rPr>
      </w:pPr>
      <w:r>
        <w:rPr>
          <w:noProof/>
        </w:rPr>
        <w:t>1.</w:t>
      </w:r>
      <w:r>
        <w:rPr>
          <w:noProof/>
        </w:rPr>
        <w:tab/>
        <w:t>Medlemsstaterne vedtager og offentliggør senest den 31. december 2015 de love og administrative bestemmelser, der er nødvendige for at efterkomme dette direktiv. De meddeler straks Kommi</w:t>
      </w:r>
      <w:r>
        <w:rPr>
          <w:noProof/>
        </w:rPr>
        <w:t>ssionen teksten til disse love og bestemmelser.</w:t>
      </w:r>
    </w:p>
    <w:p w:rsidR="00051BBD" w:rsidRDefault="00FD0A5C">
      <w:pPr>
        <w:pStyle w:val="Text1"/>
        <w:ind w:left="709"/>
        <w:rPr>
          <w:noProof/>
        </w:rPr>
      </w:pPr>
      <w:r>
        <w:rPr>
          <w:noProof/>
        </w:rPr>
        <w:t>De anvender disse love og bestemmelser fra den 1. januar 2016.</w:t>
      </w:r>
    </w:p>
    <w:p w:rsidR="00051BBD" w:rsidRDefault="00FD0A5C">
      <w:pPr>
        <w:pStyle w:val="Text1"/>
        <w:ind w:left="709"/>
        <w:rPr>
          <w:noProof/>
        </w:rPr>
      </w:pPr>
      <w:r>
        <w:rPr>
          <w:noProof/>
        </w:rPr>
        <w:t>Lovene og bestemmelserne skal ved vedtagelsen indeholde en henvisning til dette direktiv eller skal ved offentliggørelsen ledsages af en sådan he</w:t>
      </w:r>
      <w:r>
        <w:rPr>
          <w:noProof/>
        </w:rPr>
        <w:t>nvisning. De nærmere regler for henvisningen fastsættes af medlemsstaterne.</w:t>
      </w:r>
    </w:p>
    <w:p w:rsidR="00051BBD" w:rsidRDefault="00FD0A5C">
      <w:pPr>
        <w:pStyle w:val="ManualNumPar1"/>
        <w:ind w:left="709" w:hanging="709"/>
        <w:rPr>
          <w:noProof/>
        </w:rPr>
      </w:pPr>
      <w:r>
        <w:rPr>
          <w:noProof/>
        </w:rPr>
        <w:t>2.</w:t>
      </w:r>
      <w:r>
        <w:rPr>
          <w:noProof/>
        </w:rPr>
        <w:tab/>
        <w:t>Medlemsstaterne meddeler Kommissionen teksten til de vigtigste nationale love og administrative bestemmelser, som de vedtager på det område, der er omfattet af dette direktiv.</w:t>
      </w:r>
    </w:p>
    <w:p w:rsidR="00051BBD" w:rsidRDefault="00FD0A5C">
      <w:pPr>
        <w:pStyle w:val="Titrearticle"/>
        <w:rPr>
          <w:noProof/>
        </w:rPr>
      </w:pPr>
      <w:r>
        <w:rPr>
          <w:noProof/>
        </w:rPr>
        <w:t>A</w:t>
      </w:r>
      <w:r>
        <w:rPr>
          <w:noProof/>
        </w:rPr>
        <w:t>rtikel 3</w:t>
      </w:r>
    </w:p>
    <w:p w:rsidR="00051BBD" w:rsidRDefault="00FD0A5C">
      <w:pPr>
        <w:rPr>
          <w:noProof/>
        </w:rPr>
      </w:pPr>
      <w:r>
        <w:rPr>
          <w:noProof/>
        </w:rPr>
        <w:t xml:space="preserve">Dette direktiv træder i kraft på tyvendedagen efter offentliggørelsen i </w:t>
      </w:r>
      <w:r>
        <w:rPr>
          <w:i/>
          <w:noProof/>
        </w:rPr>
        <w:t>Den Europæiske Unions Tidende</w:t>
      </w:r>
      <w:r>
        <w:rPr>
          <w:noProof/>
        </w:rPr>
        <w:t>.</w:t>
      </w:r>
    </w:p>
    <w:p w:rsidR="00051BBD" w:rsidRDefault="00FD0A5C">
      <w:pPr>
        <w:pStyle w:val="Titrearticle"/>
        <w:rPr>
          <w:noProof/>
        </w:rPr>
      </w:pPr>
      <w:r>
        <w:rPr>
          <w:noProof/>
        </w:rPr>
        <w:t>Artikel 4</w:t>
      </w:r>
    </w:p>
    <w:p w:rsidR="00051BBD" w:rsidRDefault="00FD0A5C">
      <w:pPr>
        <w:rPr>
          <w:noProof/>
        </w:rPr>
      </w:pPr>
      <w:r>
        <w:rPr>
          <w:noProof/>
        </w:rPr>
        <w:t>Dette direktiv er rettet til medlemsstaterne.</w:t>
      </w:r>
    </w:p>
    <w:p w:rsidR="00051BBD" w:rsidRDefault="00FD0A5C">
      <w:pPr>
        <w:pStyle w:val="Fait"/>
        <w:rPr>
          <w:noProof/>
        </w:rPr>
      </w:pPr>
      <w:r>
        <w:rPr>
          <w:noProof/>
        </w:rPr>
        <w:t>Udfærdiget i Bruxelles, den .</w:t>
      </w:r>
    </w:p>
    <w:p w:rsidR="00051BBD" w:rsidRDefault="00FD0A5C">
      <w:pPr>
        <w:pStyle w:val="Institutionquisigne"/>
        <w:rPr>
          <w:noProof/>
        </w:rPr>
      </w:pPr>
      <w:r>
        <w:rPr>
          <w:noProof/>
        </w:rPr>
        <w:tab/>
        <w:t>På Rådets vegne</w:t>
      </w:r>
    </w:p>
    <w:p w:rsidR="00051BBD" w:rsidRDefault="00FD0A5C">
      <w:pPr>
        <w:pStyle w:val="Personnequisigne"/>
        <w:rPr>
          <w:noProof/>
        </w:rPr>
      </w:pPr>
      <w:r>
        <w:rPr>
          <w:noProof/>
        </w:rPr>
        <w:tab/>
        <w:t>Formand</w:t>
      </w:r>
    </w:p>
    <w:p w:rsidR="00051BBD" w:rsidRDefault="00051BBD">
      <w:pPr>
        <w:rPr>
          <w:noProof/>
        </w:rPr>
        <w:sectPr w:rsidR="00051BBD">
          <w:pgSz w:w="11907" w:h="16839"/>
          <w:pgMar w:top="1134" w:right="1417" w:bottom="1134" w:left="1417" w:header="709" w:footer="709" w:gutter="0"/>
          <w:cols w:space="708"/>
          <w:docGrid w:linePitch="360"/>
        </w:sectPr>
      </w:pPr>
    </w:p>
    <w:p w:rsidR="00051BBD" w:rsidRDefault="00FD0A5C">
      <w:pPr>
        <w:pStyle w:val="Fichefinanciretitre"/>
        <w:rPr>
          <w:noProof/>
        </w:rPr>
      </w:pPr>
      <w:r>
        <w:rPr>
          <w:noProof/>
        </w:rPr>
        <w:t>FINANSIERINGSOVERSIGT</w:t>
      </w:r>
    </w:p>
    <w:p w:rsidR="00051BBD" w:rsidRDefault="00FD0A5C">
      <w:pPr>
        <w:pStyle w:val="ManualHeading1"/>
        <w:rPr>
          <w:noProof/>
        </w:rPr>
      </w:pPr>
      <w:r>
        <w:rPr>
          <w:noProof/>
        </w:rPr>
        <w:t>1.</w:t>
      </w:r>
      <w:r>
        <w:rPr>
          <w:noProof/>
        </w:rPr>
        <w:tab/>
        <w:t xml:space="preserve">FORSLAGETS/INITIATIVETS RAMME </w:t>
      </w:r>
    </w:p>
    <w:p w:rsidR="00051BBD" w:rsidRDefault="00FD0A5C">
      <w:pPr>
        <w:pStyle w:val="ManualHeading2"/>
        <w:rPr>
          <w:b w:val="0"/>
          <w:noProof/>
        </w:rPr>
      </w:pPr>
      <w:r>
        <w:rPr>
          <w:noProof/>
        </w:rPr>
        <w:tab/>
      </w:r>
      <w:r>
        <w:rPr>
          <w:b w:val="0"/>
          <w:noProof/>
        </w:rPr>
        <w:t>1.1.</w:t>
      </w:r>
      <w:r>
        <w:rPr>
          <w:noProof/>
        </w:rPr>
        <w:tab/>
      </w:r>
      <w:r>
        <w:rPr>
          <w:b w:val="0"/>
          <w:noProof/>
        </w:rPr>
        <w:t xml:space="preserve">Forslagets/initiativets betegnelse </w:t>
      </w:r>
    </w:p>
    <w:p w:rsidR="00051BBD" w:rsidRDefault="00FD0A5C">
      <w:pPr>
        <w:pStyle w:val="ManualHeading2"/>
        <w:rPr>
          <w:b w:val="0"/>
          <w:noProof/>
        </w:rPr>
      </w:pPr>
      <w:r>
        <w:rPr>
          <w:noProof/>
        </w:rPr>
        <w:tab/>
      </w:r>
      <w:r>
        <w:rPr>
          <w:b w:val="0"/>
          <w:noProof/>
        </w:rPr>
        <w:t>1.2.</w:t>
      </w:r>
      <w:r>
        <w:rPr>
          <w:noProof/>
        </w:rPr>
        <w:tab/>
      </w:r>
      <w:r>
        <w:rPr>
          <w:b w:val="0"/>
          <w:noProof/>
        </w:rPr>
        <w:t>Berørt(e) politikområde(r) inden for ABM/ABB-strukturen</w:t>
      </w:r>
    </w:p>
    <w:p w:rsidR="00051BBD" w:rsidRDefault="00FD0A5C">
      <w:pPr>
        <w:pStyle w:val="ManualHeading2"/>
        <w:rPr>
          <w:b w:val="0"/>
          <w:noProof/>
        </w:rPr>
      </w:pPr>
      <w:r>
        <w:rPr>
          <w:noProof/>
        </w:rPr>
        <w:tab/>
      </w:r>
      <w:r>
        <w:rPr>
          <w:b w:val="0"/>
          <w:noProof/>
        </w:rPr>
        <w:t>1.3.</w:t>
      </w:r>
      <w:r>
        <w:rPr>
          <w:noProof/>
        </w:rPr>
        <w:tab/>
      </w:r>
      <w:r>
        <w:rPr>
          <w:b w:val="0"/>
          <w:noProof/>
        </w:rPr>
        <w:t xml:space="preserve">Forslagets/initiativets art </w:t>
      </w:r>
    </w:p>
    <w:p w:rsidR="00051BBD" w:rsidRDefault="00FD0A5C">
      <w:pPr>
        <w:pStyle w:val="ManualHeading2"/>
        <w:rPr>
          <w:b w:val="0"/>
          <w:noProof/>
        </w:rPr>
      </w:pPr>
      <w:r>
        <w:rPr>
          <w:noProof/>
        </w:rPr>
        <w:tab/>
      </w:r>
      <w:r>
        <w:rPr>
          <w:b w:val="0"/>
          <w:noProof/>
        </w:rPr>
        <w:t>1.4.</w:t>
      </w:r>
      <w:r>
        <w:rPr>
          <w:noProof/>
        </w:rPr>
        <w:tab/>
      </w:r>
      <w:r>
        <w:rPr>
          <w:b w:val="0"/>
          <w:noProof/>
        </w:rPr>
        <w:t xml:space="preserve">Mål </w:t>
      </w:r>
    </w:p>
    <w:p w:rsidR="00051BBD" w:rsidRDefault="00FD0A5C">
      <w:pPr>
        <w:pStyle w:val="ManualHeading2"/>
        <w:rPr>
          <w:b w:val="0"/>
          <w:noProof/>
        </w:rPr>
      </w:pPr>
      <w:r>
        <w:rPr>
          <w:noProof/>
        </w:rPr>
        <w:tab/>
      </w:r>
      <w:r>
        <w:rPr>
          <w:b w:val="0"/>
          <w:noProof/>
        </w:rPr>
        <w:t>1.5.</w:t>
      </w:r>
      <w:r>
        <w:rPr>
          <w:noProof/>
        </w:rPr>
        <w:tab/>
      </w:r>
      <w:r>
        <w:rPr>
          <w:b w:val="0"/>
          <w:noProof/>
        </w:rPr>
        <w:t xml:space="preserve">Forslagets/initiativets begrundelse </w:t>
      </w:r>
    </w:p>
    <w:p w:rsidR="00051BBD" w:rsidRDefault="00FD0A5C">
      <w:pPr>
        <w:pStyle w:val="ManualHeading2"/>
        <w:rPr>
          <w:b w:val="0"/>
          <w:noProof/>
        </w:rPr>
      </w:pPr>
      <w:r>
        <w:rPr>
          <w:noProof/>
        </w:rPr>
        <w:tab/>
      </w:r>
      <w:r>
        <w:rPr>
          <w:b w:val="0"/>
          <w:noProof/>
        </w:rPr>
        <w:t>1.6.</w:t>
      </w:r>
      <w:r>
        <w:rPr>
          <w:noProof/>
        </w:rPr>
        <w:tab/>
      </w:r>
      <w:r>
        <w:rPr>
          <w:b w:val="0"/>
          <w:noProof/>
        </w:rPr>
        <w:t>V</w:t>
      </w:r>
      <w:r>
        <w:rPr>
          <w:b w:val="0"/>
          <w:noProof/>
        </w:rPr>
        <w:t xml:space="preserve">arighed og finansielle virkninger </w:t>
      </w:r>
    </w:p>
    <w:p w:rsidR="00051BBD" w:rsidRDefault="00FD0A5C">
      <w:pPr>
        <w:pStyle w:val="ManualHeading2"/>
        <w:rPr>
          <w:b w:val="0"/>
          <w:noProof/>
        </w:rPr>
      </w:pPr>
      <w:r>
        <w:rPr>
          <w:noProof/>
        </w:rPr>
        <w:tab/>
      </w:r>
      <w:r>
        <w:rPr>
          <w:b w:val="0"/>
          <w:noProof/>
        </w:rPr>
        <w:t>1.7.</w:t>
      </w:r>
      <w:r>
        <w:rPr>
          <w:noProof/>
        </w:rPr>
        <w:tab/>
      </w:r>
      <w:r>
        <w:rPr>
          <w:b w:val="0"/>
          <w:noProof/>
        </w:rPr>
        <w:t xml:space="preserve">Påtænkt(e) forvaltningsmetode(r) </w:t>
      </w:r>
    </w:p>
    <w:p w:rsidR="00051BBD" w:rsidRDefault="00FD0A5C">
      <w:pPr>
        <w:pStyle w:val="ManualHeading1"/>
        <w:rPr>
          <w:noProof/>
        </w:rPr>
      </w:pPr>
      <w:r>
        <w:rPr>
          <w:noProof/>
        </w:rPr>
        <w:t>2.</w:t>
      </w:r>
      <w:r>
        <w:rPr>
          <w:noProof/>
        </w:rPr>
        <w:tab/>
        <w:t xml:space="preserve">FORVALTNINGSFORANSTALTNINGER </w:t>
      </w:r>
    </w:p>
    <w:p w:rsidR="00051BBD" w:rsidRDefault="00FD0A5C">
      <w:pPr>
        <w:pStyle w:val="ManualHeading2"/>
        <w:rPr>
          <w:b w:val="0"/>
          <w:noProof/>
        </w:rPr>
      </w:pPr>
      <w:r>
        <w:rPr>
          <w:noProof/>
        </w:rPr>
        <w:tab/>
      </w:r>
      <w:r>
        <w:rPr>
          <w:b w:val="0"/>
          <w:noProof/>
        </w:rPr>
        <w:t>2.1.</w:t>
      </w:r>
      <w:r>
        <w:rPr>
          <w:noProof/>
        </w:rPr>
        <w:tab/>
      </w:r>
      <w:r>
        <w:rPr>
          <w:b w:val="0"/>
          <w:noProof/>
        </w:rPr>
        <w:t xml:space="preserve">Bestemmelser om kontrol og rapportering </w:t>
      </w:r>
    </w:p>
    <w:p w:rsidR="00051BBD" w:rsidRDefault="00FD0A5C">
      <w:pPr>
        <w:pStyle w:val="ManualHeading2"/>
        <w:rPr>
          <w:b w:val="0"/>
          <w:noProof/>
        </w:rPr>
      </w:pPr>
      <w:r>
        <w:rPr>
          <w:noProof/>
        </w:rPr>
        <w:tab/>
      </w:r>
      <w:r>
        <w:rPr>
          <w:b w:val="0"/>
          <w:noProof/>
        </w:rPr>
        <w:t>2.2.</w:t>
      </w:r>
      <w:r>
        <w:rPr>
          <w:noProof/>
        </w:rPr>
        <w:tab/>
      </w:r>
      <w:r>
        <w:rPr>
          <w:b w:val="0"/>
          <w:noProof/>
        </w:rPr>
        <w:t xml:space="preserve">Forvaltnings- og kontrolsystem </w:t>
      </w:r>
    </w:p>
    <w:p w:rsidR="00051BBD" w:rsidRDefault="00FD0A5C">
      <w:pPr>
        <w:pStyle w:val="ManualHeading2"/>
        <w:rPr>
          <w:b w:val="0"/>
          <w:noProof/>
        </w:rPr>
      </w:pPr>
      <w:r>
        <w:rPr>
          <w:noProof/>
        </w:rPr>
        <w:tab/>
      </w:r>
      <w:r>
        <w:rPr>
          <w:b w:val="0"/>
          <w:noProof/>
        </w:rPr>
        <w:t>2.3.</w:t>
      </w:r>
      <w:r>
        <w:rPr>
          <w:noProof/>
        </w:rPr>
        <w:tab/>
      </w:r>
      <w:r>
        <w:rPr>
          <w:b w:val="0"/>
          <w:noProof/>
        </w:rPr>
        <w:t xml:space="preserve">Foranstaltninger til forebyggelse af svig og uregelmæssigheder </w:t>
      </w:r>
    </w:p>
    <w:p w:rsidR="00051BBD" w:rsidRDefault="00FD0A5C">
      <w:pPr>
        <w:pStyle w:val="ManualHeading1"/>
        <w:rPr>
          <w:noProof/>
        </w:rPr>
      </w:pPr>
      <w:r>
        <w:rPr>
          <w:noProof/>
        </w:rPr>
        <w:t>3.</w:t>
      </w:r>
      <w:r>
        <w:rPr>
          <w:noProof/>
        </w:rPr>
        <w:tab/>
        <w:t xml:space="preserve">FORSLAGETS/INITIATIVETS ANSLÅEDE FINANSIELLE VIRKNINGER </w:t>
      </w:r>
    </w:p>
    <w:p w:rsidR="00051BBD" w:rsidRDefault="00FD0A5C">
      <w:pPr>
        <w:pStyle w:val="ManualHeading2"/>
        <w:rPr>
          <w:b w:val="0"/>
          <w:noProof/>
        </w:rPr>
      </w:pPr>
      <w:r>
        <w:rPr>
          <w:noProof/>
        </w:rPr>
        <w:tab/>
      </w:r>
      <w:r>
        <w:rPr>
          <w:b w:val="0"/>
          <w:noProof/>
        </w:rPr>
        <w:t>3.1.</w:t>
      </w:r>
      <w:r>
        <w:rPr>
          <w:noProof/>
        </w:rPr>
        <w:tab/>
      </w:r>
      <w:r>
        <w:rPr>
          <w:b w:val="0"/>
          <w:noProof/>
        </w:rPr>
        <w:t xml:space="preserve">Berørt(e) udgiftspost(er) på budgettet og udgiftsområde(r) i den flerårige finansielle ramme </w:t>
      </w:r>
    </w:p>
    <w:p w:rsidR="00051BBD" w:rsidRDefault="00FD0A5C">
      <w:pPr>
        <w:pStyle w:val="ManualHeading2"/>
        <w:rPr>
          <w:noProof/>
        </w:rPr>
      </w:pPr>
      <w:r>
        <w:rPr>
          <w:noProof/>
        </w:rPr>
        <w:tab/>
      </w:r>
      <w:r>
        <w:rPr>
          <w:b w:val="0"/>
          <w:noProof/>
        </w:rPr>
        <w:t>3.2.</w:t>
      </w:r>
      <w:r>
        <w:rPr>
          <w:noProof/>
        </w:rPr>
        <w:tab/>
      </w:r>
      <w:r>
        <w:rPr>
          <w:b w:val="0"/>
          <w:noProof/>
        </w:rPr>
        <w:t>Anslåede virkninger for ud</w:t>
      </w:r>
      <w:r>
        <w:rPr>
          <w:b w:val="0"/>
          <w:noProof/>
        </w:rPr>
        <w:t>gifterne</w:t>
      </w:r>
      <w:r>
        <w:rPr>
          <w:noProof/>
        </w:rPr>
        <w:t xml:space="preserve"> </w:t>
      </w:r>
    </w:p>
    <w:p w:rsidR="00051BBD" w:rsidRDefault="00FD0A5C">
      <w:pPr>
        <w:pStyle w:val="ManualHeading3"/>
        <w:rPr>
          <w:noProof/>
        </w:rPr>
      </w:pPr>
      <w:r>
        <w:rPr>
          <w:noProof/>
        </w:rPr>
        <w:tab/>
        <w:t>3.2.1.</w:t>
      </w:r>
      <w:r>
        <w:rPr>
          <w:noProof/>
        </w:rPr>
        <w:tab/>
        <w:t xml:space="preserve">Sammenfatning af de anslåede virkninger for udgifterne </w:t>
      </w:r>
    </w:p>
    <w:p w:rsidR="00051BBD" w:rsidRDefault="00FD0A5C">
      <w:pPr>
        <w:pStyle w:val="ManualHeading3"/>
        <w:rPr>
          <w:noProof/>
        </w:rPr>
      </w:pPr>
      <w:r>
        <w:rPr>
          <w:noProof/>
        </w:rPr>
        <w:tab/>
        <w:t>3.2.2.</w:t>
      </w:r>
      <w:r>
        <w:rPr>
          <w:noProof/>
        </w:rPr>
        <w:tab/>
        <w:t xml:space="preserve">Anslåede virkninger for aktionsbevillingerne </w:t>
      </w:r>
    </w:p>
    <w:p w:rsidR="00051BBD" w:rsidRDefault="00FD0A5C">
      <w:pPr>
        <w:pStyle w:val="ManualHeading3"/>
        <w:rPr>
          <w:noProof/>
        </w:rPr>
      </w:pPr>
      <w:r>
        <w:rPr>
          <w:noProof/>
        </w:rPr>
        <w:tab/>
        <w:t>3.2.3.</w:t>
      </w:r>
      <w:r>
        <w:rPr>
          <w:noProof/>
        </w:rPr>
        <w:tab/>
        <w:t>Anslåede virkninger for administrationsbevillingerne</w:t>
      </w:r>
    </w:p>
    <w:p w:rsidR="00051BBD" w:rsidRDefault="00FD0A5C">
      <w:pPr>
        <w:pStyle w:val="ManualHeading3"/>
        <w:rPr>
          <w:noProof/>
        </w:rPr>
      </w:pPr>
      <w:r>
        <w:rPr>
          <w:noProof/>
        </w:rPr>
        <w:tab/>
        <w:t>3.2.4.</w:t>
      </w:r>
      <w:r>
        <w:rPr>
          <w:noProof/>
        </w:rPr>
        <w:tab/>
        <w:t>Forenelighed med indeværende flerårige finansielle ramme</w:t>
      </w:r>
    </w:p>
    <w:p w:rsidR="00051BBD" w:rsidRDefault="00FD0A5C">
      <w:pPr>
        <w:pStyle w:val="ManualHeading3"/>
        <w:rPr>
          <w:noProof/>
        </w:rPr>
      </w:pPr>
      <w:r>
        <w:rPr>
          <w:noProof/>
        </w:rPr>
        <w:tab/>
      </w:r>
      <w:r>
        <w:rPr>
          <w:noProof/>
        </w:rPr>
        <w:t>3.2.5.</w:t>
      </w:r>
      <w:r>
        <w:rPr>
          <w:noProof/>
        </w:rPr>
        <w:tab/>
        <w:t xml:space="preserve">Tredjemands bidrag til finansieringen </w:t>
      </w:r>
    </w:p>
    <w:p w:rsidR="00051BBD" w:rsidRDefault="00FD0A5C">
      <w:pPr>
        <w:pStyle w:val="ManualHeading2"/>
        <w:jc w:val="left"/>
        <w:rPr>
          <w:b w:val="0"/>
          <w:noProof/>
        </w:rPr>
        <w:sectPr w:rsidR="00051BBD">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Anslåede virkninger for indtægterne</w:t>
      </w:r>
    </w:p>
    <w:p w:rsidR="00051BBD" w:rsidRDefault="00FD0A5C">
      <w:pPr>
        <w:jc w:val="center"/>
        <w:rPr>
          <w:noProof/>
        </w:rPr>
      </w:pPr>
      <w:r>
        <w:rPr>
          <w:b/>
          <w:noProof/>
          <w:u w:val="single"/>
        </w:rPr>
        <w:t>FINANSIERINGSOVERSIGT</w:t>
      </w:r>
    </w:p>
    <w:p w:rsidR="00051BBD" w:rsidRDefault="00FD0A5C">
      <w:pPr>
        <w:pStyle w:val="ManualHeading1"/>
        <w:rPr>
          <w:noProof/>
        </w:rPr>
      </w:pPr>
      <w:r>
        <w:t>1.</w:t>
      </w:r>
      <w:r>
        <w:tab/>
      </w:r>
      <w:r>
        <w:rPr>
          <w:noProof/>
        </w:rPr>
        <w:t xml:space="preserve">FORSLAGETS/INITIATIVETS RAMME </w:t>
      </w:r>
    </w:p>
    <w:p w:rsidR="00051BBD" w:rsidRDefault="00FD0A5C">
      <w:pPr>
        <w:pStyle w:val="ManualHeading2"/>
        <w:rPr>
          <w:noProof/>
        </w:rPr>
      </w:pPr>
      <w:r>
        <w:t>1.1.</w:t>
      </w:r>
      <w:r>
        <w:tab/>
      </w:r>
      <w:r>
        <w:rPr>
          <w:noProof/>
        </w:rPr>
        <w:t xml:space="preserve">Forslagets/initiativets betegnelse </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Forslag til Rådets direktiv om ændring af direkt</w:t>
      </w:r>
      <w:r>
        <w:rPr>
          <w:noProof/>
        </w:rPr>
        <w:t xml:space="preserve">iv 2011/16/EU </w:t>
      </w:r>
      <w:r>
        <w:rPr>
          <w:noProof/>
        </w:rPr>
        <w:tab/>
      </w:r>
      <w:r>
        <w:rPr>
          <w:noProof/>
        </w:rPr>
        <w:br/>
        <w:t>for så vidt angår udveksling af oplysninger på beskatningsområdet</w:t>
      </w:r>
    </w:p>
    <w:p w:rsidR="00051BBD" w:rsidRDefault="00FD0A5C">
      <w:pPr>
        <w:pStyle w:val="ManualHeading2"/>
        <w:rPr>
          <w:noProof/>
          <w:szCs w:val="24"/>
        </w:rPr>
      </w:pPr>
      <w:r>
        <w:t>1.2.</w:t>
      </w:r>
      <w:r>
        <w:tab/>
      </w:r>
      <w:r>
        <w:rPr>
          <w:noProof/>
        </w:rPr>
        <w:t>Berørt(e) politikområde(r) inden for ABM/ABB-strukturen</w:t>
      </w:r>
      <w:r>
        <w:rPr>
          <w:rStyle w:val="FootnoteReference"/>
          <w:noProof/>
        </w:rPr>
        <w:footnoteReference w:id="15"/>
      </w:r>
      <w:r>
        <w:rPr>
          <w:i/>
          <w:noProof/>
        </w:rPr>
        <w:t xml:space="preserve"> </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14</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14.03</w:t>
      </w:r>
    </w:p>
    <w:p w:rsidR="00051BBD" w:rsidRDefault="00FD0A5C">
      <w:pPr>
        <w:pStyle w:val="ManualHeading2"/>
        <w:rPr>
          <w:bCs/>
          <w:noProof/>
          <w:szCs w:val="24"/>
        </w:rPr>
      </w:pPr>
      <w:r>
        <w:t>1.3.</w:t>
      </w:r>
      <w:r>
        <w:tab/>
      </w:r>
      <w:r>
        <w:rPr>
          <w:noProof/>
        </w:rPr>
        <w:t xml:space="preserve">Forslagets/initiativets art </w:t>
      </w:r>
    </w:p>
    <w:p w:rsidR="00051BBD" w:rsidRDefault="00FD0A5C">
      <w:pPr>
        <w:pStyle w:val="Text1"/>
        <w:rPr>
          <w:b/>
          <w:noProof/>
          <w:sz w:val="22"/>
        </w:rPr>
      </w:pPr>
      <w:r>
        <w:rPr>
          <w:noProof/>
          <w:sz w:val="22"/>
        </w:rPr>
        <w:sym w:font="Wingdings" w:char="F0FD"/>
      </w:r>
      <w:r>
        <w:rPr>
          <w:b/>
          <w:i/>
          <w:noProof/>
          <w:sz w:val="22"/>
        </w:rPr>
        <w:t xml:space="preserve"> </w:t>
      </w:r>
      <w:r>
        <w:rPr>
          <w:noProof/>
        </w:rPr>
        <w:t>Forslaget/initiativet drejer sig om en</w:t>
      </w:r>
      <w:r>
        <w:rPr>
          <w:b/>
          <w:noProof/>
        </w:rPr>
        <w:t xml:space="preserve"> ny foranstaltning</w:t>
      </w:r>
      <w:r>
        <w:rPr>
          <w:b/>
          <w:noProof/>
          <w:sz w:val="22"/>
        </w:rPr>
        <w:t xml:space="preserve"> </w:t>
      </w:r>
    </w:p>
    <w:p w:rsidR="00051BBD" w:rsidRDefault="00FD0A5C">
      <w:pPr>
        <w:pStyle w:val="Text1"/>
        <w:rPr>
          <w:noProof/>
          <w:sz w:val="22"/>
        </w:rPr>
      </w:pPr>
      <w:r>
        <w:rPr>
          <w:noProof/>
          <w:sz w:val="22"/>
        </w:rPr>
        <w:sym w:font="Wingdings" w:char="F0A8"/>
      </w:r>
      <w:r>
        <w:rPr>
          <w:i/>
          <w:noProof/>
          <w:sz w:val="22"/>
        </w:rPr>
        <w:t xml:space="preserve"> </w:t>
      </w:r>
      <w:r>
        <w:rPr>
          <w:noProof/>
        </w:rPr>
        <w:t xml:space="preserve">Forslaget/initiativet drejer sig om </w:t>
      </w:r>
      <w:r>
        <w:rPr>
          <w:b/>
          <w:noProof/>
        </w:rPr>
        <w:t>en ny foranstaltning som opfølgning på et pilotprojekt/en forberedende foranstaltning</w:t>
      </w:r>
      <w:r>
        <w:rPr>
          <w:rStyle w:val="FootnoteReference"/>
          <w:b/>
          <w:noProof/>
        </w:rPr>
        <w:footnoteReference w:id="16"/>
      </w:r>
      <w:r>
        <w:rPr>
          <w:noProof/>
          <w:sz w:val="22"/>
        </w:rPr>
        <w:t xml:space="preserve"> </w:t>
      </w:r>
    </w:p>
    <w:p w:rsidR="00051BBD" w:rsidRDefault="00FD0A5C">
      <w:pPr>
        <w:pStyle w:val="Text1"/>
        <w:rPr>
          <w:noProof/>
          <w:sz w:val="22"/>
        </w:rPr>
      </w:pPr>
      <w:r>
        <w:rPr>
          <w:noProof/>
          <w:sz w:val="22"/>
        </w:rPr>
        <w:sym w:font="Wingdings" w:char="F0A8"/>
      </w:r>
      <w:r>
        <w:rPr>
          <w:i/>
          <w:noProof/>
          <w:sz w:val="22"/>
        </w:rPr>
        <w:t xml:space="preserve"> </w:t>
      </w:r>
      <w:r>
        <w:rPr>
          <w:noProof/>
        </w:rPr>
        <w:t xml:space="preserve">Forslaget/initiativet drejer sig om en </w:t>
      </w:r>
      <w:r>
        <w:rPr>
          <w:b/>
          <w:noProof/>
        </w:rPr>
        <w:t>forlængelse af en eksisterende foranstaltning</w:t>
      </w:r>
      <w:r>
        <w:rPr>
          <w:noProof/>
          <w:sz w:val="22"/>
        </w:rPr>
        <w:t xml:space="preserve"> </w:t>
      </w:r>
    </w:p>
    <w:p w:rsidR="00051BBD" w:rsidRDefault="00FD0A5C">
      <w:pPr>
        <w:pStyle w:val="Text1"/>
        <w:rPr>
          <w:noProof/>
        </w:rPr>
      </w:pPr>
      <w:r>
        <w:rPr>
          <w:noProof/>
          <w:sz w:val="22"/>
        </w:rPr>
        <w:sym w:font="Wingdings" w:char="F0A8"/>
      </w:r>
      <w:r>
        <w:rPr>
          <w:i/>
          <w:noProof/>
          <w:sz w:val="22"/>
        </w:rPr>
        <w:t xml:space="preserve"> </w:t>
      </w:r>
      <w:r>
        <w:rPr>
          <w:noProof/>
        </w:rPr>
        <w:t xml:space="preserve">Forslaget/initiativet drejer sig om </w:t>
      </w:r>
      <w:r>
        <w:rPr>
          <w:b/>
          <w:noProof/>
        </w:rPr>
        <w:t>omlægn</w:t>
      </w:r>
      <w:r>
        <w:rPr>
          <w:b/>
          <w:noProof/>
        </w:rPr>
        <w:t>ing af en foranstaltning til en ny foranstaltning</w:t>
      </w:r>
      <w:r>
        <w:rPr>
          <w:noProof/>
        </w:rPr>
        <w:t xml:space="preserve"> </w:t>
      </w:r>
    </w:p>
    <w:p w:rsidR="00051BBD" w:rsidRDefault="00FD0A5C">
      <w:pPr>
        <w:pStyle w:val="ManualHeading2"/>
        <w:rPr>
          <w:bCs/>
          <w:noProof/>
          <w:szCs w:val="24"/>
        </w:rPr>
      </w:pPr>
      <w:r>
        <w:t>1.4.</w:t>
      </w:r>
      <w:r>
        <w:tab/>
      </w:r>
      <w:r>
        <w:rPr>
          <w:noProof/>
        </w:rPr>
        <w:t>Mål</w:t>
      </w:r>
    </w:p>
    <w:p w:rsidR="00051BBD" w:rsidRDefault="00FD0A5C">
      <w:pPr>
        <w:pStyle w:val="ManualHeading3"/>
        <w:rPr>
          <w:noProof/>
        </w:rPr>
      </w:pPr>
      <w:r>
        <w:t>1.4.1.</w:t>
      </w:r>
      <w:r>
        <w:tab/>
      </w:r>
      <w:r>
        <w:rPr>
          <w:noProof/>
        </w:rPr>
        <w:t xml:space="preserve">Det eller de af Kommissionens flerårige strategiske mål, som forslaget/initiativet vedrører </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Blandt prioriteterne i Kommissionens arbejdsprogram for 2015 er der En mere retfærdig tilgang ti</w:t>
      </w:r>
      <w:r>
        <w:rPr>
          <w:noProof/>
        </w:rPr>
        <w:t>l beskatning, bl.a. ved at sikre "automatisk udveksling af oplysninger om skatteafgørelser", som netop er formålet med nærværende forslag.</w:t>
      </w:r>
    </w:p>
    <w:p w:rsidR="00051BBD" w:rsidRDefault="00FD0A5C">
      <w:pPr>
        <w:pStyle w:val="ManualHeading3"/>
        <w:rPr>
          <w:bCs/>
          <w:noProof/>
          <w:szCs w:val="24"/>
        </w:rPr>
      </w:pPr>
      <w:r>
        <w:t>1.4.2.</w:t>
      </w:r>
      <w:r>
        <w:tab/>
      </w:r>
      <w:r>
        <w:rPr>
          <w:noProof/>
        </w:rPr>
        <w:t xml:space="preserve">Specifikke mål og berørte ABM/ABB-aktiviteter </w:t>
      </w:r>
    </w:p>
    <w:p w:rsidR="00051BBD" w:rsidRDefault="00FD0A5C">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Specifikt mål </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Det specifikke mål for FISCALIS-programmet er at</w:t>
      </w:r>
      <w:r>
        <w:rPr>
          <w:noProof/>
        </w:rPr>
        <w:t xml:space="preserve"> støtte bekæmpelsen af skattesvig, skatteunddragelse og aggressiv skatteplanlægning samt gennemførelsen af EU-retten på beskatningsområdet ved at sikre udvekslingen af oplysninger, styrke det administrative samarbejde og, hvor det er nødvendigt og hensigts</w:t>
      </w:r>
      <w:r>
        <w:rPr>
          <w:noProof/>
        </w:rPr>
        <w:t>mæssigt, udbygge de deltagende landes administrative kapacitet med henblik på at hjælpe med at reducere den administrative byrde for skattemyndighederne og efterlevelsesomkostningerne for skatteyderne.</w:t>
      </w:r>
    </w:p>
    <w:p w:rsidR="00051BBD" w:rsidRDefault="00FD0A5C">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Berørte ABM/ABB-aktiviteter</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ABB 3</w:t>
      </w:r>
    </w:p>
    <w:p w:rsidR="00051BBD" w:rsidRDefault="00FD0A5C">
      <w:pPr>
        <w:pStyle w:val="ManualHeading3"/>
        <w:rPr>
          <w:bCs/>
          <w:noProof/>
          <w:szCs w:val="24"/>
        </w:rPr>
      </w:pPr>
      <w:r>
        <w:rPr>
          <w:noProof/>
        </w:rPr>
        <w:br w:type="page"/>
      </w:r>
      <w:r>
        <w:t>1.4.3.</w:t>
      </w:r>
      <w:r>
        <w:tab/>
      </w:r>
      <w:r>
        <w:rPr>
          <w:noProof/>
        </w:rPr>
        <w:t>Forventede r</w:t>
      </w:r>
      <w:r>
        <w:rPr>
          <w:noProof/>
        </w:rPr>
        <w:t>esultater og virkninger</w:t>
      </w:r>
    </w:p>
    <w:p w:rsidR="00051BBD" w:rsidRDefault="00FD0A5C">
      <w:pPr>
        <w:pStyle w:val="Text1"/>
        <w:rPr>
          <w:i/>
          <w:noProof/>
          <w:sz w:val="20"/>
        </w:rPr>
      </w:pPr>
      <w:r>
        <w:rPr>
          <w:i/>
          <w:noProof/>
          <w:sz w:val="20"/>
        </w:rPr>
        <w:t>Angiv, hvilke virkninger forslaget/initiativet forventes at få for modtagerne/målgruppen.</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For det første vil automatisk udveksling af oplysninger mellem medlemsstaterne om skatteafgørelser betyde, at alle medlemsstater vil være i stand til at vurdere, om en anden medlemsstats skatteafgørelser får konsekvenser for dem (selv om det er utilsigtet)</w:t>
      </w:r>
      <w:r>
        <w:rPr>
          <w:noProof/>
        </w:rPr>
        <w:t xml:space="preserve">, og de vil dermed kunne reagere herpå. </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For det andet vil det, at der er mere gennemsigtighed om skatteafgøreler, kunne give større incitament til at sikre, at skattekonkurrence bliver mere fair. Automatisk udveksling af oplysninger om skatteafgørelser ka</w:t>
      </w:r>
      <w:r>
        <w:rPr>
          <w:noProof/>
        </w:rPr>
        <w:t xml:space="preserve">n også få selskaber til at afholde sig fra aggressiv skatteplanlægning på grundlag af skatteafgørelser, eftersom andre medlemsstater nu vil have de oplysninger, der skal til for at afsløre og reagere på kunstige ordninger og flytning af fortjeneste. </w:t>
      </w:r>
    </w:p>
    <w:p w:rsidR="00051BBD" w:rsidRDefault="00FD0A5C">
      <w:pPr>
        <w:pStyle w:val="ManualHeading3"/>
        <w:rPr>
          <w:bCs/>
          <w:noProof/>
          <w:szCs w:val="24"/>
        </w:rPr>
      </w:pPr>
      <w:r>
        <w:t>1.4.4</w:t>
      </w:r>
      <w:r>
        <w:t>.</w:t>
      </w:r>
      <w:r>
        <w:tab/>
      </w:r>
      <w:r>
        <w:rPr>
          <w:noProof/>
        </w:rPr>
        <w:t xml:space="preserve">Virknings- og resultatindikatorer </w:t>
      </w:r>
    </w:p>
    <w:p w:rsidR="00051BBD" w:rsidRDefault="00FD0A5C">
      <w:pPr>
        <w:pStyle w:val="Text1"/>
        <w:rPr>
          <w:i/>
          <w:noProof/>
          <w:sz w:val="20"/>
        </w:rPr>
      </w:pPr>
      <w:r>
        <w:rPr>
          <w:i/>
          <w:noProof/>
          <w:sz w:val="20"/>
        </w:rPr>
        <w:t>Angiv indikatorerne til kontrol af forslagets/initiativets gennemførelse.</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Forslaget vil blive styret af kravene i det direktiv, som det ændrer (dvs. direktiv 2011/16) for i) levering på årsbasis fra medlemsstaterne af s</w:t>
      </w:r>
      <w:r>
        <w:rPr>
          <w:noProof/>
        </w:rPr>
        <w:t>tatistikker over informationsudveksling, ii) Kommissionens forelæggelse af en rapport udarbejdet på grundlag af disse statistikker og iii) levering på årsbasis fra medlemsstaterne af en evaluering af, hvor effektiv den automatiske udveksling af oplysninger</w:t>
      </w:r>
      <w:r>
        <w:rPr>
          <w:noProof/>
        </w:rPr>
        <w:t xml:space="preserve"> har været.</w:t>
      </w:r>
    </w:p>
    <w:p w:rsidR="00051BBD" w:rsidRDefault="00FD0A5C">
      <w:pPr>
        <w:pStyle w:val="ManualHeading2"/>
        <w:rPr>
          <w:bCs/>
          <w:noProof/>
          <w:szCs w:val="24"/>
        </w:rPr>
      </w:pPr>
      <w:r>
        <w:t>1.5.</w:t>
      </w:r>
      <w:r>
        <w:tab/>
      </w:r>
      <w:r>
        <w:rPr>
          <w:noProof/>
        </w:rPr>
        <w:t xml:space="preserve">Forslagets/initiativets begrundelse </w:t>
      </w:r>
    </w:p>
    <w:p w:rsidR="00051BBD" w:rsidRDefault="00FD0A5C">
      <w:pPr>
        <w:pStyle w:val="ManualHeading3"/>
        <w:rPr>
          <w:noProof/>
        </w:rPr>
      </w:pPr>
      <w:r>
        <w:t>1.5.1.</w:t>
      </w:r>
      <w:r>
        <w:tab/>
      </w:r>
      <w:r>
        <w:rPr>
          <w:noProof/>
        </w:rPr>
        <w:t xml:space="preserve">Behov, der skal opfyldes på kort eller lang sigt </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 xml:space="preserve">I direktivet om administrativt samarbejde (2011/16) er der et krav om, at den medlemsstat, som udsteder skatteafgørelser, skal videregive </w:t>
      </w:r>
      <w:r>
        <w:rPr>
          <w:noProof/>
        </w:rPr>
        <w:t>informationen til alle andre berørte medlemsstater, men det er op til den medlemsstat, der udsteder afgørelsen at beslutte, hvilke andre medlemsstater informationen kan være relevant for. Den medlemsstat, der udsteder afgørelsen, kan dog ikke altid vide, h</w:t>
      </w:r>
      <w:r>
        <w:rPr>
          <w:noProof/>
        </w:rPr>
        <w:t>vilke andre medlemsstater, der kan blive påvirket heraf. Desuden er der for øjeblikket adskillige undtagelser fra kravet om videregivelse. I dette forslag kræves det af den medlemsstat, der udsteder afgørelser, at den automatisk skal give informationen til</w:t>
      </w:r>
      <w:r>
        <w:rPr>
          <w:noProof/>
        </w:rPr>
        <w:t xml:space="preserve"> alle andre medlemsstater, således at beslutningen om, hvem den er relevant for, træffes af en modtagende fremfor af en udstedende medlemsstat, og dette vil overflødiggøre de nuværende undtagelser fra kravet om videregivelse.</w:t>
      </w:r>
    </w:p>
    <w:p w:rsidR="00051BBD" w:rsidRDefault="00FD0A5C">
      <w:pPr>
        <w:pStyle w:val="ManualHeading3"/>
        <w:rPr>
          <w:bCs/>
          <w:noProof/>
          <w:szCs w:val="24"/>
        </w:rPr>
      </w:pPr>
      <w:r>
        <w:t>1.5.2.</w:t>
      </w:r>
      <w:r>
        <w:tab/>
      </w:r>
      <w:r>
        <w:rPr>
          <w:noProof/>
        </w:rPr>
        <w:t>Merværdien ved en indsa</w:t>
      </w:r>
      <w:r>
        <w:rPr>
          <w:noProof/>
        </w:rPr>
        <w:t>ts fra EU's side</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Medlemsstater, der handler alene, er måske ikke i stand til at få alle oplysninger om afgørelser, der udstedes af andre medlemsstater, selv hvor disse afgørelser vedrører deres skattegrundlag. En bindende EU-tilgang er den eneste måde, hvo</w:t>
      </w:r>
      <w:r>
        <w:rPr>
          <w:noProof/>
        </w:rPr>
        <w:t>rpå der kan sikres fuldstændig gennemsigtighed og samarbejde på dette område.</w:t>
      </w:r>
    </w:p>
    <w:p w:rsidR="00051BBD" w:rsidRDefault="00FD0A5C">
      <w:pPr>
        <w:pStyle w:val="ManualHeading3"/>
        <w:rPr>
          <w:bCs/>
          <w:noProof/>
          <w:szCs w:val="24"/>
        </w:rPr>
      </w:pPr>
      <w:r>
        <w:t>1.5.3.</w:t>
      </w:r>
      <w:r>
        <w:tab/>
      </w:r>
      <w:r>
        <w:rPr>
          <w:noProof/>
        </w:rPr>
        <w:t>Erfaringer fra lignende foranstaltninger</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 xml:space="preserve">Den nuværende ikkeautomatiske tilgang for udveksling af information om afgørelser har indtil videre ikke ført til gennemsigtighed </w:t>
      </w:r>
      <w:r>
        <w:rPr>
          <w:noProof/>
        </w:rPr>
        <w:t xml:space="preserve">på området. For øjeblikket er der nogle skatteydere, der drager fordel af, at der mangler gennemsigtighed ved oprettelse af strukturer, hvor fortjeneste flyttes til lande med lav skat, hvilket ikke nødvendigvis er de lande, hvor de økonomiske aktiviteter, </w:t>
      </w:r>
      <w:r>
        <w:rPr>
          <w:noProof/>
        </w:rPr>
        <w:t>der skaber fortjeneste, udøves, og hvor værdien skabes. Den automatiske udveksling af information mellem skatteadministrationer, som gælder på andre skatteområder, f.eks. indtægter fra opsparing, har givet gode resultater. Automatisk udveksling anses nu på</w:t>
      </w:r>
      <w:r>
        <w:rPr>
          <w:noProof/>
        </w:rPr>
        <w:t xml:space="preserve"> globalt plan for at være det bedste værktøj for skatteadministrationer til at håndtere skatteundgåelse og skatteunddragelse.</w:t>
      </w:r>
    </w:p>
    <w:p w:rsidR="00051BBD" w:rsidRDefault="00FD0A5C">
      <w:pPr>
        <w:pStyle w:val="ManualHeading3"/>
        <w:rPr>
          <w:bCs/>
          <w:noProof/>
          <w:szCs w:val="24"/>
        </w:rPr>
      </w:pPr>
      <w:r>
        <w:t>1.5.4.</w:t>
      </w:r>
      <w:r>
        <w:tab/>
      </w:r>
      <w:r>
        <w:rPr>
          <w:noProof/>
        </w:rPr>
        <w:t>Sammenhæng med andre relevante instrumenter og eventuel synergivirkning</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Da formålet med forslaget er at ændre direktivet om</w:t>
      </w:r>
      <w:r>
        <w:rPr>
          <w:noProof/>
        </w:rPr>
        <w:t xml:space="preserve"> administrativt samarbejde (2011/16), vil de procedurer, ordninger og IT-værktøjer, der allerede er indført eller under udvikling under det pågældende direktiv, kunne anvendes i forbindelse med nærværende forslag. </w:t>
      </w:r>
    </w:p>
    <w:p w:rsidR="00051BBD" w:rsidRDefault="00FD0A5C">
      <w:pPr>
        <w:pStyle w:val="ManualHeading2"/>
        <w:rPr>
          <w:bCs/>
          <w:noProof/>
          <w:szCs w:val="24"/>
        </w:rPr>
      </w:pPr>
      <w:r>
        <w:rPr>
          <w:noProof/>
        </w:rPr>
        <w:br w:type="page"/>
      </w:r>
      <w:r>
        <w:t>1.6.</w:t>
      </w:r>
      <w:r>
        <w:tab/>
      </w:r>
      <w:r>
        <w:rPr>
          <w:noProof/>
        </w:rPr>
        <w:t xml:space="preserve">Varighed og finansielle virkninger </w:t>
      </w:r>
    </w:p>
    <w:p w:rsidR="00051BBD" w:rsidRDefault="00FD0A5C">
      <w:pPr>
        <w:pStyle w:val="Text1"/>
        <w:rPr>
          <w:noProof/>
        </w:rPr>
      </w:pPr>
      <w:r>
        <w:rPr>
          <w:noProof/>
        </w:rPr>
        <w:sym w:font="Wingdings" w:char="F0A8"/>
      </w:r>
      <w:r>
        <w:rPr>
          <w:b/>
          <w:i/>
          <w:noProof/>
        </w:rPr>
        <w:t xml:space="preserve"> </w:t>
      </w:r>
      <w:r>
        <w:rPr>
          <w:noProof/>
        </w:rPr>
        <w:t xml:space="preserve">Forslag/initiativ af </w:t>
      </w:r>
      <w:r>
        <w:rPr>
          <w:b/>
          <w:noProof/>
        </w:rPr>
        <w:t xml:space="preserve">begrænset varighed </w:t>
      </w:r>
    </w:p>
    <w:p w:rsidR="00051BBD" w:rsidRDefault="00FD0A5C">
      <w:pPr>
        <w:pStyle w:val="ListDash2"/>
        <w:rPr>
          <w:noProof/>
        </w:rPr>
      </w:pPr>
      <w:r>
        <w:rPr>
          <w:noProof/>
        </w:rPr>
        <w:sym w:font="Wingdings" w:char="F0A8"/>
      </w:r>
      <w:r>
        <w:rPr>
          <w:noProof/>
        </w:rPr>
        <w:t xml:space="preserve"> Forslag/initiativ gældende fra [DD/MM]YYYY til [DD/MM]YYYY </w:t>
      </w:r>
    </w:p>
    <w:p w:rsidR="00051BBD" w:rsidRDefault="00FD0A5C">
      <w:pPr>
        <w:pStyle w:val="ListDash2"/>
        <w:rPr>
          <w:noProof/>
          <w:lang w:val="nb-NO"/>
        </w:rPr>
      </w:pPr>
      <w:r>
        <w:rPr>
          <w:noProof/>
        </w:rPr>
        <w:sym w:font="Wingdings" w:char="F0A8"/>
      </w:r>
      <w:r>
        <w:rPr>
          <w:noProof/>
          <w:lang w:val="nb-NO"/>
        </w:rPr>
        <w:t xml:space="preserve"> Finansielle virkninger fra YYYY til YYYY </w:t>
      </w:r>
    </w:p>
    <w:p w:rsidR="00051BBD" w:rsidRDefault="00FD0A5C">
      <w:pPr>
        <w:pStyle w:val="Text1"/>
        <w:rPr>
          <w:noProof/>
        </w:rPr>
      </w:pPr>
      <w:r>
        <w:rPr>
          <w:noProof/>
        </w:rPr>
        <w:sym w:font="Wingdings" w:char="F0FD"/>
      </w:r>
      <w:r>
        <w:rPr>
          <w:noProof/>
        </w:rPr>
        <w:t xml:space="preserve"> Forslag/initiativ af </w:t>
      </w:r>
      <w:r>
        <w:rPr>
          <w:b/>
          <w:noProof/>
        </w:rPr>
        <w:t>ubegrænset varighed</w:t>
      </w:r>
    </w:p>
    <w:p w:rsidR="00051BBD" w:rsidRDefault="00FD0A5C">
      <w:pPr>
        <w:pStyle w:val="ListDash1"/>
        <w:rPr>
          <w:rFonts w:eastAsiaTheme="minorHAnsi"/>
          <w:noProof/>
        </w:rPr>
      </w:pPr>
      <w:r>
        <w:rPr>
          <w:noProof/>
        </w:rPr>
        <w:t>Iværksættelse med en indkøringsperiode fra YYYY til YYYY</w:t>
      </w:r>
    </w:p>
    <w:p w:rsidR="00051BBD" w:rsidRDefault="00FD0A5C">
      <w:pPr>
        <w:pStyle w:val="ListDash1"/>
        <w:rPr>
          <w:rFonts w:eastAsiaTheme="minorHAnsi"/>
          <w:noProof/>
        </w:rPr>
      </w:pPr>
      <w:r>
        <w:rPr>
          <w:noProof/>
        </w:rPr>
        <w:t>Forsla</w:t>
      </w:r>
      <w:r>
        <w:rPr>
          <w:noProof/>
        </w:rPr>
        <w:t>get vil få virkning fra den 1. januar 2016</w:t>
      </w:r>
    </w:p>
    <w:p w:rsidR="00051BBD" w:rsidRDefault="00FD0A5C">
      <w:pPr>
        <w:pStyle w:val="ListDash1"/>
        <w:rPr>
          <w:noProof/>
        </w:rPr>
      </w:pPr>
      <w:r>
        <w:rPr>
          <w:noProof/>
        </w:rPr>
        <w:t>derefter gennemførelse i fuldt omfang.</w:t>
      </w:r>
    </w:p>
    <w:p w:rsidR="00051BBD" w:rsidRDefault="00FD0A5C">
      <w:pPr>
        <w:pStyle w:val="ManualHeading2"/>
        <w:rPr>
          <w:bCs/>
          <w:noProof/>
          <w:szCs w:val="24"/>
        </w:rPr>
      </w:pPr>
      <w:r>
        <w:t>1.7.</w:t>
      </w:r>
      <w:r>
        <w:tab/>
      </w:r>
      <w:r>
        <w:rPr>
          <w:noProof/>
        </w:rPr>
        <w:t>Påtænkt(e) forvaltningsmetode(r)</w:t>
      </w:r>
      <w:r>
        <w:rPr>
          <w:rStyle w:val="FootnoteReference"/>
          <w:noProof/>
        </w:rPr>
        <w:footnoteReference w:id="17"/>
      </w:r>
      <w:r>
        <w:rPr>
          <w:rStyle w:val="FootnoteReference"/>
          <w:noProof/>
        </w:rPr>
        <w:t xml:space="preserve"> </w:t>
      </w:r>
    </w:p>
    <w:p w:rsidR="00051BBD" w:rsidRDefault="00FD0A5C">
      <w:pPr>
        <w:pStyle w:val="Text1"/>
        <w:rPr>
          <w:noProof/>
        </w:rPr>
      </w:pPr>
      <w:r>
        <w:rPr>
          <w:noProof/>
        </w:rPr>
        <w:sym w:font="Wingdings" w:char="F0FD"/>
      </w:r>
      <w:r>
        <w:rPr>
          <w:noProof/>
        </w:rPr>
        <w:t xml:space="preserve"> </w:t>
      </w:r>
      <w:r>
        <w:rPr>
          <w:b/>
          <w:noProof/>
        </w:rPr>
        <w:t xml:space="preserve">Direkte forvaltning </w:t>
      </w:r>
      <w:r>
        <w:rPr>
          <w:noProof/>
        </w:rPr>
        <w:t>ved Kommissionen</w:t>
      </w:r>
    </w:p>
    <w:p w:rsidR="00051BBD" w:rsidRDefault="00FD0A5C">
      <w:pPr>
        <w:pStyle w:val="ListDash2"/>
        <w:rPr>
          <w:rFonts w:cs="EUAlbertina"/>
          <w:noProof/>
        </w:rPr>
      </w:pPr>
      <w:r>
        <w:rPr>
          <w:noProof/>
        </w:rPr>
        <w:sym w:font="Wingdings" w:char="F0FD"/>
      </w:r>
      <w:r>
        <w:rPr>
          <w:noProof/>
        </w:rPr>
        <w:t xml:space="preserve"> i dens tjenestegrene, herunder ved dens personale i EU's delegationer. </w:t>
      </w:r>
      <w:r>
        <w:rPr>
          <w:noProof/>
        </w:rPr>
        <w:tab/>
      </w:r>
      <w:r>
        <w:rPr>
          <w:noProof/>
        </w:rPr>
        <w:br/>
        <w:t xml:space="preserve"> </w:t>
      </w:r>
      <w:r>
        <w:rPr>
          <w:noProof/>
        </w:rPr>
        <w:tab/>
        <w:t xml:space="preserve">Fiscalis </w:t>
      </w:r>
      <w:r>
        <w:rPr>
          <w:noProof/>
        </w:rPr>
        <w:t>2020-programmet forvaltes efter den direkte metode</w:t>
      </w:r>
    </w:p>
    <w:p w:rsidR="00051BBD" w:rsidRDefault="00FD0A5C">
      <w:pPr>
        <w:pStyle w:val="ListDash2"/>
        <w:rPr>
          <w:noProof/>
        </w:rPr>
      </w:pPr>
      <w:r>
        <w:rPr>
          <w:noProof/>
        </w:rPr>
        <w:sym w:font="Wingdings" w:char="F0A8"/>
      </w:r>
      <w:r>
        <w:rPr>
          <w:noProof/>
        </w:rPr>
        <w:tab/>
        <w:t xml:space="preserve">i gennemførelsesorganer </w:t>
      </w:r>
    </w:p>
    <w:p w:rsidR="00051BBD" w:rsidRDefault="00FD0A5C">
      <w:pPr>
        <w:pStyle w:val="Text1"/>
        <w:rPr>
          <w:noProof/>
        </w:rPr>
      </w:pPr>
      <w:r>
        <w:rPr>
          <w:noProof/>
        </w:rPr>
        <w:sym w:font="Wingdings" w:char="F0A8"/>
      </w:r>
      <w:r>
        <w:rPr>
          <w:b/>
          <w:i/>
          <w:noProof/>
        </w:rPr>
        <w:t xml:space="preserve"> </w:t>
      </w:r>
      <w:r>
        <w:rPr>
          <w:b/>
          <w:noProof/>
        </w:rPr>
        <w:t>Delt forvaltning</w:t>
      </w:r>
      <w:r>
        <w:rPr>
          <w:noProof/>
        </w:rPr>
        <w:t xml:space="preserve"> i samarbejde med medlemsstaterne </w:t>
      </w:r>
    </w:p>
    <w:p w:rsidR="00051BBD" w:rsidRDefault="00FD0A5C">
      <w:pPr>
        <w:pStyle w:val="Text1"/>
        <w:rPr>
          <w:noProof/>
        </w:rPr>
      </w:pPr>
      <w:r>
        <w:rPr>
          <w:noProof/>
        </w:rPr>
        <w:sym w:font="Wingdings" w:char="F0A8"/>
      </w:r>
      <w:r>
        <w:rPr>
          <w:i/>
          <w:noProof/>
        </w:rPr>
        <w:t xml:space="preserve"> </w:t>
      </w:r>
      <w:r>
        <w:rPr>
          <w:b/>
          <w:noProof/>
        </w:rPr>
        <w:t>Indirekte forvaltning</w:t>
      </w:r>
      <w:r>
        <w:rPr>
          <w:noProof/>
        </w:rPr>
        <w:t xml:space="preserve"> ved at overlade budgetgennemførelsesopgaver til:</w:t>
      </w:r>
    </w:p>
    <w:p w:rsidR="00051BBD" w:rsidRDefault="00FD0A5C">
      <w:pPr>
        <w:pStyle w:val="ListDash2"/>
        <w:rPr>
          <w:noProof/>
        </w:rPr>
      </w:pPr>
      <w:r>
        <w:rPr>
          <w:noProof/>
        </w:rPr>
        <w:sym w:font="Wingdings" w:char="F0A8"/>
      </w:r>
      <w:r>
        <w:rPr>
          <w:noProof/>
        </w:rPr>
        <w:t xml:space="preserve"> tredjelande eller organer, som tredjelande har udpeget</w:t>
      </w:r>
    </w:p>
    <w:p w:rsidR="00051BBD" w:rsidRDefault="00FD0A5C">
      <w:pPr>
        <w:pStyle w:val="ListDash2"/>
        <w:rPr>
          <w:noProof/>
        </w:rPr>
      </w:pPr>
      <w:r>
        <w:rPr>
          <w:noProof/>
        </w:rPr>
        <w:sym w:font="Wingdings" w:char="F0A8"/>
      </w:r>
      <w:r>
        <w:rPr>
          <w:noProof/>
        </w:rPr>
        <w:t xml:space="preserve"> internationale organisationer og deres organer (angives nærmere)</w:t>
      </w:r>
    </w:p>
    <w:p w:rsidR="00051BBD" w:rsidRDefault="00FD0A5C">
      <w:pPr>
        <w:pStyle w:val="ListDash2"/>
        <w:rPr>
          <w:noProof/>
        </w:rPr>
      </w:pPr>
      <w:r>
        <w:rPr>
          <w:noProof/>
        </w:rPr>
        <w:sym w:font="Wingdings" w:char="F0A8"/>
      </w:r>
      <w:r>
        <w:rPr>
          <w:noProof/>
        </w:rPr>
        <w:t xml:space="preserve"> Den Europæiske Investeringsbank og Den Europæiske Investeringsfond</w:t>
      </w:r>
    </w:p>
    <w:p w:rsidR="00051BBD" w:rsidRDefault="00FD0A5C">
      <w:pPr>
        <w:pStyle w:val="ListDash2"/>
        <w:rPr>
          <w:noProof/>
        </w:rPr>
      </w:pPr>
      <w:r>
        <w:rPr>
          <w:noProof/>
        </w:rPr>
        <w:sym w:font="Wingdings" w:char="F0A8"/>
      </w:r>
      <w:r>
        <w:rPr>
          <w:noProof/>
        </w:rPr>
        <w:t xml:space="preserve"> de organer, der er omhandlet i finansforordningens artikel 208</w:t>
      </w:r>
      <w:r>
        <w:rPr>
          <w:noProof/>
        </w:rPr>
        <w:t xml:space="preserve"> og 209</w:t>
      </w:r>
    </w:p>
    <w:p w:rsidR="00051BBD" w:rsidRDefault="00FD0A5C">
      <w:pPr>
        <w:pStyle w:val="ListDash2"/>
        <w:rPr>
          <w:noProof/>
        </w:rPr>
      </w:pPr>
      <w:r>
        <w:rPr>
          <w:noProof/>
        </w:rPr>
        <w:sym w:font="Wingdings" w:char="F0A8"/>
      </w:r>
      <w:r>
        <w:rPr>
          <w:noProof/>
        </w:rPr>
        <w:t xml:space="preserve"> offentligretlige organer</w:t>
      </w:r>
    </w:p>
    <w:p w:rsidR="00051BBD" w:rsidRDefault="00FD0A5C">
      <w:pPr>
        <w:pStyle w:val="ListDash2"/>
        <w:rPr>
          <w:noProof/>
        </w:rPr>
      </w:pPr>
      <w:r>
        <w:rPr>
          <w:noProof/>
        </w:rPr>
        <w:sym w:font="Wingdings" w:char="F0A8"/>
      </w:r>
      <w:r>
        <w:rPr>
          <w:noProof/>
        </w:rPr>
        <w:t xml:space="preserve"> privatretlige organer, der har fået overdraget samfundsopgaver, forudsat at de stiller tilstrækkelige finansielle garantier</w:t>
      </w:r>
    </w:p>
    <w:p w:rsidR="00051BBD" w:rsidRDefault="00FD0A5C">
      <w:pPr>
        <w:pStyle w:val="ListDash2"/>
        <w:rPr>
          <w:noProof/>
        </w:rPr>
      </w:pPr>
      <w:r>
        <w:rPr>
          <w:noProof/>
        </w:rPr>
        <w:sym w:font="Wingdings" w:char="F0A8"/>
      </w:r>
      <w:r>
        <w:rPr>
          <w:noProof/>
        </w:rPr>
        <w:t xml:space="preserve"> privatretlige organer, undergivet lovgivningen i en medlemsstat, som har fået overdraget genn</w:t>
      </w:r>
      <w:r>
        <w:rPr>
          <w:noProof/>
        </w:rPr>
        <w:t>emførelsen af et offentlig-privat partnerskab, og som stiller tilstrækkelige finansielle garantier</w:t>
      </w:r>
    </w:p>
    <w:p w:rsidR="00051BBD" w:rsidRDefault="00FD0A5C">
      <w:pPr>
        <w:pStyle w:val="ListDash2"/>
        <w:rPr>
          <w:noProof/>
        </w:rPr>
      </w:pPr>
      <w:r>
        <w:rPr>
          <w:noProof/>
        </w:rPr>
        <w:sym w:font="Wingdings" w:char="F0A8"/>
      </w:r>
      <w:r>
        <w:rPr>
          <w:noProof/>
        </w:rPr>
        <w:t xml:space="preserve"> personer, der har fået overdraget gennemførelsen af specifikke aktioner i den fælles udenrigs- og sikkerhedspolitik i henhold til afsnit V i traktaten om D</w:t>
      </w:r>
      <w:r>
        <w:rPr>
          <w:noProof/>
        </w:rPr>
        <w:t>en Europæiske Union, og som er udpeget i den relevante basisretsakt</w:t>
      </w:r>
    </w:p>
    <w:p w:rsidR="00051BBD" w:rsidRDefault="00FD0A5C">
      <w:pPr>
        <w:pStyle w:val="ListDash2"/>
        <w:rPr>
          <w:i/>
          <w:noProof/>
          <w:sz w:val="18"/>
          <w:u w:val="single"/>
        </w:rPr>
      </w:pPr>
      <w:r>
        <w:rPr>
          <w:i/>
          <w:noProof/>
          <w:sz w:val="18"/>
        </w:rPr>
        <w:t>Hvis der angives flere forvaltningsmetoder, gives der en nærmere forklaring i afsnittet "Bemærkninger".</w:t>
      </w:r>
    </w:p>
    <w:p w:rsidR="00051BBD" w:rsidRDefault="00FD0A5C">
      <w:pPr>
        <w:rPr>
          <w:noProof/>
        </w:rPr>
      </w:pPr>
      <w:r>
        <w:rPr>
          <w:noProof/>
        </w:rPr>
        <w:t xml:space="preserve">Bemærkninger </w:t>
      </w:r>
    </w:p>
    <w:p w:rsidR="00051BBD" w:rsidRDefault="00FD0A5C">
      <w:pPr>
        <w:pBdr>
          <w:top w:val="single" w:sz="4" w:space="1" w:color="auto"/>
          <w:left w:val="single" w:sz="4" w:space="4" w:color="auto"/>
          <w:bottom w:val="single" w:sz="4" w:space="1" w:color="auto"/>
          <w:right w:val="single" w:sz="4" w:space="4" w:color="auto"/>
        </w:pBdr>
        <w:rPr>
          <w:noProof/>
        </w:rPr>
      </w:pPr>
      <w:r>
        <w:rPr>
          <w:noProof/>
        </w:rPr>
        <w:t xml:space="preserve">Intet angående forvaltning vil blive ændret med dette forslag. Ifølge </w:t>
      </w:r>
      <w:r>
        <w:rPr>
          <w:noProof/>
        </w:rPr>
        <w:t>artikel 21 i direktiv 2011/16 udvikler Kommissionen i udvalg sammen med medlemsstaterne de standardiserede formularer og formater, der skal bruges til informationsudvekslingen. Hvad angår CNN-netværket, som er nødvendigt for at kunne udveksle oplysninger m</w:t>
      </w:r>
      <w:r>
        <w:rPr>
          <w:noProof/>
        </w:rPr>
        <w:t>ellem medlemsstaterne, er det Kommissionen, der er ansvarlig for den udvikling af CCN-netværket, der måtte være nødvendig for at sikre udvekslingen af disse oplysninger mellem medlemsstaterne. Og medlemsstaterne er ansvarlige for den udvikling af deres sys</w:t>
      </w:r>
      <w:r>
        <w:rPr>
          <w:noProof/>
        </w:rPr>
        <w:t>temer, der måtte være nødvendig for at sikre, at disse oplysninger kan udveksles ved anvendelse af CCN-netværket.</w:t>
      </w:r>
    </w:p>
    <w:p w:rsidR="00051BBD" w:rsidRDefault="00051BBD">
      <w:pPr>
        <w:rPr>
          <w:noProof/>
        </w:rPr>
        <w:sectPr w:rsidR="00051BBD">
          <w:pgSz w:w="11907" w:h="16840" w:code="9"/>
          <w:pgMar w:top="1134" w:right="1418" w:bottom="1134" w:left="1418" w:header="709" w:footer="709" w:gutter="0"/>
          <w:cols w:space="708"/>
          <w:docGrid w:linePitch="360"/>
        </w:sectPr>
      </w:pPr>
    </w:p>
    <w:p w:rsidR="00051BBD" w:rsidRDefault="00FD0A5C">
      <w:pPr>
        <w:pStyle w:val="ManualHeading1"/>
        <w:rPr>
          <w:bCs/>
          <w:noProof/>
          <w:szCs w:val="24"/>
        </w:rPr>
      </w:pPr>
      <w:r>
        <w:t>2.</w:t>
      </w:r>
      <w:r>
        <w:tab/>
      </w:r>
      <w:r>
        <w:rPr>
          <w:noProof/>
        </w:rPr>
        <w:t xml:space="preserve">FORVALTNINGSFORANSTALTNINGER </w:t>
      </w:r>
    </w:p>
    <w:p w:rsidR="00051BBD" w:rsidRDefault="00FD0A5C">
      <w:pPr>
        <w:pStyle w:val="ManualHeading2"/>
        <w:rPr>
          <w:noProof/>
        </w:rPr>
      </w:pPr>
      <w:r>
        <w:t>2.1.</w:t>
      </w:r>
      <w:r>
        <w:tab/>
      </w:r>
      <w:r>
        <w:rPr>
          <w:noProof/>
        </w:rPr>
        <w:t xml:space="preserve">Bestemmelser om kontrol og rapportering </w:t>
      </w:r>
    </w:p>
    <w:p w:rsidR="00051BBD" w:rsidRDefault="00FD0A5C">
      <w:pPr>
        <w:pStyle w:val="Text1"/>
        <w:rPr>
          <w:i/>
          <w:noProof/>
          <w:sz w:val="20"/>
          <w:u w:val="single"/>
        </w:rPr>
      </w:pPr>
      <w:r>
        <w:rPr>
          <w:i/>
          <w:noProof/>
          <w:sz w:val="20"/>
        </w:rPr>
        <w:t>Angiv hyppighed og betingelser.</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 xml:space="preserve">Under </w:t>
      </w:r>
      <w:r>
        <w:rPr>
          <w:noProof/>
        </w:rPr>
        <w:t>FISCALIS-programmet foregår kontrol og rapportering således:</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Forberedende aktiviteter, som er nødvendige for dette initiativ, og andre fælles tiltag og fælles uddannelsesaktiviteter kontrolleres regelmæssigt gennem tilbagemeldinger fra deltagerne og ledern</w:t>
      </w:r>
      <w:r>
        <w:rPr>
          <w:noProof/>
        </w:rPr>
        <w:t>e af tiltagene. Tilbagemeldingerne indsamles ved standardiserede formularer og indgår i de indikatorer, der fastlægges i Fiscalis 2020-programmets resultatmålingsramme. Andre udgifter, der vedrører informationsudvekslingen, bliver kontrolleret efter den me</w:t>
      </w:r>
      <w:r>
        <w:rPr>
          <w:noProof/>
        </w:rPr>
        <w:t>kanisme, der er beskrevet under afsnit 1.4.4, og bliver også konsolideret under resultatmålingsrammen.</w:t>
      </w:r>
    </w:p>
    <w:p w:rsidR="00051BBD" w:rsidRDefault="00FD0A5C">
      <w:pPr>
        <w:pStyle w:val="ManualHeading2"/>
        <w:rPr>
          <w:bCs/>
          <w:noProof/>
          <w:szCs w:val="24"/>
        </w:rPr>
      </w:pPr>
      <w:r>
        <w:t>2.2.</w:t>
      </w:r>
      <w:r>
        <w:tab/>
      </w:r>
      <w:r>
        <w:rPr>
          <w:noProof/>
        </w:rPr>
        <w:t xml:space="preserve">Forvaltnings- og kontrolsystem </w:t>
      </w:r>
    </w:p>
    <w:p w:rsidR="00051BBD" w:rsidRDefault="00FD0A5C">
      <w:pPr>
        <w:pStyle w:val="ManualHeading3"/>
        <w:rPr>
          <w:noProof/>
        </w:rPr>
      </w:pPr>
      <w:r>
        <w:t>2.2.1.</w:t>
      </w:r>
      <w:r>
        <w:tab/>
      </w:r>
      <w:r>
        <w:rPr>
          <w:noProof/>
        </w:rPr>
        <w:t xml:space="preserve">Konstaterede risici </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 xml:space="preserve">De potentielle risici, der er for gennemførelsen af initiativet med støtte til Fiscalis </w:t>
      </w:r>
      <w:r>
        <w:rPr>
          <w:noProof/>
        </w:rPr>
        <w:t>2020, vedrører:</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Gennemførelsen af den aftale om tilskud, der er indgået med konsortiet af medlemsstater og kandidatlande.</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 xml:space="preserve">Gennemførelse af indkøbskontrakter, er indgået under programmet. </w:t>
      </w:r>
    </w:p>
    <w:p w:rsidR="00051BBD" w:rsidRDefault="00FD0A5C">
      <w:pPr>
        <w:pStyle w:val="ManualHeading3"/>
        <w:rPr>
          <w:bCs/>
          <w:noProof/>
          <w:szCs w:val="24"/>
        </w:rPr>
      </w:pPr>
      <w:r>
        <w:t>2.2.2.</w:t>
      </w:r>
      <w:r>
        <w:tab/>
      </w:r>
      <w:r>
        <w:rPr>
          <w:noProof/>
        </w:rPr>
        <w:t>Oplysninger om det interne kontrolsystem</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Det interne kontrols</w:t>
      </w:r>
      <w:r>
        <w:rPr>
          <w:noProof/>
        </w:rPr>
        <w:t>ystem svarer til det under Fiscalis 2020-programmet og vil dække alle operationelle udgifter til initiativet.</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Hovedelementerne i den anvendte kontrolstrategi er:</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 xml:space="preserve">I forbindelse med indkøbskontrakter: </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Finansforordningens kontrolprocedurer for indkøb anvendes. Alle indkøbskontrakter indgås i henhold til Kommissionens tjenestegrenes sædvanlige kontrolprocedure for betalinger under hensyntagen til kontraktlige forpligtelser og krav om forsvarlig finansforv</w:t>
      </w:r>
      <w:r>
        <w:rPr>
          <w:noProof/>
        </w:rPr>
        <w:t xml:space="preserve">altning og almindelig forvaltning. Forholdsregler mod svig (kontrol, rapporter osv.) indgår i alle kontrakter, som indgås mellem Kommissionen og støttemodtagere. Der udarbejdes detaljerede programbetingelser, som udgør grundlaget for hver enkelt kontrakt. </w:t>
      </w:r>
      <w:r>
        <w:rPr>
          <w:noProof/>
        </w:rPr>
        <w:t xml:space="preserve">Godkendelsesproceduren følger strengt TAXUD TEMPO's metode: Foranstaltningerne gennemgås, ændres om nødvendigt og accepteres (eller afvises) udtrykkeligt. Fakturaer betales aldrig uden et "godkendelsesbrev". </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Teknisk kontrol i forbindelse med indkøb:</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GD TA</w:t>
      </w:r>
      <w:r>
        <w:rPr>
          <w:noProof/>
        </w:rPr>
        <w:t>XUD kontrollerer de leverede ydelser og overvåger operationer og tjenester, der udføres af kontrahenter. Generaldirektoratet udfører også jævnligt kvalitets- og sikkerhedsrevision af deres kontrahenter. I forbindelse med kvalitetskontrollerne sikres det, a</w:t>
      </w:r>
      <w:r>
        <w:rPr>
          <w:noProof/>
        </w:rPr>
        <w:t xml:space="preserve">t de processer, som kontrahenterne rent faktisk anvender, overholder regler og procedurer i deres kvalitetsprogrammer. Sikkerhedsrevisioner sætter fokus på specifikke processer, procedurer og konstruktioner. </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 xml:space="preserve">GD TAXUD udfører ud over ovennævnte kontroller </w:t>
      </w:r>
      <w:r>
        <w:rPr>
          <w:noProof/>
        </w:rPr>
        <w:t xml:space="preserve">traditionel finanskontrol. </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 xml:space="preserve">Forudgående verifikation af forpligtelserne </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Alle GD TAXUD's forpligtelser kontrolleres af kontorchefen for menneskelige ressourcer og finansielle anliggender. Derfor omfattes 100 % af forpligtelserne af den forudgående verifika</w:t>
      </w:r>
      <w:r>
        <w:rPr>
          <w:noProof/>
        </w:rPr>
        <w:t>tion. Proceduren giver stor sikkerhed for, at transaktionerne er lovlige og formelt rigtige.</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 xml:space="preserve">Forudgående verifikation af betalinger </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100 % af betalingerne verificeres forudgående. Desuden udvælges mindst én betaling (fra alle udgiftskategorier) pr. uge til</w:t>
      </w:r>
      <w:r>
        <w:rPr>
          <w:noProof/>
        </w:rPr>
        <w:t xml:space="preserve">fældigt til ekstra forudgående verifikation. Denne udføres af kontorchefen for menneskelige ressourcer og finansielle anliggender. Der er ikke noget mål med hensyn til dækning, idet formålet med verifikationen er at foretage stikprøver for at kontrollere, </w:t>
      </w:r>
      <w:r>
        <w:rPr>
          <w:noProof/>
        </w:rPr>
        <w:t>om alle betalinger er foretaget i overensstemmelse med bestemmelserne. De øvrige betalinger behandles dagligt i overensstemmelse med gældende regler.</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 xml:space="preserve">Erklæring fra den anvisningsberettigede, der er bemyndiget ved subdelegation </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 xml:space="preserve">Alle anvisningsberettigede, </w:t>
      </w:r>
      <w:r>
        <w:rPr>
          <w:noProof/>
        </w:rPr>
        <w:t>der er bemyndiget ved subdelegation, underskriver erklæringer, der understøtter årsberetningen for det pågældende år. Disse erklæringer dækker foranstaltningerne i programmet. Den anvisningsberettigede, der er bemyndiget ved subdelegation, erklærer, at for</w:t>
      </w:r>
      <w:r>
        <w:rPr>
          <w:noProof/>
        </w:rPr>
        <w:t>anstaltningerne i forbindelse med budgetgennemførelsen er udført i overensstemmelse med principperne for forsvarlig økonomisk forvaltning, at forvaltningen og de indførte kontrolsystemer har givet tilstrækkelig sikkerhed for transaktionernes lovlighed og f</w:t>
      </w:r>
      <w:r>
        <w:rPr>
          <w:noProof/>
        </w:rPr>
        <w:t xml:space="preserve">ormelle rigtighed, og at risiciene i tilknytning til disse foranstaltninger, er blevet grundigt kortlagt, rapporteret, samt at der er gennemført modvirkende foranstaltninger. </w:t>
      </w:r>
    </w:p>
    <w:p w:rsidR="00051BBD" w:rsidRDefault="00FD0A5C">
      <w:pPr>
        <w:pStyle w:val="ManualHeading3"/>
        <w:rPr>
          <w:noProof/>
        </w:rPr>
      </w:pPr>
      <w:r>
        <w:t>2.2.3.</w:t>
      </w:r>
      <w:r>
        <w:tab/>
      </w:r>
      <w:r>
        <w:rPr>
          <w:noProof/>
        </w:rPr>
        <w:t>Anslåede omkostninger og fordele ved kontrollen samt forventet fejlrisiko</w:t>
      </w:r>
      <w:r>
        <w:rPr>
          <w:noProof/>
        </w:rPr>
        <w:t xml:space="preserve">. </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De etablerede kontrolforanstaltninger gør det muligt for GD TAXUD at opnå tilstrækkelig sikkerhed for kvaliteten og den formelle rigtighed af udgifterne og mindske risikoen for manglende overholdelse. Ovennævnte kontrolstrategiforanstaltninger reducerer</w:t>
      </w:r>
      <w:r>
        <w:rPr>
          <w:noProof/>
        </w:rPr>
        <w:t xml:space="preserve"> de potentielle risici til under 2 % og når alle støttemodtagere. Alle ekstra foranstaltninger til yderligere risikoreduktion vil give uforholdsmæssige store omkostninger og påregnes derfor ikke. </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De samlede omkostninger, der skal til for at gennemføre ove</w:t>
      </w:r>
      <w:r>
        <w:rPr>
          <w:noProof/>
        </w:rPr>
        <w:t>nnævnte kontrolstrategi – for alle udgifter under Fiscalis 2020-programmet – er begrænset til 1,6 % af de samlede indgåede betalinger. Det samme forventes at være tilfældet for dette initiativ.</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Programkontrolstrategien anses for effektivt at kunne begrænse</w:t>
      </w:r>
      <w:r>
        <w:rPr>
          <w:noProof/>
        </w:rPr>
        <w:t xml:space="preserve"> risikoen for manglende overholdelse til næsten nul og for at være passende i forhold til de risici, som er forbundet med programmet.</w:t>
      </w:r>
    </w:p>
    <w:p w:rsidR="00051BBD" w:rsidRDefault="00FD0A5C">
      <w:pPr>
        <w:pStyle w:val="ManualHeading2"/>
        <w:rPr>
          <w:bCs/>
          <w:noProof/>
          <w:szCs w:val="24"/>
        </w:rPr>
      </w:pPr>
      <w:r>
        <w:t>2.3.</w:t>
      </w:r>
      <w:r>
        <w:tab/>
      </w:r>
      <w:r>
        <w:rPr>
          <w:noProof/>
        </w:rPr>
        <w:t xml:space="preserve">Foranstaltninger til forebyggelse af svig og uregelmæssigheder </w:t>
      </w:r>
    </w:p>
    <w:p w:rsidR="00051BBD" w:rsidRDefault="00FD0A5C">
      <w:pPr>
        <w:pStyle w:val="Text1"/>
        <w:rPr>
          <w:i/>
          <w:noProof/>
          <w:sz w:val="20"/>
        </w:rPr>
      </w:pPr>
      <w:r>
        <w:rPr>
          <w:i/>
          <w:noProof/>
          <w:sz w:val="20"/>
        </w:rPr>
        <w:t xml:space="preserve">Angiv eksisterende eller påtænkte forebyggelses- og </w:t>
      </w:r>
      <w:r>
        <w:rPr>
          <w:i/>
          <w:noProof/>
          <w:sz w:val="20"/>
        </w:rPr>
        <w:t>beskyttelsesforanstaltninger.</w:t>
      </w:r>
    </w:p>
    <w:p w:rsidR="00051BBD" w:rsidRDefault="00FD0A5C">
      <w:pPr>
        <w:pStyle w:val="Text1"/>
        <w:pBdr>
          <w:top w:val="single" w:sz="4" w:space="1" w:color="auto"/>
          <w:left w:val="single" w:sz="4" w:space="4" w:color="auto"/>
          <w:bottom w:val="single" w:sz="4" w:space="1" w:color="auto"/>
          <w:right w:val="single" w:sz="4" w:space="4" w:color="auto"/>
        </w:pBdr>
        <w:rPr>
          <w:noProof/>
        </w:rPr>
      </w:pPr>
      <w:r>
        <w:rPr>
          <w:noProof/>
        </w:rPr>
        <w:t>Det Europæiske Kontor for Bekæmpelse af Svig (OLAF) kan efter bestemmelserne og procedurerne i Europa-Parlamentets og Rådets forordning (EF) nr. 1073/1999 (1) og Rådets forordning (Euratom, EF) nr. 2185/96 (2) foretage undersø</w:t>
      </w:r>
      <w:r>
        <w:rPr>
          <w:noProof/>
        </w:rPr>
        <w:t xml:space="preserve">gelser, herunder kontrol og inspektion på stedet, for at klarlægge, om der er begået svig, bestikkelse eller andre ulovlige aktiviteter, der berører Unionens finansielle interesser, i forbindelse med en aftale om tilskud, en afgørelse om ydelse af tilskud </w:t>
      </w:r>
      <w:r>
        <w:rPr>
          <w:noProof/>
        </w:rPr>
        <w:t>eller en kontrakt finansieret i henhold til nuværende forordning.</w:t>
      </w:r>
    </w:p>
    <w:p w:rsidR="00051BBD" w:rsidRDefault="00051BBD">
      <w:pPr>
        <w:rPr>
          <w:noProof/>
        </w:rPr>
        <w:sectPr w:rsidR="00051BBD">
          <w:pgSz w:w="11907" w:h="16840" w:code="9"/>
          <w:pgMar w:top="1134" w:right="1418" w:bottom="1134" w:left="1418" w:header="709" w:footer="709" w:gutter="0"/>
          <w:cols w:space="708"/>
          <w:docGrid w:linePitch="360"/>
        </w:sectPr>
      </w:pPr>
    </w:p>
    <w:p w:rsidR="00051BBD" w:rsidRDefault="00FD0A5C">
      <w:pPr>
        <w:pStyle w:val="ManualHeading1"/>
        <w:rPr>
          <w:bCs/>
          <w:noProof/>
          <w:szCs w:val="24"/>
        </w:rPr>
      </w:pPr>
      <w:r>
        <w:t>3.</w:t>
      </w:r>
      <w:r>
        <w:tab/>
      </w:r>
      <w:r>
        <w:rPr>
          <w:noProof/>
        </w:rPr>
        <w:t xml:space="preserve">FORSLAGETS/INITIATIVETS ANSLÅEDE FINANSIELLE VIRKNINGER </w:t>
      </w:r>
    </w:p>
    <w:p w:rsidR="00051BBD" w:rsidRDefault="00FD0A5C">
      <w:pPr>
        <w:pStyle w:val="ManualHeading2"/>
        <w:rPr>
          <w:noProof/>
        </w:rPr>
      </w:pPr>
      <w:r>
        <w:t>3.1.</w:t>
      </w:r>
      <w:r>
        <w:tab/>
      </w:r>
      <w:r>
        <w:rPr>
          <w:noProof/>
        </w:rPr>
        <w:t xml:space="preserve">Berørt(e) udgiftspost(er) på budgettet og udgiftsområde(r) i den flerårige finansielle ramme </w:t>
      </w:r>
    </w:p>
    <w:p w:rsidR="00051BBD" w:rsidRDefault="00FD0A5C">
      <w:pPr>
        <w:pStyle w:val="ListBullet1"/>
        <w:rPr>
          <w:noProof/>
        </w:rPr>
      </w:pPr>
      <w:r>
        <w:rPr>
          <w:noProof/>
        </w:rPr>
        <w:t>Eksiste</w:t>
      </w:r>
      <w:r>
        <w:rPr>
          <w:noProof/>
        </w:rPr>
        <w:t xml:space="preserve">rende udgiftsposter på budgettet </w:t>
      </w:r>
      <w:r>
        <w:rPr>
          <w:rFonts w:eastAsiaTheme="minorHAnsi"/>
          <w:noProof/>
        </w:rPr>
        <w:t>– er fuldt ud dækket af Fiscalis 2020-programmet</w:t>
      </w:r>
    </w:p>
    <w:p w:rsidR="00051BBD" w:rsidRDefault="00FD0A5C">
      <w:pPr>
        <w:pStyle w:val="Text1"/>
        <w:rPr>
          <w:noProof/>
        </w:rPr>
      </w:pPr>
      <w:r>
        <w:rPr>
          <w:noProof/>
          <w:u w:val="single"/>
        </w:rPr>
        <w:t>I samme rækkefølge</w:t>
      </w:r>
      <w:r>
        <w:rPr>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051BBD">
        <w:tc>
          <w:tcPr>
            <w:tcW w:w="1080" w:type="dxa"/>
            <w:vMerge w:val="restart"/>
            <w:vAlign w:val="center"/>
          </w:tcPr>
          <w:p w:rsidR="00051BBD" w:rsidRDefault="00FD0A5C">
            <w:pPr>
              <w:spacing w:before="60" w:after="60"/>
              <w:jc w:val="center"/>
              <w:rPr>
                <w:noProof/>
                <w:sz w:val="22"/>
              </w:rPr>
            </w:pPr>
            <w:r>
              <w:rPr>
                <w:noProof/>
                <w:sz w:val="18"/>
              </w:rPr>
              <w:t>Udgifts</w:t>
            </w:r>
            <w:r>
              <w:rPr>
                <w:noProof/>
              </w:rPr>
              <w:softHyphen/>
            </w:r>
            <w:r>
              <w:rPr>
                <w:noProof/>
                <w:sz w:val="18"/>
              </w:rPr>
              <w:t>område i den flerårige finansielle ramme</w:t>
            </w:r>
          </w:p>
        </w:tc>
        <w:tc>
          <w:tcPr>
            <w:tcW w:w="3960" w:type="dxa"/>
            <w:vAlign w:val="center"/>
          </w:tcPr>
          <w:p w:rsidR="00051BBD" w:rsidRDefault="00FD0A5C">
            <w:pPr>
              <w:spacing w:before="60" w:after="60"/>
              <w:jc w:val="center"/>
              <w:rPr>
                <w:noProof/>
                <w:sz w:val="22"/>
              </w:rPr>
            </w:pPr>
            <w:r>
              <w:rPr>
                <w:noProof/>
                <w:sz w:val="20"/>
              </w:rPr>
              <w:t>Budgetpost</w:t>
            </w:r>
          </w:p>
        </w:tc>
        <w:tc>
          <w:tcPr>
            <w:tcW w:w="1080" w:type="dxa"/>
            <w:vAlign w:val="center"/>
          </w:tcPr>
          <w:p w:rsidR="00051BBD" w:rsidRDefault="00FD0A5C">
            <w:pPr>
              <w:spacing w:before="60" w:after="60"/>
              <w:jc w:val="center"/>
              <w:rPr>
                <w:noProof/>
                <w:sz w:val="20"/>
                <w:szCs w:val="20"/>
              </w:rPr>
            </w:pPr>
            <w:r>
              <w:rPr>
                <w:noProof/>
                <w:sz w:val="20"/>
                <w:szCs w:val="20"/>
              </w:rPr>
              <w:t>Udgiftens art</w:t>
            </w:r>
          </w:p>
        </w:tc>
        <w:tc>
          <w:tcPr>
            <w:tcW w:w="4440" w:type="dxa"/>
            <w:gridSpan w:val="4"/>
            <w:vAlign w:val="center"/>
          </w:tcPr>
          <w:p w:rsidR="00051BBD" w:rsidRDefault="00FD0A5C">
            <w:pPr>
              <w:spacing w:before="60" w:after="60"/>
              <w:jc w:val="center"/>
              <w:rPr>
                <w:noProof/>
                <w:sz w:val="22"/>
              </w:rPr>
            </w:pPr>
            <w:r>
              <w:rPr>
                <w:noProof/>
                <w:sz w:val="20"/>
              </w:rPr>
              <w:t xml:space="preserve">Bidrag </w:t>
            </w:r>
          </w:p>
        </w:tc>
      </w:tr>
      <w:tr w:rsidR="00051BBD">
        <w:tc>
          <w:tcPr>
            <w:tcW w:w="1080" w:type="dxa"/>
            <w:vMerge/>
            <w:vAlign w:val="center"/>
          </w:tcPr>
          <w:p w:rsidR="00051BBD" w:rsidRDefault="00051BBD">
            <w:pPr>
              <w:jc w:val="center"/>
              <w:rPr>
                <w:noProof/>
                <w:sz w:val="22"/>
              </w:rPr>
            </w:pPr>
          </w:p>
        </w:tc>
        <w:tc>
          <w:tcPr>
            <w:tcW w:w="3960" w:type="dxa"/>
            <w:vAlign w:val="center"/>
          </w:tcPr>
          <w:p w:rsidR="00051BBD" w:rsidRDefault="00FD0A5C">
            <w:pPr>
              <w:rPr>
                <w:noProof/>
                <w:sz w:val="22"/>
              </w:rPr>
            </w:pPr>
            <w:r>
              <w:rPr>
                <w:noProof/>
                <w:sz w:val="18"/>
                <w:szCs w:val="18"/>
              </w:rPr>
              <w:t>Antal</w:t>
            </w:r>
            <w:r>
              <w:rPr>
                <w:noProof/>
                <w:sz w:val="18"/>
                <w:szCs w:val="18"/>
              </w:rPr>
              <w:br/>
            </w:r>
            <w:r>
              <w:rPr>
                <w:noProof/>
              </w:rPr>
              <w:t>1A Konkurrenceevne for vækst og beskæftigelse</w:t>
            </w:r>
          </w:p>
        </w:tc>
        <w:tc>
          <w:tcPr>
            <w:tcW w:w="1080" w:type="dxa"/>
            <w:vAlign w:val="center"/>
          </w:tcPr>
          <w:p w:rsidR="00051BBD" w:rsidRDefault="00FD0A5C">
            <w:pPr>
              <w:jc w:val="center"/>
              <w:rPr>
                <w:noProof/>
                <w:sz w:val="18"/>
                <w:szCs w:val="18"/>
              </w:rPr>
            </w:pPr>
            <w:r>
              <w:rPr>
                <w:noProof/>
                <w:sz w:val="18"/>
                <w:szCs w:val="18"/>
              </w:rPr>
              <w:t>OB/IOB</w:t>
            </w:r>
            <w:r>
              <w:rPr>
                <w:rStyle w:val="FootnoteReference"/>
                <w:noProof/>
                <w:sz w:val="18"/>
                <w:szCs w:val="18"/>
              </w:rPr>
              <w:footnoteReference w:id="18"/>
            </w:r>
          </w:p>
        </w:tc>
        <w:tc>
          <w:tcPr>
            <w:tcW w:w="956" w:type="dxa"/>
            <w:vAlign w:val="center"/>
          </w:tcPr>
          <w:p w:rsidR="00051BBD" w:rsidRDefault="00FD0A5C">
            <w:pPr>
              <w:jc w:val="center"/>
              <w:rPr>
                <w:b/>
                <w:noProof/>
                <w:sz w:val="18"/>
              </w:rPr>
            </w:pPr>
            <w:r>
              <w:rPr>
                <w:noProof/>
                <w:sz w:val="18"/>
              </w:rPr>
              <w:t>fra EFTA</w:t>
            </w:r>
            <w:r>
              <w:rPr>
                <w:noProof/>
              </w:rPr>
              <w:softHyphen/>
            </w:r>
            <w:r>
              <w:rPr>
                <w:noProof/>
                <w:sz w:val="18"/>
              </w:rPr>
              <w:t>lande</w:t>
            </w:r>
            <w:r>
              <w:rPr>
                <w:rStyle w:val="FootnoteReference"/>
                <w:noProof/>
                <w:sz w:val="18"/>
              </w:rPr>
              <w:footnoteReference w:id="19"/>
            </w:r>
          </w:p>
        </w:tc>
        <w:tc>
          <w:tcPr>
            <w:tcW w:w="1080" w:type="dxa"/>
            <w:vAlign w:val="center"/>
          </w:tcPr>
          <w:p w:rsidR="00051BBD" w:rsidRDefault="00FD0A5C">
            <w:pPr>
              <w:jc w:val="center"/>
              <w:rPr>
                <w:noProof/>
                <w:sz w:val="18"/>
              </w:rPr>
            </w:pPr>
            <w:r>
              <w:rPr>
                <w:noProof/>
                <w:sz w:val="18"/>
              </w:rPr>
              <w:t>fra kandidat</w:t>
            </w:r>
            <w:r>
              <w:rPr>
                <w:noProof/>
              </w:rPr>
              <w:softHyphen/>
            </w:r>
            <w:r>
              <w:rPr>
                <w:noProof/>
                <w:sz w:val="18"/>
              </w:rPr>
              <w:t>lande</w:t>
            </w:r>
            <w:r>
              <w:rPr>
                <w:rStyle w:val="FootnoteReference"/>
                <w:noProof/>
                <w:sz w:val="18"/>
              </w:rPr>
              <w:footnoteReference w:id="20"/>
            </w:r>
          </w:p>
        </w:tc>
        <w:tc>
          <w:tcPr>
            <w:tcW w:w="956" w:type="dxa"/>
            <w:vAlign w:val="center"/>
          </w:tcPr>
          <w:p w:rsidR="00051BBD" w:rsidRDefault="00FD0A5C">
            <w:pPr>
              <w:jc w:val="center"/>
              <w:rPr>
                <w:noProof/>
                <w:sz w:val="18"/>
              </w:rPr>
            </w:pPr>
            <w:r>
              <w:rPr>
                <w:noProof/>
                <w:sz w:val="18"/>
              </w:rPr>
              <w:t>fra tredje</w:t>
            </w:r>
            <w:r>
              <w:rPr>
                <w:noProof/>
              </w:rPr>
              <w:softHyphen/>
            </w:r>
            <w:r>
              <w:rPr>
                <w:noProof/>
                <w:sz w:val="18"/>
              </w:rPr>
              <w:t>lande</w:t>
            </w:r>
          </w:p>
        </w:tc>
        <w:tc>
          <w:tcPr>
            <w:tcW w:w="1448" w:type="dxa"/>
            <w:vAlign w:val="center"/>
          </w:tcPr>
          <w:p w:rsidR="00051BBD" w:rsidRDefault="00FD0A5C">
            <w:pPr>
              <w:jc w:val="center"/>
              <w:rPr>
                <w:noProof/>
                <w:sz w:val="22"/>
              </w:rPr>
            </w:pPr>
            <w:r>
              <w:rPr>
                <w:noProof/>
                <w:sz w:val="16"/>
              </w:rPr>
              <w:t>iht. finans</w:t>
            </w:r>
            <w:r>
              <w:rPr>
                <w:noProof/>
              </w:rPr>
              <w:softHyphen/>
            </w:r>
            <w:r>
              <w:rPr>
                <w:noProof/>
                <w:sz w:val="16"/>
              </w:rPr>
              <w:t>forord</w:t>
            </w:r>
            <w:r>
              <w:rPr>
                <w:noProof/>
              </w:rPr>
              <w:softHyphen/>
            </w:r>
            <w:r>
              <w:rPr>
                <w:noProof/>
                <w:sz w:val="16"/>
              </w:rPr>
              <w:t xml:space="preserve">ningens artikel 21, stk. 2, litra b) </w:t>
            </w:r>
          </w:p>
        </w:tc>
      </w:tr>
      <w:tr w:rsidR="00051BBD">
        <w:tc>
          <w:tcPr>
            <w:tcW w:w="1080" w:type="dxa"/>
            <w:vAlign w:val="center"/>
          </w:tcPr>
          <w:p w:rsidR="00051BBD" w:rsidRDefault="00051BBD">
            <w:pPr>
              <w:jc w:val="center"/>
              <w:rPr>
                <w:noProof/>
                <w:color w:val="0000FF"/>
              </w:rPr>
            </w:pPr>
          </w:p>
        </w:tc>
        <w:tc>
          <w:tcPr>
            <w:tcW w:w="3960" w:type="dxa"/>
            <w:vAlign w:val="center"/>
          </w:tcPr>
          <w:p w:rsidR="00051BBD" w:rsidRDefault="00FD0A5C">
            <w:pPr>
              <w:spacing w:before="60"/>
              <w:jc w:val="left"/>
              <w:rPr>
                <w:noProof/>
                <w:sz w:val="22"/>
              </w:rPr>
            </w:pPr>
            <w:r>
              <w:rPr>
                <w:noProof/>
              </w:rPr>
              <w:t>14.0301 (Forbedring af beskatningssystemernes funktion)</w:t>
            </w:r>
          </w:p>
        </w:tc>
        <w:tc>
          <w:tcPr>
            <w:tcW w:w="1080" w:type="dxa"/>
            <w:vAlign w:val="center"/>
          </w:tcPr>
          <w:p w:rsidR="00051BBD" w:rsidRDefault="00FD0A5C">
            <w:pPr>
              <w:jc w:val="center"/>
              <w:rPr>
                <w:noProof/>
              </w:rPr>
            </w:pPr>
            <w:r>
              <w:rPr>
                <w:noProof/>
              </w:rPr>
              <w:t>Forskel</w:t>
            </w:r>
          </w:p>
        </w:tc>
        <w:tc>
          <w:tcPr>
            <w:tcW w:w="956" w:type="dxa"/>
          </w:tcPr>
          <w:p w:rsidR="00051BBD" w:rsidRDefault="00FD0A5C">
            <w:pPr>
              <w:jc w:val="center"/>
              <w:rPr>
                <w:noProof/>
              </w:rPr>
            </w:pPr>
            <w:r>
              <w:rPr>
                <w:noProof/>
              </w:rPr>
              <w:t>NEJ</w:t>
            </w:r>
          </w:p>
        </w:tc>
        <w:tc>
          <w:tcPr>
            <w:tcW w:w="1080" w:type="dxa"/>
          </w:tcPr>
          <w:p w:rsidR="00051BBD" w:rsidRDefault="00FD0A5C">
            <w:pPr>
              <w:jc w:val="center"/>
              <w:rPr>
                <w:noProof/>
              </w:rPr>
            </w:pPr>
            <w:r>
              <w:rPr>
                <w:noProof/>
              </w:rPr>
              <w:t>NEJ</w:t>
            </w:r>
          </w:p>
        </w:tc>
        <w:tc>
          <w:tcPr>
            <w:tcW w:w="956" w:type="dxa"/>
          </w:tcPr>
          <w:p w:rsidR="00051BBD" w:rsidRDefault="00FD0A5C">
            <w:pPr>
              <w:jc w:val="center"/>
              <w:rPr>
                <w:noProof/>
              </w:rPr>
            </w:pPr>
            <w:r>
              <w:rPr>
                <w:noProof/>
              </w:rPr>
              <w:t>NEJ</w:t>
            </w:r>
          </w:p>
        </w:tc>
        <w:tc>
          <w:tcPr>
            <w:tcW w:w="1448" w:type="dxa"/>
          </w:tcPr>
          <w:p w:rsidR="00051BBD" w:rsidRDefault="00FD0A5C">
            <w:pPr>
              <w:jc w:val="center"/>
              <w:rPr>
                <w:noProof/>
              </w:rPr>
            </w:pPr>
            <w:r>
              <w:rPr>
                <w:noProof/>
              </w:rPr>
              <w:t>NEJ</w:t>
            </w:r>
          </w:p>
        </w:tc>
      </w:tr>
    </w:tbl>
    <w:p w:rsidR="00051BBD" w:rsidRDefault="00FD0A5C">
      <w:pPr>
        <w:pStyle w:val="ListBullet1"/>
        <w:rPr>
          <w:noProof/>
        </w:rPr>
      </w:pPr>
      <w:r>
        <w:rPr>
          <w:noProof/>
        </w:rPr>
        <w:t xml:space="preserve">Nye budgetposter, som der er søgt om </w:t>
      </w:r>
    </w:p>
    <w:p w:rsidR="00051BBD" w:rsidRDefault="00FD0A5C">
      <w:pPr>
        <w:pStyle w:val="Text1"/>
        <w:rPr>
          <w:i/>
          <w:noProof/>
          <w:sz w:val="20"/>
        </w:rPr>
      </w:pPr>
      <w:r>
        <w:rPr>
          <w:i/>
          <w:noProof/>
          <w:u w:val="single"/>
        </w:rPr>
        <w:t>I samme rækkefølge</w:t>
      </w:r>
      <w:r>
        <w:rPr>
          <w:i/>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051BBD">
        <w:tc>
          <w:tcPr>
            <w:tcW w:w="1080" w:type="dxa"/>
            <w:vMerge w:val="restart"/>
            <w:vAlign w:val="center"/>
          </w:tcPr>
          <w:p w:rsidR="00051BBD" w:rsidRDefault="00FD0A5C">
            <w:pPr>
              <w:spacing w:before="60" w:after="60"/>
              <w:jc w:val="center"/>
              <w:rPr>
                <w:noProof/>
                <w:sz w:val="18"/>
                <w:szCs w:val="18"/>
              </w:rPr>
            </w:pPr>
            <w:r>
              <w:rPr>
                <w:noProof/>
                <w:sz w:val="18"/>
              </w:rPr>
              <w:t>Udgifts</w:t>
            </w:r>
            <w:r>
              <w:rPr>
                <w:noProof/>
              </w:rPr>
              <w:softHyphen/>
            </w:r>
            <w:r>
              <w:rPr>
                <w:noProof/>
                <w:sz w:val="18"/>
              </w:rPr>
              <w:t>område i den flerårige finansielle ramme</w:t>
            </w:r>
          </w:p>
        </w:tc>
        <w:tc>
          <w:tcPr>
            <w:tcW w:w="3960" w:type="dxa"/>
            <w:vAlign w:val="center"/>
          </w:tcPr>
          <w:p w:rsidR="00051BBD" w:rsidRDefault="00FD0A5C">
            <w:pPr>
              <w:spacing w:before="60" w:after="60"/>
              <w:jc w:val="center"/>
              <w:rPr>
                <w:noProof/>
                <w:sz w:val="22"/>
              </w:rPr>
            </w:pPr>
            <w:r>
              <w:rPr>
                <w:noProof/>
                <w:sz w:val="20"/>
              </w:rPr>
              <w:t>Budgetpost</w:t>
            </w:r>
          </w:p>
        </w:tc>
        <w:tc>
          <w:tcPr>
            <w:tcW w:w="1080" w:type="dxa"/>
            <w:vAlign w:val="center"/>
          </w:tcPr>
          <w:p w:rsidR="00051BBD" w:rsidRDefault="00FD0A5C">
            <w:pPr>
              <w:spacing w:before="60" w:after="60"/>
              <w:jc w:val="center"/>
              <w:rPr>
                <w:noProof/>
                <w:sz w:val="20"/>
                <w:szCs w:val="20"/>
              </w:rPr>
            </w:pPr>
            <w:r>
              <w:rPr>
                <w:noProof/>
                <w:sz w:val="20"/>
                <w:szCs w:val="20"/>
              </w:rPr>
              <w:t>Udgiftens art</w:t>
            </w:r>
          </w:p>
        </w:tc>
        <w:tc>
          <w:tcPr>
            <w:tcW w:w="4440" w:type="dxa"/>
            <w:gridSpan w:val="4"/>
            <w:vAlign w:val="center"/>
          </w:tcPr>
          <w:p w:rsidR="00051BBD" w:rsidRDefault="00FD0A5C">
            <w:pPr>
              <w:spacing w:before="60" w:after="60"/>
              <w:jc w:val="center"/>
              <w:rPr>
                <w:noProof/>
                <w:sz w:val="22"/>
              </w:rPr>
            </w:pPr>
            <w:r>
              <w:rPr>
                <w:noProof/>
                <w:sz w:val="20"/>
              </w:rPr>
              <w:t xml:space="preserve">Bidrag </w:t>
            </w:r>
          </w:p>
        </w:tc>
      </w:tr>
      <w:tr w:rsidR="00051BBD">
        <w:tc>
          <w:tcPr>
            <w:tcW w:w="1080" w:type="dxa"/>
            <w:vMerge/>
            <w:vAlign w:val="center"/>
          </w:tcPr>
          <w:p w:rsidR="00051BBD" w:rsidRDefault="00051BBD">
            <w:pPr>
              <w:jc w:val="center"/>
              <w:rPr>
                <w:noProof/>
                <w:sz w:val="22"/>
              </w:rPr>
            </w:pPr>
          </w:p>
        </w:tc>
        <w:tc>
          <w:tcPr>
            <w:tcW w:w="3960" w:type="dxa"/>
            <w:vAlign w:val="center"/>
          </w:tcPr>
          <w:p w:rsidR="00051BBD" w:rsidRDefault="00FD0A5C">
            <w:pPr>
              <w:rPr>
                <w:noProof/>
                <w:sz w:val="18"/>
                <w:szCs w:val="18"/>
              </w:rPr>
            </w:pPr>
            <w:r>
              <w:rPr>
                <w:noProof/>
                <w:sz w:val="18"/>
                <w:szCs w:val="18"/>
              </w:rPr>
              <w:t>Antal[Betegnelse…...…]</w:t>
            </w:r>
          </w:p>
        </w:tc>
        <w:tc>
          <w:tcPr>
            <w:tcW w:w="1080" w:type="dxa"/>
            <w:vAlign w:val="center"/>
          </w:tcPr>
          <w:p w:rsidR="00051BBD" w:rsidRDefault="00FD0A5C">
            <w:pPr>
              <w:jc w:val="center"/>
              <w:rPr>
                <w:noProof/>
                <w:sz w:val="22"/>
              </w:rPr>
            </w:pPr>
            <w:r>
              <w:rPr>
                <w:noProof/>
                <w:sz w:val="18"/>
              </w:rPr>
              <w:t>OB/IOB</w:t>
            </w:r>
          </w:p>
        </w:tc>
        <w:tc>
          <w:tcPr>
            <w:tcW w:w="956" w:type="dxa"/>
            <w:vAlign w:val="center"/>
          </w:tcPr>
          <w:p w:rsidR="00051BBD" w:rsidRDefault="00FD0A5C">
            <w:pPr>
              <w:jc w:val="center"/>
              <w:rPr>
                <w:noProof/>
                <w:sz w:val="18"/>
              </w:rPr>
            </w:pPr>
            <w:r>
              <w:rPr>
                <w:noProof/>
                <w:sz w:val="18"/>
              </w:rPr>
              <w:t xml:space="preserve">fra </w:t>
            </w:r>
            <w:r>
              <w:rPr>
                <w:noProof/>
                <w:sz w:val="18"/>
              </w:rPr>
              <w:t>EFTA-lande</w:t>
            </w:r>
          </w:p>
        </w:tc>
        <w:tc>
          <w:tcPr>
            <w:tcW w:w="1080" w:type="dxa"/>
            <w:vAlign w:val="center"/>
          </w:tcPr>
          <w:p w:rsidR="00051BBD" w:rsidRDefault="00FD0A5C">
            <w:pPr>
              <w:jc w:val="center"/>
              <w:rPr>
                <w:noProof/>
                <w:sz w:val="18"/>
              </w:rPr>
            </w:pPr>
            <w:r>
              <w:rPr>
                <w:noProof/>
                <w:sz w:val="18"/>
              </w:rPr>
              <w:t>fra kandidat-lande</w:t>
            </w:r>
          </w:p>
        </w:tc>
        <w:tc>
          <w:tcPr>
            <w:tcW w:w="956" w:type="dxa"/>
            <w:vAlign w:val="center"/>
          </w:tcPr>
          <w:p w:rsidR="00051BBD" w:rsidRDefault="00FD0A5C">
            <w:pPr>
              <w:jc w:val="center"/>
              <w:rPr>
                <w:noProof/>
                <w:sz w:val="18"/>
              </w:rPr>
            </w:pPr>
            <w:r>
              <w:rPr>
                <w:noProof/>
                <w:sz w:val="18"/>
              </w:rPr>
              <w:t>fra tredje</w:t>
            </w:r>
            <w:r>
              <w:rPr>
                <w:noProof/>
              </w:rPr>
              <w:softHyphen/>
            </w:r>
            <w:r>
              <w:rPr>
                <w:noProof/>
                <w:sz w:val="18"/>
              </w:rPr>
              <w:t>lande</w:t>
            </w:r>
          </w:p>
        </w:tc>
        <w:tc>
          <w:tcPr>
            <w:tcW w:w="1448" w:type="dxa"/>
            <w:vAlign w:val="center"/>
          </w:tcPr>
          <w:p w:rsidR="00051BBD" w:rsidRDefault="00FD0A5C">
            <w:pPr>
              <w:jc w:val="center"/>
              <w:rPr>
                <w:noProof/>
                <w:sz w:val="22"/>
              </w:rPr>
            </w:pPr>
            <w:r>
              <w:rPr>
                <w:noProof/>
                <w:sz w:val="16"/>
              </w:rPr>
              <w:t>iht. finansforord</w:t>
            </w:r>
            <w:r>
              <w:rPr>
                <w:noProof/>
              </w:rPr>
              <w:softHyphen/>
            </w:r>
            <w:r>
              <w:rPr>
                <w:noProof/>
                <w:sz w:val="16"/>
              </w:rPr>
              <w:t xml:space="preserve">ningens artikel 21, stk. 2, litra b) </w:t>
            </w:r>
          </w:p>
        </w:tc>
      </w:tr>
      <w:tr w:rsidR="00051BBD">
        <w:tc>
          <w:tcPr>
            <w:tcW w:w="1080" w:type="dxa"/>
            <w:vAlign w:val="center"/>
          </w:tcPr>
          <w:p w:rsidR="00051BBD" w:rsidRDefault="00051BBD">
            <w:pPr>
              <w:jc w:val="center"/>
              <w:rPr>
                <w:noProof/>
                <w:color w:val="0000FF"/>
                <w:sz w:val="22"/>
              </w:rPr>
            </w:pPr>
          </w:p>
        </w:tc>
        <w:tc>
          <w:tcPr>
            <w:tcW w:w="3960" w:type="dxa"/>
            <w:vAlign w:val="center"/>
          </w:tcPr>
          <w:p w:rsidR="00051BBD" w:rsidRDefault="00FD0A5C">
            <w:pPr>
              <w:spacing w:before="60"/>
              <w:rPr>
                <w:noProof/>
                <w:color w:val="0000FF"/>
                <w:sz w:val="22"/>
              </w:rPr>
            </w:pPr>
            <w:r>
              <w:rPr>
                <w:noProof/>
                <w:sz w:val="22"/>
              </w:rPr>
              <w:t>[XX.YY.YY.YY]</w:t>
            </w:r>
          </w:p>
        </w:tc>
        <w:tc>
          <w:tcPr>
            <w:tcW w:w="1080" w:type="dxa"/>
            <w:vAlign w:val="center"/>
          </w:tcPr>
          <w:p w:rsidR="00051BBD" w:rsidRDefault="00051BBD">
            <w:pPr>
              <w:jc w:val="center"/>
              <w:rPr>
                <w:noProof/>
                <w:color w:val="0000FF"/>
                <w:sz w:val="22"/>
              </w:rPr>
            </w:pPr>
          </w:p>
        </w:tc>
        <w:tc>
          <w:tcPr>
            <w:tcW w:w="956" w:type="dxa"/>
            <w:vAlign w:val="center"/>
          </w:tcPr>
          <w:p w:rsidR="00051BBD" w:rsidRDefault="00FD0A5C">
            <w:pPr>
              <w:jc w:val="center"/>
              <w:rPr>
                <w:noProof/>
                <w:sz w:val="22"/>
              </w:rPr>
            </w:pPr>
            <w:r>
              <w:rPr>
                <w:noProof/>
                <w:sz w:val="22"/>
              </w:rPr>
              <w:t>JA/NEJ</w:t>
            </w:r>
          </w:p>
        </w:tc>
        <w:tc>
          <w:tcPr>
            <w:tcW w:w="1080" w:type="dxa"/>
            <w:vAlign w:val="center"/>
          </w:tcPr>
          <w:p w:rsidR="00051BBD" w:rsidRDefault="00FD0A5C">
            <w:pPr>
              <w:jc w:val="center"/>
              <w:rPr>
                <w:noProof/>
                <w:color w:val="0000FF"/>
                <w:sz w:val="18"/>
              </w:rPr>
            </w:pPr>
            <w:r>
              <w:rPr>
                <w:noProof/>
                <w:sz w:val="22"/>
              </w:rPr>
              <w:t>JA/NEJ</w:t>
            </w:r>
          </w:p>
        </w:tc>
        <w:tc>
          <w:tcPr>
            <w:tcW w:w="956" w:type="dxa"/>
            <w:vAlign w:val="center"/>
          </w:tcPr>
          <w:p w:rsidR="00051BBD" w:rsidRDefault="00FD0A5C">
            <w:pPr>
              <w:jc w:val="center"/>
              <w:rPr>
                <w:noProof/>
                <w:color w:val="0000FF"/>
                <w:sz w:val="18"/>
              </w:rPr>
            </w:pPr>
            <w:r>
              <w:rPr>
                <w:noProof/>
                <w:sz w:val="22"/>
              </w:rPr>
              <w:t>JA/NEJ</w:t>
            </w:r>
          </w:p>
        </w:tc>
        <w:tc>
          <w:tcPr>
            <w:tcW w:w="1448" w:type="dxa"/>
            <w:vAlign w:val="center"/>
          </w:tcPr>
          <w:p w:rsidR="00051BBD" w:rsidRDefault="00FD0A5C">
            <w:pPr>
              <w:jc w:val="center"/>
              <w:rPr>
                <w:noProof/>
                <w:sz w:val="22"/>
              </w:rPr>
            </w:pPr>
            <w:r>
              <w:rPr>
                <w:noProof/>
                <w:sz w:val="22"/>
              </w:rPr>
              <w:t>JA/NEJ</w:t>
            </w:r>
          </w:p>
        </w:tc>
      </w:tr>
    </w:tbl>
    <w:p w:rsidR="00051BBD" w:rsidRDefault="00051BBD">
      <w:pPr>
        <w:rPr>
          <w:noProof/>
        </w:rPr>
        <w:sectPr w:rsidR="00051BBD">
          <w:pgSz w:w="11907" w:h="16840" w:code="1"/>
          <w:pgMar w:top="1134" w:right="1418" w:bottom="1134" w:left="1418" w:header="709" w:footer="709" w:gutter="0"/>
          <w:cols w:space="708"/>
          <w:docGrid w:linePitch="360"/>
        </w:sectPr>
      </w:pPr>
    </w:p>
    <w:p w:rsidR="00051BBD" w:rsidRDefault="00FD0A5C">
      <w:pPr>
        <w:pStyle w:val="ManualHeading2"/>
        <w:rPr>
          <w:bCs/>
          <w:noProof/>
          <w:szCs w:val="24"/>
        </w:rPr>
      </w:pPr>
      <w:r>
        <w:t>3.2.</w:t>
      </w:r>
      <w:r>
        <w:tab/>
      </w:r>
      <w:r>
        <w:rPr>
          <w:noProof/>
        </w:rPr>
        <w:t xml:space="preserve">Anslåede virkninger for udgifterne </w:t>
      </w:r>
    </w:p>
    <w:p w:rsidR="00051BBD" w:rsidRDefault="00FD0A5C">
      <w:pPr>
        <w:pStyle w:val="Text1"/>
        <w:rPr>
          <w:noProof/>
        </w:rPr>
      </w:pPr>
      <w:r>
        <w:rPr>
          <w:noProof/>
          <w:highlight w:val="lightGray"/>
        </w:rPr>
        <w:t xml:space="preserve">Dette afsnit skal udfyldes ved hjælp af </w:t>
      </w:r>
      <w:hyperlink r:id="rId16">
        <w:r>
          <w:rPr>
            <w:rStyle w:val="Hyperlink"/>
            <w:b/>
            <w:noProof/>
            <w:color w:val="auto"/>
            <w:highlight w:val="lightGray"/>
          </w:rPr>
          <w:t>arket vedrørende administrative budgetoplysninger</w:t>
        </w:r>
      </w:hyperlink>
      <w:r>
        <w:rPr>
          <w:noProof/>
          <w:highlight w:val="lightGray"/>
        </w:rPr>
        <w:t xml:space="preserve"> (det andet dokument i bilaget til denne finansieringsoversigt) og uploades til CISNET med henblik på høring af andre tjenestegre</w:t>
      </w:r>
      <w:r>
        <w:rPr>
          <w:noProof/>
          <w:highlight w:val="lightGray"/>
        </w:rPr>
        <w:t>ne.</w:t>
      </w:r>
    </w:p>
    <w:p w:rsidR="00051BBD" w:rsidRDefault="00FD0A5C">
      <w:pPr>
        <w:pStyle w:val="ManualHeading3"/>
        <w:rPr>
          <w:noProof/>
        </w:rPr>
      </w:pPr>
      <w:r>
        <w:t>3.2.1.</w:t>
      </w:r>
      <w:r>
        <w:tab/>
      </w:r>
      <w:r>
        <w:rPr>
          <w:noProof/>
        </w:rPr>
        <w:t xml:space="preserve">Sammenfatning af de anslåede virkninger for udgifterne </w:t>
      </w:r>
    </w:p>
    <w:p w:rsidR="00051BBD" w:rsidRDefault="00FD0A5C">
      <w:pPr>
        <w:pStyle w:val="Text1"/>
        <w:rPr>
          <w:i/>
          <w:noProof/>
        </w:rPr>
      </w:pPr>
      <w:r>
        <w:rPr>
          <w:i/>
          <w:noProof/>
        </w:rPr>
        <w:t>De nedenfor anførte applikationer er med i finansieringsrammen for FISCALIS 2020-programmet. Det vil ikke være nødvendigt med ekstra bevillinger</w:t>
      </w:r>
    </w:p>
    <w:p w:rsidR="00051BBD" w:rsidRDefault="00FD0A5C">
      <w:pPr>
        <w:jc w:val="right"/>
        <w:rPr>
          <w:noProof/>
          <w:sz w:val="20"/>
        </w:rPr>
      </w:pPr>
      <w:r>
        <w:rPr>
          <w:noProof/>
          <w:sz w:val="20"/>
        </w:rPr>
        <w:t>i mio. EUR (3 decimaler)</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051BBD">
        <w:trPr>
          <w:jc w:val="center"/>
        </w:trPr>
        <w:tc>
          <w:tcPr>
            <w:tcW w:w="4744" w:type="dxa"/>
            <w:shd w:val="thinDiagStripe" w:color="C0C0C0" w:fill="auto"/>
            <w:vAlign w:val="center"/>
          </w:tcPr>
          <w:p w:rsidR="00051BBD" w:rsidRDefault="00FD0A5C">
            <w:pPr>
              <w:spacing w:before="60" w:after="60"/>
              <w:jc w:val="center"/>
              <w:rPr>
                <w:b/>
                <w:noProof/>
                <w:sz w:val="22"/>
              </w:rPr>
            </w:pPr>
            <w:r>
              <w:rPr>
                <w:b/>
                <w:noProof/>
                <w:sz w:val="22"/>
              </w:rPr>
              <w:t>Udgiftsområde i den</w:t>
            </w:r>
            <w:r>
              <w:rPr>
                <w:b/>
                <w:noProof/>
                <w:sz w:val="22"/>
              </w:rPr>
              <w:t xml:space="preserve"> flerårige finansielle</w:t>
            </w:r>
            <w:r>
              <w:rPr>
                <w:noProof/>
                <w:sz w:val="22"/>
              </w:rPr>
              <w:br/>
            </w:r>
            <w:r>
              <w:rPr>
                <w:b/>
                <w:noProof/>
                <w:sz w:val="22"/>
              </w:rPr>
              <w:t xml:space="preserve">ramme </w:t>
            </w:r>
          </w:p>
        </w:tc>
        <w:tc>
          <w:tcPr>
            <w:tcW w:w="1080" w:type="dxa"/>
            <w:vAlign w:val="center"/>
          </w:tcPr>
          <w:p w:rsidR="00051BBD" w:rsidRDefault="00FD0A5C">
            <w:pPr>
              <w:spacing w:before="60" w:after="60"/>
              <w:jc w:val="center"/>
              <w:rPr>
                <w:noProof/>
                <w:sz w:val="22"/>
              </w:rPr>
            </w:pPr>
            <w:r>
              <w:rPr>
                <w:noProof/>
                <w:sz w:val="22"/>
              </w:rPr>
              <w:t>Nummer</w:t>
            </w:r>
          </w:p>
        </w:tc>
        <w:tc>
          <w:tcPr>
            <w:tcW w:w="7817" w:type="dxa"/>
            <w:vAlign w:val="center"/>
          </w:tcPr>
          <w:p w:rsidR="00051BBD" w:rsidRDefault="00FD0A5C">
            <w:pPr>
              <w:spacing w:before="60" w:after="60"/>
              <w:rPr>
                <w:noProof/>
                <w:sz w:val="22"/>
              </w:rPr>
            </w:pPr>
            <w:r>
              <w:rPr>
                <w:noProof/>
              </w:rPr>
              <w:t>1A Konkurrenceevne for vækst og beskæftigelse</w:t>
            </w:r>
          </w:p>
        </w:tc>
      </w:tr>
    </w:tbl>
    <w:p w:rsidR="00051BBD" w:rsidRDefault="00051BBD">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051BBD">
        <w:tc>
          <w:tcPr>
            <w:tcW w:w="3960" w:type="dxa"/>
            <w:vAlign w:val="center"/>
          </w:tcPr>
          <w:p w:rsidR="00051BBD" w:rsidRDefault="00FD0A5C">
            <w:pPr>
              <w:jc w:val="center"/>
              <w:rPr>
                <w:noProof/>
                <w:sz w:val="22"/>
              </w:rPr>
            </w:pPr>
            <w:r>
              <w:rPr>
                <w:noProof/>
                <w:sz w:val="22"/>
              </w:rPr>
              <w:t xml:space="preserve">GD </w:t>
            </w:r>
            <w:r>
              <w:rPr>
                <w:noProof/>
              </w:rPr>
              <w:t>TAXUD</w:t>
            </w:r>
          </w:p>
        </w:tc>
        <w:tc>
          <w:tcPr>
            <w:tcW w:w="1560" w:type="dxa"/>
            <w:gridSpan w:val="2"/>
          </w:tcPr>
          <w:p w:rsidR="00051BBD" w:rsidRDefault="00051BBD">
            <w:pPr>
              <w:rPr>
                <w:noProof/>
                <w:sz w:val="20"/>
              </w:rPr>
            </w:pPr>
          </w:p>
        </w:tc>
        <w:tc>
          <w:tcPr>
            <w:tcW w:w="534" w:type="dxa"/>
          </w:tcPr>
          <w:p w:rsidR="00051BBD" w:rsidRDefault="00051BBD">
            <w:pPr>
              <w:jc w:val="center"/>
              <w:rPr>
                <w:noProof/>
                <w:sz w:val="20"/>
              </w:rPr>
            </w:pPr>
          </w:p>
        </w:tc>
        <w:tc>
          <w:tcPr>
            <w:tcW w:w="868" w:type="dxa"/>
            <w:vAlign w:val="center"/>
          </w:tcPr>
          <w:p w:rsidR="00051BBD" w:rsidRDefault="00FD0A5C">
            <w:pPr>
              <w:jc w:val="center"/>
              <w:rPr>
                <w:noProof/>
                <w:sz w:val="20"/>
                <w:szCs w:val="20"/>
              </w:rPr>
            </w:pPr>
            <w:r>
              <w:rPr>
                <w:noProof/>
                <w:sz w:val="20"/>
                <w:szCs w:val="20"/>
              </w:rPr>
              <w:t>År 2016</w:t>
            </w:r>
            <w:r>
              <w:rPr>
                <w:rStyle w:val="FootnoteReference"/>
                <w:noProof/>
                <w:sz w:val="20"/>
                <w:szCs w:val="20"/>
              </w:rPr>
              <w:footnoteReference w:id="21"/>
            </w:r>
          </w:p>
        </w:tc>
        <w:tc>
          <w:tcPr>
            <w:tcW w:w="868" w:type="dxa"/>
            <w:vAlign w:val="center"/>
          </w:tcPr>
          <w:p w:rsidR="00051BBD" w:rsidRDefault="00FD0A5C">
            <w:pPr>
              <w:jc w:val="center"/>
              <w:rPr>
                <w:noProof/>
                <w:sz w:val="20"/>
                <w:szCs w:val="20"/>
              </w:rPr>
            </w:pPr>
            <w:r>
              <w:rPr>
                <w:noProof/>
                <w:sz w:val="20"/>
                <w:szCs w:val="20"/>
              </w:rPr>
              <w:t xml:space="preserve">År </w:t>
            </w:r>
            <w:r>
              <w:rPr>
                <w:b/>
                <w:noProof/>
                <w:sz w:val="20"/>
                <w:szCs w:val="20"/>
              </w:rPr>
              <w:t>2017</w:t>
            </w:r>
          </w:p>
        </w:tc>
        <w:tc>
          <w:tcPr>
            <w:tcW w:w="868" w:type="dxa"/>
            <w:vAlign w:val="center"/>
          </w:tcPr>
          <w:p w:rsidR="00051BBD" w:rsidRDefault="00FD0A5C">
            <w:pPr>
              <w:jc w:val="center"/>
              <w:rPr>
                <w:noProof/>
                <w:sz w:val="20"/>
                <w:szCs w:val="20"/>
              </w:rPr>
            </w:pPr>
            <w:r>
              <w:rPr>
                <w:noProof/>
                <w:sz w:val="20"/>
                <w:szCs w:val="20"/>
              </w:rPr>
              <w:t xml:space="preserve">År </w:t>
            </w:r>
            <w:r>
              <w:rPr>
                <w:b/>
                <w:noProof/>
                <w:sz w:val="20"/>
                <w:szCs w:val="20"/>
              </w:rPr>
              <w:t>2018</w:t>
            </w:r>
          </w:p>
        </w:tc>
        <w:tc>
          <w:tcPr>
            <w:tcW w:w="868" w:type="dxa"/>
            <w:vAlign w:val="center"/>
          </w:tcPr>
          <w:p w:rsidR="00051BBD" w:rsidRDefault="00FD0A5C">
            <w:pPr>
              <w:jc w:val="center"/>
              <w:rPr>
                <w:noProof/>
                <w:sz w:val="20"/>
                <w:szCs w:val="20"/>
              </w:rPr>
            </w:pPr>
            <w:r>
              <w:rPr>
                <w:noProof/>
                <w:sz w:val="20"/>
                <w:szCs w:val="20"/>
              </w:rPr>
              <w:t xml:space="preserve">År </w:t>
            </w:r>
            <w:r>
              <w:rPr>
                <w:b/>
                <w:noProof/>
                <w:sz w:val="20"/>
                <w:szCs w:val="20"/>
              </w:rPr>
              <w:t>2019</w:t>
            </w:r>
          </w:p>
        </w:tc>
        <w:tc>
          <w:tcPr>
            <w:tcW w:w="2604" w:type="dxa"/>
            <w:gridSpan w:val="3"/>
            <w:vAlign w:val="center"/>
          </w:tcPr>
          <w:p w:rsidR="00051BBD" w:rsidRDefault="00FD0A5C">
            <w:pPr>
              <w:jc w:val="center"/>
              <w:rPr>
                <w:b/>
                <w:noProof/>
                <w:sz w:val="20"/>
                <w:szCs w:val="20"/>
              </w:rPr>
            </w:pPr>
            <w:r>
              <w:rPr>
                <w:b/>
                <w:noProof/>
                <w:sz w:val="20"/>
                <w:szCs w:val="20"/>
              </w:rPr>
              <w:t xml:space="preserve">2020 </w:t>
            </w:r>
          </w:p>
        </w:tc>
        <w:tc>
          <w:tcPr>
            <w:tcW w:w="1777" w:type="dxa"/>
            <w:vAlign w:val="center"/>
          </w:tcPr>
          <w:p w:rsidR="00051BBD" w:rsidRDefault="00FD0A5C">
            <w:pPr>
              <w:jc w:val="center"/>
              <w:rPr>
                <w:b/>
                <w:noProof/>
                <w:sz w:val="20"/>
                <w:szCs w:val="20"/>
              </w:rPr>
            </w:pPr>
            <w:r>
              <w:rPr>
                <w:b/>
                <w:noProof/>
                <w:sz w:val="20"/>
                <w:szCs w:val="20"/>
              </w:rPr>
              <w:t>I ALT</w:t>
            </w:r>
          </w:p>
        </w:tc>
      </w:tr>
      <w:tr w:rsidR="00051BBD">
        <w:trPr>
          <w:trHeight w:val="213"/>
        </w:trPr>
        <w:tc>
          <w:tcPr>
            <w:tcW w:w="6054" w:type="dxa"/>
            <w:gridSpan w:val="4"/>
            <w:vAlign w:val="center"/>
          </w:tcPr>
          <w:p w:rsidR="00051BBD" w:rsidRDefault="00FD0A5C">
            <w:pPr>
              <w:spacing w:before="20" w:after="20"/>
              <w:rPr>
                <w:noProof/>
                <w:sz w:val="21"/>
              </w:rPr>
            </w:pPr>
            <w:r>
              <w:rPr>
                <w:noProof/>
                <w:sz w:val="21"/>
              </w:rPr>
              <w:sym w:font="Wingdings" w:char="F09F"/>
            </w:r>
            <w:r>
              <w:rPr>
                <w:noProof/>
                <w:sz w:val="21"/>
              </w:rPr>
              <w:t>Aktionsbevillinger</w:t>
            </w:r>
          </w:p>
        </w:tc>
        <w:tc>
          <w:tcPr>
            <w:tcW w:w="868" w:type="dxa"/>
            <w:vAlign w:val="center"/>
          </w:tcPr>
          <w:p w:rsidR="00051BBD" w:rsidRDefault="00051BBD">
            <w:pPr>
              <w:rPr>
                <w:noProof/>
                <w:sz w:val="20"/>
              </w:rPr>
            </w:pPr>
          </w:p>
        </w:tc>
        <w:tc>
          <w:tcPr>
            <w:tcW w:w="868" w:type="dxa"/>
            <w:vAlign w:val="center"/>
          </w:tcPr>
          <w:p w:rsidR="00051BBD" w:rsidRDefault="00051BBD">
            <w:pPr>
              <w:rPr>
                <w:noProof/>
                <w:sz w:val="20"/>
              </w:rPr>
            </w:pPr>
          </w:p>
        </w:tc>
        <w:tc>
          <w:tcPr>
            <w:tcW w:w="868" w:type="dxa"/>
            <w:vAlign w:val="center"/>
          </w:tcPr>
          <w:p w:rsidR="00051BBD" w:rsidRDefault="00051BBD">
            <w:pPr>
              <w:rPr>
                <w:noProof/>
                <w:sz w:val="20"/>
              </w:rPr>
            </w:pPr>
          </w:p>
        </w:tc>
        <w:tc>
          <w:tcPr>
            <w:tcW w:w="868" w:type="dxa"/>
            <w:vAlign w:val="center"/>
          </w:tcPr>
          <w:p w:rsidR="00051BBD" w:rsidRDefault="00051BBD">
            <w:pPr>
              <w:rPr>
                <w:noProof/>
                <w:sz w:val="20"/>
              </w:rPr>
            </w:pPr>
          </w:p>
        </w:tc>
        <w:tc>
          <w:tcPr>
            <w:tcW w:w="868" w:type="dxa"/>
            <w:vAlign w:val="center"/>
          </w:tcPr>
          <w:p w:rsidR="00051BBD" w:rsidRDefault="00051BBD">
            <w:pPr>
              <w:rPr>
                <w:noProof/>
                <w:sz w:val="20"/>
              </w:rPr>
            </w:pPr>
          </w:p>
        </w:tc>
        <w:tc>
          <w:tcPr>
            <w:tcW w:w="868" w:type="dxa"/>
            <w:vAlign w:val="center"/>
          </w:tcPr>
          <w:p w:rsidR="00051BBD" w:rsidRDefault="00051BBD">
            <w:pPr>
              <w:rPr>
                <w:noProof/>
                <w:sz w:val="20"/>
              </w:rPr>
            </w:pPr>
          </w:p>
        </w:tc>
        <w:tc>
          <w:tcPr>
            <w:tcW w:w="868" w:type="dxa"/>
            <w:vAlign w:val="center"/>
          </w:tcPr>
          <w:p w:rsidR="00051BBD" w:rsidRDefault="00051BBD">
            <w:pPr>
              <w:rPr>
                <w:b/>
                <w:noProof/>
                <w:sz w:val="20"/>
              </w:rPr>
            </w:pPr>
          </w:p>
        </w:tc>
        <w:tc>
          <w:tcPr>
            <w:tcW w:w="1777" w:type="dxa"/>
            <w:vAlign w:val="center"/>
          </w:tcPr>
          <w:p w:rsidR="00051BBD" w:rsidRDefault="00051BBD">
            <w:pPr>
              <w:rPr>
                <w:b/>
                <w:noProof/>
                <w:sz w:val="20"/>
              </w:rPr>
            </w:pPr>
          </w:p>
        </w:tc>
      </w:tr>
      <w:tr w:rsidR="00051BBD">
        <w:trPr>
          <w:trHeight w:val="277"/>
        </w:trPr>
        <w:tc>
          <w:tcPr>
            <w:tcW w:w="3960" w:type="dxa"/>
            <w:vMerge w:val="restart"/>
            <w:vAlign w:val="center"/>
          </w:tcPr>
          <w:p w:rsidR="00051BBD" w:rsidRDefault="00FD0A5C">
            <w:pPr>
              <w:rPr>
                <w:noProof/>
                <w:sz w:val="20"/>
                <w:szCs w:val="20"/>
              </w:rPr>
            </w:pPr>
            <w:r>
              <w:rPr>
                <w:noProof/>
                <w:sz w:val="20"/>
                <w:szCs w:val="20"/>
              </w:rPr>
              <w:t>Budgetpostens nummer 14.0301</w:t>
            </w:r>
          </w:p>
        </w:tc>
        <w:tc>
          <w:tcPr>
            <w:tcW w:w="1440" w:type="dxa"/>
            <w:vAlign w:val="center"/>
          </w:tcPr>
          <w:p w:rsidR="00051BBD" w:rsidRDefault="00FD0A5C">
            <w:pPr>
              <w:spacing w:before="20" w:after="20"/>
              <w:rPr>
                <w:noProof/>
                <w:sz w:val="18"/>
              </w:rPr>
            </w:pPr>
            <w:r>
              <w:rPr>
                <w:noProof/>
                <w:sz w:val="18"/>
              </w:rPr>
              <w:t>Forpligtelser</w:t>
            </w:r>
          </w:p>
        </w:tc>
        <w:tc>
          <w:tcPr>
            <w:tcW w:w="654" w:type="dxa"/>
            <w:gridSpan w:val="2"/>
            <w:vAlign w:val="center"/>
          </w:tcPr>
          <w:p w:rsidR="00051BBD" w:rsidRDefault="00FD0A5C">
            <w:pPr>
              <w:spacing w:before="20" w:after="20"/>
              <w:jc w:val="center"/>
              <w:rPr>
                <w:noProof/>
                <w:sz w:val="14"/>
              </w:rPr>
            </w:pPr>
            <w:r>
              <w:rPr>
                <w:noProof/>
                <w:sz w:val="14"/>
              </w:rPr>
              <w:t>1)</w:t>
            </w:r>
          </w:p>
        </w:tc>
        <w:tc>
          <w:tcPr>
            <w:tcW w:w="868" w:type="dxa"/>
            <w:vAlign w:val="center"/>
          </w:tcPr>
          <w:p w:rsidR="00051BBD" w:rsidRDefault="00FD0A5C">
            <w:pPr>
              <w:spacing w:before="20" w:after="20"/>
              <w:jc w:val="right"/>
              <w:rPr>
                <w:noProof/>
              </w:rPr>
            </w:pPr>
            <w:r>
              <w:rPr>
                <w:noProof/>
              </w:rPr>
              <w:t>0,300</w:t>
            </w:r>
          </w:p>
        </w:tc>
        <w:tc>
          <w:tcPr>
            <w:tcW w:w="868" w:type="dxa"/>
            <w:vAlign w:val="center"/>
          </w:tcPr>
          <w:p w:rsidR="00051BBD" w:rsidRDefault="00FD0A5C">
            <w:pPr>
              <w:spacing w:before="20" w:after="20"/>
              <w:jc w:val="right"/>
              <w:rPr>
                <w:noProof/>
              </w:rPr>
            </w:pPr>
            <w:r>
              <w:rPr>
                <w:noProof/>
              </w:rPr>
              <w:t>1,000</w:t>
            </w:r>
          </w:p>
        </w:tc>
        <w:tc>
          <w:tcPr>
            <w:tcW w:w="868" w:type="dxa"/>
            <w:vAlign w:val="center"/>
          </w:tcPr>
          <w:p w:rsidR="00051BBD" w:rsidRDefault="00FD0A5C">
            <w:pPr>
              <w:spacing w:before="20" w:after="20"/>
              <w:jc w:val="right"/>
              <w:rPr>
                <w:noProof/>
              </w:rPr>
            </w:pPr>
            <w:r>
              <w:rPr>
                <w:noProof/>
              </w:rPr>
              <w:t>0,400</w:t>
            </w:r>
          </w:p>
        </w:tc>
        <w:tc>
          <w:tcPr>
            <w:tcW w:w="868" w:type="dxa"/>
            <w:vAlign w:val="center"/>
          </w:tcPr>
          <w:p w:rsidR="00051BBD" w:rsidRDefault="00FD0A5C">
            <w:pPr>
              <w:spacing w:before="20" w:after="20"/>
              <w:jc w:val="right"/>
              <w:rPr>
                <w:noProof/>
              </w:rPr>
            </w:pPr>
            <w:r>
              <w:rPr>
                <w:noProof/>
              </w:rPr>
              <w:t>0,200</w:t>
            </w:r>
          </w:p>
        </w:tc>
        <w:tc>
          <w:tcPr>
            <w:tcW w:w="868" w:type="dxa"/>
            <w:vAlign w:val="center"/>
          </w:tcPr>
          <w:p w:rsidR="00051BBD" w:rsidRDefault="00FD0A5C">
            <w:pPr>
              <w:spacing w:before="20" w:after="20"/>
              <w:jc w:val="right"/>
              <w:rPr>
                <w:noProof/>
              </w:rPr>
            </w:pPr>
            <w:r>
              <w:rPr>
                <w:noProof/>
              </w:rPr>
              <w:t>0,200</w:t>
            </w:r>
          </w:p>
        </w:tc>
        <w:tc>
          <w:tcPr>
            <w:tcW w:w="868" w:type="dxa"/>
            <w:vAlign w:val="center"/>
          </w:tcPr>
          <w:p w:rsidR="00051BBD" w:rsidRDefault="00051BBD">
            <w:pPr>
              <w:spacing w:before="20" w:after="20"/>
              <w:jc w:val="right"/>
              <w:rPr>
                <w:noProof/>
              </w:rPr>
            </w:pPr>
          </w:p>
        </w:tc>
        <w:tc>
          <w:tcPr>
            <w:tcW w:w="868" w:type="dxa"/>
            <w:vAlign w:val="center"/>
          </w:tcPr>
          <w:p w:rsidR="00051BBD" w:rsidRDefault="00051BBD">
            <w:pPr>
              <w:spacing w:before="20" w:after="20"/>
              <w:jc w:val="right"/>
              <w:rPr>
                <w:noProof/>
              </w:rPr>
            </w:pPr>
          </w:p>
        </w:tc>
        <w:tc>
          <w:tcPr>
            <w:tcW w:w="1777" w:type="dxa"/>
            <w:vAlign w:val="center"/>
          </w:tcPr>
          <w:p w:rsidR="00051BBD" w:rsidRDefault="00FD0A5C">
            <w:pPr>
              <w:spacing w:before="20" w:after="20"/>
              <w:jc w:val="right"/>
              <w:rPr>
                <w:noProof/>
              </w:rPr>
            </w:pPr>
            <w:r>
              <w:rPr>
                <w:noProof/>
              </w:rPr>
              <w:t>2100</w:t>
            </w:r>
          </w:p>
        </w:tc>
      </w:tr>
      <w:tr w:rsidR="00051BBD">
        <w:tc>
          <w:tcPr>
            <w:tcW w:w="3960" w:type="dxa"/>
            <w:vMerge/>
          </w:tcPr>
          <w:p w:rsidR="00051BBD" w:rsidRDefault="00051BBD">
            <w:pPr>
              <w:jc w:val="center"/>
              <w:rPr>
                <w:noProof/>
                <w:sz w:val="20"/>
              </w:rPr>
            </w:pPr>
          </w:p>
        </w:tc>
        <w:tc>
          <w:tcPr>
            <w:tcW w:w="1440" w:type="dxa"/>
            <w:vAlign w:val="center"/>
          </w:tcPr>
          <w:p w:rsidR="00051BBD" w:rsidRDefault="00FD0A5C">
            <w:pPr>
              <w:spacing w:before="20" w:after="20"/>
              <w:rPr>
                <w:noProof/>
                <w:sz w:val="18"/>
              </w:rPr>
            </w:pPr>
            <w:r>
              <w:rPr>
                <w:noProof/>
                <w:sz w:val="18"/>
              </w:rPr>
              <w:t>Betalinger</w:t>
            </w:r>
          </w:p>
        </w:tc>
        <w:tc>
          <w:tcPr>
            <w:tcW w:w="654" w:type="dxa"/>
            <w:gridSpan w:val="2"/>
            <w:vAlign w:val="center"/>
          </w:tcPr>
          <w:p w:rsidR="00051BBD" w:rsidRDefault="00FD0A5C">
            <w:pPr>
              <w:spacing w:before="20" w:after="20"/>
              <w:jc w:val="center"/>
              <w:rPr>
                <w:noProof/>
                <w:sz w:val="14"/>
              </w:rPr>
            </w:pPr>
            <w:r>
              <w:rPr>
                <w:noProof/>
                <w:sz w:val="14"/>
              </w:rPr>
              <w:t>2)</w:t>
            </w:r>
          </w:p>
        </w:tc>
        <w:tc>
          <w:tcPr>
            <w:tcW w:w="868" w:type="dxa"/>
            <w:vAlign w:val="center"/>
          </w:tcPr>
          <w:p w:rsidR="00051BBD" w:rsidRDefault="00FD0A5C">
            <w:pPr>
              <w:spacing w:before="20" w:after="20"/>
              <w:jc w:val="right"/>
              <w:rPr>
                <w:noProof/>
              </w:rPr>
            </w:pPr>
            <w:r>
              <w:rPr>
                <w:noProof/>
              </w:rPr>
              <w:t>0,000</w:t>
            </w:r>
          </w:p>
        </w:tc>
        <w:tc>
          <w:tcPr>
            <w:tcW w:w="868" w:type="dxa"/>
            <w:vAlign w:val="center"/>
          </w:tcPr>
          <w:p w:rsidR="00051BBD" w:rsidRDefault="00FD0A5C">
            <w:pPr>
              <w:spacing w:before="20" w:after="20"/>
              <w:jc w:val="right"/>
              <w:rPr>
                <w:noProof/>
              </w:rPr>
            </w:pPr>
            <w:r>
              <w:rPr>
                <w:noProof/>
              </w:rPr>
              <w:t>0,300</w:t>
            </w:r>
          </w:p>
        </w:tc>
        <w:tc>
          <w:tcPr>
            <w:tcW w:w="868" w:type="dxa"/>
            <w:vAlign w:val="center"/>
          </w:tcPr>
          <w:p w:rsidR="00051BBD" w:rsidRDefault="00FD0A5C">
            <w:pPr>
              <w:spacing w:before="20" w:after="20"/>
              <w:jc w:val="right"/>
              <w:rPr>
                <w:noProof/>
              </w:rPr>
            </w:pPr>
            <w:r>
              <w:rPr>
                <w:noProof/>
              </w:rPr>
              <w:t>1,000</w:t>
            </w:r>
          </w:p>
        </w:tc>
        <w:tc>
          <w:tcPr>
            <w:tcW w:w="868" w:type="dxa"/>
            <w:vAlign w:val="center"/>
          </w:tcPr>
          <w:p w:rsidR="00051BBD" w:rsidRDefault="00FD0A5C">
            <w:pPr>
              <w:spacing w:before="20" w:after="20"/>
              <w:jc w:val="right"/>
              <w:rPr>
                <w:noProof/>
              </w:rPr>
            </w:pPr>
            <w:r>
              <w:rPr>
                <w:noProof/>
              </w:rPr>
              <w:t>0,400</w:t>
            </w:r>
          </w:p>
        </w:tc>
        <w:tc>
          <w:tcPr>
            <w:tcW w:w="868" w:type="dxa"/>
            <w:vAlign w:val="center"/>
          </w:tcPr>
          <w:p w:rsidR="00051BBD" w:rsidRDefault="00FD0A5C">
            <w:pPr>
              <w:spacing w:before="20" w:after="20"/>
              <w:jc w:val="right"/>
              <w:rPr>
                <w:noProof/>
              </w:rPr>
            </w:pPr>
            <w:r>
              <w:rPr>
                <w:noProof/>
              </w:rPr>
              <w:t>0,200</w:t>
            </w:r>
          </w:p>
        </w:tc>
        <w:tc>
          <w:tcPr>
            <w:tcW w:w="868" w:type="dxa"/>
            <w:vAlign w:val="center"/>
          </w:tcPr>
          <w:p w:rsidR="00051BBD" w:rsidRDefault="00FD0A5C">
            <w:pPr>
              <w:spacing w:before="20" w:after="20"/>
              <w:jc w:val="right"/>
              <w:rPr>
                <w:noProof/>
              </w:rPr>
            </w:pPr>
            <w:r>
              <w:rPr>
                <w:noProof/>
              </w:rPr>
              <w:t>0,200</w:t>
            </w:r>
          </w:p>
        </w:tc>
        <w:tc>
          <w:tcPr>
            <w:tcW w:w="868" w:type="dxa"/>
            <w:vAlign w:val="center"/>
          </w:tcPr>
          <w:p w:rsidR="00051BBD" w:rsidRDefault="00051BBD">
            <w:pPr>
              <w:spacing w:before="20" w:after="20"/>
              <w:jc w:val="right"/>
              <w:rPr>
                <w:noProof/>
              </w:rPr>
            </w:pPr>
          </w:p>
        </w:tc>
        <w:tc>
          <w:tcPr>
            <w:tcW w:w="1777" w:type="dxa"/>
            <w:vAlign w:val="center"/>
          </w:tcPr>
          <w:p w:rsidR="00051BBD" w:rsidRDefault="00FD0A5C">
            <w:pPr>
              <w:spacing w:before="20" w:after="20"/>
              <w:jc w:val="right"/>
              <w:rPr>
                <w:noProof/>
              </w:rPr>
            </w:pPr>
            <w:r>
              <w:rPr>
                <w:noProof/>
              </w:rPr>
              <w:t>2100</w:t>
            </w:r>
          </w:p>
        </w:tc>
      </w:tr>
      <w:tr w:rsidR="00051BBD">
        <w:tc>
          <w:tcPr>
            <w:tcW w:w="3960" w:type="dxa"/>
            <w:vMerge w:val="restart"/>
            <w:vAlign w:val="center"/>
          </w:tcPr>
          <w:p w:rsidR="00051BBD" w:rsidRDefault="00FD0A5C">
            <w:pPr>
              <w:rPr>
                <w:noProof/>
                <w:sz w:val="22"/>
              </w:rPr>
            </w:pPr>
            <w:r>
              <w:rPr>
                <w:noProof/>
                <w:sz w:val="20"/>
              </w:rPr>
              <w:t>Budgetpostens nummer</w:t>
            </w:r>
          </w:p>
        </w:tc>
        <w:tc>
          <w:tcPr>
            <w:tcW w:w="1440" w:type="dxa"/>
            <w:vAlign w:val="center"/>
          </w:tcPr>
          <w:p w:rsidR="00051BBD" w:rsidRDefault="00FD0A5C">
            <w:pPr>
              <w:spacing w:before="20" w:after="20"/>
              <w:rPr>
                <w:noProof/>
                <w:sz w:val="18"/>
              </w:rPr>
            </w:pPr>
            <w:r>
              <w:rPr>
                <w:noProof/>
                <w:sz w:val="18"/>
              </w:rPr>
              <w:t>Forpligtelser</w:t>
            </w:r>
          </w:p>
        </w:tc>
        <w:tc>
          <w:tcPr>
            <w:tcW w:w="654" w:type="dxa"/>
            <w:gridSpan w:val="2"/>
            <w:vAlign w:val="center"/>
          </w:tcPr>
          <w:p w:rsidR="00051BBD" w:rsidRDefault="00FD0A5C">
            <w:pPr>
              <w:spacing w:before="20" w:after="20"/>
              <w:jc w:val="center"/>
              <w:rPr>
                <w:noProof/>
                <w:sz w:val="14"/>
              </w:rPr>
            </w:pPr>
            <w:r>
              <w:rPr>
                <w:noProof/>
                <w:sz w:val="14"/>
              </w:rPr>
              <w:t>1a)</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1777" w:type="dxa"/>
            <w:vAlign w:val="center"/>
          </w:tcPr>
          <w:p w:rsidR="00051BBD" w:rsidRDefault="00051BBD">
            <w:pPr>
              <w:spacing w:before="20" w:after="20"/>
              <w:jc w:val="right"/>
              <w:rPr>
                <w:noProof/>
              </w:rPr>
            </w:pPr>
          </w:p>
        </w:tc>
      </w:tr>
      <w:tr w:rsidR="00051BBD">
        <w:tc>
          <w:tcPr>
            <w:tcW w:w="3960" w:type="dxa"/>
            <w:vMerge/>
          </w:tcPr>
          <w:p w:rsidR="00051BBD" w:rsidRDefault="00051BBD">
            <w:pPr>
              <w:jc w:val="center"/>
              <w:rPr>
                <w:noProof/>
                <w:sz w:val="20"/>
              </w:rPr>
            </w:pPr>
          </w:p>
        </w:tc>
        <w:tc>
          <w:tcPr>
            <w:tcW w:w="1440" w:type="dxa"/>
            <w:vAlign w:val="center"/>
          </w:tcPr>
          <w:p w:rsidR="00051BBD" w:rsidRDefault="00FD0A5C">
            <w:pPr>
              <w:spacing w:before="20" w:after="20"/>
              <w:rPr>
                <w:noProof/>
                <w:sz w:val="18"/>
              </w:rPr>
            </w:pPr>
            <w:r>
              <w:rPr>
                <w:noProof/>
                <w:sz w:val="18"/>
              </w:rPr>
              <w:t>Betalinger</w:t>
            </w:r>
          </w:p>
        </w:tc>
        <w:tc>
          <w:tcPr>
            <w:tcW w:w="654" w:type="dxa"/>
            <w:gridSpan w:val="2"/>
            <w:vAlign w:val="center"/>
          </w:tcPr>
          <w:p w:rsidR="00051BBD" w:rsidRDefault="00FD0A5C">
            <w:pPr>
              <w:spacing w:before="20" w:after="20"/>
              <w:jc w:val="center"/>
              <w:rPr>
                <w:noProof/>
                <w:sz w:val="14"/>
              </w:rPr>
            </w:pPr>
            <w:r>
              <w:rPr>
                <w:noProof/>
                <w:sz w:val="14"/>
              </w:rPr>
              <w:t>2 a)</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1777" w:type="dxa"/>
            <w:vAlign w:val="center"/>
          </w:tcPr>
          <w:p w:rsidR="00051BBD" w:rsidRDefault="00051BBD">
            <w:pPr>
              <w:spacing w:before="20" w:after="20"/>
              <w:jc w:val="right"/>
              <w:rPr>
                <w:noProof/>
              </w:rPr>
            </w:pPr>
          </w:p>
        </w:tc>
      </w:tr>
      <w:tr w:rsidR="00051BBD">
        <w:trPr>
          <w:trHeight w:val="231"/>
        </w:trPr>
        <w:tc>
          <w:tcPr>
            <w:tcW w:w="6054" w:type="dxa"/>
            <w:gridSpan w:val="4"/>
            <w:vAlign w:val="center"/>
          </w:tcPr>
          <w:p w:rsidR="00051BBD" w:rsidRDefault="00FD0A5C">
            <w:pPr>
              <w:spacing w:before="20" w:after="20"/>
              <w:rPr>
                <w:noProof/>
                <w:sz w:val="22"/>
              </w:rPr>
            </w:pPr>
            <w:r>
              <w:rPr>
                <w:noProof/>
                <w:sz w:val="21"/>
              </w:rPr>
              <w:t>Administrationsbevillinger finansieret</w:t>
            </w:r>
            <w:r>
              <w:rPr>
                <w:noProof/>
              </w:rPr>
              <w:tab/>
            </w:r>
            <w:r>
              <w:rPr>
                <w:noProof/>
                <w:sz w:val="21"/>
              </w:rPr>
              <w:br/>
              <w:t xml:space="preserve">over bevillingsrammen for </w:t>
            </w:r>
            <w:r>
              <w:rPr>
                <w:noProof/>
                <w:sz w:val="21"/>
              </w:rPr>
              <w:t>særprogrammet</w:t>
            </w:r>
            <w:r>
              <w:rPr>
                <w:rStyle w:val="FootnoteReference"/>
                <w:noProof/>
                <w:sz w:val="21"/>
              </w:rPr>
              <w:footnoteReference w:id="22"/>
            </w:r>
            <w:r>
              <w:rPr>
                <w:noProof/>
                <w:sz w:val="21"/>
              </w:rPr>
              <w:t xml:space="preserve"> </w:t>
            </w:r>
          </w:p>
          <w:p w:rsidR="00051BBD" w:rsidRDefault="00051BBD">
            <w:pPr>
              <w:spacing w:before="0" w:after="0"/>
              <w:rPr>
                <w:noProof/>
                <w:sz w:val="22"/>
              </w:rPr>
            </w:pP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1777" w:type="dxa"/>
            <w:vAlign w:val="center"/>
          </w:tcPr>
          <w:p w:rsidR="00051BBD" w:rsidRDefault="00051BBD">
            <w:pPr>
              <w:rPr>
                <w:noProof/>
              </w:rPr>
            </w:pPr>
          </w:p>
        </w:tc>
      </w:tr>
      <w:tr w:rsidR="00051BBD">
        <w:trPr>
          <w:trHeight w:val="319"/>
        </w:trPr>
        <w:tc>
          <w:tcPr>
            <w:tcW w:w="3960" w:type="dxa"/>
            <w:vAlign w:val="center"/>
          </w:tcPr>
          <w:p w:rsidR="00051BBD" w:rsidRDefault="00FD0A5C">
            <w:pPr>
              <w:spacing w:before="60" w:after="60"/>
              <w:rPr>
                <w:noProof/>
                <w:sz w:val="22"/>
              </w:rPr>
            </w:pPr>
            <w:r>
              <w:rPr>
                <w:noProof/>
                <w:sz w:val="20"/>
              </w:rPr>
              <w:t>Budgetpostens nummer</w:t>
            </w:r>
          </w:p>
        </w:tc>
        <w:tc>
          <w:tcPr>
            <w:tcW w:w="1440" w:type="dxa"/>
            <w:vAlign w:val="center"/>
          </w:tcPr>
          <w:p w:rsidR="00051BBD" w:rsidRDefault="00051BBD">
            <w:pPr>
              <w:spacing w:before="40" w:after="40"/>
              <w:jc w:val="right"/>
              <w:rPr>
                <w:noProof/>
                <w:sz w:val="18"/>
              </w:rPr>
            </w:pPr>
          </w:p>
        </w:tc>
        <w:tc>
          <w:tcPr>
            <w:tcW w:w="654" w:type="dxa"/>
            <w:gridSpan w:val="2"/>
            <w:vAlign w:val="center"/>
          </w:tcPr>
          <w:p w:rsidR="00051BBD" w:rsidRDefault="00FD0A5C">
            <w:pPr>
              <w:spacing w:before="40" w:after="40"/>
              <w:jc w:val="center"/>
              <w:rPr>
                <w:noProof/>
                <w:sz w:val="14"/>
              </w:rPr>
            </w:pPr>
            <w:r>
              <w:rPr>
                <w:noProof/>
                <w:sz w:val="14"/>
              </w:rPr>
              <w:t>3)</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1777" w:type="dxa"/>
            <w:vAlign w:val="center"/>
          </w:tcPr>
          <w:p w:rsidR="00051BBD" w:rsidRDefault="00051BBD">
            <w:pPr>
              <w:spacing w:before="40" w:after="40"/>
              <w:jc w:val="right"/>
              <w:rPr>
                <w:noProof/>
              </w:rPr>
            </w:pPr>
          </w:p>
        </w:tc>
      </w:tr>
      <w:tr w:rsidR="00051BBD">
        <w:tc>
          <w:tcPr>
            <w:tcW w:w="3960" w:type="dxa"/>
            <w:vMerge w:val="restart"/>
            <w:vAlign w:val="center"/>
          </w:tcPr>
          <w:p w:rsidR="00051BBD" w:rsidRDefault="00FD0A5C">
            <w:pPr>
              <w:jc w:val="center"/>
              <w:rPr>
                <w:b/>
                <w:noProof/>
                <w:sz w:val="22"/>
              </w:rPr>
            </w:pPr>
            <w:r>
              <w:rPr>
                <w:b/>
                <w:noProof/>
                <w:sz w:val="22"/>
              </w:rPr>
              <w:t>Bevillinger I ALT for</w:t>
            </w:r>
            <w:r>
              <w:rPr>
                <w:noProof/>
                <w:sz w:val="22"/>
              </w:rPr>
              <w:t xml:space="preserve"> GD TAXUD</w:t>
            </w:r>
          </w:p>
        </w:tc>
        <w:tc>
          <w:tcPr>
            <w:tcW w:w="1440" w:type="dxa"/>
            <w:vAlign w:val="center"/>
          </w:tcPr>
          <w:p w:rsidR="00051BBD" w:rsidRDefault="00FD0A5C">
            <w:pPr>
              <w:rPr>
                <w:noProof/>
                <w:sz w:val="18"/>
              </w:rPr>
            </w:pPr>
            <w:r>
              <w:rPr>
                <w:noProof/>
                <w:sz w:val="18"/>
              </w:rPr>
              <w:t>Forpligtelser</w:t>
            </w:r>
          </w:p>
        </w:tc>
        <w:tc>
          <w:tcPr>
            <w:tcW w:w="654" w:type="dxa"/>
            <w:gridSpan w:val="2"/>
            <w:vAlign w:val="center"/>
          </w:tcPr>
          <w:p w:rsidR="00051BBD" w:rsidRDefault="00FD0A5C">
            <w:pPr>
              <w:jc w:val="center"/>
              <w:rPr>
                <w:noProof/>
                <w:sz w:val="14"/>
              </w:rPr>
            </w:pPr>
            <w:r>
              <w:rPr>
                <w:noProof/>
                <w:sz w:val="14"/>
              </w:rPr>
              <w:t>= 1+1a+3</w:t>
            </w:r>
          </w:p>
        </w:tc>
        <w:tc>
          <w:tcPr>
            <w:tcW w:w="868" w:type="dxa"/>
            <w:vAlign w:val="center"/>
          </w:tcPr>
          <w:p w:rsidR="00051BBD" w:rsidRDefault="00FD0A5C">
            <w:pPr>
              <w:spacing w:before="20" w:after="20"/>
              <w:jc w:val="right"/>
              <w:rPr>
                <w:noProof/>
              </w:rPr>
            </w:pPr>
            <w:r>
              <w:rPr>
                <w:noProof/>
              </w:rPr>
              <w:t>0,300</w:t>
            </w:r>
          </w:p>
        </w:tc>
        <w:tc>
          <w:tcPr>
            <w:tcW w:w="868" w:type="dxa"/>
            <w:vAlign w:val="center"/>
          </w:tcPr>
          <w:p w:rsidR="00051BBD" w:rsidRDefault="00FD0A5C">
            <w:pPr>
              <w:spacing w:before="20" w:after="20"/>
              <w:jc w:val="right"/>
              <w:rPr>
                <w:noProof/>
              </w:rPr>
            </w:pPr>
            <w:r>
              <w:rPr>
                <w:noProof/>
              </w:rPr>
              <w:t>1,000</w:t>
            </w:r>
          </w:p>
        </w:tc>
        <w:tc>
          <w:tcPr>
            <w:tcW w:w="868" w:type="dxa"/>
            <w:vAlign w:val="center"/>
          </w:tcPr>
          <w:p w:rsidR="00051BBD" w:rsidRDefault="00FD0A5C">
            <w:pPr>
              <w:spacing w:before="20" w:after="20"/>
              <w:jc w:val="right"/>
              <w:rPr>
                <w:noProof/>
              </w:rPr>
            </w:pPr>
            <w:r>
              <w:rPr>
                <w:noProof/>
              </w:rPr>
              <w:t>0,400</w:t>
            </w:r>
          </w:p>
        </w:tc>
        <w:tc>
          <w:tcPr>
            <w:tcW w:w="868" w:type="dxa"/>
            <w:vAlign w:val="center"/>
          </w:tcPr>
          <w:p w:rsidR="00051BBD" w:rsidRDefault="00FD0A5C">
            <w:pPr>
              <w:spacing w:before="20" w:after="20"/>
              <w:jc w:val="right"/>
              <w:rPr>
                <w:noProof/>
              </w:rPr>
            </w:pPr>
            <w:r>
              <w:rPr>
                <w:noProof/>
              </w:rPr>
              <w:t>0,200</w:t>
            </w:r>
          </w:p>
        </w:tc>
        <w:tc>
          <w:tcPr>
            <w:tcW w:w="868" w:type="dxa"/>
            <w:vAlign w:val="center"/>
          </w:tcPr>
          <w:p w:rsidR="00051BBD" w:rsidRDefault="00FD0A5C">
            <w:pPr>
              <w:spacing w:before="20" w:after="20"/>
              <w:jc w:val="right"/>
              <w:rPr>
                <w:noProof/>
              </w:rPr>
            </w:pPr>
            <w:r>
              <w:rPr>
                <w:noProof/>
              </w:rPr>
              <w:t>0,200</w:t>
            </w:r>
          </w:p>
        </w:tc>
        <w:tc>
          <w:tcPr>
            <w:tcW w:w="868" w:type="dxa"/>
            <w:vAlign w:val="center"/>
          </w:tcPr>
          <w:p w:rsidR="00051BBD" w:rsidRDefault="00051BBD">
            <w:pPr>
              <w:spacing w:before="20" w:after="20"/>
              <w:jc w:val="right"/>
              <w:rPr>
                <w:noProof/>
              </w:rPr>
            </w:pPr>
          </w:p>
        </w:tc>
        <w:tc>
          <w:tcPr>
            <w:tcW w:w="868" w:type="dxa"/>
            <w:vAlign w:val="center"/>
          </w:tcPr>
          <w:p w:rsidR="00051BBD" w:rsidRDefault="00051BBD">
            <w:pPr>
              <w:spacing w:before="20" w:after="20"/>
              <w:jc w:val="right"/>
              <w:rPr>
                <w:noProof/>
              </w:rPr>
            </w:pPr>
          </w:p>
        </w:tc>
        <w:tc>
          <w:tcPr>
            <w:tcW w:w="1777" w:type="dxa"/>
            <w:vAlign w:val="center"/>
          </w:tcPr>
          <w:p w:rsidR="00051BBD" w:rsidRDefault="00FD0A5C">
            <w:pPr>
              <w:spacing w:before="20" w:after="20"/>
              <w:jc w:val="right"/>
              <w:rPr>
                <w:noProof/>
              </w:rPr>
            </w:pPr>
            <w:r>
              <w:rPr>
                <w:noProof/>
              </w:rPr>
              <w:t>2100</w:t>
            </w:r>
          </w:p>
        </w:tc>
      </w:tr>
      <w:tr w:rsidR="00051BBD">
        <w:tc>
          <w:tcPr>
            <w:tcW w:w="3960" w:type="dxa"/>
            <w:vMerge/>
          </w:tcPr>
          <w:p w:rsidR="00051BBD" w:rsidRDefault="00051BBD">
            <w:pPr>
              <w:rPr>
                <w:noProof/>
                <w:sz w:val="20"/>
              </w:rPr>
            </w:pPr>
          </w:p>
        </w:tc>
        <w:tc>
          <w:tcPr>
            <w:tcW w:w="1440" w:type="dxa"/>
            <w:vAlign w:val="center"/>
          </w:tcPr>
          <w:p w:rsidR="00051BBD" w:rsidRDefault="00FD0A5C">
            <w:pPr>
              <w:rPr>
                <w:noProof/>
                <w:sz w:val="18"/>
              </w:rPr>
            </w:pPr>
            <w:r>
              <w:rPr>
                <w:noProof/>
                <w:sz w:val="18"/>
              </w:rPr>
              <w:t>Betalinger</w:t>
            </w:r>
          </w:p>
        </w:tc>
        <w:tc>
          <w:tcPr>
            <w:tcW w:w="654" w:type="dxa"/>
            <w:gridSpan w:val="2"/>
            <w:vAlign w:val="center"/>
          </w:tcPr>
          <w:p w:rsidR="00051BBD" w:rsidRDefault="00FD0A5C">
            <w:pPr>
              <w:jc w:val="center"/>
              <w:rPr>
                <w:noProof/>
                <w:sz w:val="14"/>
              </w:rPr>
            </w:pPr>
            <w:r>
              <w:rPr>
                <w:noProof/>
                <w:sz w:val="14"/>
              </w:rPr>
              <w:t>= 2+2a</w:t>
            </w:r>
          </w:p>
          <w:p w:rsidR="00051BBD" w:rsidRDefault="00FD0A5C">
            <w:pPr>
              <w:jc w:val="center"/>
              <w:rPr>
                <w:noProof/>
                <w:sz w:val="14"/>
              </w:rPr>
            </w:pPr>
            <w:r>
              <w:rPr>
                <w:noProof/>
                <w:sz w:val="14"/>
              </w:rPr>
              <w:t>+3</w:t>
            </w:r>
          </w:p>
        </w:tc>
        <w:tc>
          <w:tcPr>
            <w:tcW w:w="868" w:type="dxa"/>
            <w:vAlign w:val="center"/>
          </w:tcPr>
          <w:p w:rsidR="00051BBD" w:rsidRDefault="00FD0A5C">
            <w:pPr>
              <w:spacing w:before="20" w:after="20"/>
              <w:jc w:val="right"/>
              <w:rPr>
                <w:noProof/>
              </w:rPr>
            </w:pPr>
            <w:r>
              <w:rPr>
                <w:noProof/>
              </w:rPr>
              <w:t>0,000</w:t>
            </w:r>
          </w:p>
        </w:tc>
        <w:tc>
          <w:tcPr>
            <w:tcW w:w="868" w:type="dxa"/>
            <w:vAlign w:val="center"/>
          </w:tcPr>
          <w:p w:rsidR="00051BBD" w:rsidRDefault="00FD0A5C">
            <w:pPr>
              <w:spacing w:before="20" w:after="20"/>
              <w:jc w:val="right"/>
              <w:rPr>
                <w:noProof/>
              </w:rPr>
            </w:pPr>
            <w:r>
              <w:rPr>
                <w:noProof/>
              </w:rPr>
              <w:t>0,300</w:t>
            </w:r>
          </w:p>
        </w:tc>
        <w:tc>
          <w:tcPr>
            <w:tcW w:w="868" w:type="dxa"/>
            <w:vAlign w:val="center"/>
          </w:tcPr>
          <w:p w:rsidR="00051BBD" w:rsidRDefault="00FD0A5C">
            <w:pPr>
              <w:spacing w:before="20" w:after="20"/>
              <w:jc w:val="right"/>
              <w:rPr>
                <w:noProof/>
              </w:rPr>
            </w:pPr>
            <w:r>
              <w:rPr>
                <w:noProof/>
              </w:rPr>
              <w:t>1,000</w:t>
            </w:r>
          </w:p>
        </w:tc>
        <w:tc>
          <w:tcPr>
            <w:tcW w:w="868" w:type="dxa"/>
            <w:vAlign w:val="center"/>
          </w:tcPr>
          <w:p w:rsidR="00051BBD" w:rsidRDefault="00FD0A5C">
            <w:pPr>
              <w:spacing w:before="20" w:after="20"/>
              <w:jc w:val="right"/>
              <w:rPr>
                <w:noProof/>
              </w:rPr>
            </w:pPr>
            <w:r>
              <w:rPr>
                <w:noProof/>
              </w:rPr>
              <w:t>0,400</w:t>
            </w:r>
          </w:p>
        </w:tc>
        <w:tc>
          <w:tcPr>
            <w:tcW w:w="868" w:type="dxa"/>
            <w:vAlign w:val="center"/>
          </w:tcPr>
          <w:p w:rsidR="00051BBD" w:rsidRDefault="00FD0A5C">
            <w:pPr>
              <w:spacing w:before="20" w:after="20"/>
              <w:jc w:val="right"/>
              <w:rPr>
                <w:noProof/>
              </w:rPr>
            </w:pPr>
            <w:r>
              <w:rPr>
                <w:noProof/>
              </w:rPr>
              <w:t>0,200</w:t>
            </w:r>
          </w:p>
        </w:tc>
        <w:tc>
          <w:tcPr>
            <w:tcW w:w="868" w:type="dxa"/>
            <w:vAlign w:val="center"/>
          </w:tcPr>
          <w:p w:rsidR="00051BBD" w:rsidRDefault="00FD0A5C">
            <w:pPr>
              <w:spacing w:before="20" w:after="20"/>
              <w:jc w:val="right"/>
              <w:rPr>
                <w:noProof/>
              </w:rPr>
            </w:pPr>
            <w:r>
              <w:rPr>
                <w:noProof/>
              </w:rPr>
              <w:t>0,200</w:t>
            </w:r>
          </w:p>
        </w:tc>
        <w:tc>
          <w:tcPr>
            <w:tcW w:w="868" w:type="dxa"/>
            <w:vAlign w:val="center"/>
          </w:tcPr>
          <w:p w:rsidR="00051BBD" w:rsidRDefault="00051BBD">
            <w:pPr>
              <w:spacing w:before="20" w:after="20"/>
              <w:jc w:val="right"/>
              <w:rPr>
                <w:noProof/>
              </w:rPr>
            </w:pPr>
          </w:p>
        </w:tc>
        <w:tc>
          <w:tcPr>
            <w:tcW w:w="1777" w:type="dxa"/>
            <w:vAlign w:val="center"/>
          </w:tcPr>
          <w:p w:rsidR="00051BBD" w:rsidRDefault="00FD0A5C">
            <w:pPr>
              <w:spacing w:before="20" w:after="20"/>
              <w:jc w:val="right"/>
              <w:rPr>
                <w:noProof/>
              </w:rPr>
            </w:pPr>
            <w:r>
              <w:rPr>
                <w:noProof/>
              </w:rPr>
              <w:t>2100</w:t>
            </w:r>
          </w:p>
        </w:tc>
      </w:tr>
    </w:tbl>
    <w:p w:rsidR="00051BBD" w:rsidRDefault="00051BBD">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051BBD">
        <w:trPr>
          <w:trHeight w:val="277"/>
        </w:trPr>
        <w:tc>
          <w:tcPr>
            <w:tcW w:w="3960" w:type="dxa"/>
            <w:vMerge w:val="restart"/>
            <w:vAlign w:val="center"/>
          </w:tcPr>
          <w:p w:rsidR="00051BBD" w:rsidRDefault="00FD0A5C">
            <w:pPr>
              <w:spacing w:before="20" w:after="20"/>
              <w:rPr>
                <w:noProof/>
                <w:sz w:val="22"/>
              </w:rPr>
            </w:pPr>
            <w:r>
              <w:rPr>
                <w:noProof/>
              </w:rPr>
              <w:br w:type="page"/>
            </w:r>
            <w:r>
              <w:rPr>
                <w:noProof/>
                <w:sz w:val="21"/>
              </w:rPr>
              <w:sym w:font="Wingdings" w:char="F09F"/>
            </w:r>
            <w:r>
              <w:rPr>
                <w:noProof/>
                <w:sz w:val="21"/>
              </w:rPr>
              <w:t xml:space="preserve"> Aktionsbevillinger I ALT</w:t>
            </w:r>
          </w:p>
        </w:tc>
        <w:tc>
          <w:tcPr>
            <w:tcW w:w="1440" w:type="dxa"/>
            <w:vAlign w:val="center"/>
          </w:tcPr>
          <w:p w:rsidR="00051BBD" w:rsidRDefault="00FD0A5C">
            <w:pPr>
              <w:spacing w:beforeLines="20" w:before="48" w:afterLines="20" w:after="48"/>
              <w:rPr>
                <w:noProof/>
                <w:sz w:val="18"/>
              </w:rPr>
            </w:pPr>
            <w:r>
              <w:rPr>
                <w:noProof/>
                <w:sz w:val="18"/>
              </w:rPr>
              <w:t>Forpligtelser</w:t>
            </w:r>
          </w:p>
        </w:tc>
        <w:tc>
          <w:tcPr>
            <w:tcW w:w="654" w:type="dxa"/>
            <w:vAlign w:val="center"/>
          </w:tcPr>
          <w:p w:rsidR="00051BBD" w:rsidRDefault="00FD0A5C">
            <w:pPr>
              <w:spacing w:beforeLines="20" w:before="48" w:afterLines="20" w:after="48"/>
              <w:jc w:val="center"/>
              <w:rPr>
                <w:noProof/>
                <w:sz w:val="14"/>
              </w:rPr>
            </w:pPr>
            <w:r>
              <w:rPr>
                <w:noProof/>
                <w:sz w:val="14"/>
              </w:rPr>
              <w:t>4)</w:t>
            </w:r>
          </w:p>
        </w:tc>
        <w:tc>
          <w:tcPr>
            <w:tcW w:w="868" w:type="dxa"/>
            <w:vAlign w:val="center"/>
          </w:tcPr>
          <w:p w:rsidR="00051BBD" w:rsidRDefault="00FD0A5C">
            <w:pPr>
              <w:spacing w:before="20" w:after="20"/>
              <w:jc w:val="right"/>
              <w:rPr>
                <w:noProof/>
              </w:rPr>
            </w:pPr>
            <w:r>
              <w:rPr>
                <w:noProof/>
              </w:rPr>
              <w:t>0,300</w:t>
            </w:r>
          </w:p>
        </w:tc>
        <w:tc>
          <w:tcPr>
            <w:tcW w:w="868" w:type="dxa"/>
            <w:vAlign w:val="center"/>
          </w:tcPr>
          <w:p w:rsidR="00051BBD" w:rsidRDefault="00FD0A5C">
            <w:pPr>
              <w:spacing w:before="20" w:after="20"/>
              <w:jc w:val="right"/>
              <w:rPr>
                <w:noProof/>
              </w:rPr>
            </w:pPr>
            <w:r>
              <w:rPr>
                <w:noProof/>
              </w:rPr>
              <w:t>1,000</w:t>
            </w:r>
          </w:p>
        </w:tc>
        <w:tc>
          <w:tcPr>
            <w:tcW w:w="868" w:type="dxa"/>
            <w:vAlign w:val="center"/>
          </w:tcPr>
          <w:p w:rsidR="00051BBD" w:rsidRDefault="00FD0A5C">
            <w:pPr>
              <w:spacing w:before="20" w:after="20"/>
              <w:jc w:val="right"/>
              <w:rPr>
                <w:noProof/>
              </w:rPr>
            </w:pPr>
            <w:r>
              <w:rPr>
                <w:noProof/>
              </w:rPr>
              <w:t>0,400</w:t>
            </w:r>
          </w:p>
        </w:tc>
        <w:tc>
          <w:tcPr>
            <w:tcW w:w="868" w:type="dxa"/>
            <w:vAlign w:val="center"/>
          </w:tcPr>
          <w:p w:rsidR="00051BBD" w:rsidRDefault="00FD0A5C">
            <w:pPr>
              <w:spacing w:before="20" w:after="20"/>
              <w:jc w:val="right"/>
              <w:rPr>
                <w:noProof/>
              </w:rPr>
            </w:pPr>
            <w:r>
              <w:rPr>
                <w:noProof/>
              </w:rPr>
              <w:t>0,200</w:t>
            </w:r>
          </w:p>
        </w:tc>
        <w:tc>
          <w:tcPr>
            <w:tcW w:w="868" w:type="dxa"/>
            <w:vAlign w:val="center"/>
          </w:tcPr>
          <w:p w:rsidR="00051BBD" w:rsidRDefault="00FD0A5C">
            <w:pPr>
              <w:spacing w:before="20" w:after="20"/>
              <w:jc w:val="right"/>
              <w:rPr>
                <w:noProof/>
              </w:rPr>
            </w:pPr>
            <w:r>
              <w:rPr>
                <w:noProof/>
              </w:rPr>
              <w:t>0,200</w:t>
            </w:r>
          </w:p>
        </w:tc>
        <w:tc>
          <w:tcPr>
            <w:tcW w:w="868" w:type="dxa"/>
            <w:vAlign w:val="center"/>
          </w:tcPr>
          <w:p w:rsidR="00051BBD" w:rsidRDefault="00051BBD">
            <w:pPr>
              <w:spacing w:before="20" w:after="20"/>
              <w:jc w:val="right"/>
              <w:rPr>
                <w:noProof/>
              </w:rPr>
            </w:pPr>
          </w:p>
        </w:tc>
        <w:tc>
          <w:tcPr>
            <w:tcW w:w="868" w:type="dxa"/>
            <w:vAlign w:val="center"/>
          </w:tcPr>
          <w:p w:rsidR="00051BBD" w:rsidRDefault="00051BBD">
            <w:pPr>
              <w:spacing w:before="20" w:after="20"/>
              <w:jc w:val="right"/>
              <w:rPr>
                <w:noProof/>
              </w:rPr>
            </w:pPr>
          </w:p>
        </w:tc>
        <w:tc>
          <w:tcPr>
            <w:tcW w:w="1777" w:type="dxa"/>
            <w:vAlign w:val="center"/>
          </w:tcPr>
          <w:p w:rsidR="00051BBD" w:rsidRDefault="00FD0A5C">
            <w:pPr>
              <w:spacing w:before="20" w:after="20"/>
              <w:jc w:val="right"/>
              <w:rPr>
                <w:noProof/>
              </w:rPr>
            </w:pPr>
            <w:r>
              <w:rPr>
                <w:noProof/>
              </w:rPr>
              <w:t>2100</w:t>
            </w:r>
          </w:p>
        </w:tc>
      </w:tr>
      <w:tr w:rsidR="00051BBD">
        <w:tc>
          <w:tcPr>
            <w:tcW w:w="3960" w:type="dxa"/>
            <w:vMerge/>
          </w:tcPr>
          <w:p w:rsidR="00051BBD" w:rsidRDefault="00051BBD">
            <w:pPr>
              <w:jc w:val="center"/>
              <w:rPr>
                <w:noProof/>
                <w:sz w:val="20"/>
              </w:rPr>
            </w:pPr>
          </w:p>
        </w:tc>
        <w:tc>
          <w:tcPr>
            <w:tcW w:w="1440" w:type="dxa"/>
            <w:vAlign w:val="center"/>
          </w:tcPr>
          <w:p w:rsidR="00051BBD" w:rsidRDefault="00FD0A5C">
            <w:pPr>
              <w:spacing w:beforeLines="20" w:before="48" w:afterLines="20" w:after="48"/>
              <w:rPr>
                <w:noProof/>
                <w:sz w:val="18"/>
              </w:rPr>
            </w:pPr>
            <w:r>
              <w:rPr>
                <w:noProof/>
                <w:sz w:val="18"/>
              </w:rPr>
              <w:t>Betalinger</w:t>
            </w:r>
          </w:p>
        </w:tc>
        <w:tc>
          <w:tcPr>
            <w:tcW w:w="654" w:type="dxa"/>
            <w:vAlign w:val="center"/>
          </w:tcPr>
          <w:p w:rsidR="00051BBD" w:rsidRDefault="00FD0A5C">
            <w:pPr>
              <w:spacing w:beforeLines="20" w:before="48" w:afterLines="20" w:after="48"/>
              <w:jc w:val="center"/>
              <w:rPr>
                <w:noProof/>
                <w:sz w:val="14"/>
              </w:rPr>
            </w:pPr>
            <w:r>
              <w:rPr>
                <w:noProof/>
                <w:sz w:val="14"/>
              </w:rPr>
              <w:t>5)</w:t>
            </w:r>
          </w:p>
        </w:tc>
        <w:tc>
          <w:tcPr>
            <w:tcW w:w="868" w:type="dxa"/>
            <w:vAlign w:val="center"/>
          </w:tcPr>
          <w:p w:rsidR="00051BBD" w:rsidRDefault="00FD0A5C">
            <w:pPr>
              <w:spacing w:before="20" w:after="20"/>
              <w:jc w:val="right"/>
              <w:rPr>
                <w:noProof/>
              </w:rPr>
            </w:pPr>
            <w:r>
              <w:rPr>
                <w:noProof/>
              </w:rPr>
              <w:t>0,000</w:t>
            </w:r>
          </w:p>
        </w:tc>
        <w:tc>
          <w:tcPr>
            <w:tcW w:w="868" w:type="dxa"/>
            <w:vAlign w:val="center"/>
          </w:tcPr>
          <w:p w:rsidR="00051BBD" w:rsidRDefault="00FD0A5C">
            <w:pPr>
              <w:spacing w:before="20" w:after="20"/>
              <w:jc w:val="right"/>
              <w:rPr>
                <w:noProof/>
              </w:rPr>
            </w:pPr>
            <w:r>
              <w:rPr>
                <w:noProof/>
              </w:rPr>
              <w:t>0,300</w:t>
            </w:r>
          </w:p>
        </w:tc>
        <w:tc>
          <w:tcPr>
            <w:tcW w:w="868" w:type="dxa"/>
            <w:vAlign w:val="center"/>
          </w:tcPr>
          <w:p w:rsidR="00051BBD" w:rsidRDefault="00FD0A5C">
            <w:pPr>
              <w:spacing w:before="20" w:after="20"/>
              <w:jc w:val="right"/>
              <w:rPr>
                <w:noProof/>
              </w:rPr>
            </w:pPr>
            <w:r>
              <w:rPr>
                <w:noProof/>
              </w:rPr>
              <w:t>1,000</w:t>
            </w:r>
          </w:p>
        </w:tc>
        <w:tc>
          <w:tcPr>
            <w:tcW w:w="868" w:type="dxa"/>
            <w:vAlign w:val="center"/>
          </w:tcPr>
          <w:p w:rsidR="00051BBD" w:rsidRDefault="00FD0A5C">
            <w:pPr>
              <w:spacing w:before="20" w:after="20"/>
              <w:jc w:val="right"/>
              <w:rPr>
                <w:noProof/>
              </w:rPr>
            </w:pPr>
            <w:r>
              <w:rPr>
                <w:noProof/>
              </w:rPr>
              <w:t>0,400</w:t>
            </w:r>
          </w:p>
        </w:tc>
        <w:tc>
          <w:tcPr>
            <w:tcW w:w="868" w:type="dxa"/>
            <w:vAlign w:val="center"/>
          </w:tcPr>
          <w:p w:rsidR="00051BBD" w:rsidRDefault="00FD0A5C">
            <w:pPr>
              <w:spacing w:before="20" w:after="20"/>
              <w:jc w:val="right"/>
              <w:rPr>
                <w:noProof/>
              </w:rPr>
            </w:pPr>
            <w:r>
              <w:rPr>
                <w:noProof/>
              </w:rPr>
              <w:t>0,200</w:t>
            </w:r>
          </w:p>
        </w:tc>
        <w:tc>
          <w:tcPr>
            <w:tcW w:w="868" w:type="dxa"/>
            <w:vAlign w:val="center"/>
          </w:tcPr>
          <w:p w:rsidR="00051BBD" w:rsidRDefault="00FD0A5C">
            <w:pPr>
              <w:spacing w:before="20" w:after="20"/>
              <w:jc w:val="right"/>
              <w:rPr>
                <w:noProof/>
              </w:rPr>
            </w:pPr>
            <w:r>
              <w:rPr>
                <w:noProof/>
              </w:rPr>
              <w:t>0,200</w:t>
            </w:r>
          </w:p>
        </w:tc>
        <w:tc>
          <w:tcPr>
            <w:tcW w:w="868" w:type="dxa"/>
            <w:vAlign w:val="center"/>
          </w:tcPr>
          <w:p w:rsidR="00051BBD" w:rsidRDefault="00051BBD">
            <w:pPr>
              <w:spacing w:before="20" w:after="20"/>
              <w:jc w:val="right"/>
              <w:rPr>
                <w:noProof/>
              </w:rPr>
            </w:pPr>
          </w:p>
        </w:tc>
        <w:tc>
          <w:tcPr>
            <w:tcW w:w="1777" w:type="dxa"/>
            <w:vAlign w:val="center"/>
          </w:tcPr>
          <w:p w:rsidR="00051BBD" w:rsidRDefault="00FD0A5C">
            <w:pPr>
              <w:spacing w:before="20" w:after="20"/>
              <w:jc w:val="right"/>
              <w:rPr>
                <w:noProof/>
              </w:rPr>
            </w:pPr>
            <w:r>
              <w:rPr>
                <w:noProof/>
              </w:rPr>
              <w:t>2100</w:t>
            </w:r>
          </w:p>
        </w:tc>
      </w:tr>
      <w:tr w:rsidR="00051BBD">
        <w:trPr>
          <w:trHeight w:val="533"/>
        </w:trPr>
        <w:tc>
          <w:tcPr>
            <w:tcW w:w="5400" w:type="dxa"/>
            <w:gridSpan w:val="2"/>
            <w:vAlign w:val="center"/>
          </w:tcPr>
          <w:p w:rsidR="00051BBD" w:rsidRDefault="00FD0A5C">
            <w:pPr>
              <w:spacing w:beforeLines="20" w:before="48" w:afterLines="20" w:after="48"/>
              <w:jc w:val="left"/>
              <w:rPr>
                <w:noProof/>
                <w:sz w:val="22"/>
              </w:rPr>
            </w:pPr>
            <w:r>
              <w:rPr>
                <w:noProof/>
                <w:sz w:val="21"/>
              </w:rPr>
              <w:sym w:font="Wingdings" w:char="F09F"/>
            </w:r>
            <w:r>
              <w:rPr>
                <w:noProof/>
                <w:sz w:val="21"/>
              </w:rPr>
              <w:t xml:space="preserve"> Administrationsbevillinger finansieret over bevillingsrammen for særprogrammer I ALT</w:t>
            </w:r>
          </w:p>
        </w:tc>
        <w:tc>
          <w:tcPr>
            <w:tcW w:w="654" w:type="dxa"/>
            <w:vAlign w:val="center"/>
          </w:tcPr>
          <w:p w:rsidR="00051BBD" w:rsidRDefault="00FD0A5C">
            <w:pPr>
              <w:spacing w:beforeLines="20" w:before="48" w:afterLines="20" w:after="48"/>
              <w:jc w:val="center"/>
              <w:rPr>
                <w:noProof/>
                <w:sz w:val="14"/>
              </w:rPr>
            </w:pPr>
            <w:r>
              <w:rPr>
                <w:noProof/>
                <w:sz w:val="14"/>
              </w:rPr>
              <w:t>6)</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1777" w:type="dxa"/>
            <w:vAlign w:val="center"/>
          </w:tcPr>
          <w:p w:rsidR="00051BBD" w:rsidRDefault="00051BBD">
            <w:pPr>
              <w:spacing w:before="20" w:after="20"/>
              <w:jc w:val="right"/>
              <w:rPr>
                <w:b/>
                <w:noProof/>
                <w:sz w:val="20"/>
              </w:rPr>
            </w:pPr>
          </w:p>
        </w:tc>
      </w:tr>
      <w:tr w:rsidR="00051BBD">
        <w:tc>
          <w:tcPr>
            <w:tcW w:w="3960" w:type="dxa"/>
            <w:vMerge w:val="restart"/>
            <w:shd w:val="thinDiagStripe" w:color="C0C0C0" w:fill="auto"/>
            <w:vAlign w:val="center"/>
          </w:tcPr>
          <w:p w:rsidR="00051BBD" w:rsidRDefault="00FD0A5C">
            <w:pPr>
              <w:jc w:val="center"/>
              <w:rPr>
                <w:b/>
                <w:noProof/>
                <w:sz w:val="22"/>
              </w:rPr>
            </w:pPr>
            <w:r>
              <w:rPr>
                <w:b/>
                <w:noProof/>
                <w:sz w:val="22"/>
              </w:rPr>
              <w:t>Bevillinger I ALT under UDGIFTSOMRÅDE</w:t>
            </w:r>
            <w:r>
              <w:rPr>
                <w:noProof/>
                <w:sz w:val="22"/>
              </w:rPr>
              <w:t xml:space="preserve"> 1A</w:t>
            </w:r>
            <w:r>
              <w:rPr>
                <w:noProof/>
                <w:sz w:val="22"/>
              </w:rPr>
              <w:br/>
              <w:t>i den flerårige finansielle ramme</w:t>
            </w:r>
          </w:p>
        </w:tc>
        <w:tc>
          <w:tcPr>
            <w:tcW w:w="1440" w:type="dxa"/>
            <w:vAlign w:val="center"/>
          </w:tcPr>
          <w:p w:rsidR="00051BBD" w:rsidRDefault="00FD0A5C">
            <w:pPr>
              <w:rPr>
                <w:noProof/>
                <w:sz w:val="18"/>
              </w:rPr>
            </w:pPr>
            <w:r>
              <w:rPr>
                <w:noProof/>
                <w:sz w:val="18"/>
              </w:rPr>
              <w:t>Forpligtelser</w:t>
            </w:r>
          </w:p>
        </w:tc>
        <w:tc>
          <w:tcPr>
            <w:tcW w:w="654" w:type="dxa"/>
            <w:vAlign w:val="center"/>
          </w:tcPr>
          <w:p w:rsidR="00051BBD" w:rsidRDefault="00FD0A5C">
            <w:pPr>
              <w:jc w:val="center"/>
              <w:rPr>
                <w:noProof/>
                <w:sz w:val="14"/>
              </w:rPr>
            </w:pPr>
            <w:r>
              <w:rPr>
                <w:noProof/>
                <w:sz w:val="14"/>
              </w:rPr>
              <w:t>=4+ 6</w:t>
            </w:r>
          </w:p>
        </w:tc>
        <w:tc>
          <w:tcPr>
            <w:tcW w:w="868" w:type="dxa"/>
            <w:vAlign w:val="center"/>
          </w:tcPr>
          <w:p w:rsidR="00051BBD" w:rsidRDefault="00FD0A5C">
            <w:pPr>
              <w:spacing w:before="20" w:after="20"/>
              <w:jc w:val="right"/>
              <w:rPr>
                <w:noProof/>
              </w:rPr>
            </w:pPr>
            <w:r>
              <w:rPr>
                <w:noProof/>
              </w:rPr>
              <w:t>0,300</w:t>
            </w:r>
          </w:p>
        </w:tc>
        <w:tc>
          <w:tcPr>
            <w:tcW w:w="868" w:type="dxa"/>
            <w:vAlign w:val="center"/>
          </w:tcPr>
          <w:p w:rsidR="00051BBD" w:rsidRDefault="00FD0A5C">
            <w:pPr>
              <w:spacing w:before="20" w:after="20"/>
              <w:jc w:val="right"/>
              <w:rPr>
                <w:noProof/>
              </w:rPr>
            </w:pPr>
            <w:r>
              <w:rPr>
                <w:noProof/>
              </w:rPr>
              <w:t>1,000</w:t>
            </w:r>
          </w:p>
        </w:tc>
        <w:tc>
          <w:tcPr>
            <w:tcW w:w="868" w:type="dxa"/>
            <w:vAlign w:val="center"/>
          </w:tcPr>
          <w:p w:rsidR="00051BBD" w:rsidRDefault="00FD0A5C">
            <w:pPr>
              <w:spacing w:before="20" w:after="20"/>
              <w:jc w:val="right"/>
              <w:rPr>
                <w:noProof/>
              </w:rPr>
            </w:pPr>
            <w:r>
              <w:rPr>
                <w:noProof/>
              </w:rPr>
              <w:t>0,400</w:t>
            </w:r>
          </w:p>
        </w:tc>
        <w:tc>
          <w:tcPr>
            <w:tcW w:w="868" w:type="dxa"/>
            <w:vAlign w:val="center"/>
          </w:tcPr>
          <w:p w:rsidR="00051BBD" w:rsidRDefault="00FD0A5C">
            <w:pPr>
              <w:spacing w:before="20" w:after="20"/>
              <w:jc w:val="right"/>
              <w:rPr>
                <w:noProof/>
              </w:rPr>
            </w:pPr>
            <w:r>
              <w:rPr>
                <w:noProof/>
              </w:rPr>
              <w:t>0,200</w:t>
            </w:r>
          </w:p>
        </w:tc>
        <w:tc>
          <w:tcPr>
            <w:tcW w:w="868" w:type="dxa"/>
            <w:vAlign w:val="center"/>
          </w:tcPr>
          <w:p w:rsidR="00051BBD" w:rsidRDefault="00FD0A5C">
            <w:pPr>
              <w:spacing w:before="20" w:after="20"/>
              <w:jc w:val="right"/>
              <w:rPr>
                <w:noProof/>
              </w:rPr>
            </w:pPr>
            <w:r>
              <w:rPr>
                <w:noProof/>
              </w:rPr>
              <w:t>0,200</w:t>
            </w:r>
          </w:p>
        </w:tc>
        <w:tc>
          <w:tcPr>
            <w:tcW w:w="868" w:type="dxa"/>
            <w:vAlign w:val="center"/>
          </w:tcPr>
          <w:p w:rsidR="00051BBD" w:rsidRDefault="00051BBD">
            <w:pPr>
              <w:spacing w:before="20" w:after="20"/>
              <w:jc w:val="right"/>
              <w:rPr>
                <w:noProof/>
              </w:rPr>
            </w:pPr>
          </w:p>
        </w:tc>
        <w:tc>
          <w:tcPr>
            <w:tcW w:w="868" w:type="dxa"/>
            <w:vAlign w:val="center"/>
          </w:tcPr>
          <w:p w:rsidR="00051BBD" w:rsidRDefault="00051BBD">
            <w:pPr>
              <w:spacing w:before="20" w:after="20"/>
              <w:jc w:val="right"/>
              <w:rPr>
                <w:noProof/>
              </w:rPr>
            </w:pPr>
          </w:p>
        </w:tc>
        <w:tc>
          <w:tcPr>
            <w:tcW w:w="1777" w:type="dxa"/>
            <w:vAlign w:val="center"/>
          </w:tcPr>
          <w:p w:rsidR="00051BBD" w:rsidRDefault="00FD0A5C">
            <w:pPr>
              <w:spacing w:before="20" w:after="20"/>
              <w:jc w:val="right"/>
              <w:rPr>
                <w:noProof/>
              </w:rPr>
            </w:pPr>
            <w:r>
              <w:rPr>
                <w:noProof/>
              </w:rPr>
              <w:t>2100</w:t>
            </w:r>
          </w:p>
        </w:tc>
      </w:tr>
      <w:tr w:rsidR="00051BBD">
        <w:tc>
          <w:tcPr>
            <w:tcW w:w="3960" w:type="dxa"/>
            <w:vMerge/>
            <w:shd w:val="thinDiagStripe" w:color="C0C0C0" w:fill="auto"/>
          </w:tcPr>
          <w:p w:rsidR="00051BBD" w:rsidRDefault="00051BBD">
            <w:pPr>
              <w:rPr>
                <w:noProof/>
                <w:sz w:val="20"/>
              </w:rPr>
            </w:pPr>
          </w:p>
        </w:tc>
        <w:tc>
          <w:tcPr>
            <w:tcW w:w="1440" w:type="dxa"/>
            <w:vAlign w:val="center"/>
          </w:tcPr>
          <w:p w:rsidR="00051BBD" w:rsidRDefault="00FD0A5C">
            <w:pPr>
              <w:rPr>
                <w:noProof/>
                <w:sz w:val="18"/>
              </w:rPr>
            </w:pPr>
            <w:r>
              <w:rPr>
                <w:noProof/>
                <w:sz w:val="18"/>
              </w:rPr>
              <w:t>Betalinger</w:t>
            </w:r>
          </w:p>
        </w:tc>
        <w:tc>
          <w:tcPr>
            <w:tcW w:w="654" w:type="dxa"/>
            <w:vAlign w:val="center"/>
          </w:tcPr>
          <w:p w:rsidR="00051BBD" w:rsidRDefault="00FD0A5C">
            <w:pPr>
              <w:jc w:val="center"/>
              <w:rPr>
                <w:noProof/>
                <w:sz w:val="14"/>
              </w:rPr>
            </w:pPr>
            <w:r>
              <w:rPr>
                <w:noProof/>
                <w:sz w:val="14"/>
              </w:rPr>
              <w:t>=5+ 6</w:t>
            </w:r>
          </w:p>
        </w:tc>
        <w:tc>
          <w:tcPr>
            <w:tcW w:w="868" w:type="dxa"/>
            <w:vAlign w:val="center"/>
          </w:tcPr>
          <w:p w:rsidR="00051BBD" w:rsidRDefault="00FD0A5C">
            <w:pPr>
              <w:spacing w:before="20" w:after="20"/>
              <w:jc w:val="right"/>
              <w:rPr>
                <w:noProof/>
              </w:rPr>
            </w:pPr>
            <w:r>
              <w:rPr>
                <w:noProof/>
              </w:rPr>
              <w:t>0,000</w:t>
            </w:r>
          </w:p>
        </w:tc>
        <w:tc>
          <w:tcPr>
            <w:tcW w:w="868" w:type="dxa"/>
            <w:vAlign w:val="center"/>
          </w:tcPr>
          <w:p w:rsidR="00051BBD" w:rsidRDefault="00FD0A5C">
            <w:pPr>
              <w:spacing w:before="20" w:after="20"/>
              <w:jc w:val="right"/>
              <w:rPr>
                <w:noProof/>
              </w:rPr>
            </w:pPr>
            <w:r>
              <w:rPr>
                <w:noProof/>
              </w:rPr>
              <w:t>0,300</w:t>
            </w:r>
          </w:p>
        </w:tc>
        <w:tc>
          <w:tcPr>
            <w:tcW w:w="868" w:type="dxa"/>
            <w:vAlign w:val="center"/>
          </w:tcPr>
          <w:p w:rsidR="00051BBD" w:rsidRDefault="00FD0A5C">
            <w:pPr>
              <w:spacing w:before="20" w:after="20"/>
              <w:jc w:val="right"/>
              <w:rPr>
                <w:noProof/>
              </w:rPr>
            </w:pPr>
            <w:r>
              <w:rPr>
                <w:noProof/>
              </w:rPr>
              <w:t>1,000</w:t>
            </w:r>
          </w:p>
        </w:tc>
        <w:tc>
          <w:tcPr>
            <w:tcW w:w="868" w:type="dxa"/>
            <w:vAlign w:val="center"/>
          </w:tcPr>
          <w:p w:rsidR="00051BBD" w:rsidRDefault="00FD0A5C">
            <w:pPr>
              <w:spacing w:before="20" w:after="20"/>
              <w:jc w:val="right"/>
              <w:rPr>
                <w:noProof/>
              </w:rPr>
            </w:pPr>
            <w:r>
              <w:rPr>
                <w:noProof/>
              </w:rPr>
              <w:t>0,400</w:t>
            </w:r>
          </w:p>
        </w:tc>
        <w:tc>
          <w:tcPr>
            <w:tcW w:w="868" w:type="dxa"/>
            <w:vAlign w:val="center"/>
          </w:tcPr>
          <w:p w:rsidR="00051BBD" w:rsidRDefault="00FD0A5C">
            <w:pPr>
              <w:spacing w:before="20" w:after="20"/>
              <w:jc w:val="right"/>
              <w:rPr>
                <w:noProof/>
              </w:rPr>
            </w:pPr>
            <w:r>
              <w:rPr>
                <w:noProof/>
              </w:rPr>
              <w:t>0,200</w:t>
            </w:r>
          </w:p>
        </w:tc>
        <w:tc>
          <w:tcPr>
            <w:tcW w:w="868" w:type="dxa"/>
            <w:vAlign w:val="center"/>
          </w:tcPr>
          <w:p w:rsidR="00051BBD" w:rsidRDefault="00FD0A5C">
            <w:pPr>
              <w:spacing w:before="20" w:after="20"/>
              <w:jc w:val="right"/>
              <w:rPr>
                <w:noProof/>
              </w:rPr>
            </w:pPr>
            <w:r>
              <w:rPr>
                <w:noProof/>
              </w:rPr>
              <w:t>0,200</w:t>
            </w:r>
          </w:p>
        </w:tc>
        <w:tc>
          <w:tcPr>
            <w:tcW w:w="868" w:type="dxa"/>
            <w:vAlign w:val="center"/>
          </w:tcPr>
          <w:p w:rsidR="00051BBD" w:rsidRDefault="00051BBD">
            <w:pPr>
              <w:spacing w:before="20" w:after="20"/>
              <w:jc w:val="right"/>
              <w:rPr>
                <w:noProof/>
              </w:rPr>
            </w:pPr>
          </w:p>
        </w:tc>
        <w:tc>
          <w:tcPr>
            <w:tcW w:w="1777" w:type="dxa"/>
            <w:vAlign w:val="center"/>
          </w:tcPr>
          <w:p w:rsidR="00051BBD" w:rsidRDefault="00FD0A5C">
            <w:pPr>
              <w:spacing w:before="20" w:after="20"/>
              <w:jc w:val="right"/>
              <w:rPr>
                <w:noProof/>
              </w:rPr>
            </w:pPr>
            <w:r>
              <w:rPr>
                <w:noProof/>
              </w:rPr>
              <w:t>2100</w:t>
            </w:r>
          </w:p>
        </w:tc>
      </w:tr>
    </w:tbl>
    <w:p w:rsidR="00051BBD" w:rsidRDefault="00FD0A5C">
      <w:pPr>
        <w:spacing w:after="40"/>
        <w:rPr>
          <w:b/>
          <w:noProof/>
          <w:sz w:val="22"/>
          <w:u w:val="single"/>
        </w:rPr>
      </w:pPr>
      <w:r>
        <w:rPr>
          <w:b/>
          <w:noProof/>
          <w:sz w:val="22"/>
          <w:u w:val="single"/>
        </w:rPr>
        <w:t xml:space="preserve">Hvis flere udgiftsområder </w:t>
      </w:r>
      <w:r>
        <w:rPr>
          <w:b/>
          <w:noProof/>
          <w:sz w:val="22"/>
          <w:u w:val="single"/>
        </w:rPr>
        <w:t>påvirkes af forslaget/initiativet:</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051BBD">
        <w:trPr>
          <w:trHeight w:val="277"/>
        </w:trPr>
        <w:tc>
          <w:tcPr>
            <w:tcW w:w="3960" w:type="dxa"/>
            <w:vMerge w:val="restart"/>
            <w:tcBorders>
              <w:top w:val="single" w:sz="4" w:space="0" w:color="FF0000"/>
              <w:left w:val="single" w:sz="4" w:space="0" w:color="auto"/>
              <w:bottom w:val="single" w:sz="4" w:space="0" w:color="FF0000"/>
            </w:tcBorders>
            <w:vAlign w:val="center"/>
          </w:tcPr>
          <w:p w:rsidR="00051BBD" w:rsidRDefault="00FD0A5C">
            <w:pPr>
              <w:spacing w:before="20" w:after="20"/>
              <w:rPr>
                <w:noProof/>
                <w:sz w:val="22"/>
              </w:rPr>
            </w:pPr>
            <w:r>
              <w:rPr>
                <w:noProof/>
                <w:sz w:val="21"/>
              </w:rPr>
              <w:sym w:font="Wingdings" w:char="F09F"/>
            </w:r>
            <w:r>
              <w:rPr>
                <w:noProof/>
                <w:sz w:val="21"/>
              </w:rPr>
              <w:t xml:space="preserve"> Aktionsbevillinger I ALT</w:t>
            </w:r>
          </w:p>
        </w:tc>
        <w:tc>
          <w:tcPr>
            <w:tcW w:w="1440" w:type="dxa"/>
            <w:tcBorders>
              <w:top w:val="single" w:sz="4" w:space="0" w:color="FF0000"/>
            </w:tcBorders>
            <w:vAlign w:val="center"/>
          </w:tcPr>
          <w:p w:rsidR="00051BBD" w:rsidRDefault="00FD0A5C">
            <w:pPr>
              <w:spacing w:beforeLines="20" w:before="48" w:afterLines="20" w:after="48"/>
              <w:rPr>
                <w:noProof/>
                <w:sz w:val="18"/>
              </w:rPr>
            </w:pPr>
            <w:r>
              <w:rPr>
                <w:noProof/>
                <w:sz w:val="18"/>
              </w:rPr>
              <w:t>Forpligtelser</w:t>
            </w:r>
          </w:p>
        </w:tc>
        <w:tc>
          <w:tcPr>
            <w:tcW w:w="654" w:type="dxa"/>
            <w:tcBorders>
              <w:top w:val="single" w:sz="4" w:space="0" w:color="FF0000"/>
            </w:tcBorders>
            <w:vAlign w:val="center"/>
          </w:tcPr>
          <w:p w:rsidR="00051BBD" w:rsidRDefault="00FD0A5C">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051BBD" w:rsidRDefault="00FD0A5C">
            <w:pPr>
              <w:spacing w:before="20" w:after="20"/>
              <w:jc w:val="right"/>
              <w:rPr>
                <w:noProof/>
              </w:rPr>
            </w:pPr>
            <w:r>
              <w:rPr>
                <w:noProof/>
              </w:rPr>
              <w:t>p.m.</w:t>
            </w:r>
          </w:p>
        </w:tc>
        <w:tc>
          <w:tcPr>
            <w:tcW w:w="868" w:type="dxa"/>
            <w:tcBorders>
              <w:top w:val="single" w:sz="4" w:space="0" w:color="FF0000"/>
            </w:tcBorders>
            <w:vAlign w:val="center"/>
          </w:tcPr>
          <w:p w:rsidR="00051BBD" w:rsidRDefault="00FD0A5C">
            <w:pPr>
              <w:spacing w:before="20" w:after="20"/>
              <w:jc w:val="right"/>
              <w:rPr>
                <w:noProof/>
              </w:rPr>
            </w:pPr>
            <w:r>
              <w:rPr>
                <w:noProof/>
              </w:rPr>
              <w:t>p.m.</w:t>
            </w:r>
          </w:p>
        </w:tc>
        <w:tc>
          <w:tcPr>
            <w:tcW w:w="868" w:type="dxa"/>
            <w:tcBorders>
              <w:top w:val="single" w:sz="4" w:space="0" w:color="FF0000"/>
            </w:tcBorders>
            <w:vAlign w:val="center"/>
          </w:tcPr>
          <w:p w:rsidR="00051BBD" w:rsidRDefault="00FD0A5C">
            <w:pPr>
              <w:spacing w:before="20" w:after="20"/>
              <w:jc w:val="right"/>
              <w:rPr>
                <w:noProof/>
              </w:rPr>
            </w:pPr>
            <w:r>
              <w:rPr>
                <w:noProof/>
              </w:rPr>
              <w:t>p.m.</w:t>
            </w:r>
          </w:p>
        </w:tc>
        <w:tc>
          <w:tcPr>
            <w:tcW w:w="868" w:type="dxa"/>
            <w:tcBorders>
              <w:top w:val="single" w:sz="4" w:space="0" w:color="FF0000"/>
            </w:tcBorders>
            <w:vAlign w:val="center"/>
          </w:tcPr>
          <w:p w:rsidR="00051BBD" w:rsidRDefault="00FD0A5C">
            <w:pPr>
              <w:spacing w:before="20" w:after="20"/>
              <w:jc w:val="right"/>
              <w:rPr>
                <w:noProof/>
              </w:rPr>
            </w:pPr>
            <w:r>
              <w:rPr>
                <w:noProof/>
              </w:rPr>
              <w:t>p.m.</w:t>
            </w:r>
          </w:p>
        </w:tc>
        <w:tc>
          <w:tcPr>
            <w:tcW w:w="868" w:type="dxa"/>
            <w:tcBorders>
              <w:top w:val="single" w:sz="4" w:space="0" w:color="FF0000"/>
            </w:tcBorders>
            <w:vAlign w:val="center"/>
          </w:tcPr>
          <w:p w:rsidR="00051BBD" w:rsidRDefault="00FD0A5C">
            <w:pPr>
              <w:spacing w:before="20" w:after="20"/>
              <w:jc w:val="right"/>
              <w:rPr>
                <w:noProof/>
              </w:rPr>
            </w:pPr>
            <w:r>
              <w:rPr>
                <w:noProof/>
              </w:rPr>
              <w:t>p.m.</w:t>
            </w:r>
          </w:p>
        </w:tc>
        <w:tc>
          <w:tcPr>
            <w:tcW w:w="868" w:type="dxa"/>
            <w:tcBorders>
              <w:top w:val="single" w:sz="4" w:space="0" w:color="FF0000"/>
            </w:tcBorders>
            <w:vAlign w:val="center"/>
          </w:tcPr>
          <w:p w:rsidR="00051BBD" w:rsidRDefault="00FD0A5C">
            <w:pPr>
              <w:spacing w:before="20" w:after="20"/>
              <w:jc w:val="right"/>
              <w:rPr>
                <w:noProof/>
              </w:rPr>
            </w:pPr>
            <w:r>
              <w:rPr>
                <w:noProof/>
              </w:rPr>
              <w:t>p.m.</w:t>
            </w:r>
          </w:p>
        </w:tc>
        <w:tc>
          <w:tcPr>
            <w:tcW w:w="868" w:type="dxa"/>
            <w:tcBorders>
              <w:top w:val="single" w:sz="4" w:space="0" w:color="FF0000"/>
            </w:tcBorders>
            <w:vAlign w:val="center"/>
          </w:tcPr>
          <w:p w:rsidR="00051BBD" w:rsidRDefault="00FD0A5C">
            <w:pPr>
              <w:spacing w:before="20" w:after="20"/>
              <w:jc w:val="right"/>
              <w:rPr>
                <w:noProof/>
              </w:rPr>
            </w:pPr>
            <w:r>
              <w:rPr>
                <w:noProof/>
              </w:rPr>
              <w:t>p.m.</w:t>
            </w:r>
          </w:p>
        </w:tc>
        <w:tc>
          <w:tcPr>
            <w:tcW w:w="1777" w:type="dxa"/>
            <w:tcBorders>
              <w:top w:val="single" w:sz="4" w:space="0" w:color="FF0000"/>
              <w:right w:val="single" w:sz="4" w:space="0" w:color="auto"/>
            </w:tcBorders>
            <w:vAlign w:val="center"/>
          </w:tcPr>
          <w:p w:rsidR="00051BBD" w:rsidRDefault="00051BBD">
            <w:pPr>
              <w:spacing w:before="20" w:after="20"/>
              <w:jc w:val="right"/>
              <w:rPr>
                <w:b/>
                <w:noProof/>
                <w:sz w:val="20"/>
              </w:rPr>
            </w:pPr>
          </w:p>
        </w:tc>
      </w:tr>
      <w:tr w:rsidR="00051BBD">
        <w:tc>
          <w:tcPr>
            <w:tcW w:w="3960" w:type="dxa"/>
            <w:vMerge/>
            <w:tcBorders>
              <w:top w:val="single" w:sz="4" w:space="0" w:color="FF0000"/>
              <w:left w:val="single" w:sz="4" w:space="0" w:color="auto"/>
              <w:bottom w:val="single" w:sz="4" w:space="0" w:color="FF0000"/>
            </w:tcBorders>
          </w:tcPr>
          <w:p w:rsidR="00051BBD" w:rsidRDefault="00051BBD">
            <w:pPr>
              <w:jc w:val="center"/>
              <w:rPr>
                <w:noProof/>
                <w:sz w:val="20"/>
              </w:rPr>
            </w:pPr>
          </w:p>
        </w:tc>
        <w:tc>
          <w:tcPr>
            <w:tcW w:w="1440" w:type="dxa"/>
            <w:vAlign w:val="center"/>
          </w:tcPr>
          <w:p w:rsidR="00051BBD" w:rsidRDefault="00FD0A5C">
            <w:pPr>
              <w:spacing w:beforeLines="20" w:before="48" w:afterLines="20" w:after="48"/>
              <w:rPr>
                <w:noProof/>
                <w:sz w:val="18"/>
              </w:rPr>
            </w:pPr>
            <w:r>
              <w:rPr>
                <w:noProof/>
                <w:sz w:val="18"/>
              </w:rPr>
              <w:t>Betalinger</w:t>
            </w:r>
          </w:p>
        </w:tc>
        <w:tc>
          <w:tcPr>
            <w:tcW w:w="654" w:type="dxa"/>
            <w:vAlign w:val="center"/>
          </w:tcPr>
          <w:p w:rsidR="00051BBD" w:rsidRDefault="00FD0A5C">
            <w:pPr>
              <w:spacing w:beforeLines="20" w:before="48" w:afterLines="20" w:after="48"/>
              <w:jc w:val="center"/>
              <w:rPr>
                <w:noProof/>
                <w:sz w:val="14"/>
              </w:rPr>
            </w:pPr>
            <w:r>
              <w:rPr>
                <w:noProof/>
                <w:sz w:val="14"/>
              </w:rPr>
              <w:t>5)</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1777" w:type="dxa"/>
            <w:tcBorders>
              <w:right w:val="single" w:sz="4" w:space="0" w:color="auto"/>
            </w:tcBorders>
            <w:vAlign w:val="center"/>
          </w:tcPr>
          <w:p w:rsidR="00051BBD" w:rsidRDefault="00051BBD">
            <w:pPr>
              <w:spacing w:before="20" w:after="20"/>
              <w:jc w:val="right"/>
              <w:rPr>
                <w:b/>
                <w:noProof/>
                <w:sz w:val="20"/>
              </w:rPr>
            </w:pPr>
          </w:p>
        </w:tc>
      </w:tr>
      <w:tr w:rsidR="00051BBD">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051BBD" w:rsidRDefault="00FD0A5C">
            <w:pPr>
              <w:spacing w:beforeLines="20" w:before="48" w:afterLines="20" w:after="48"/>
              <w:jc w:val="left"/>
              <w:rPr>
                <w:noProof/>
                <w:sz w:val="22"/>
              </w:rPr>
            </w:pPr>
            <w:r>
              <w:rPr>
                <w:noProof/>
                <w:sz w:val="21"/>
              </w:rPr>
              <w:sym w:font="Wingdings" w:char="F09F"/>
            </w:r>
            <w:r>
              <w:rPr>
                <w:noProof/>
                <w:sz w:val="21"/>
              </w:rPr>
              <w:t xml:space="preserve"> Administrationsbevillinger finansieret over bevillingsrammen for særprogrammer I ALT</w:t>
            </w:r>
          </w:p>
        </w:tc>
        <w:tc>
          <w:tcPr>
            <w:tcW w:w="654" w:type="dxa"/>
            <w:vAlign w:val="center"/>
          </w:tcPr>
          <w:p w:rsidR="00051BBD" w:rsidRDefault="00FD0A5C">
            <w:pPr>
              <w:spacing w:beforeLines="20" w:before="48" w:afterLines="20" w:after="48"/>
              <w:jc w:val="center"/>
              <w:rPr>
                <w:noProof/>
                <w:sz w:val="14"/>
              </w:rPr>
            </w:pPr>
            <w:r>
              <w:rPr>
                <w:noProof/>
                <w:sz w:val="14"/>
              </w:rPr>
              <w:t>6)</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1777" w:type="dxa"/>
            <w:vAlign w:val="center"/>
          </w:tcPr>
          <w:p w:rsidR="00051BBD" w:rsidRDefault="00051BBD">
            <w:pPr>
              <w:spacing w:before="20" w:after="20"/>
              <w:jc w:val="right"/>
              <w:rPr>
                <w:b/>
                <w:noProof/>
                <w:sz w:val="20"/>
              </w:rPr>
            </w:pPr>
          </w:p>
        </w:tc>
      </w:tr>
      <w:tr w:rsidR="00051BBD">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051BBD" w:rsidRDefault="00FD0A5C">
            <w:pPr>
              <w:jc w:val="center"/>
              <w:rPr>
                <w:b/>
                <w:noProof/>
                <w:sz w:val="22"/>
              </w:rPr>
            </w:pPr>
            <w:r>
              <w:rPr>
                <w:b/>
                <w:noProof/>
                <w:sz w:val="22"/>
              </w:rPr>
              <w:t>Bevillinger I ALT</w:t>
            </w:r>
            <w:r>
              <w:rPr>
                <w:noProof/>
                <w:sz w:val="22"/>
              </w:rPr>
              <w:br/>
            </w:r>
            <w:r>
              <w:rPr>
                <w:b/>
                <w:noProof/>
                <w:sz w:val="22"/>
              </w:rPr>
              <w:t>under UDGIFTSOMRÅDE 1-4</w:t>
            </w:r>
            <w:r>
              <w:rPr>
                <w:noProof/>
                <w:sz w:val="22"/>
              </w:rPr>
              <w:br/>
              <w:t>i den flerårige finansielle ramme</w:t>
            </w:r>
            <w:r>
              <w:rPr>
                <w:noProof/>
                <w:sz w:val="22"/>
              </w:rPr>
              <w:br/>
              <w:t>(Referencebeløb)</w:t>
            </w:r>
          </w:p>
        </w:tc>
        <w:tc>
          <w:tcPr>
            <w:tcW w:w="1440" w:type="dxa"/>
            <w:vAlign w:val="center"/>
          </w:tcPr>
          <w:p w:rsidR="00051BBD" w:rsidRDefault="00FD0A5C">
            <w:pPr>
              <w:rPr>
                <w:noProof/>
                <w:sz w:val="18"/>
              </w:rPr>
            </w:pPr>
            <w:r>
              <w:rPr>
                <w:noProof/>
                <w:sz w:val="18"/>
              </w:rPr>
              <w:t>Forpligtelser</w:t>
            </w:r>
          </w:p>
        </w:tc>
        <w:tc>
          <w:tcPr>
            <w:tcW w:w="654" w:type="dxa"/>
            <w:vAlign w:val="center"/>
          </w:tcPr>
          <w:p w:rsidR="00051BBD" w:rsidRDefault="00FD0A5C">
            <w:pPr>
              <w:jc w:val="center"/>
              <w:rPr>
                <w:noProof/>
                <w:sz w:val="14"/>
              </w:rPr>
            </w:pPr>
            <w:r>
              <w:rPr>
                <w:noProof/>
                <w:sz w:val="14"/>
              </w:rPr>
              <w:t>=4+ 6</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868" w:type="dxa"/>
            <w:vAlign w:val="center"/>
          </w:tcPr>
          <w:p w:rsidR="00051BBD" w:rsidRDefault="00FD0A5C">
            <w:pPr>
              <w:spacing w:before="20" w:after="20"/>
              <w:jc w:val="right"/>
              <w:rPr>
                <w:noProof/>
              </w:rPr>
            </w:pPr>
            <w:r>
              <w:rPr>
                <w:noProof/>
              </w:rPr>
              <w:t>p.m.</w:t>
            </w:r>
          </w:p>
        </w:tc>
        <w:tc>
          <w:tcPr>
            <w:tcW w:w="1777" w:type="dxa"/>
            <w:tcBorders>
              <w:right w:val="single" w:sz="4" w:space="0" w:color="auto"/>
            </w:tcBorders>
            <w:vAlign w:val="center"/>
          </w:tcPr>
          <w:p w:rsidR="00051BBD" w:rsidRDefault="00051BBD">
            <w:pPr>
              <w:spacing w:before="20" w:after="20"/>
              <w:jc w:val="right"/>
              <w:rPr>
                <w:b/>
                <w:noProof/>
                <w:sz w:val="20"/>
              </w:rPr>
            </w:pPr>
          </w:p>
        </w:tc>
      </w:tr>
      <w:tr w:rsidR="00051BBD">
        <w:tc>
          <w:tcPr>
            <w:tcW w:w="3960" w:type="dxa"/>
            <w:vMerge/>
            <w:tcBorders>
              <w:top w:val="single" w:sz="4" w:space="0" w:color="FF0000"/>
              <w:left w:val="single" w:sz="4" w:space="0" w:color="auto"/>
              <w:bottom w:val="single" w:sz="4" w:space="0" w:color="FF0000"/>
            </w:tcBorders>
            <w:shd w:val="thinDiagStripe" w:color="C0C0C0" w:fill="auto"/>
          </w:tcPr>
          <w:p w:rsidR="00051BBD" w:rsidRDefault="00051BBD">
            <w:pPr>
              <w:rPr>
                <w:noProof/>
                <w:sz w:val="20"/>
              </w:rPr>
            </w:pPr>
          </w:p>
        </w:tc>
        <w:tc>
          <w:tcPr>
            <w:tcW w:w="1440" w:type="dxa"/>
            <w:tcBorders>
              <w:bottom w:val="single" w:sz="4" w:space="0" w:color="FF0000"/>
            </w:tcBorders>
            <w:vAlign w:val="center"/>
          </w:tcPr>
          <w:p w:rsidR="00051BBD" w:rsidRDefault="00FD0A5C">
            <w:pPr>
              <w:rPr>
                <w:noProof/>
                <w:sz w:val="18"/>
              </w:rPr>
            </w:pPr>
            <w:r>
              <w:rPr>
                <w:noProof/>
                <w:sz w:val="18"/>
              </w:rPr>
              <w:t>Betalinger</w:t>
            </w:r>
          </w:p>
        </w:tc>
        <w:tc>
          <w:tcPr>
            <w:tcW w:w="654" w:type="dxa"/>
            <w:tcBorders>
              <w:bottom w:val="single" w:sz="4" w:space="0" w:color="FF0000"/>
            </w:tcBorders>
            <w:vAlign w:val="center"/>
          </w:tcPr>
          <w:p w:rsidR="00051BBD" w:rsidRDefault="00FD0A5C">
            <w:pPr>
              <w:jc w:val="center"/>
              <w:rPr>
                <w:noProof/>
                <w:sz w:val="14"/>
              </w:rPr>
            </w:pPr>
            <w:r>
              <w:rPr>
                <w:noProof/>
                <w:sz w:val="14"/>
              </w:rPr>
              <w:t>=5+ 6</w:t>
            </w:r>
          </w:p>
        </w:tc>
        <w:tc>
          <w:tcPr>
            <w:tcW w:w="868" w:type="dxa"/>
            <w:tcBorders>
              <w:bottom w:val="single" w:sz="4" w:space="0" w:color="FF0000"/>
            </w:tcBorders>
            <w:vAlign w:val="center"/>
          </w:tcPr>
          <w:p w:rsidR="00051BBD" w:rsidRDefault="00FD0A5C">
            <w:pPr>
              <w:spacing w:before="20" w:after="20"/>
              <w:jc w:val="right"/>
              <w:rPr>
                <w:noProof/>
              </w:rPr>
            </w:pPr>
            <w:r>
              <w:rPr>
                <w:noProof/>
              </w:rPr>
              <w:t>p.m.</w:t>
            </w:r>
          </w:p>
        </w:tc>
        <w:tc>
          <w:tcPr>
            <w:tcW w:w="868" w:type="dxa"/>
            <w:tcBorders>
              <w:bottom w:val="single" w:sz="4" w:space="0" w:color="FF0000"/>
            </w:tcBorders>
            <w:vAlign w:val="center"/>
          </w:tcPr>
          <w:p w:rsidR="00051BBD" w:rsidRDefault="00FD0A5C">
            <w:pPr>
              <w:spacing w:before="20" w:after="20"/>
              <w:jc w:val="right"/>
              <w:rPr>
                <w:noProof/>
              </w:rPr>
            </w:pPr>
            <w:r>
              <w:rPr>
                <w:noProof/>
              </w:rPr>
              <w:t>p.m.</w:t>
            </w:r>
          </w:p>
        </w:tc>
        <w:tc>
          <w:tcPr>
            <w:tcW w:w="868" w:type="dxa"/>
            <w:tcBorders>
              <w:bottom w:val="single" w:sz="4" w:space="0" w:color="FF0000"/>
            </w:tcBorders>
            <w:vAlign w:val="center"/>
          </w:tcPr>
          <w:p w:rsidR="00051BBD" w:rsidRDefault="00FD0A5C">
            <w:pPr>
              <w:spacing w:before="20" w:after="20"/>
              <w:jc w:val="right"/>
              <w:rPr>
                <w:noProof/>
              </w:rPr>
            </w:pPr>
            <w:r>
              <w:rPr>
                <w:noProof/>
              </w:rPr>
              <w:t>p.m.</w:t>
            </w:r>
          </w:p>
        </w:tc>
        <w:tc>
          <w:tcPr>
            <w:tcW w:w="868" w:type="dxa"/>
            <w:tcBorders>
              <w:bottom w:val="single" w:sz="4" w:space="0" w:color="FF0000"/>
            </w:tcBorders>
            <w:vAlign w:val="center"/>
          </w:tcPr>
          <w:p w:rsidR="00051BBD" w:rsidRDefault="00FD0A5C">
            <w:pPr>
              <w:spacing w:before="20" w:after="20"/>
              <w:jc w:val="right"/>
              <w:rPr>
                <w:noProof/>
              </w:rPr>
            </w:pPr>
            <w:r>
              <w:rPr>
                <w:noProof/>
              </w:rPr>
              <w:t>p.m.</w:t>
            </w:r>
          </w:p>
        </w:tc>
        <w:tc>
          <w:tcPr>
            <w:tcW w:w="868" w:type="dxa"/>
            <w:tcBorders>
              <w:bottom w:val="single" w:sz="4" w:space="0" w:color="FF0000"/>
            </w:tcBorders>
            <w:vAlign w:val="center"/>
          </w:tcPr>
          <w:p w:rsidR="00051BBD" w:rsidRDefault="00FD0A5C">
            <w:pPr>
              <w:spacing w:before="20" w:after="20"/>
              <w:jc w:val="right"/>
              <w:rPr>
                <w:noProof/>
              </w:rPr>
            </w:pPr>
            <w:r>
              <w:rPr>
                <w:noProof/>
              </w:rPr>
              <w:t>p.m.</w:t>
            </w:r>
          </w:p>
        </w:tc>
        <w:tc>
          <w:tcPr>
            <w:tcW w:w="868" w:type="dxa"/>
            <w:tcBorders>
              <w:bottom w:val="single" w:sz="4" w:space="0" w:color="FF0000"/>
            </w:tcBorders>
            <w:vAlign w:val="center"/>
          </w:tcPr>
          <w:p w:rsidR="00051BBD" w:rsidRDefault="00FD0A5C">
            <w:pPr>
              <w:spacing w:before="20" w:after="20"/>
              <w:jc w:val="right"/>
              <w:rPr>
                <w:noProof/>
              </w:rPr>
            </w:pPr>
            <w:r>
              <w:rPr>
                <w:noProof/>
              </w:rPr>
              <w:t>p.m.</w:t>
            </w:r>
          </w:p>
        </w:tc>
        <w:tc>
          <w:tcPr>
            <w:tcW w:w="868" w:type="dxa"/>
            <w:tcBorders>
              <w:bottom w:val="single" w:sz="4" w:space="0" w:color="FF0000"/>
            </w:tcBorders>
            <w:vAlign w:val="center"/>
          </w:tcPr>
          <w:p w:rsidR="00051BBD" w:rsidRDefault="00FD0A5C">
            <w:pPr>
              <w:spacing w:before="20" w:after="20"/>
              <w:jc w:val="right"/>
              <w:rPr>
                <w:noProof/>
              </w:rPr>
            </w:pPr>
            <w:r>
              <w:rPr>
                <w:noProof/>
              </w:rPr>
              <w:t>p.m.</w:t>
            </w:r>
          </w:p>
        </w:tc>
        <w:tc>
          <w:tcPr>
            <w:tcW w:w="1777" w:type="dxa"/>
            <w:tcBorders>
              <w:bottom w:val="single" w:sz="4" w:space="0" w:color="FF0000"/>
              <w:right w:val="single" w:sz="4" w:space="0" w:color="auto"/>
            </w:tcBorders>
            <w:vAlign w:val="center"/>
          </w:tcPr>
          <w:p w:rsidR="00051BBD" w:rsidRDefault="00051BBD">
            <w:pPr>
              <w:spacing w:before="20" w:after="20"/>
              <w:jc w:val="right"/>
              <w:rPr>
                <w:b/>
                <w:noProof/>
                <w:sz w:val="20"/>
              </w:rPr>
            </w:pPr>
          </w:p>
        </w:tc>
      </w:tr>
    </w:tbl>
    <w:p w:rsidR="00051BBD" w:rsidRDefault="00051BBD">
      <w:pPr>
        <w:rPr>
          <w:noProof/>
        </w:rPr>
      </w:pPr>
    </w:p>
    <w:p w:rsidR="00051BBD" w:rsidRDefault="00051BBD">
      <w:pPr>
        <w:rPr>
          <w:noProof/>
        </w:rPr>
        <w:sectPr w:rsidR="00051BBD">
          <w:headerReference w:type="default" r:id="rId17"/>
          <w:footerReference w:type="default" r:id="rId18"/>
          <w:headerReference w:type="first" r:id="rId19"/>
          <w:footerReference w:type="first" r:id="rId20"/>
          <w:pgSz w:w="16840" w:h="11907" w:orient="landscape" w:code="9"/>
          <w:pgMar w:top="1134" w:right="1418" w:bottom="1134" w:left="1418" w:header="709" w:footer="709" w:gutter="0"/>
          <w:cols w:space="708"/>
          <w:docGrid w:linePitch="360"/>
        </w:sectPr>
      </w:pPr>
    </w:p>
    <w:p w:rsidR="00051BBD" w:rsidRDefault="00051BBD">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051BBD">
        <w:trPr>
          <w:jc w:val="center"/>
        </w:trPr>
        <w:tc>
          <w:tcPr>
            <w:tcW w:w="4744" w:type="dxa"/>
            <w:shd w:val="thinDiagStripe" w:color="C0C0C0" w:fill="auto"/>
            <w:vAlign w:val="center"/>
          </w:tcPr>
          <w:p w:rsidR="00051BBD" w:rsidRDefault="00FD0A5C">
            <w:pPr>
              <w:spacing w:before="60" w:after="60"/>
              <w:jc w:val="center"/>
              <w:rPr>
                <w:b/>
                <w:noProof/>
                <w:sz w:val="22"/>
              </w:rPr>
            </w:pPr>
            <w:r>
              <w:rPr>
                <w:noProof/>
              </w:rPr>
              <w:br w:type="page"/>
            </w:r>
            <w:r>
              <w:rPr>
                <w:b/>
                <w:noProof/>
                <w:sz w:val="22"/>
              </w:rPr>
              <w:t>Udgiftsområde i den flerårige finansielle</w:t>
            </w:r>
            <w:r>
              <w:rPr>
                <w:noProof/>
                <w:sz w:val="22"/>
              </w:rPr>
              <w:br/>
            </w:r>
            <w:r>
              <w:rPr>
                <w:b/>
                <w:noProof/>
                <w:sz w:val="22"/>
              </w:rPr>
              <w:t xml:space="preserve">ramme </w:t>
            </w:r>
          </w:p>
        </w:tc>
        <w:tc>
          <w:tcPr>
            <w:tcW w:w="1080" w:type="dxa"/>
            <w:shd w:val="thinDiagStripe" w:color="C0C0C0" w:fill="auto"/>
            <w:vAlign w:val="center"/>
          </w:tcPr>
          <w:p w:rsidR="00051BBD" w:rsidRDefault="00FD0A5C">
            <w:pPr>
              <w:spacing w:before="60" w:after="60"/>
              <w:jc w:val="center"/>
              <w:rPr>
                <w:noProof/>
                <w:sz w:val="22"/>
              </w:rPr>
            </w:pPr>
            <w:r>
              <w:rPr>
                <w:b/>
                <w:noProof/>
                <w:sz w:val="22"/>
              </w:rPr>
              <w:t>5</w:t>
            </w:r>
          </w:p>
        </w:tc>
        <w:tc>
          <w:tcPr>
            <w:tcW w:w="7817" w:type="dxa"/>
            <w:vAlign w:val="center"/>
          </w:tcPr>
          <w:p w:rsidR="00051BBD" w:rsidRDefault="00FD0A5C">
            <w:pPr>
              <w:spacing w:before="60" w:after="60"/>
              <w:rPr>
                <w:noProof/>
                <w:sz w:val="22"/>
              </w:rPr>
            </w:pPr>
            <w:r>
              <w:rPr>
                <w:noProof/>
                <w:sz w:val="22"/>
              </w:rPr>
              <w:t>"Administration"</w:t>
            </w:r>
          </w:p>
        </w:tc>
      </w:tr>
    </w:tbl>
    <w:p w:rsidR="00051BBD" w:rsidRDefault="00FD0A5C">
      <w:pPr>
        <w:jc w:val="right"/>
        <w:rPr>
          <w:noProof/>
          <w:sz w:val="20"/>
        </w:rPr>
      </w:pPr>
      <w:r>
        <w:rPr>
          <w:noProof/>
          <w:sz w:val="20"/>
        </w:rPr>
        <w:t>i mio. EUR (3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051BBD">
        <w:tc>
          <w:tcPr>
            <w:tcW w:w="3960" w:type="dxa"/>
            <w:tcBorders>
              <w:top w:val="nil"/>
              <w:left w:val="nil"/>
              <w:right w:val="nil"/>
            </w:tcBorders>
            <w:vAlign w:val="center"/>
          </w:tcPr>
          <w:p w:rsidR="00051BBD" w:rsidRDefault="00051BBD">
            <w:pPr>
              <w:jc w:val="center"/>
              <w:rPr>
                <w:noProof/>
                <w:sz w:val="22"/>
              </w:rPr>
            </w:pPr>
          </w:p>
        </w:tc>
        <w:tc>
          <w:tcPr>
            <w:tcW w:w="1560" w:type="dxa"/>
            <w:tcBorders>
              <w:top w:val="nil"/>
              <w:left w:val="nil"/>
              <w:right w:val="nil"/>
            </w:tcBorders>
          </w:tcPr>
          <w:p w:rsidR="00051BBD" w:rsidRDefault="00051BBD">
            <w:pPr>
              <w:rPr>
                <w:noProof/>
                <w:sz w:val="20"/>
              </w:rPr>
            </w:pPr>
          </w:p>
        </w:tc>
        <w:tc>
          <w:tcPr>
            <w:tcW w:w="534" w:type="dxa"/>
            <w:tcBorders>
              <w:top w:val="nil"/>
              <w:left w:val="nil"/>
            </w:tcBorders>
          </w:tcPr>
          <w:p w:rsidR="00051BBD" w:rsidRDefault="00051BBD">
            <w:pPr>
              <w:jc w:val="center"/>
              <w:rPr>
                <w:noProof/>
                <w:sz w:val="20"/>
              </w:rPr>
            </w:pPr>
          </w:p>
        </w:tc>
        <w:tc>
          <w:tcPr>
            <w:tcW w:w="868" w:type="dxa"/>
            <w:vAlign w:val="center"/>
          </w:tcPr>
          <w:p w:rsidR="00051BBD" w:rsidRDefault="00FD0A5C">
            <w:pPr>
              <w:jc w:val="center"/>
              <w:rPr>
                <w:noProof/>
                <w:sz w:val="20"/>
                <w:szCs w:val="20"/>
              </w:rPr>
            </w:pPr>
            <w:r>
              <w:rPr>
                <w:noProof/>
                <w:sz w:val="20"/>
                <w:szCs w:val="20"/>
              </w:rPr>
              <w:t xml:space="preserve">År </w:t>
            </w:r>
            <w:r>
              <w:rPr>
                <w:b/>
                <w:noProof/>
                <w:sz w:val="20"/>
                <w:szCs w:val="20"/>
              </w:rPr>
              <w:t>2016</w:t>
            </w:r>
          </w:p>
        </w:tc>
        <w:tc>
          <w:tcPr>
            <w:tcW w:w="868" w:type="dxa"/>
            <w:vAlign w:val="center"/>
          </w:tcPr>
          <w:p w:rsidR="00051BBD" w:rsidRDefault="00FD0A5C">
            <w:pPr>
              <w:jc w:val="center"/>
              <w:rPr>
                <w:noProof/>
                <w:sz w:val="20"/>
                <w:szCs w:val="20"/>
              </w:rPr>
            </w:pPr>
            <w:r>
              <w:rPr>
                <w:noProof/>
                <w:sz w:val="20"/>
                <w:szCs w:val="20"/>
              </w:rPr>
              <w:t xml:space="preserve">År </w:t>
            </w:r>
            <w:r>
              <w:rPr>
                <w:b/>
                <w:noProof/>
                <w:sz w:val="20"/>
                <w:szCs w:val="20"/>
              </w:rPr>
              <w:t>2017</w:t>
            </w:r>
          </w:p>
        </w:tc>
        <w:tc>
          <w:tcPr>
            <w:tcW w:w="868" w:type="dxa"/>
            <w:vAlign w:val="center"/>
          </w:tcPr>
          <w:p w:rsidR="00051BBD" w:rsidRDefault="00FD0A5C">
            <w:pPr>
              <w:jc w:val="center"/>
              <w:rPr>
                <w:noProof/>
                <w:sz w:val="20"/>
                <w:szCs w:val="20"/>
              </w:rPr>
            </w:pPr>
            <w:r>
              <w:rPr>
                <w:noProof/>
                <w:sz w:val="20"/>
                <w:szCs w:val="20"/>
              </w:rPr>
              <w:t xml:space="preserve">År </w:t>
            </w:r>
            <w:r>
              <w:rPr>
                <w:b/>
                <w:noProof/>
                <w:sz w:val="20"/>
                <w:szCs w:val="20"/>
              </w:rPr>
              <w:t>2018</w:t>
            </w:r>
          </w:p>
        </w:tc>
        <w:tc>
          <w:tcPr>
            <w:tcW w:w="868" w:type="dxa"/>
            <w:vAlign w:val="center"/>
          </w:tcPr>
          <w:p w:rsidR="00051BBD" w:rsidRDefault="00FD0A5C">
            <w:pPr>
              <w:jc w:val="center"/>
              <w:rPr>
                <w:noProof/>
                <w:sz w:val="20"/>
                <w:szCs w:val="20"/>
              </w:rPr>
            </w:pPr>
            <w:r>
              <w:rPr>
                <w:noProof/>
                <w:sz w:val="20"/>
                <w:szCs w:val="20"/>
              </w:rPr>
              <w:t xml:space="preserve">År </w:t>
            </w:r>
            <w:r>
              <w:rPr>
                <w:b/>
                <w:noProof/>
                <w:sz w:val="20"/>
                <w:szCs w:val="20"/>
              </w:rPr>
              <w:t>2019</w:t>
            </w:r>
          </w:p>
        </w:tc>
        <w:tc>
          <w:tcPr>
            <w:tcW w:w="2604" w:type="dxa"/>
            <w:gridSpan w:val="3"/>
            <w:vAlign w:val="center"/>
          </w:tcPr>
          <w:p w:rsidR="00051BBD" w:rsidRDefault="00FD0A5C">
            <w:pPr>
              <w:jc w:val="center"/>
              <w:rPr>
                <w:b/>
                <w:noProof/>
                <w:sz w:val="20"/>
                <w:szCs w:val="20"/>
              </w:rPr>
            </w:pPr>
            <w:r>
              <w:rPr>
                <w:noProof/>
                <w:sz w:val="20"/>
                <w:szCs w:val="20"/>
              </w:rPr>
              <w:t>År 2020</w:t>
            </w:r>
          </w:p>
        </w:tc>
        <w:tc>
          <w:tcPr>
            <w:tcW w:w="1777" w:type="dxa"/>
            <w:vAlign w:val="center"/>
          </w:tcPr>
          <w:p w:rsidR="00051BBD" w:rsidRDefault="00FD0A5C">
            <w:pPr>
              <w:jc w:val="center"/>
              <w:rPr>
                <w:b/>
                <w:noProof/>
                <w:sz w:val="20"/>
                <w:szCs w:val="20"/>
              </w:rPr>
            </w:pPr>
            <w:r>
              <w:rPr>
                <w:b/>
                <w:noProof/>
                <w:sz w:val="20"/>
                <w:szCs w:val="20"/>
              </w:rPr>
              <w:t>I ALT</w:t>
            </w:r>
          </w:p>
        </w:tc>
      </w:tr>
      <w:tr w:rsidR="00051BBD">
        <w:trPr>
          <w:gridAfter w:val="10"/>
          <w:wAfter w:w="9947" w:type="dxa"/>
        </w:trPr>
        <w:tc>
          <w:tcPr>
            <w:tcW w:w="3960" w:type="dxa"/>
            <w:vAlign w:val="center"/>
          </w:tcPr>
          <w:p w:rsidR="00051BBD" w:rsidRDefault="00FD0A5C">
            <w:pPr>
              <w:spacing w:before="60" w:after="60"/>
              <w:jc w:val="center"/>
              <w:rPr>
                <w:noProof/>
                <w:sz w:val="22"/>
              </w:rPr>
            </w:pPr>
            <w:r>
              <w:rPr>
                <w:noProof/>
                <w:sz w:val="22"/>
              </w:rPr>
              <w:t>GD</w:t>
            </w:r>
            <w:r>
              <w:rPr>
                <w:noProof/>
                <w:sz w:val="22"/>
              </w:rPr>
              <w:t xml:space="preserve"> TAXUD</w:t>
            </w:r>
          </w:p>
        </w:tc>
      </w:tr>
      <w:tr w:rsidR="00051BBD">
        <w:trPr>
          <w:trHeight w:val="313"/>
        </w:trPr>
        <w:tc>
          <w:tcPr>
            <w:tcW w:w="6054" w:type="dxa"/>
            <w:gridSpan w:val="3"/>
            <w:vAlign w:val="center"/>
          </w:tcPr>
          <w:p w:rsidR="00051BBD" w:rsidRDefault="00FD0A5C">
            <w:pPr>
              <w:spacing w:before="20" w:after="20"/>
              <w:rPr>
                <w:noProof/>
                <w:sz w:val="22"/>
              </w:rPr>
            </w:pPr>
            <w:r>
              <w:rPr>
                <w:noProof/>
                <w:sz w:val="22"/>
              </w:rPr>
              <w:sym w:font="Wingdings" w:char="F09F"/>
            </w:r>
            <w:r>
              <w:rPr>
                <w:noProof/>
                <w:sz w:val="22"/>
              </w:rPr>
              <w:t xml:space="preserve"> Menneskelige ressourcer</w:t>
            </w:r>
          </w:p>
        </w:tc>
        <w:tc>
          <w:tcPr>
            <w:tcW w:w="868" w:type="dxa"/>
            <w:vAlign w:val="center"/>
          </w:tcPr>
          <w:p w:rsidR="00051BBD" w:rsidRDefault="00FD0A5C">
            <w:pPr>
              <w:spacing w:before="20" w:after="20"/>
              <w:jc w:val="right"/>
              <w:rPr>
                <w:noProof/>
              </w:rPr>
            </w:pPr>
            <w:r>
              <w:rPr>
                <w:noProof/>
              </w:rPr>
              <w:t>0,528</w:t>
            </w:r>
          </w:p>
        </w:tc>
        <w:tc>
          <w:tcPr>
            <w:tcW w:w="868" w:type="dxa"/>
            <w:vAlign w:val="center"/>
          </w:tcPr>
          <w:p w:rsidR="00051BBD" w:rsidRDefault="00FD0A5C">
            <w:pPr>
              <w:spacing w:before="20" w:after="20"/>
              <w:jc w:val="right"/>
              <w:rPr>
                <w:noProof/>
              </w:rPr>
            </w:pPr>
            <w:r>
              <w:rPr>
                <w:noProof/>
              </w:rPr>
              <w:t>0,528</w:t>
            </w:r>
          </w:p>
        </w:tc>
        <w:tc>
          <w:tcPr>
            <w:tcW w:w="868" w:type="dxa"/>
            <w:vAlign w:val="center"/>
          </w:tcPr>
          <w:p w:rsidR="00051BBD" w:rsidRDefault="00FD0A5C">
            <w:pPr>
              <w:spacing w:before="20" w:after="20"/>
              <w:jc w:val="right"/>
              <w:rPr>
                <w:noProof/>
              </w:rPr>
            </w:pPr>
            <w:r>
              <w:rPr>
                <w:noProof/>
              </w:rPr>
              <w:t>0,528</w:t>
            </w:r>
          </w:p>
        </w:tc>
        <w:tc>
          <w:tcPr>
            <w:tcW w:w="868" w:type="dxa"/>
            <w:vAlign w:val="center"/>
          </w:tcPr>
          <w:p w:rsidR="00051BBD" w:rsidRDefault="00FD0A5C">
            <w:pPr>
              <w:spacing w:before="20" w:after="20"/>
              <w:jc w:val="right"/>
              <w:rPr>
                <w:noProof/>
              </w:rPr>
            </w:pPr>
            <w:r>
              <w:rPr>
                <w:noProof/>
              </w:rPr>
              <w:t>0,528</w:t>
            </w:r>
          </w:p>
        </w:tc>
        <w:tc>
          <w:tcPr>
            <w:tcW w:w="868" w:type="dxa"/>
            <w:vAlign w:val="center"/>
          </w:tcPr>
          <w:p w:rsidR="00051BBD" w:rsidRDefault="00FD0A5C">
            <w:pPr>
              <w:spacing w:before="20" w:after="20"/>
              <w:jc w:val="right"/>
              <w:rPr>
                <w:noProof/>
              </w:rPr>
            </w:pPr>
            <w:r>
              <w:rPr>
                <w:noProof/>
              </w:rPr>
              <w:t>0,528</w:t>
            </w:r>
          </w:p>
        </w:tc>
        <w:tc>
          <w:tcPr>
            <w:tcW w:w="868" w:type="dxa"/>
            <w:vAlign w:val="center"/>
          </w:tcPr>
          <w:p w:rsidR="00051BBD" w:rsidRDefault="00051BBD">
            <w:pPr>
              <w:spacing w:before="20" w:after="20"/>
              <w:jc w:val="right"/>
              <w:rPr>
                <w:noProof/>
              </w:rPr>
            </w:pPr>
          </w:p>
        </w:tc>
        <w:tc>
          <w:tcPr>
            <w:tcW w:w="868" w:type="dxa"/>
            <w:vAlign w:val="center"/>
          </w:tcPr>
          <w:p w:rsidR="00051BBD" w:rsidRDefault="00051BBD">
            <w:pPr>
              <w:spacing w:before="20" w:after="20"/>
              <w:jc w:val="right"/>
              <w:rPr>
                <w:noProof/>
              </w:rPr>
            </w:pPr>
          </w:p>
        </w:tc>
        <w:tc>
          <w:tcPr>
            <w:tcW w:w="1777" w:type="dxa"/>
            <w:vAlign w:val="center"/>
          </w:tcPr>
          <w:p w:rsidR="00051BBD" w:rsidRDefault="00051BBD">
            <w:pPr>
              <w:spacing w:before="20" w:after="20"/>
              <w:jc w:val="right"/>
              <w:rPr>
                <w:noProof/>
              </w:rPr>
            </w:pPr>
          </w:p>
        </w:tc>
      </w:tr>
      <w:tr w:rsidR="00051BBD">
        <w:trPr>
          <w:trHeight w:val="351"/>
        </w:trPr>
        <w:tc>
          <w:tcPr>
            <w:tcW w:w="6054" w:type="dxa"/>
            <w:gridSpan w:val="3"/>
            <w:vAlign w:val="center"/>
          </w:tcPr>
          <w:p w:rsidR="00051BBD" w:rsidRDefault="00FD0A5C">
            <w:pPr>
              <w:spacing w:before="20" w:after="20"/>
              <w:rPr>
                <w:noProof/>
                <w:sz w:val="22"/>
              </w:rPr>
            </w:pPr>
            <w:r>
              <w:rPr>
                <w:noProof/>
                <w:sz w:val="22"/>
              </w:rPr>
              <w:sym w:font="Wingdings" w:char="F09F"/>
            </w:r>
            <w:r>
              <w:rPr>
                <w:noProof/>
                <w:sz w:val="22"/>
              </w:rPr>
              <w:t>Andre administrationsudgifter</w:t>
            </w:r>
          </w:p>
        </w:tc>
        <w:tc>
          <w:tcPr>
            <w:tcW w:w="868" w:type="dxa"/>
            <w:vAlign w:val="center"/>
          </w:tcPr>
          <w:p w:rsidR="00051BBD" w:rsidRDefault="00FD0A5C">
            <w:pPr>
              <w:spacing w:before="20" w:after="20"/>
              <w:jc w:val="right"/>
              <w:rPr>
                <w:noProof/>
              </w:rPr>
            </w:pPr>
            <w:r>
              <w:rPr>
                <w:noProof/>
              </w:rPr>
              <w:t>0,030</w:t>
            </w:r>
          </w:p>
        </w:tc>
        <w:tc>
          <w:tcPr>
            <w:tcW w:w="868" w:type="dxa"/>
            <w:vAlign w:val="center"/>
          </w:tcPr>
          <w:p w:rsidR="00051BBD" w:rsidRDefault="00FD0A5C">
            <w:pPr>
              <w:spacing w:before="20" w:after="20"/>
              <w:jc w:val="right"/>
              <w:rPr>
                <w:noProof/>
              </w:rPr>
            </w:pPr>
            <w:r>
              <w:rPr>
                <w:noProof/>
              </w:rPr>
              <w:t>0,030</w:t>
            </w:r>
          </w:p>
        </w:tc>
        <w:tc>
          <w:tcPr>
            <w:tcW w:w="868" w:type="dxa"/>
            <w:vAlign w:val="center"/>
          </w:tcPr>
          <w:p w:rsidR="00051BBD" w:rsidRDefault="00FD0A5C">
            <w:pPr>
              <w:spacing w:before="20" w:after="20"/>
              <w:jc w:val="right"/>
              <w:rPr>
                <w:noProof/>
              </w:rPr>
            </w:pPr>
            <w:r>
              <w:rPr>
                <w:noProof/>
              </w:rPr>
              <w:t>0,030</w:t>
            </w:r>
          </w:p>
        </w:tc>
        <w:tc>
          <w:tcPr>
            <w:tcW w:w="868" w:type="dxa"/>
            <w:vAlign w:val="center"/>
          </w:tcPr>
          <w:p w:rsidR="00051BBD" w:rsidRDefault="00FD0A5C">
            <w:pPr>
              <w:spacing w:before="20" w:after="20"/>
              <w:jc w:val="right"/>
              <w:rPr>
                <w:noProof/>
              </w:rPr>
            </w:pPr>
            <w:r>
              <w:rPr>
                <w:noProof/>
              </w:rPr>
              <w:t>0,030</w:t>
            </w:r>
          </w:p>
        </w:tc>
        <w:tc>
          <w:tcPr>
            <w:tcW w:w="868" w:type="dxa"/>
            <w:vAlign w:val="center"/>
          </w:tcPr>
          <w:p w:rsidR="00051BBD" w:rsidRDefault="00FD0A5C">
            <w:pPr>
              <w:spacing w:before="20" w:after="20"/>
              <w:jc w:val="right"/>
              <w:rPr>
                <w:noProof/>
              </w:rPr>
            </w:pPr>
            <w:r>
              <w:rPr>
                <w:noProof/>
              </w:rPr>
              <w:t>0,030</w:t>
            </w:r>
          </w:p>
        </w:tc>
        <w:tc>
          <w:tcPr>
            <w:tcW w:w="868" w:type="dxa"/>
            <w:vAlign w:val="center"/>
          </w:tcPr>
          <w:p w:rsidR="00051BBD" w:rsidRDefault="00051BBD">
            <w:pPr>
              <w:spacing w:before="20" w:after="20"/>
              <w:jc w:val="right"/>
              <w:rPr>
                <w:noProof/>
              </w:rPr>
            </w:pPr>
          </w:p>
        </w:tc>
        <w:tc>
          <w:tcPr>
            <w:tcW w:w="868" w:type="dxa"/>
            <w:vAlign w:val="center"/>
          </w:tcPr>
          <w:p w:rsidR="00051BBD" w:rsidRDefault="00051BBD">
            <w:pPr>
              <w:spacing w:before="20" w:after="20"/>
              <w:jc w:val="right"/>
              <w:rPr>
                <w:noProof/>
              </w:rPr>
            </w:pPr>
          </w:p>
        </w:tc>
        <w:tc>
          <w:tcPr>
            <w:tcW w:w="1777" w:type="dxa"/>
            <w:vAlign w:val="center"/>
          </w:tcPr>
          <w:p w:rsidR="00051BBD" w:rsidRDefault="00051BBD">
            <w:pPr>
              <w:spacing w:before="20" w:after="20"/>
              <w:jc w:val="right"/>
              <w:rPr>
                <w:noProof/>
              </w:rPr>
            </w:pPr>
          </w:p>
        </w:tc>
      </w:tr>
      <w:tr w:rsidR="00051BBD">
        <w:tc>
          <w:tcPr>
            <w:tcW w:w="3960" w:type="dxa"/>
            <w:vAlign w:val="center"/>
          </w:tcPr>
          <w:p w:rsidR="00051BBD" w:rsidRDefault="00FD0A5C">
            <w:pPr>
              <w:jc w:val="center"/>
              <w:rPr>
                <w:b/>
                <w:noProof/>
                <w:sz w:val="22"/>
              </w:rPr>
            </w:pPr>
            <w:r>
              <w:rPr>
                <w:b/>
                <w:noProof/>
                <w:sz w:val="22"/>
              </w:rPr>
              <w:t>I ALT</w:t>
            </w:r>
            <w:r>
              <w:rPr>
                <w:noProof/>
                <w:sz w:val="22"/>
              </w:rPr>
              <w:t xml:space="preserve"> GD TAXUD</w:t>
            </w:r>
          </w:p>
        </w:tc>
        <w:tc>
          <w:tcPr>
            <w:tcW w:w="2094" w:type="dxa"/>
            <w:gridSpan w:val="2"/>
            <w:vAlign w:val="center"/>
          </w:tcPr>
          <w:p w:rsidR="00051BBD" w:rsidRDefault="00FD0A5C">
            <w:pPr>
              <w:rPr>
                <w:noProof/>
                <w:sz w:val="14"/>
              </w:rPr>
            </w:pPr>
            <w:r>
              <w:rPr>
                <w:noProof/>
                <w:sz w:val="18"/>
              </w:rPr>
              <w:t xml:space="preserve">Bevillinger </w:t>
            </w:r>
          </w:p>
        </w:tc>
        <w:tc>
          <w:tcPr>
            <w:tcW w:w="868" w:type="dxa"/>
            <w:vAlign w:val="center"/>
          </w:tcPr>
          <w:p w:rsidR="00051BBD" w:rsidRDefault="00FD0A5C">
            <w:pPr>
              <w:spacing w:before="20" w:after="20"/>
              <w:jc w:val="right"/>
              <w:rPr>
                <w:noProof/>
              </w:rPr>
            </w:pPr>
            <w:r>
              <w:rPr>
                <w:noProof/>
              </w:rPr>
              <w:t>0,558</w:t>
            </w:r>
          </w:p>
        </w:tc>
        <w:tc>
          <w:tcPr>
            <w:tcW w:w="868" w:type="dxa"/>
            <w:vAlign w:val="center"/>
          </w:tcPr>
          <w:p w:rsidR="00051BBD" w:rsidRDefault="00FD0A5C">
            <w:pPr>
              <w:spacing w:before="20" w:after="20"/>
              <w:jc w:val="right"/>
              <w:rPr>
                <w:noProof/>
              </w:rPr>
            </w:pPr>
            <w:r>
              <w:rPr>
                <w:noProof/>
              </w:rPr>
              <w:t>0,558</w:t>
            </w:r>
          </w:p>
        </w:tc>
        <w:tc>
          <w:tcPr>
            <w:tcW w:w="868" w:type="dxa"/>
            <w:vAlign w:val="center"/>
          </w:tcPr>
          <w:p w:rsidR="00051BBD" w:rsidRDefault="00FD0A5C">
            <w:pPr>
              <w:spacing w:before="20" w:after="20"/>
              <w:jc w:val="right"/>
              <w:rPr>
                <w:noProof/>
              </w:rPr>
            </w:pPr>
            <w:r>
              <w:rPr>
                <w:noProof/>
              </w:rPr>
              <w:t>0,558</w:t>
            </w:r>
          </w:p>
        </w:tc>
        <w:tc>
          <w:tcPr>
            <w:tcW w:w="868" w:type="dxa"/>
            <w:vAlign w:val="center"/>
          </w:tcPr>
          <w:p w:rsidR="00051BBD" w:rsidRDefault="00FD0A5C">
            <w:pPr>
              <w:spacing w:before="20" w:after="20"/>
              <w:jc w:val="right"/>
              <w:rPr>
                <w:noProof/>
              </w:rPr>
            </w:pPr>
            <w:r>
              <w:rPr>
                <w:noProof/>
              </w:rPr>
              <w:t>0,558</w:t>
            </w:r>
          </w:p>
        </w:tc>
        <w:tc>
          <w:tcPr>
            <w:tcW w:w="868" w:type="dxa"/>
            <w:vAlign w:val="center"/>
          </w:tcPr>
          <w:p w:rsidR="00051BBD" w:rsidRDefault="00FD0A5C">
            <w:pPr>
              <w:spacing w:before="20" w:after="20"/>
              <w:jc w:val="right"/>
              <w:rPr>
                <w:noProof/>
              </w:rPr>
            </w:pPr>
            <w:r>
              <w:rPr>
                <w:noProof/>
              </w:rPr>
              <w:t>0,558</w:t>
            </w:r>
          </w:p>
        </w:tc>
        <w:tc>
          <w:tcPr>
            <w:tcW w:w="868" w:type="dxa"/>
            <w:vAlign w:val="center"/>
          </w:tcPr>
          <w:p w:rsidR="00051BBD" w:rsidRDefault="00051BBD">
            <w:pPr>
              <w:spacing w:before="20" w:after="20"/>
              <w:jc w:val="right"/>
              <w:rPr>
                <w:noProof/>
              </w:rPr>
            </w:pPr>
          </w:p>
        </w:tc>
        <w:tc>
          <w:tcPr>
            <w:tcW w:w="868" w:type="dxa"/>
            <w:vAlign w:val="center"/>
          </w:tcPr>
          <w:p w:rsidR="00051BBD" w:rsidRDefault="00051BBD">
            <w:pPr>
              <w:spacing w:before="20" w:after="20"/>
              <w:jc w:val="right"/>
              <w:rPr>
                <w:noProof/>
              </w:rPr>
            </w:pPr>
          </w:p>
        </w:tc>
        <w:tc>
          <w:tcPr>
            <w:tcW w:w="1777" w:type="dxa"/>
            <w:vAlign w:val="center"/>
          </w:tcPr>
          <w:p w:rsidR="00051BBD" w:rsidRDefault="00051BBD">
            <w:pPr>
              <w:spacing w:before="20" w:after="20"/>
              <w:jc w:val="right"/>
              <w:rPr>
                <w:noProof/>
              </w:rPr>
            </w:pPr>
          </w:p>
        </w:tc>
      </w:tr>
    </w:tbl>
    <w:p w:rsidR="00051BBD" w:rsidRDefault="00051BBD">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051BBD">
        <w:tc>
          <w:tcPr>
            <w:tcW w:w="3960" w:type="dxa"/>
            <w:shd w:val="thinDiagStripe" w:color="C0C0C0" w:fill="auto"/>
            <w:vAlign w:val="center"/>
          </w:tcPr>
          <w:p w:rsidR="00051BBD" w:rsidRDefault="00FD0A5C">
            <w:pPr>
              <w:jc w:val="center"/>
              <w:rPr>
                <w:b/>
                <w:noProof/>
                <w:sz w:val="22"/>
              </w:rPr>
            </w:pPr>
            <w:r>
              <w:rPr>
                <w:b/>
                <w:noProof/>
                <w:sz w:val="22"/>
              </w:rPr>
              <w:t>Bevillinger I ALT</w:t>
            </w:r>
            <w:r>
              <w:rPr>
                <w:noProof/>
                <w:sz w:val="22"/>
              </w:rPr>
              <w:br/>
            </w:r>
            <w:r>
              <w:rPr>
                <w:b/>
                <w:noProof/>
                <w:sz w:val="22"/>
              </w:rPr>
              <w:t>under UDGIFTSOMRÅDE 5</w:t>
            </w:r>
            <w:r>
              <w:rPr>
                <w:noProof/>
                <w:sz w:val="22"/>
              </w:rPr>
              <w:br/>
              <w:t xml:space="preserve">i den flerårige </w:t>
            </w:r>
            <w:r>
              <w:rPr>
                <w:noProof/>
                <w:sz w:val="22"/>
              </w:rPr>
              <w:t>finansielle ramme</w:t>
            </w:r>
            <w:r>
              <w:rPr>
                <w:b/>
                <w:noProof/>
                <w:sz w:val="22"/>
              </w:rPr>
              <w:t xml:space="preserve"> </w:t>
            </w:r>
          </w:p>
        </w:tc>
        <w:tc>
          <w:tcPr>
            <w:tcW w:w="2094" w:type="dxa"/>
            <w:vAlign w:val="center"/>
          </w:tcPr>
          <w:p w:rsidR="00051BBD" w:rsidRDefault="00FD0A5C">
            <w:pPr>
              <w:spacing w:before="40" w:after="40"/>
              <w:rPr>
                <w:noProof/>
                <w:sz w:val="22"/>
              </w:rPr>
            </w:pPr>
            <w:r>
              <w:rPr>
                <w:noProof/>
                <w:sz w:val="18"/>
              </w:rPr>
              <w:t>(Forpligtelser i alt = betalinger i alt)</w:t>
            </w:r>
          </w:p>
        </w:tc>
        <w:tc>
          <w:tcPr>
            <w:tcW w:w="868" w:type="dxa"/>
            <w:vAlign w:val="center"/>
          </w:tcPr>
          <w:p w:rsidR="00051BBD" w:rsidRDefault="00FD0A5C">
            <w:pPr>
              <w:spacing w:before="20" w:after="20"/>
              <w:jc w:val="right"/>
              <w:rPr>
                <w:noProof/>
                <w:sz w:val="20"/>
              </w:rPr>
            </w:pPr>
            <w:r>
              <w:rPr>
                <w:noProof/>
              </w:rPr>
              <w:t>0,558</w:t>
            </w:r>
          </w:p>
        </w:tc>
        <w:tc>
          <w:tcPr>
            <w:tcW w:w="868" w:type="dxa"/>
            <w:vAlign w:val="center"/>
          </w:tcPr>
          <w:p w:rsidR="00051BBD" w:rsidRDefault="00FD0A5C">
            <w:pPr>
              <w:spacing w:before="20" w:after="20"/>
              <w:jc w:val="right"/>
              <w:rPr>
                <w:noProof/>
                <w:sz w:val="20"/>
              </w:rPr>
            </w:pPr>
            <w:r>
              <w:rPr>
                <w:noProof/>
              </w:rPr>
              <w:t>0,558</w:t>
            </w:r>
          </w:p>
        </w:tc>
        <w:tc>
          <w:tcPr>
            <w:tcW w:w="868" w:type="dxa"/>
            <w:vAlign w:val="center"/>
          </w:tcPr>
          <w:p w:rsidR="00051BBD" w:rsidRDefault="00FD0A5C">
            <w:pPr>
              <w:spacing w:before="20" w:after="20"/>
              <w:jc w:val="right"/>
              <w:rPr>
                <w:noProof/>
                <w:sz w:val="20"/>
              </w:rPr>
            </w:pPr>
            <w:r>
              <w:rPr>
                <w:noProof/>
              </w:rPr>
              <w:t>0,558</w:t>
            </w:r>
          </w:p>
        </w:tc>
        <w:tc>
          <w:tcPr>
            <w:tcW w:w="868" w:type="dxa"/>
            <w:vAlign w:val="center"/>
          </w:tcPr>
          <w:p w:rsidR="00051BBD" w:rsidRDefault="00FD0A5C">
            <w:pPr>
              <w:spacing w:before="20" w:after="20"/>
              <w:jc w:val="right"/>
              <w:rPr>
                <w:noProof/>
                <w:sz w:val="20"/>
              </w:rPr>
            </w:pPr>
            <w:r>
              <w:rPr>
                <w:noProof/>
              </w:rPr>
              <w:t>0,558</w:t>
            </w:r>
          </w:p>
        </w:tc>
        <w:tc>
          <w:tcPr>
            <w:tcW w:w="868" w:type="dxa"/>
            <w:vAlign w:val="center"/>
          </w:tcPr>
          <w:p w:rsidR="00051BBD" w:rsidRDefault="00FD0A5C">
            <w:pPr>
              <w:spacing w:before="20" w:after="20"/>
              <w:jc w:val="right"/>
              <w:rPr>
                <w:noProof/>
                <w:sz w:val="20"/>
              </w:rPr>
            </w:pPr>
            <w:r>
              <w:rPr>
                <w:noProof/>
              </w:rPr>
              <w:t>0,558</w:t>
            </w:r>
          </w:p>
        </w:tc>
        <w:tc>
          <w:tcPr>
            <w:tcW w:w="868" w:type="dxa"/>
            <w:vAlign w:val="center"/>
          </w:tcPr>
          <w:p w:rsidR="00051BBD" w:rsidRDefault="00051BBD">
            <w:pPr>
              <w:spacing w:before="20" w:after="20"/>
              <w:jc w:val="right"/>
              <w:rPr>
                <w:noProof/>
                <w:sz w:val="20"/>
              </w:rPr>
            </w:pPr>
          </w:p>
        </w:tc>
        <w:tc>
          <w:tcPr>
            <w:tcW w:w="868" w:type="dxa"/>
            <w:vAlign w:val="center"/>
          </w:tcPr>
          <w:p w:rsidR="00051BBD" w:rsidRDefault="00051BBD">
            <w:pPr>
              <w:spacing w:before="20" w:after="20"/>
              <w:jc w:val="right"/>
              <w:rPr>
                <w:b/>
                <w:noProof/>
                <w:sz w:val="20"/>
              </w:rPr>
            </w:pPr>
          </w:p>
        </w:tc>
        <w:tc>
          <w:tcPr>
            <w:tcW w:w="1777" w:type="dxa"/>
            <w:vAlign w:val="center"/>
          </w:tcPr>
          <w:p w:rsidR="00051BBD" w:rsidRDefault="00051BBD">
            <w:pPr>
              <w:spacing w:before="20" w:after="20"/>
              <w:jc w:val="right"/>
              <w:rPr>
                <w:b/>
                <w:noProof/>
                <w:sz w:val="20"/>
              </w:rPr>
            </w:pPr>
          </w:p>
        </w:tc>
      </w:tr>
    </w:tbl>
    <w:p w:rsidR="00051BBD" w:rsidRDefault="00FD0A5C">
      <w:pPr>
        <w:jc w:val="right"/>
        <w:rPr>
          <w:noProof/>
          <w:sz w:val="20"/>
        </w:rPr>
      </w:pPr>
      <w:r>
        <w:rPr>
          <w:noProof/>
          <w:sz w:val="20"/>
        </w:rPr>
        <w:t>i mio. EUR (3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051BBD">
        <w:tc>
          <w:tcPr>
            <w:tcW w:w="3960" w:type="dxa"/>
            <w:tcBorders>
              <w:top w:val="nil"/>
              <w:left w:val="nil"/>
              <w:right w:val="nil"/>
            </w:tcBorders>
            <w:vAlign w:val="center"/>
          </w:tcPr>
          <w:p w:rsidR="00051BBD" w:rsidRDefault="00051BBD">
            <w:pPr>
              <w:jc w:val="center"/>
              <w:rPr>
                <w:noProof/>
                <w:sz w:val="22"/>
              </w:rPr>
            </w:pPr>
          </w:p>
        </w:tc>
        <w:tc>
          <w:tcPr>
            <w:tcW w:w="1560" w:type="dxa"/>
            <w:tcBorders>
              <w:top w:val="nil"/>
              <w:left w:val="nil"/>
              <w:right w:val="nil"/>
            </w:tcBorders>
          </w:tcPr>
          <w:p w:rsidR="00051BBD" w:rsidRDefault="00051BBD">
            <w:pPr>
              <w:rPr>
                <w:noProof/>
                <w:sz w:val="20"/>
              </w:rPr>
            </w:pPr>
          </w:p>
        </w:tc>
        <w:tc>
          <w:tcPr>
            <w:tcW w:w="534" w:type="dxa"/>
            <w:tcBorders>
              <w:top w:val="nil"/>
              <w:left w:val="nil"/>
            </w:tcBorders>
          </w:tcPr>
          <w:p w:rsidR="00051BBD" w:rsidRDefault="00051BBD">
            <w:pPr>
              <w:jc w:val="center"/>
              <w:rPr>
                <w:noProof/>
                <w:sz w:val="20"/>
              </w:rPr>
            </w:pPr>
          </w:p>
        </w:tc>
        <w:tc>
          <w:tcPr>
            <w:tcW w:w="868" w:type="dxa"/>
            <w:vAlign w:val="center"/>
          </w:tcPr>
          <w:p w:rsidR="00051BBD" w:rsidRDefault="00FD0A5C">
            <w:pPr>
              <w:jc w:val="center"/>
              <w:rPr>
                <w:noProof/>
                <w:sz w:val="20"/>
                <w:szCs w:val="20"/>
              </w:rPr>
            </w:pPr>
            <w:r>
              <w:rPr>
                <w:noProof/>
                <w:sz w:val="20"/>
                <w:szCs w:val="20"/>
              </w:rPr>
              <w:t xml:space="preserve">År </w:t>
            </w:r>
            <w:r>
              <w:rPr>
                <w:b/>
                <w:noProof/>
                <w:sz w:val="20"/>
                <w:szCs w:val="20"/>
              </w:rPr>
              <w:t>2016</w:t>
            </w:r>
            <w:r>
              <w:rPr>
                <w:rStyle w:val="FootnoteReference"/>
                <w:b/>
                <w:noProof/>
                <w:sz w:val="20"/>
                <w:szCs w:val="20"/>
              </w:rPr>
              <w:footnoteReference w:id="23"/>
            </w:r>
          </w:p>
        </w:tc>
        <w:tc>
          <w:tcPr>
            <w:tcW w:w="868" w:type="dxa"/>
            <w:vAlign w:val="center"/>
          </w:tcPr>
          <w:p w:rsidR="00051BBD" w:rsidRDefault="00FD0A5C">
            <w:pPr>
              <w:jc w:val="center"/>
              <w:rPr>
                <w:noProof/>
                <w:sz w:val="20"/>
                <w:szCs w:val="20"/>
              </w:rPr>
            </w:pPr>
            <w:r>
              <w:rPr>
                <w:noProof/>
                <w:sz w:val="20"/>
                <w:szCs w:val="20"/>
              </w:rPr>
              <w:t xml:space="preserve">År </w:t>
            </w:r>
            <w:r>
              <w:rPr>
                <w:b/>
                <w:noProof/>
                <w:sz w:val="20"/>
                <w:szCs w:val="20"/>
              </w:rPr>
              <w:t>2017</w:t>
            </w:r>
          </w:p>
        </w:tc>
        <w:tc>
          <w:tcPr>
            <w:tcW w:w="868" w:type="dxa"/>
            <w:vAlign w:val="center"/>
          </w:tcPr>
          <w:p w:rsidR="00051BBD" w:rsidRDefault="00FD0A5C">
            <w:pPr>
              <w:jc w:val="center"/>
              <w:rPr>
                <w:noProof/>
                <w:sz w:val="20"/>
                <w:szCs w:val="20"/>
              </w:rPr>
            </w:pPr>
            <w:r>
              <w:rPr>
                <w:noProof/>
                <w:sz w:val="20"/>
                <w:szCs w:val="20"/>
              </w:rPr>
              <w:t xml:space="preserve">År </w:t>
            </w:r>
            <w:r>
              <w:rPr>
                <w:b/>
                <w:noProof/>
                <w:sz w:val="20"/>
                <w:szCs w:val="20"/>
              </w:rPr>
              <w:t>2018</w:t>
            </w:r>
          </w:p>
        </w:tc>
        <w:tc>
          <w:tcPr>
            <w:tcW w:w="868" w:type="dxa"/>
            <w:vAlign w:val="center"/>
          </w:tcPr>
          <w:p w:rsidR="00051BBD" w:rsidRDefault="00FD0A5C">
            <w:pPr>
              <w:jc w:val="center"/>
              <w:rPr>
                <w:noProof/>
                <w:sz w:val="20"/>
                <w:szCs w:val="20"/>
              </w:rPr>
            </w:pPr>
            <w:r>
              <w:rPr>
                <w:noProof/>
                <w:sz w:val="20"/>
                <w:szCs w:val="20"/>
              </w:rPr>
              <w:t xml:space="preserve">År </w:t>
            </w:r>
            <w:r>
              <w:rPr>
                <w:b/>
                <w:noProof/>
                <w:sz w:val="20"/>
                <w:szCs w:val="20"/>
              </w:rPr>
              <w:t>2019</w:t>
            </w:r>
          </w:p>
        </w:tc>
        <w:tc>
          <w:tcPr>
            <w:tcW w:w="2604" w:type="dxa"/>
            <w:gridSpan w:val="3"/>
            <w:vAlign w:val="center"/>
          </w:tcPr>
          <w:p w:rsidR="00051BBD" w:rsidRDefault="00FD0A5C">
            <w:pPr>
              <w:jc w:val="center"/>
              <w:rPr>
                <w:b/>
                <w:noProof/>
                <w:sz w:val="20"/>
                <w:szCs w:val="20"/>
              </w:rPr>
            </w:pPr>
            <w:r>
              <w:rPr>
                <w:noProof/>
                <w:sz w:val="20"/>
                <w:szCs w:val="20"/>
              </w:rPr>
              <w:t>År 2020</w:t>
            </w:r>
          </w:p>
        </w:tc>
        <w:tc>
          <w:tcPr>
            <w:tcW w:w="1777" w:type="dxa"/>
            <w:vAlign w:val="center"/>
          </w:tcPr>
          <w:p w:rsidR="00051BBD" w:rsidRDefault="00FD0A5C">
            <w:pPr>
              <w:jc w:val="center"/>
              <w:rPr>
                <w:b/>
                <w:noProof/>
                <w:sz w:val="20"/>
                <w:szCs w:val="20"/>
              </w:rPr>
            </w:pPr>
            <w:r>
              <w:rPr>
                <w:b/>
                <w:noProof/>
                <w:sz w:val="20"/>
                <w:szCs w:val="20"/>
              </w:rPr>
              <w:t>I ALT</w:t>
            </w:r>
          </w:p>
        </w:tc>
      </w:tr>
      <w:tr w:rsidR="00051BBD">
        <w:tc>
          <w:tcPr>
            <w:tcW w:w="3960" w:type="dxa"/>
            <w:vMerge w:val="restart"/>
            <w:shd w:val="clear" w:color="auto" w:fill="C0C0C0"/>
            <w:vAlign w:val="center"/>
          </w:tcPr>
          <w:p w:rsidR="00051BBD" w:rsidRDefault="00FD0A5C">
            <w:pPr>
              <w:jc w:val="center"/>
              <w:rPr>
                <w:b/>
                <w:noProof/>
                <w:sz w:val="22"/>
              </w:rPr>
            </w:pPr>
            <w:r>
              <w:rPr>
                <w:b/>
                <w:noProof/>
                <w:sz w:val="22"/>
              </w:rPr>
              <w:t>Bevillinger I ALT</w:t>
            </w:r>
            <w:r>
              <w:rPr>
                <w:noProof/>
                <w:sz w:val="22"/>
              </w:rPr>
              <w:br/>
            </w:r>
            <w:r>
              <w:rPr>
                <w:b/>
                <w:noProof/>
                <w:sz w:val="22"/>
              </w:rPr>
              <w:t>under UDGIFTSOMRÅDE 1-5</w:t>
            </w:r>
            <w:r>
              <w:rPr>
                <w:noProof/>
                <w:sz w:val="22"/>
              </w:rPr>
              <w:br/>
              <w:t>i den flerårige finansielle ramme</w:t>
            </w:r>
            <w:r>
              <w:rPr>
                <w:b/>
                <w:noProof/>
                <w:sz w:val="22"/>
              </w:rPr>
              <w:t xml:space="preserve"> </w:t>
            </w:r>
          </w:p>
        </w:tc>
        <w:tc>
          <w:tcPr>
            <w:tcW w:w="2094" w:type="dxa"/>
            <w:gridSpan w:val="2"/>
            <w:vAlign w:val="center"/>
          </w:tcPr>
          <w:p w:rsidR="00051BBD" w:rsidRDefault="00FD0A5C">
            <w:pPr>
              <w:rPr>
                <w:noProof/>
                <w:sz w:val="14"/>
              </w:rPr>
            </w:pPr>
            <w:r>
              <w:rPr>
                <w:noProof/>
                <w:sz w:val="18"/>
              </w:rPr>
              <w:t>Forpligtelser</w:t>
            </w:r>
          </w:p>
        </w:tc>
        <w:tc>
          <w:tcPr>
            <w:tcW w:w="868" w:type="dxa"/>
            <w:vAlign w:val="center"/>
          </w:tcPr>
          <w:p w:rsidR="00051BBD" w:rsidRDefault="00FD0A5C">
            <w:pPr>
              <w:spacing w:before="20" w:after="20"/>
              <w:jc w:val="right"/>
              <w:rPr>
                <w:noProof/>
              </w:rPr>
            </w:pPr>
            <w:r>
              <w:rPr>
                <w:noProof/>
              </w:rPr>
              <w:t>0,858</w:t>
            </w:r>
          </w:p>
        </w:tc>
        <w:tc>
          <w:tcPr>
            <w:tcW w:w="868" w:type="dxa"/>
            <w:vAlign w:val="center"/>
          </w:tcPr>
          <w:p w:rsidR="00051BBD" w:rsidRDefault="00FD0A5C">
            <w:pPr>
              <w:spacing w:before="20" w:after="20"/>
              <w:jc w:val="right"/>
              <w:rPr>
                <w:noProof/>
              </w:rPr>
            </w:pPr>
            <w:r>
              <w:rPr>
                <w:noProof/>
              </w:rPr>
              <w:t>1,558</w:t>
            </w:r>
          </w:p>
        </w:tc>
        <w:tc>
          <w:tcPr>
            <w:tcW w:w="868" w:type="dxa"/>
            <w:vAlign w:val="center"/>
          </w:tcPr>
          <w:p w:rsidR="00051BBD" w:rsidRDefault="00FD0A5C">
            <w:pPr>
              <w:spacing w:before="20" w:after="20"/>
              <w:jc w:val="right"/>
              <w:rPr>
                <w:noProof/>
              </w:rPr>
            </w:pPr>
            <w:r>
              <w:rPr>
                <w:noProof/>
              </w:rPr>
              <w:t>0,958</w:t>
            </w:r>
          </w:p>
        </w:tc>
        <w:tc>
          <w:tcPr>
            <w:tcW w:w="868" w:type="dxa"/>
            <w:vAlign w:val="center"/>
          </w:tcPr>
          <w:p w:rsidR="00051BBD" w:rsidRDefault="00FD0A5C">
            <w:pPr>
              <w:spacing w:before="20" w:after="20"/>
              <w:jc w:val="right"/>
              <w:rPr>
                <w:noProof/>
              </w:rPr>
            </w:pPr>
            <w:r>
              <w:rPr>
                <w:noProof/>
              </w:rPr>
              <w:t>0,758</w:t>
            </w:r>
          </w:p>
        </w:tc>
        <w:tc>
          <w:tcPr>
            <w:tcW w:w="868" w:type="dxa"/>
            <w:vAlign w:val="center"/>
          </w:tcPr>
          <w:p w:rsidR="00051BBD" w:rsidRDefault="00FD0A5C">
            <w:pPr>
              <w:spacing w:before="20" w:after="20"/>
              <w:jc w:val="right"/>
              <w:rPr>
                <w:noProof/>
              </w:rPr>
            </w:pPr>
            <w:r>
              <w:rPr>
                <w:noProof/>
              </w:rPr>
              <w:t>0,758</w:t>
            </w:r>
          </w:p>
        </w:tc>
        <w:tc>
          <w:tcPr>
            <w:tcW w:w="868" w:type="dxa"/>
            <w:vAlign w:val="center"/>
          </w:tcPr>
          <w:p w:rsidR="00051BBD" w:rsidRDefault="00051BBD">
            <w:pPr>
              <w:spacing w:before="20" w:after="20"/>
              <w:jc w:val="right"/>
              <w:rPr>
                <w:noProof/>
              </w:rPr>
            </w:pPr>
          </w:p>
        </w:tc>
        <w:tc>
          <w:tcPr>
            <w:tcW w:w="868" w:type="dxa"/>
            <w:vAlign w:val="center"/>
          </w:tcPr>
          <w:p w:rsidR="00051BBD" w:rsidRDefault="00051BBD">
            <w:pPr>
              <w:spacing w:before="20" w:after="20"/>
              <w:jc w:val="right"/>
              <w:rPr>
                <w:noProof/>
              </w:rPr>
            </w:pPr>
          </w:p>
        </w:tc>
        <w:tc>
          <w:tcPr>
            <w:tcW w:w="1777" w:type="dxa"/>
            <w:vAlign w:val="center"/>
          </w:tcPr>
          <w:p w:rsidR="00051BBD" w:rsidRDefault="00051BBD">
            <w:pPr>
              <w:spacing w:before="20" w:after="20"/>
              <w:jc w:val="right"/>
              <w:rPr>
                <w:noProof/>
              </w:rPr>
            </w:pPr>
          </w:p>
        </w:tc>
      </w:tr>
      <w:tr w:rsidR="00051BBD">
        <w:tc>
          <w:tcPr>
            <w:tcW w:w="3960" w:type="dxa"/>
            <w:vMerge/>
            <w:shd w:val="clear" w:color="auto" w:fill="C0C0C0"/>
          </w:tcPr>
          <w:p w:rsidR="00051BBD" w:rsidRDefault="00051BBD">
            <w:pPr>
              <w:rPr>
                <w:noProof/>
                <w:sz w:val="20"/>
              </w:rPr>
            </w:pPr>
          </w:p>
        </w:tc>
        <w:tc>
          <w:tcPr>
            <w:tcW w:w="2094" w:type="dxa"/>
            <w:gridSpan w:val="2"/>
            <w:vAlign w:val="center"/>
          </w:tcPr>
          <w:p w:rsidR="00051BBD" w:rsidRDefault="00FD0A5C">
            <w:pPr>
              <w:rPr>
                <w:noProof/>
                <w:sz w:val="14"/>
              </w:rPr>
            </w:pPr>
            <w:r>
              <w:rPr>
                <w:noProof/>
                <w:sz w:val="18"/>
              </w:rPr>
              <w:t>Betalinger</w:t>
            </w:r>
          </w:p>
        </w:tc>
        <w:tc>
          <w:tcPr>
            <w:tcW w:w="868" w:type="dxa"/>
            <w:vAlign w:val="center"/>
          </w:tcPr>
          <w:p w:rsidR="00051BBD" w:rsidRDefault="00FD0A5C">
            <w:pPr>
              <w:spacing w:before="20" w:after="20"/>
              <w:jc w:val="right"/>
              <w:rPr>
                <w:noProof/>
              </w:rPr>
            </w:pPr>
            <w:r>
              <w:rPr>
                <w:noProof/>
              </w:rPr>
              <w:t>0,558</w:t>
            </w:r>
          </w:p>
        </w:tc>
        <w:tc>
          <w:tcPr>
            <w:tcW w:w="868" w:type="dxa"/>
            <w:vAlign w:val="center"/>
          </w:tcPr>
          <w:p w:rsidR="00051BBD" w:rsidRDefault="00FD0A5C">
            <w:pPr>
              <w:spacing w:before="20" w:after="20"/>
              <w:jc w:val="right"/>
              <w:rPr>
                <w:noProof/>
              </w:rPr>
            </w:pPr>
            <w:r>
              <w:rPr>
                <w:noProof/>
              </w:rPr>
              <w:t>0,858</w:t>
            </w:r>
          </w:p>
        </w:tc>
        <w:tc>
          <w:tcPr>
            <w:tcW w:w="868" w:type="dxa"/>
            <w:vAlign w:val="center"/>
          </w:tcPr>
          <w:p w:rsidR="00051BBD" w:rsidRDefault="00FD0A5C">
            <w:pPr>
              <w:spacing w:before="20" w:after="20"/>
              <w:jc w:val="right"/>
              <w:rPr>
                <w:noProof/>
              </w:rPr>
            </w:pPr>
            <w:r>
              <w:rPr>
                <w:noProof/>
              </w:rPr>
              <w:t>1,558</w:t>
            </w:r>
          </w:p>
        </w:tc>
        <w:tc>
          <w:tcPr>
            <w:tcW w:w="868" w:type="dxa"/>
            <w:vAlign w:val="center"/>
          </w:tcPr>
          <w:p w:rsidR="00051BBD" w:rsidRDefault="00FD0A5C">
            <w:pPr>
              <w:spacing w:before="20" w:after="20"/>
              <w:jc w:val="right"/>
              <w:rPr>
                <w:noProof/>
              </w:rPr>
            </w:pPr>
            <w:r>
              <w:rPr>
                <w:noProof/>
              </w:rPr>
              <w:t>0,958</w:t>
            </w:r>
          </w:p>
        </w:tc>
        <w:tc>
          <w:tcPr>
            <w:tcW w:w="868" w:type="dxa"/>
            <w:vAlign w:val="center"/>
          </w:tcPr>
          <w:p w:rsidR="00051BBD" w:rsidRDefault="00FD0A5C">
            <w:pPr>
              <w:spacing w:before="20" w:after="20"/>
              <w:jc w:val="right"/>
              <w:rPr>
                <w:noProof/>
              </w:rPr>
            </w:pPr>
            <w:r>
              <w:rPr>
                <w:noProof/>
              </w:rPr>
              <w:t>0,758</w:t>
            </w:r>
          </w:p>
        </w:tc>
        <w:tc>
          <w:tcPr>
            <w:tcW w:w="868" w:type="dxa"/>
            <w:vAlign w:val="center"/>
          </w:tcPr>
          <w:p w:rsidR="00051BBD" w:rsidRDefault="00051BBD">
            <w:pPr>
              <w:spacing w:before="20" w:after="20"/>
              <w:jc w:val="right"/>
              <w:rPr>
                <w:noProof/>
              </w:rPr>
            </w:pPr>
          </w:p>
        </w:tc>
        <w:tc>
          <w:tcPr>
            <w:tcW w:w="868" w:type="dxa"/>
            <w:vAlign w:val="center"/>
          </w:tcPr>
          <w:p w:rsidR="00051BBD" w:rsidRDefault="00051BBD">
            <w:pPr>
              <w:spacing w:before="20" w:after="20"/>
              <w:jc w:val="right"/>
              <w:rPr>
                <w:noProof/>
              </w:rPr>
            </w:pPr>
          </w:p>
        </w:tc>
        <w:tc>
          <w:tcPr>
            <w:tcW w:w="1777" w:type="dxa"/>
            <w:vAlign w:val="center"/>
          </w:tcPr>
          <w:p w:rsidR="00051BBD" w:rsidRDefault="00051BBD">
            <w:pPr>
              <w:spacing w:before="20" w:after="20"/>
              <w:jc w:val="right"/>
              <w:rPr>
                <w:noProof/>
              </w:rPr>
            </w:pPr>
          </w:p>
        </w:tc>
      </w:tr>
    </w:tbl>
    <w:p w:rsidR="00051BBD" w:rsidRDefault="00051BBD">
      <w:pPr>
        <w:rPr>
          <w:noProof/>
        </w:rPr>
        <w:sectPr w:rsidR="00051BBD">
          <w:pgSz w:w="16840" w:h="11907" w:orient="landscape" w:code="9"/>
          <w:pgMar w:top="1134" w:right="1418" w:bottom="1134" w:left="1418" w:header="709" w:footer="709" w:gutter="0"/>
          <w:cols w:space="708"/>
          <w:docGrid w:linePitch="360"/>
        </w:sectPr>
      </w:pPr>
    </w:p>
    <w:p w:rsidR="00051BBD" w:rsidRDefault="00FD0A5C">
      <w:pPr>
        <w:pStyle w:val="ManualHeading3"/>
        <w:rPr>
          <w:bCs/>
          <w:noProof/>
          <w:szCs w:val="24"/>
        </w:rPr>
      </w:pPr>
      <w:r>
        <w:t>3.2.2.</w:t>
      </w:r>
      <w:r>
        <w:tab/>
      </w:r>
      <w:r>
        <w:rPr>
          <w:noProof/>
        </w:rPr>
        <w:t xml:space="preserve">Anslåede virkninger for aktionsbevillingerne </w:t>
      </w:r>
    </w:p>
    <w:p w:rsidR="00051BBD" w:rsidRDefault="00FD0A5C">
      <w:pPr>
        <w:pStyle w:val="ListDash1"/>
        <w:rPr>
          <w:noProof/>
        </w:rPr>
      </w:pPr>
      <w:r>
        <w:rPr>
          <w:noProof/>
        </w:rPr>
        <w:sym w:font="Wingdings" w:char="F0A8"/>
      </w:r>
      <w:r>
        <w:rPr>
          <w:noProof/>
        </w:rPr>
        <w:tab/>
        <w:t xml:space="preserve">Forslaget/initiativet medfører ikke anvendelse af aktionsbevillinger </w:t>
      </w:r>
    </w:p>
    <w:p w:rsidR="00051BBD" w:rsidRDefault="00FD0A5C">
      <w:pPr>
        <w:pStyle w:val="ListDash1"/>
        <w:rPr>
          <w:noProof/>
        </w:rPr>
      </w:pPr>
      <w:r>
        <w:rPr>
          <w:noProof/>
        </w:rPr>
        <w:sym w:font="Wingdings" w:char="F0FD"/>
      </w:r>
      <w:r>
        <w:rPr>
          <w:noProof/>
        </w:rPr>
        <w:tab/>
      </w:r>
      <w:r>
        <w:rPr>
          <w:noProof/>
        </w:rPr>
        <w:t>Forslaget/initiativet medfører anvendelse af aktionsbevillinger som anført herunder:</w:t>
      </w:r>
    </w:p>
    <w:p w:rsidR="00051BBD" w:rsidRDefault="00FD0A5C">
      <w:pPr>
        <w:jc w:val="right"/>
        <w:rPr>
          <w:noProof/>
          <w:sz w:val="20"/>
        </w:rPr>
      </w:pPr>
      <w:r>
        <w:rPr>
          <w:noProof/>
          <w:sz w:val="20"/>
        </w:rPr>
        <w:t>Forpligtelsesbevillinger i mio. EUR (tre decimaler)</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604"/>
        <w:gridCol w:w="347"/>
        <w:gridCol w:w="504"/>
        <w:gridCol w:w="567"/>
        <w:gridCol w:w="786"/>
        <w:gridCol w:w="432"/>
        <w:gridCol w:w="720"/>
        <w:gridCol w:w="540"/>
        <w:gridCol w:w="720"/>
        <w:gridCol w:w="720"/>
        <w:gridCol w:w="900"/>
      </w:tblGrid>
      <w:tr w:rsidR="00051BBD">
        <w:trPr>
          <w:jc w:val="center"/>
        </w:trPr>
        <w:tc>
          <w:tcPr>
            <w:tcW w:w="1423" w:type="dxa"/>
            <w:vMerge w:val="restart"/>
            <w:vAlign w:val="center"/>
          </w:tcPr>
          <w:p w:rsidR="00051BBD" w:rsidRDefault="00FD0A5C">
            <w:pPr>
              <w:ind w:right="-29"/>
              <w:jc w:val="center"/>
              <w:rPr>
                <w:b/>
                <w:noProof/>
                <w:sz w:val="18"/>
                <w:szCs w:val="18"/>
              </w:rPr>
            </w:pPr>
            <w:r>
              <w:rPr>
                <w:b/>
                <w:noProof/>
                <w:sz w:val="18"/>
              </w:rPr>
              <w:t xml:space="preserve">Der angives mål og resultater </w:t>
            </w:r>
          </w:p>
          <w:p w:rsidR="00051BBD" w:rsidRDefault="00051BBD">
            <w:pPr>
              <w:ind w:right="-29"/>
              <w:jc w:val="center"/>
              <w:rPr>
                <w:b/>
                <w:noProof/>
                <w:sz w:val="18"/>
                <w:szCs w:val="18"/>
              </w:rPr>
            </w:pPr>
          </w:p>
          <w:p w:rsidR="00051BBD" w:rsidRDefault="00FD0A5C">
            <w:pPr>
              <w:ind w:right="-29"/>
              <w:jc w:val="center"/>
              <w:rPr>
                <w:noProof/>
                <w:sz w:val="18"/>
                <w:szCs w:val="18"/>
              </w:rPr>
            </w:pPr>
            <w:r>
              <w:rPr>
                <w:noProof/>
                <w:sz w:val="18"/>
              </w:rPr>
              <w:sym w:font="Wingdings" w:char="F0F2"/>
            </w:r>
          </w:p>
        </w:tc>
        <w:tc>
          <w:tcPr>
            <w:tcW w:w="720" w:type="dxa"/>
            <w:vAlign w:val="center"/>
          </w:tcPr>
          <w:p w:rsidR="00051BBD" w:rsidRDefault="00051BBD">
            <w:pPr>
              <w:ind w:right="-29"/>
              <w:jc w:val="center"/>
              <w:rPr>
                <w:noProof/>
                <w:sz w:val="18"/>
                <w:szCs w:val="18"/>
              </w:rPr>
            </w:pPr>
          </w:p>
        </w:tc>
        <w:tc>
          <w:tcPr>
            <w:tcW w:w="701" w:type="dxa"/>
            <w:vAlign w:val="center"/>
          </w:tcPr>
          <w:p w:rsidR="00051BBD" w:rsidRDefault="00051BBD">
            <w:pPr>
              <w:ind w:right="-29"/>
              <w:jc w:val="center"/>
              <w:rPr>
                <w:noProof/>
                <w:sz w:val="18"/>
                <w:szCs w:val="18"/>
              </w:rPr>
            </w:pPr>
          </w:p>
        </w:tc>
        <w:tc>
          <w:tcPr>
            <w:tcW w:w="1224" w:type="dxa"/>
            <w:gridSpan w:val="2"/>
            <w:tcBorders>
              <w:left w:val="nil"/>
            </w:tcBorders>
            <w:vAlign w:val="center"/>
          </w:tcPr>
          <w:p w:rsidR="00051BBD" w:rsidRDefault="00FD0A5C">
            <w:pPr>
              <w:ind w:right="-29"/>
              <w:jc w:val="center"/>
              <w:rPr>
                <w:noProof/>
                <w:sz w:val="20"/>
                <w:szCs w:val="20"/>
              </w:rPr>
            </w:pPr>
            <w:r>
              <w:rPr>
                <w:noProof/>
                <w:sz w:val="20"/>
                <w:szCs w:val="20"/>
              </w:rPr>
              <w:t xml:space="preserve">År </w:t>
            </w:r>
            <w:r>
              <w:rPr>
                <w:b/>
                <w:noProof/>
                <w:sz w:val="20"/>
                <w:szCs w:val="20"/>
              </w:rPr>
              <w:t>2016</w:t>
            </w:r>
          </w:p>
        </w:tc>
        <w:tc>
          <w:tcPr>
            <w:tcW w:w="1260" w:type="dxa"/>
            <w:gridSpan w:val="2"/>
            <w:vAlign w:val="center"/>
          </w:tcPr>
          <w:p w:rsidR="00051BBD" w:rsidRDefault="00FD0A5C">
            <w:pPr>
              <w:ind w:right="-29"/>
              <w:jc w:val="center"/>
              <w:rPr>
                <w:noProof/>
                <w:sz w:val="20"/>
                <w:szCs w:val="20"/>
              </w:rPr>
            </w:pPr>
            <w:r>
              <w:rPr>
                <w:noProof/>
                <w:sz w:val="20"/>
                <w:szCs w:val="20"/>
              </w:rPr>
              <w:t xml:space="preserve">År </w:t>
            </w:r>
            <w:r>
              <w:rPr>
                <w:b/>
                <w:noProof/>
                <w:sz w:val="20"/>
                <w:szCs w:val="20"/>
              </w:rPr>
              <w:t>2017</w:t>
            </w:r>
          </w:p>
        </w:tc>
        <w:tc>
          <w:tcPr>
            <w:tcW w:w="1440" w:type="dxa"/>
            <w:gridSpan w:val="2"/>
            <w:vAlign w:val="center"/>
          </w:tcPr>
          <w:p w:rsidR="00051BBD" w:rsidRDefault="00FD0A5C">
            <w:pPr>
              <w:ind w:right="-29"/>
              <w:jc w:val="center"/>
              <w:rPr>
                <w:noProof/>
                <w:sz w:val="20"/>
                <w:szCs w:val="20"/>
              </w:rPr>
            </w:pPr>
            <w:r>
              <w:rPr>
                <w:noProof/>
                <w:sz w:val="20"/>
                <w:szCs w:val="20"/>
              </w:rPr>
              <w:t xml:space="preserve">År </w:t>
            </w:r>
            <w:r>
              <w:rPr>
                <w:b/>
                <w:noProof/>
                <w:sz w:val="20"/>
                <w:szCs w:val="20"/>
              </w:rPr>
              <w:t>2018</w:t>
            </w:r>
          </w:p>
        </w:tc>
        <w:tc>
          <w:tcPr>
            <w:tcW w:w="1455" w:type="dxa"/>
            <w:gridSpan w:val="3"/>
            <w:vAlign w:val="center"/>
          </w:tcPr>
          <w:p w:rsidR="00051BBD" w:rsidRDefault="00FD0A5C">
            <w:pPr>
              <w:ind w:right="-29"/>
              <w:jc w:val="center"/>
              <w:rPr>
                <w:noProof/>
                <w:sz w:val="20"/>
                <w:szCs w:val="20"/>
              </w:rPr>
            </w:pPr>
            <w:r>
              <w:rPr>
                <w:noProof/>
                <w:sz w:val="20"/>
                <w:szCs w:val="20"/>
              </w:rPr>
              <w:t xml:space="preserve">År </w:t>
            </w:r>
            <w:r>
              <w:rPr>
                <w:b/>
                <w:noProof/>
                <w:sz w:val="20"/>
                <w:szCs w:val="20"/>
              </w:rPr>
              <w:t>2019</w:t>
            </w:r>
          </w:p>
        </w:tc>
        <w:tc>
          <w:tcPr>
            <w:tcW w:w="3765" w:type="dxa"/>
            <w:gridSpan w:val="6"/>
            <w:vAlign w:val="center"/>
          </w:tcPr>
          <w:p w:rsidR="00051BBD" w:rsidRDefault="00FD0A5C">
            <w:pPr>
              <w:jc w:val="center"/>
              <w:rPr>
                <w:noProof/>
                <w:sz w:val="20"/>
                <w:szCs w:val="20"/>
              </w:rPr>
            </w:pPr>
            <w:r>
              <w:rPr>
                <w:noProof/>
                <w:sz w:val="20"/>
                <w:szCs w:val="20"/>
              </w:rPr>
              <w:t>2020</w:t>
            </w:r>
          </w:p>
        </w:tc>
        <w:tc>
          <w:tcPr>
            <w:tcW w:w="1620" w:type="dxa"/>
            <w:gridSpan w:val="2"/>
            <w:tcBorders>
              <w:left w:val="nil"/>
              <w:bottom w:val="nil"/>
            </w:tcBorders>
            <w:vAlign w:val="center"/>
          </w:tcPr>
          <w:p w:rsidR="00051BBD" w:rsidRDefault="00FD0A5C">
            <w:pPr>
              <w:ind w:right="-29"/>
              <w:jc w:val="center"/>
              <w:rPr>
                <w:noProof/>
                <w:sz w:val="20"/>
                <w:szCs w:val="20"/>
              </w:rPr>
            </w:pPr>
            <w:r>
              <w:rPr>
                <w:b/>
                <w:noProof/>
                <w:sz w:val="20"/>
                <w:szCs w:val="20"/>
              </w:rPr>
              <w:t>I ALT</w:t>
            </w:r>
          </w:p>
        </w:tc>
      </w:tr>
      <w:tr w:rsidR="00051BBD">
        <w:trPr>
          <w:jc w:val="center"/>
        </w:trPr>
        <w:tc>
          <w:tcPr>
            <w:tcW w:w="1423" w:type="dxa"/>
            <w:vMerge/>
            <w:vAlign w:val="center"/>
          </w:tcPr>
          <w:p w:rsidR="00051BBD" w:rsidRDefault="00051BBD">
            <w:pPr>
              <w:ind w:right="-29"/>
              <w:jc w:val="center"/>
              <w:rPr>
                <w:noProof/>
                <w:sz w:val="18"/>
                <w:szCs w:val="18"/>
              </w:rPr>
            </w:pPr>
          </w:p>
        </w:tc>
        <w:tc>
          <w:tcPr>
            <w:tcW w:w="12185" w:type="dxa"/>
            <w:gridSpan w:val="19"/>
            <w:vAlign w:val="center"/>
          </w:tcPr>
          <w:p w:rsidR="00051BBD" w:rsidRDefault="00FD0A5C">
            <w:pPr>
              <w:spacing w:before="60" w:after="60"/>
              <w:ind w:right="-29"/>
              <w:jc w:val="center"/>
              <w:rPr>
                <w:noProof/>
                <w:sz w:val="18"/>
                <w:szCs w:val="18"/>
              </w:rPr>
            </w:pPr>
            <w:r>
              <w:rPr>
                <w:b/>
                <w:noProof/>
                <w:sz w:val="18"/>
              </w:rPr>
              <w:t>RESULTATER</w:t>
            </w:r>
          </w:p>
        </w:tc>
      </w:tr>
      <w:tr w:rsidR="00051BBD">
        <w:trPr>
          <w:cantSplit/>
          <w:trHeight w:val="1134"/>
          <w:jc w:val="center"/>
        </w:trPr>
        <w:tc>
          <w:tcPr>
            <w:tcW w:w="1423" w:type="dxa"/>
            <w:vMerge/>
            <w:vAlign w:val="center"/>
          </w:tcPr>
          <w:p w:rsidR="00051BBD" w:rsidRDefault="00051BBD">
            <w:pPr>
              <w:rPr>
                <w:noProof/>
                <w:sz w:val="18"/>
                <w:szCs w:val="18"/>
              </w:rPr>
            </w:pPr>
          </w:p>
        </w:tc>
        <w:tc>
          <w:tcPr>
            <w:tcW w:w="720" w:type="dxa"/>
            <w:vAlign w:val="center"/>
          </w:tcPr>
          <w:p w:rsidR="00051BBD" w:rsidRDefault="00FD0A5C">
            <w:pPr>
              <w:jc w:val="center"/>
              <w:rPr>
                <w:noProof/>
                <w:sz w:val="18"/>
                <w:szCs w:val="18"/>
              </w:rPr>
            </w:pPr>
            <w:r>
              <w:rPr>
                <w:noProof/>
                <w:sz w:val="18"/>
              </w:rPr>
              <w:t>Type</w:t>
            </w:r>
            <w:r>
              <w:rPr>
                <w:rStyle w:val="FootnoteReference"/>
                <w:noProof/>
                <w:sz w:val="18"/>
              </w:rPr>
              <w:footnoteReference w:id="24"/>
            </w:r>
          </w:p>
          <w:p w:rsidR="00051BBD" w:rsidRDefault="00051BBD">
            <w:pPr>
              <w:spacing w:before="0" w:after="0"/>
              <w:jc w:val="center"/>
              <w:rPr>
                <w:noProof/>
                <w:sz w:val="18"/>
                <w:szCs w:val="18"/>
              </w:rPr>
            </w:pPr>
          </w:p>
        </w:tc>
        <w:tc>
          <w:tcPr>
            <w:tcW w:w="701" w:type="dxa"/>
            <w:vAlign w:val="center"/>
          </w:tcPr>
          <w:p w:rsidR="00051BBD" w:rsidRDefault="00FD0A5C">
            <w:pPr>
              <w:jc w:val="center"/>
              <w:rPr>
                <w:noProof/>
                <w:sz w:val="18"/>
                <w:szCs w:val="18"/>
              </w:rPr>
            </w:pPr>
            <w:r>
              <w:rPr>
                <w:noProof/>
                <w:sz w:val="18"/>
              </w:rPr>
              <w:t xml:space="preserve">Gen-nem-snit-lige </w:t>
            </w:r>
            <w:r>
              <w:rPr>
                <w:noProof/>
                <w:sz w:val="18"/>
              </w:rPr>
              <w:t>om-kost-ninger</w:t>
            </w:r>
          </w:p>
        </w:tc>
        <w:tc>
          <w:tcPr>
            <w:tcW w:w="504" w:type="dxa"/>
            <w:tcBorders>
              <w:left w:val="nil"/>
              <w:right w:val="dashSmallGap" w:sz="4" w:space="0" w:color="auto"/>
            </w:tcBorders>
            <w:shd w:val="pct10" w:color="auto" w:fill="auto"/>
            <w:textDirection w:val="btLr"/>
            <w:vAlign w:val="center"/>
          </w:tcPr>
          <w:p w:rsidR="00051BBD" w:rsidRDefault="00FD0A5C">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051BBD" w:rsidRDefault="00FD0A5C">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540" w:type="dxa"/>
            <w:tcBorders>
              <w:right w:val="dashSmallGap" w:sz="4" w:space="0" w:color="auto"/>
            </w:tcBorders>
            <w:shd w:val="pct10" w:color="auto" w:fill="auto"/>
            <w:textDirection w:val="btLr"/>
            <w:vAlign w:val="center"/>
          </w:tcPr>
          <w:p w:rsidR="00051BBD" w:rsidRDefault="00FD0A5C">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051BBD" w:rsidRDefault="00FD0A5C">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720" w:type="dxa"/>
            <w:tcBorders>
              <w:right w:val="dashSmallGap" w:sz="4" w:space="0" w:color="auto"/>
            </w:tcBorders>
            <w:shd w:val="pct10" w:color="auto" w:fill="auto"/>
            <w:textDirection w:val="btLr"/>
            <w:vAlign w:val="center"/>
          </w:tcPr>
          <w:p w:rsidR="00051BBD" w:rsidRDefault="00FD0A5C">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051BBD" w:rsidRDefault="00FD0A5C">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604" w:type="dxa"/>
            <w:tcBorders>
              <w:right w:val="dashSmallGap" w:sz="4" w:space="0" w:color="auto"/>
            </w:tcBorders>
            <w:shd w:val="pct10" w:color="auto" w:fill="auto"/>
            <w:textDirection w:val="btLr"/>
            <w:vAlign w:val="center"/>
          </w:tcPr>
          <w:p w:rsidR="00051BBD" w:rsidRDefault="00FD0A5C">
            <w:pPr>
              <w:ind w:left="113" w:right="113"/>
              <w:jc w:val="center"/>
              <w:rPr>
                <w:noProof/>
                <w:sz w:val="18"/>
                <w:szCs w:val="18"/>
              </w:rPr>
            </w:pPr>
            <w:r>
              <w:rPr>
                <w:noProof/>
                <w:sz w:val="18"/>
              </w:rPr>
              <w:t>Antal</w:t>
            </w:r>
          </w:p>
        </w:tc>
        <w:tc>
          <w:tcPr>
            <w:tcW w:w="851" w:type="dxa"/>
            <w:gridSpan w:val="2"/>
            <w:tcBorders>
              <w:left w:val="dashSmallGap" w:sz="4" w:space="0" w:color="auto"/>
            </w:tcBorders>
            <w:shd w:val="pct10" w:color="auto" w:fill="auto"/>
            <w:vAlign w:val="center"/>
          </w:tcPr>
          <w:p w:rsidR="00051BBD" w:rsidRDefault="00FD0A5C">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567" w:type="dxa"/>
            <w:tcBorders>
              <w:right w:val="dashSmallGap" w:sz="4" w:space="0" w:color="auto"/>
            </w:tcBorders>
            <w:shd w:val="pct10" w:color="auto" w:fill="auto"/>
            <w:textDirection w:val="btLr"/>
            <w:vAlign w:val="center"/>
          </w:tcPr>
          <w:p w:rsidR="00051BBD" w:rsidRDefault="00FD0A5C">
            <w:pPr>
              <w:ind w:left="113" w:right="113"/>
              <w:jc w:val="center"/>
              <w:rPr>
                <w:noProof/>
                <w:sz w:val="18"/>
                <w:szCs w:val="18"/>
              </w:rPr>
            </w:pPr>
            <w:r>
              <w:rPr>
                <w:noProof/>
                <w:sz w:val="18"/>
              </w:rPr>
              <w:t>Antal</w:t>
            </w:r>
          </w:p>
        </w:tc>
        <w:tc>
          <w:tcPr>
            <w:tcW w:w="786" w:type="dxa"/>
            <w:tcBorders>
              <w:left w:val="dashSmallGap" w:sz="4" w:space="0" w:color="auto"/>
            </w:tcBorders>
            <w:shd w:val="pct10" w:color="auto" w:fill="auto"/>
            <w:vAlign w:val="center"/>
          </w:tcPr>
          <w:p w:rsidR="00051BBD" w:rsidRDefault="00FD0A5C">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432" w:type="dxa"/>
            <w:tcBorders>
              <w:right w:val="dashSmallGap" w:sz="4" w:space="0" w:color="auto"/>
            </w:tcBorders>
            <w:shd w:val="pct10" w:color="auto" w:fill="auto"/>
            <w:textDirection w:val="btLr"/>
            <w:vAlign w:val="center"/>
          </w:tcPr>
          <w:p w:rsidR="00051BBD" w:rsidRDefault="00FD0A5C">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051BBD" w:rsidRDefault="00FD0A5C">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540" w:type="dxa"/>
            <w:tcBorders>
              <w:right w:val="dashSmallGap" w:sz="4" w:space="0" w:color="auto"/>
            </w:tcBorders>
            <w:shd w:val="pct10" w:color="auto" w:fill="auto"/>
            <w:textDirection w:val="btLr"/>
            <w:vAlign w:val="center"/>
          </w:tcPr>
          <w:p w:rsidR="00051BBD" w:rsidRDefault="00FD0A5C">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051BBD" w:rsidRDefault="00FD0A5C">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720" w:type="dxa"/>
            <w:tcBorders>
              <w:right w:val="dashSmallGap" w:sz="4" w:space="0" w:color="auto"/>
            </w:tcBorders>
            <w:shd w:val="pct10" w:color="auto" w:fill="auto"/>
            <w:vAlign w:val="center"/>
          </w:tcPr>
          <w:p w:rsidR="00051BBD" w:rsidRDefault="00FD0A5C">
            <w:pPr>
              <w:jc w:val="center"/>
              <w:rPr>
                <w:noProof/>
                <w:sz w:val="18"/>
                <w:szCs w:val="18"/>
              </w:rPr>
            </w:pPr>
            <w:r>
              <w:rPr>
                <w:noProof/>
                <w:sz w:val="18"/>
              </w:rPr>
              <w:t>Antal resul</w:t>
            </w:r>
            <w:r>
              <w:rPr>
                <w:noProof/>
              </w:rPr>
              <w:softHyphen/>
            </w:r>
            <w:r>
              <w:rPr>
                <w:noProof/>
                <w:sz w:val="18"/>
              </w:rPr>
              <w:t>tater i alt</w:t>
            </w:r>
          </w:p>
        </w:tc>
        <w:tc>
          <w:tcPr>
            <w:tcW w:w="900" w:type="dxa"/>
            <w:tcBorders>
              <w:left w:val="dashSmallGap" w:sz="4" w:space="0" w:color="auto"/>
            </w:tcBorders>
            <w:shd w:val="pct10" w:color="auto" w:fill="auto"/>
            <w:vAlign w:val="center"/>
          </w:tcPr>
          <w:p w:rsidR="00051BBD" w:rsidRDefault="00FD0A5C">
            <w:pPr>
              <w:jc w:val="center"/>
              <w:rPr>
                <w:noProof/>
                <w:sz w:val="18"/>
                <w:szCs w:val="18"/>
              </w:rPr>
            </w:pPr>
            <w:r>
              <w:rPr>
                <w:noProof/>
                <w:sz w:val="18"/>
              </w:rPr>
              <w:t>Om</w:t>
            </w:r>
            <w:r>
              <w:rPr>
                <w:noProof/>
              </w:rPr>
              <w:softHyphen/>
            </w:r>
            <w:r>
              <w:rPr>
                <w:noProof/>
                <w:sz w:val="18"/>
              </w:rPr>
              <w:t>kost</w:t>
            </w:r>
            <w:r>
              <w:rPr>
                <w:noProof/>
              </w:rPr>
              <w:softHyphen/>
            </w:r>
            <w:r>
              <w:rPr>
                <w:noProof/>
                <w:sz w:val="18"/>
              </w:rPr>
              <w:t>ninger i alt</w:t>
            </w:r>
          </w:p>
        </w:tc>
      </w:tr>
      <w:tr w:rsidR="00051BBD">
        <w:trPr>
          <w:jc w:val="center"/>
        </w:trPr>
        <w:tc>
          <w:tcPr>
            <w:tcW w:w="2844" w:type="dxa"/>
            <w:gridSpan w:val="3"/>
            <w:vAlign w:val="center"/>
          </w:tcPr>
          <w:p w:rsidR="00051BBD" w:rsidRDefault="00FD0A5C">
            <w:pPr>
              <w:spacing w:before="60" w:after="60"/>
              <w:ind w:right="-29"/>
              <w:jc w:val="center"/>
              <w:rPr>
                <w:noProof/>
                <w:sz w:val="18"/>
                <w:szCs w:val="18"/>
              </w:rPr>
            </w:pPr>
            <w:r>
              <w:rPr>
                <w:noProof/>
                <w:sz w:val="18"/>
              </w:rPr>
              <w:t>SPECIFIKT MÅL NR. 1</w:t>
            </w:r>
            <w:r>
              <w:rPr>
                <w:rStyle w:val="FootnoteReference"/>
                <w:noProof/>
                <w:sz w:val="18"/>
              </w:rPr>
              <w:footnoteReference w:id="25"/>
            </w:r>
            <w:r>
              <w:rPr>
                <w:noProof/>
                <w:sz w:val="18"/>
              </w:rPr>
              <w:t>...</w:t>
            </w:r>
          </w:p>
        </w:tc>
        <w:tc>
          <w:tcPr>
            <w:tcW w:w="504" w:type="dxa"/>
            <w:tcBorders>
              <w:top w:val="nil"/>
              <w:left w:val="nil"/>
              <w:bottom w:val="nil"/>
              <w:right w:val="nil"/>
            </w:tcBorders>
          </w:tcPr>
          <w:p w:rsidR="00051BBD" w:rsidRDefault="00051BBD">
            <w:pPr>
              <w:spacing w:before="60" w:after="60"/>
              <w:ind w:right="-29"/>
              <w:jc w:val="center"/>
              <w:rPr>
                <w:noProof/>
                <w:sz w:val="18"/>
                <w:szCs w:val="18"/>
              </w:rPr>
            </w:pPr>
          </w:p>
        </w:tc>
        <w:tc>
          <w:tcPr>
            <w:tcW w:w="720" w:type="dxa"/>
            <w:tcBorders>
              <w:top w:val="nil"/>
              <w:left w:val="nil"/>
              <w:bottom w:val="nil"/>
              <w:right w:val="nil"/>
            </w:tcBorders>
          </w:tcPr>
          <w:p w:rsidR="00051BBD" w:rsidRDefault="00051BBD">
            <w:pPr>
              <w:spacing w:before="60" w:after="60"/>
              <w:ind w:right="-29"/>
              <w:jc w:val="center"/>
              <w:rPr>
                <w:noProof/>
                <w:sz w:val="18"/>
                <w:szCs w:val="18"/>
              </w:rPr>
            </w:pPr>
          </w:p>
        </w:tc>
        <w:tc>
          <w:tcPr>
            <w:tcW w:w="540" w:type="dxa"/>
            <w:tcBorders>
              <w:top w:val="nil"/>
              <w:left w:val="nil"/>
              <w:bottom w:val="nil"/>
              <w:right w:val="nil"/>
            </w:tcBorders>
          </w:tcPr>
          <w:p w:rsidR="00051BBD" w:rsidRDefault="00051BBD">
            <w:pPr>
              <w:spacing w:before="60" w:after="60"/>
              <w:ind w:right="-29"/>
              <w:jc w:val="center"/>
              <w:rPr>
                <w:noProof/>
                <w:sz w:val="18"/>
                <w:szCs w:val="18"/>
              </w:rPr>
            </w:pPr>
          </w:p>
        </w:tc>
        <w:tc>
          <w:tcPr>
            <w:tcW w:w="720" w:type="dxa"/>
            <w:tcBorders>
              <w:top w:val="nil"/>
              <w:left w:val="nil"/>
              <w:bottom w:val="nil"/>
              <w:right w:val="nil"/>
            </w:tcBorders>
          </w:tcPr>
          <w:p w:rsidR="00051BBD" w:rsidRDefault="00051BBD">
            <w:pPr>
              <w:spacing w:before="60" w:after="60"/>
              <w:ind w:right="-29"/>
              <w:jc w:val="center"/>
              <w:rPr>
                <w:noProof/>
                <w:sz w:val="18"/>
                <w:szCs w:val="18"/>
              </w:rPr>
            </w:pPr>
          </w:p>
        </w:tc>
        <w:tc>
          <w:tcPr>
            <w:tcW w:w="720" w:type="dxa"/>
            <w:tcBorders>
              <w:top w:val="nil"/>
              <w:left w:val="nil"/>
              <w:bottom w:val="nil"/>
              <w:right w:val="nil"/>
            </w:tcBorders>
          </w:tcPr>
          <w:p w:rsidR="00051BBD" w:rsidRDefault="00051BBD">
            <w:pPr>
              <w:spacing w:before="60" w:after="60"/>
              <w:ind w:right="-29"/>
              <w:jc w:val="center"/>
              <w:rPr>
                <w:noProof/>
                <w:sz w:val="18"/>
                <w:szCs w:val="18"/>
              </w:rPr>
            </w:pPr>
          </w:p>
        </w:tc>
        <w:tc>
          <w:tcPr>
            <w:tcW w:w="720" w:type="dxa"/>
            <w:tcBorders>
              <w:top w:val="nil"/>
              <w:left w:val="nil"/>
              <w:bottom w:val="nil"/>
              <w:right w:val="nil"/>
            </w:tcBorders>
          </w:tcPr>
          <w:p w:rsidR="00051BBD" w:rsidRDefault="00051BBD">
            <w:pPr>
              <w:spacing w:before="60" w:after="60"/>
              <w:ind w:right="-29"/>
              <w:jc w:val="center"/>
              <w:rPr>
                <w:noProof/>
                <w:sz w:val="18"/>
                <w:szCs w:val="18"/>
              </w:rPr>
            </w:pPr>
          </w:p>
        </w:tc>
        <w:tc>
          <w:tcPr>
            <w:tcW w:w="604" w:type="dxa"/>
            <w:tcBorders>
              <w:top w:val="nil"/>
              <w:left w:val="nil"/>
              <w:bottom w:val="nil"/>
              <w:right w:val="nil"/>
            </w:tcBorders>
          </w:tcPr>
          <w:p w:rsidR="00051BBD" w:rsidRDefault="00051BBD">
            <w:pPr>
              <w:spacing w:before="60" w:after="60"/>
              <w:ind w:right="-29"/>
              <w:jc w:val="center"/>
              <w:rPr>
                <w:noProof/>
                <w:sz w:val="18"/>
                <w:szCs w:val="18"/>
              </w:rPr>
            </w:pPr>
          </w:p>
        </w:tc>
        <w:tc>
          <w:tcPr>
            <w:tcW w:w="851" w:type="dxa"/>
            <w:gridSpan w:val="2"/>
            <w:tcBorders>
              <w:top w:val="nil"/>
              <w:left w:val="nil"/>
              <w:bottom w:val="nil"/>
              <w:right w:val="nil"/>
            </w:tcBorders>
          </w:tcPr>
          <w:p w:rsidR="00051BBD" w:rsidRDefault="00051BBD">
            <w:pPr>
              <w:spacing w:before="60" w:after="60"/>
              <w:ind w:right="-29"/>
              <w:jc w:val="center"/>
              <w:rPr>
                <w:noProof/>
                <w:sz w:val="18"/>
                <w:szCs w:val="18"/>
              </w:rPr>
            </w:pPr>
          </w:p>
        </w:tc>
        <w:tc>
          <w:tcPr>
            <w:tcW w:w="567" w:type="dxa"/>
            <w:tcBorders>
              <w:top w:val="nil"/>
              <w:left w:val="nil"/>
              <w:bottom w:val="nil"/>
              <w:right w:val="nil"/>
            </w:tcBorders>
          </w:tcPr>
          <w:p w:rsidR="00051BBD" w:rsidRDefault="00051BBD">
            <w:pPr>
              <w:spacing w:before="60" w:after="60"/>
              <w:ind w:right="-29"/>
              <w:jc w:val="center"/>
              <w:rPr>
                <w:noProof/>
                <w:sz w:val="18"/>
                <w:szCs w:val="18"/>
              </w:rPr>
            </w:pPr>
          </w:p>
        </w:tc>
        <w:tc>
          <w:tcPr>
            <w:tcW w:w="786" w:type="dxa"/>
            <w:tcBorders>
              <w:top w:val="nil"/>
              <w:left w:val="nil"/>
              <w:bottom w:val="nil"/>
              <w:right w:val="nil"/>
            </w:tcBorders>
          </w:tcPr>
          <w:p w:rsidR="00051BBD" w:rsidRDefault="00051BBD">
            <w:pPr>
              <w:spacing w:before="60" w:after="60"/>
              <w:ind w:right="-29"/>
              <w:jc w:val="center"/>
              <w:rPr>
                <w:noProof/>
                <w:sz w:val="18"/>
                <w:szCs w:val="18"/>
              </w:rPr>
            </w:pPr>
          </w:p>
        </w:tc>
        <w:tc>
          <w:tcPr>
            <w:tcW w:w="432" w:type="dxa"/>
            <w:tcBorders>
              <w:top w:val="nil"/>
              <w:left w:val="nil"/>
              <w:bottom w:val="nil"/>
              <w:right w:val="nil"/>
            </w:tcBorders>
          </w:tcPr>
          <w:p w:rsidR="00051BBD" w:rsidRDefault="00051BBD">
            <w:pPr>
              <w:spacing w:before="60" w:after="60"/>
              <w:ind w:right="-29"/>
              <w:jc w:val="center"/>
              <w:rPr>
                <w:noProof/>
                <w:sz w:val="18"/>
                <w:szCs w:val="18"/>
              </w:rPr>
            </w:pPr>
          </w:p>
        </w:tc>
        <w:tc>
          <w:tcPr>
            <w:tcW w:w="720" w:type="dxa"/>
            <w:tcBorders>
              <w:top w:val="nil"/>
              <w:left w:val="nil"/>
              <w:bottom w:val="nil"/>
              <w:right w:val="nil"/>
            </w:tcBorders>
          </w:tcPr>
          <w:p w:rsidR="00051BBD" w:rsidRDefault="00051BBD">
            <w:pPr>
              <w:spacing w:before="60" w:after="60"/>
              <w:ind w:right="-29"/>
              <w:jc w:val="center"/>
              <w:rPr>
                <w:noProof/>
                <w:sz w:val="18"/>
                <w:szCs w:val="18"/>
              </w:rPr>
            </w:pPr>
          </w:p>
        </w:tc>
        <w:tc>
          <w:tcPr>
            <w:tcW w:w="540" w:type="dxa"/>
            <w:tcBorders>
              <w:top w:val="nil"/>
              <w:left w:val="nil"/>
              <w:bottom w:val="nil"/>
              <w:right w:val="nil"/>
            </w:tcBorders>
          </w:tcPr>
          <w:p w:rsidR="00051BBD" w:rsidRDefault="00051BBD">
            <w:pPr>
              <w:spacing w:before="60" w:after="60"/>
              <w:ind w:right="-29"/>
              <w:jc w:val="center"/>
              <w:rPr>
                <w:noProof/>
                <w:sz w:val="18"/>
                <w:szCs w:val="18"/>
              </w:rPr>
            </w:pPr>
          </w:p>
        </w:tc>
        <w:tc>
          <w:tcPr>
            <w:tcW w:w="720" w:type="dxa"/>
            <w:tcBorders>
              <w:top w:val="nil"/>
              <w:left w:val="nil"/>
              <w:bottom w:val="nil"/>
              <w:right w:val="nil"/>
            </w:tcBorders>
          </w:tcPr>
          <w:p w:rsidR="00051BBD" w:rsidRDefault="00051BBD">
            <w:pPr>
              <w:spacing w:before="60" w:after="60"/>
              <w:ind w:right="-29"/>
              <w:jc w:val="center"/>
              <w:rPr>
                <w:noProof/>
                <w:sz w:val="18"/>
                <w:szCs w:val="18"/>
              </w:rPr>
            </w:pPr>
          </w:p>
        </w:tc>
        <w:tc>
          <w:tcPr>
            <w:tcW w:w="720" w:type="dxa"/>
            <w:tcBorders>
              <w:top w:val="nil"/>
              <w:left w:val="nil"/>
              <w:bottom w:val="nil"/>
              <w:right w:val="nil"/>
            </w:tcBorders>
          </w:tcPr>
          <w:p w:rsidR="00051BBD" w:rsidRDefault="00051BBD">
            <w:pPr>
              <w:spacing w:before="60" w:after="60"/>
              <w:ind w:right="-29"/>
              <w:jc w:val="center"/>
              <w:rPr>
                <w:noProof/>
                <w:sz w:val="18"/>
                <w:szCs w:val="18"/>
              </w:rPr>
            </w:pPr>
          </w:p>
        </w:tc>
        <w:tc>
          <w:tcPr>
            <w:tcW w:w="900" w:type="dxa"/>
            <w:tcBorders>
              <w:top w:val="nil"/>
              <w:left w:val="nil"/>
              <w:bottom w:val="nil"/>
              <w:right w:val="nil"/>
            </w:tcBorders>
          </w:tcPr>
          <w:p w:rsidR="00051BBD" w:rsidRDefault="00051BBD">
            <w:pPr>
              <w:spacing w:before="60" w:after="60"/>
              <w:ind w:right="-29"/>
              <w:jc w:val="center"/>
              <w:rPr>
                <w:noProof/>
                <w:sz w:val="18"/>
                <w:szCs w:val="18"/>
              </w:rPr>
            </w:pPr>
          </w:p>
        </w:tc>
      </w:tr>
      <w:tr w:rsidR="00051BBD">
        <w:trPr>
          <w:trHeight w:hRule="exact" w:val="369"/>
          <w:jc w:val="center"/>
        </w:trPr>
        <w:tc>
          <w:tcPr>
            <w:tcW w:w="1423" w:type="dxa"/>
          </w:tcPr>
          <w:p w:rsidR="00051BBD" w:rsidRDefault="00FD0A5C">
            <w:pPr>
              <w:ind w:right="-29"/>
              <w:jc w:val="center"/>
              <w:rPr>
                <w:noProof/>
                <w:sz w:val="18"/>
                <w:szCs w:val="18"/>
              </w:rPr>
            </w:pPr>
            <w:r>
              <w:rPr>
                <w:noProof/>
                <w:sz w:val="18"/>
              </w:rPr>
              <w:t>- Resultat</w:t>
            </w:r>
          </w:p>
        </w:tc>
        <w:tc>
          <w:tcPr>
            <w:tcW w:w="720" w:type="dxa"/>
          </w:tcPr>
          <w:p w:rsidR="00051BBD" w:rsidRDefault="00051BBD">
            <w:pPr>
              <w:ind w:right="-29"/>
              <w:jc w:val="center"/>
              <w:rPr>
                <w:noProof/>
                <w:sz w:val="18"/>
                <w:szCs w:val="18"/>
              </w:rPr>
            </w:pPr>
          </w:p>
        </w:tc>
        <w:tc>
          <w:tcPr>
            <w:tcW w:w="701" w:type="dxa"/>
          </w:tcPr>
          <w:p w:rsidR="00051BBD" w:rsidRDefault="00051BBD">
            <w:pPr>
              <w:ind w:right="-29"/>
              <w:jc w:val="center"/>
              <w:rPr>
                <w:noProof/>
                <w:sz w:val="18"/>
                <w:szCs w:val="18"/>
              </w:rPr>
            </w:pPr>
          </w:p>
        </w:tc>
        <w:tc>
          <w:tcPr>
            <w:tcW w:w="504" w:type="dxa"/>
            <w:tcBorders>
              <w:right w:val="dashSmallGap" w:sz="4" w:space="0" w:color="auto"/>
            </w:tcBorders>
          </w:tcPr>
          <w:p w:rsidR="00051BBD" w:rsidRDefault="00051BBD">
            <w:pPr>
              <w:ind w:right="-29"/>
              <w:jc w:val="center"/>
              <w:rPr>
                <w:noProof/>
                <w:sz w:val="18"/>
                <w:szCs w:val="18"/>
              </w:rPr>
            </w:pPr>
          </w:p>
        </w:tc>
        <w:tc>
          <w:tcPr>
            <w:tcW w:w="720" w:type="dxa"/>
            <w:tcBorders>
              <w:left w:val="dashSmallGap" w:sz="4" w:space="0" w:color="auto"/>
            </w:tcBorders>
          </w:tcPr>
          <w:p w:rsidR="00051BBD" w:rsidRDefault="00051BBD">
            <w:pPr>
              <w:ind w:right="-29"/>
              <w:jc w:val="center"/>
              <w:rPr>
                <w:noProof/>
                <w:sz w:val="18"/>
                <w:szCs w:val="18"/>
              </w:rPr>
            </w:pPr>
          </w:p>
        </w:tc>
        <w:tc>
          <w:tcPr>
            <w:tcW w:w="540" w:type="dxa"/>
            <w:tcBorders>
              <w:right w:val="dashSmallGap" w:sz="4" w:space="0" w:color="auto"/>
            </w:tcBorders>
          </w:tcPr>
          <w:p w:rsidR="00051BBD" w:rsidRDefault="00051BBD">
            <w:pPr>
              <w:ind w:right="-29"/>
              <w:jc w:val="center"/>
              <w:rPr>
                <w:noProof/>
                <w:sz w:val="18"/>
                <w:szCs w:val="18"/>
              </w:rPr>
            </w:pPr>
          </w:p>
        </w:tc>
        <w:tc>
          <w:tcPr>
            <w:tcW w:w="720" w:type="dxa"/>
            <w:tcBorders>
              <w:left w:val="dashSmallGap" w:sz="4" w:space="0" w:color="auto"/>
            </w:tcBorders>
          </w:tcPr>
          <w:p w:rsidR="00051BBD" w:rsidRDefault="00051BBD">
            <w:pPr>
              <w:ind w:right="-29"/>
              <w:jc w:val="center"/>
              <w:rPr>
                <w:noProof/>
                <w:sz w:val="18"/>
                <w:szCs w:val="18"/>
              </w:rPr>
            </w:pPr>
          </w:p>
        </w:tc>
        <w:tc>
          <w:tcPr>
            <w:tcW w:w="720" w:type="dxa"/>
            <w:tcBorders>
              <w:right w:val="dashSmallGap" w:sz="4" w:space="0" w:color="auto"/>
            </w:tcBorders>
          </w:tcPr>
          <w:p w:rsidR="00051BBD" w:rsidRDefault="00051BBD">
            <w:pPr>
              <w:ind w:right="-29"/>
              <w:jc w:val="center"/>
              <w:rPr>
                <w:noProof/>
                <w:sz w:val="18"/>
                <w:szCs w:val="18"/>
              </w:rPr>
            </w:pPr>
          </w:p>
        </w:tc>
        <w:tc>
          <w:tcPr>
            <w:tcW w:w="720" w:type="dxa"/>
            <w:tcBorders>
              <w:left w:val="dashSmallGap" w:sz="4" w:space="0" w:color="auto"/>
            </w:tcBorders>
          </w:tcPr>
          <w:p w:rsidR="00051BBD" w:rsidRDefault="00051BBD">
            <w:pPr>
              <w:ind w:right="-29"/>
              <w:jc w:val="center"/>
              <w:rPr>
                <w:noProof/>
                <w:sz w:val="18"/>
                <w:szCs w:val="18"/>
              </w:rPr>
            </w:pPr>
          </w:p>
        </w:tc>
        <w:tc>
          <w:tcPr>
            <w:tcW w:w="604" w:type="dxa"/>
            <w:tcBorders>
              <w:right w:val="dashSmallGap" w:sz="4" w:space="0" w:color="auto"/>
            </w:tcBorders>
          </w:tcPr>
          <w:p w:rsidR="00051BBD" w:rsidRDefault="00051BBD">
            <w:pPr>
              <w:ind w:right="-29"/>
              <w:jc w:val="center"/>
              <w:rPr>
                <w:noProof/>
                <w:sz w:val="18"/>
                <w:szCs w:val="18"/>
              </w:rPr>
            </w:pPr>
          </w:p>
        </w:tc>
        <w:tc>
          <w:tcPr>
            <w:tcW w:w="851" w:type="dxa"/>
            <w:gridSpan w:val="2"/>
            <w:tcBorders>
              <w:left w:val="dashSmallGap" w:sz="4" w:space="0" w:color="auto"/>
            </w:tcBorders>
          </w:tcPr>
          <w:p w:rsidR="00051BBD" w:rsidRDefault="00051BBD">
            <w:pPr>
              <w:ind w:right="-29"/>
              <w:jc w:val="center"/>
              <w:rPr>
                <w:noProof/>
                <w:sz w:val="18"/>
                <w:szCs w:val="18"/>
              </w:rPr>
            </w:pPr>
          </w:p>
        </w:tc>
        <w:tc>
          <w:tcPr>
            <w:tcW w:w="567" w:type="dxa"/>
            <w:tcBorders>
              <w:right w:val="dashSmallGap" w:sz="4" w:space="0" w:color="auto"/>
            </w:tcBorders>
          </w:tcPr>
          <w:p w:rsidR="00051BBD" w:rsidRDefault="00051BBD">
            <w:pPr>
              <w:ind w:right="-29"/>
              <w:jc w:val="center"/>
              <w:rPr>
                <w:noProof/>
                <w:sz w:val="18"/>
                <w:szCs w:val="18"/>
              </w:rPr>
            </w:pPr>
          </w:p>
        </w:tc>
        <w:tc>
          <w:tcPr>
            <w:tcW w:w="786" w:type="dxa"/>
            <w:tcBorders>
              <w:left w:val="dashSmallGap" w:sz="4" w:space="0" w:color="auto"/>
            </w:tcBorders>
          </w:tcPr>
          <w:p w:rsidR="00051BBD" w:rsidRDefault="00051BBD">
            <w:pPr>
              <w:ind w:right="-29"/>
              <w:jc w:val="center"/>
              <w:rPr>
                <w:noProof/>
                <w:sz w:val="18"/>
                <w:szCs w:val="18"/>
              </w:rPr>
            </w:pPr>
          </w:p>
        </w:tc>
        <w:tc>
          <w:tcPr>
            <w:tcW w:w="432" w:type="dxa"/>
            <w:tcBorders>
              <w:right w:val="dashSmallGap" w:sz="4" w:space="0" w:color="auto"/>
            </w:tcBorders>
          </w:tcPr>
          <w:p w:rsidR="00051BBD" w:rsidRDefault="00051BBD">
            <w:pPr>
              <w:ind w:right="-29"/>
              <w:jc w:val="center"/>
              <w:rPr>
                <w:noProof/>
                <w:sz w:val="18"/>
                <w:szCs w:val="18"/>
              </w:rPr>
            </w:pPr>
          </w:p>
        </w:tc>
        <w:tc>
          <w:tcPr>
            <w:tcW w:w="720" w:type="dxa"/>
            <w:tcBorders>
              <w:left w:val="dashSmallGap" w:sz="4" w:space="0" w:color="auto"/>
            </w:tcBorders>
          </w:tcPr>
          <w:p w:rsidR="00051BBD" w:rsidRDefault="00051BBD">
            <w:pPr>
              <w:ind w:right="-29"/>
              <w:jc w:val="center"/>
              <w:rPr>
                <w:noProof/>
                <w:sz w:val="18"/>
                <w:szCs w:val="18"/>
              </w:rPr>
            </w:pPr>
          </w:p>
        </w:tc>
        <w:tc>
          <w:tcPr>
            <w:tcW w:w="540" w:type="dxa"/>
            <w:tcBorders>
              <w:right w:val="dashSmallGap" w:sz="4" w:space="0" w:color="auto"/>
            </w:tcBorders>
          </w:tcPr>
          <w:p w:rsidR="00051BBD" w:rsidRDefault="00051BBD">
            <w:pPr>
              <w:ind w:right="-29"/>
              <w:jc w:val="center"/>
              <w:rPr>
                <w:noProof/>
                <w:sz w:val="18"/>
                <w:szCs w:val="18"/>
              </w:rPr>
            </w:pPr>
          </w:p>
        </w:tc>
        <w:tc>
          <w:tcPr>
            <w:tcW w:w="720" w:type="dxa"/>
            <w:tcBorders>
              <w:left w:val="dashSmallGap" w:sz="4" w:space="0" w:color="auto"/>
            </w:tcBorders>
          </w:tcPr>
          <w:p w:rsidR="00051BBD" w:rsidRDefault="00051BBD">
            <w:pPr>
              <w:ind w:right="-29"/>
              <w:jc w:val="center"/>
              <w:rPr>
                <w:noProof/>
                <w:sz w:val="18"/>
                <w:szCs w:val="18"/>
              </w:rPr>
            </w:pPr>
          </w:p>
        </w:tc>
        <w:tc>
          <w:tcPr>
            <w:tcW w:w="720" w:type="dxa"/>
          </w:tcPr>
          <w:p w:rsidR="00051BBD" w:rsidRDefault="00051BBD">
            <w:pPr>
              <w:ind w:right="-29"/>
              <w:jc w:val="center"/>
              <w:rPr>
                <w:noProof/>
                <w:sz w:val="18"/>
                <w:szCs w:val="18"/>
              </w:rPr>
            </w:pPr>
          </w:p>
        </w:tc>
        <w:tc>
          <w:tcPr>
            <w:tcW w:w="900" w:type="dxa"/>
          </w:tcPr>
          <w:p w:rsidR="00051BBD" w:rsidRDefault="00051BBD">
            <w:pPr>
              <w:ind w:right="-29"/>
              <w:jc w:val="center"/>
              <w:rPr>
                <w:noProof/>
                <w:sz w:val="18"/>
                <w:szCs w:val="18"/>
              </w:rPr>
            </w:pPr>
          </w:p>
        </w:tc>
      </w:tr>
      <w:tr w:rsidR="00051BBD">
        <w:trPr>
          <w:trHeight w:hRule="exact" w:val="369"/>
          <w:jc w:val="center"/>
        </w:trPr>
        <w:tc>
          <w:tcPr>
            <w:tcW w:w="1423" w:type="dxa"/>
          </w:tcPr>
          <w:p w:rsidR="00051BBD" w:rsidRDefault="00FD0A5C">
            <w:pPr>
              <w:ind w:right="-29"/>
              <w:jc w:val="center"/>
              <w:rPr>
                <w:noProof/>
                <w:sz w:val="18"/>
                <w:szCs w:val="18"/>
              </w:rPr>
            </w:pPr>
            <w:r>
              <w:rPr>
                <w:noProof/>
                <w:sz w:val="18"/>
              </w:rPr>
              <w:t>- Resultat</w:t>
            </w:r>
          </w:p>
        </w:tc>
        <w:tc>
          <w:tcPr>
            <w:tcW w:w="720" w:type="dxa"/>
          </w:tcPr>
          <w:p w:rsidR="00051BBD" w:rsidRDefault="00051BBD">
            <w:pPr>
              <w:ind w:right="-29"/>
              <w:jc w:val="center"/>
              <w:rPr>
                <w:noProof/>
                <w:sz w:val="18"/>
                <w:szCs w:val="18"/>
              </w:rPr>
            </w:pPr>
          </w:p>
        </w:tc>
        <w:tc>
          <w:tcPr>
            <w:tcW w:w="701" w:type="dxa"/>
          </w:tcPr>
          <w:p w:rsidR="00051BBD" w:rsidRDefault="00051BBD">
            <w:pPr>
              <w:ind w:right="-29"/>
              <w:jc w:val="center"/>
              <w:rPr>
                <w:noProof/>
                <w:sz w:val="18"/>
                <w:szCs w:val="18"/>
              </w:rPr>
            </w:pPr>
          </w:p>
        </w:tc>
        <w:tc>
          <w:tcPr>
            <w:tcW w:w="504" w:type="dxa"/>
            <w:tcBorders>
              <w:right w:val="dashSmallGap" w:sz="4" w:space="0" w:color="auto"/>
            </w:tcBorders>
          </w:tcPr>
          <w:p w:rsidR="00051BBD" w:rsidRDefault="00051BBD">
            <w:pPr>
              <w:ind w:right="-29"/>
              <w:jc w:val="center"/>
              <w:rPr>
                <w:noProof/>
                <w:sz w:val="18"/>
                <w:szCs w:val="18"/>
              </w:rPr>
            </w:pPr>
          </w:p>
        </w:tc>
        <w:tc>
          <w:tcPr>
            <w:tcW w:w="720" w:type="dxa"/>
            <w:tcBorders>
              <w:left w:val="dashSmallGap" w:sz="4" w:space="0" w:color="auto"/>
            </w:tcBorders>
          </w:tcPr>
          <w:p w:rsidR="00051BBD" w:rsidRDefault="00051BBD">
            <w:pPr>
              <w:ind w:right="-29"/>
              <w:jc w:val="center"/>
              <w:rPr>
                <w:noProof/>
                <w:sz w:val="18"/>
                <w:szCs w:val="18"/>
              </w:rPr>
            </w:pPr>
          </w:p>
        </w:tc>
        <w:tc>
          <w:tcPr>
            <w:tcW w:w="540" w:type="dxa"/>
            <w:tcBorders>
              <w:right w:val="dashSmallGap" w:sz="4" w:space="0" w:color="auto"/>
            </w:tcBorders>
          </w:tcPr>
          <w:p w:rsidR="00051BBD" w:rsidRDefault="00051BBD">
            <w:pPr>
              <w:ind w:right="-29"/>
              <w:jc w:val="center"/>
              <w:rPr>
                <w:noProof/>
                <w:sz w:val="18"/>
                <w:szCs w:val="18"/>
              </w:rPr>
            </w:pPr>
          </w:p>
        </w:tc>
        <w:tc>
          <w:tcPr>
            <w:tcW w:w="720" w:type="dxa"/>
            <w:tcBorders>
              <w:left w:val="dashSmallGap" w:sz="4" w:space="0" w:color="auto"/>
            </w:tcBorders>
          </w:tcPr>
          <w:p w:rsidR="00051BBD" w:rsidRDefault="00051BBD">
            <w:pPr>
              <w:ind w:right="-29"/>
              <w:jc w:val="center"/>
              <w:rPr>
                <w:noProof/>
                <w:sz w:val="18"/>
                <w:szCs w:val="18"/>
              </w:rPr>
            </w:pPr>
          </w:p>
        </w:tc>
        <w:tc>
          <w:tcPr>
            <w:tcW w:w="720" w:type="dxa"/>
            <w:tcBorders>
              <w:right w:val="dashSmallGap" w:sz="4" w:space="0" w:color="auto"/>
            </w:tcBorders>
          </w:tcPr>
          <w:p w:rsidR="00051BBD" w:rsidRDefault="00051BBD">
            <w:pPr>
              <w:ind w:right="-29"/>
              <w:jc w:val="center"/>
              <w:rPr>
                <w:noProof/>
                <w:sz w:val="18"/>
                <w:szCs w:val="18"/>
              </w:rPr>
            </w:pPr>
          </w:p>
        </w:tc>
        <w:tc>
          <w:tcPr>
            <w:tcW w:w="720" w:type="dxa"/>
            <w:tcBorders>
              <w:left w:val="dashSmallGap" w:sz="4" w:space="0" w:color="auto"/>
            </w:tcBorders>
          </w:tcPr>
          <w:p w:rsidR="00051BBD" w:rsidRDefault="00051BBD">
            <w:pPr>
              <w:ind w:right="-29"/>
              <w:jc w:val="center"/>
              <w:rPr>
                <w:noProof/>
                <w:sz w:val="18"/>
                <w:szCs w:val="18"/>
              </w:rPr>
            </w:pPr>
          </w:p>
        </w:tc>
        <w:tc>
          <w:tcPr>
            <w:tcW w:w="604" w:type="dxa"/>
            <w:tcBorders>
              <w:right w:val="dashSmallGap" w:sz="4" w:space="0" w:color="auto"/>
            </w:tcBorders>
          </w:tcPr>
          <w:p w:rsidR="00051BBD" w:rsidRDefault="00051BBD">
            <w:pPr>
              <w:ind w:right="-29"/>
              <w:jc w:val="center"/>
              <w:rPr>
                <w:noProof/>
                <w:sz w:val="18"/>
                <w:szCs w:val="18"/>
              </w:rPr>
            </w:pPr>
          </w:p>
        </w:tc>
        <w:tc>
          <w:tcPr>
            <w:tcW w:w="851" w:type="dxa"/>
            <w:gridSpan w:val="2"/>
            <w:tcBorders>
              <w:left w:val="dashSmallGap" w:sz="4" w:space="0" w:color="auto"/>
            </w:tcBorders>
          </w:tcPr>
          <w:p w:rsidR="00051BBD" w:rsidRDefault="00051BBD">
            <w:pPr>
              <w:ind w:right="-29"/>
              <w:jc w:val="center"/>
              <w:rPr>
                <w:noProof/>
                <w:sz w:val="18"/>
                <w:szCs w:val="18"/>
              </w:rPr>
            </w:pPr>
          </w:p>
        </w:tc>
        <w:tc>
          <w:tcPr>
            <w:tcW w:w="567" w:type="dxa"/>
            <w:tcBorders>
              <w:right w:val="dashSmallGap" w:sz="4" w:space="0" w:color="auto"/>
            </w:tcBorders>
          </w:tcPr>
          <w:p w:rsidR="00051BBD" w:rsidRDefault="00051BBD">
            <w:pPr>
              <w:ind w:right="-29"/>
              <w:jc w:val="center"/>
              <w:rPr>
                <w:noProof/>
                <w:sz w:val="18"/>
                <w:szCs w:val="18"/>
              </w:rPr>
            </w:pPr>
          </w:p>
        </w:tc>
        <w:tc>
          <w:tcPr>
            <w:tcW w:w="786" w:type="dxa"/>
            <w:tcBorders>
              <w:left w:val="dashSmallGap" w:sz="4" w:space="0" w:color="auto"/>
            </w:tcBorders>
          </w:tcPr>
          <w:p w:rsidR="00051BBD" w:rsidRDefault="00051BBD">
            <w:pPr>
              <w:ind w:right="-29"/>
              <w:jc w:val="center"/>
              <w:rPr>
                <w:noProof/>
                <w:sz w:val="18"/>
                <w:szCs w:val="18"/>
              </w:rPr>
            </w:pPr>
          </w:p>
        </w:tc>
        <w:tc>
          <w:tcPr>
            <w:tcW w:w="432" w:type="dxa"/>
            <w:tcBorders>
              <w:right w:val="dashSmallGap" w:sz="4" w:space="0" w:color="auto"/>
            </w:tcBorders>
          </w:tcPr>
          <w:p w:rsidR="00051BBD" w:rsidRDefault="00051BBD">
            <w:pPr>
              <w:ind w:right="-29"/>
              <w:jc w:val="center"/>
              <w:rPr>
                <w:noProof/>
                <w:sz w:val="18"/>
                <w:szCs w:val="18"/>
              </w:rPr>
            </w:pPr>
          </w:p>
        </w:tc>
        <w:tc>
          <w:tcPr>
            <w:tcW w:w="720" w:type="dxa"/>
            <w:tcBorders>
              <w:left w:val="dashSmallGap" w:sz="4" w:space="0" w:color="auto"/>
            </w:tcBorders>
          </w:tcPr>
          <w:p w:rsidR="00051BBD" w:rsidRDefault="00051BBD">
            <w:pPr>
              <w:ind w:right="-29"/>
              <w:jc w:val="center"/>
              <w:rPr>
                <w:noProof/>
                <w:sz w:val="18"/>
                <w:szCs w:val="18"/>
              </w:rPr>
            </w:pPr>
          </w:p>
        </w:tc>
        <w:tc>
          <w:tcPr>
            <w:tcW w:w="540" w:type="dxa"/>
            <w:tcBorders>
              <w:right w:val="dashSmallGap" w:sz="4" w:space="0" w:color="auto"/>
            </w:tcBorders>
          </w:tcPr>
          <w:p w:rsidR="00051BBD" w:rsidRDefault="00051BBD">
            <w:pPr>
              <w:ind w:right="-29"/>
              <w:jc w:val="center"/>
              <w:rPr>
                <w:noProof/>
                <w:sz w:val="18"/>
                <w:szCs w:val="18"/>
              </w:rPr>
            </w:pPr>
          </w:p>
        </w:tc>
        <w:tc>
          <w:tcPr>
            <w:tcW w:w="720" w:type="dxa"/>
            <w:tcBorders>
              <w:left w:val="dashSmallGap" w:sz="4" w:space="0" w:color="auto"/>
            </w:tcBorders>
          </w:tcPr>
          <w:p w:rsidR="00051BBD" w:rsidRDefault="00051BBD">
            <w:pPr>
              <w:ind w:right="-29"/>
              <w:jc w:val="center"/>
              <w:rPr>
                <w:noProof/>
                <w:sz w:val="18"/>
                <w:szCs w:val="18"/>
              </w:rPr>
            </w:pPr>
          </w:p>
        </w:tc>
        <w:tc>
          <w:tcPr>
            <w:tcW w:w="720" w:type="dxa"/>
          </w:tcPr>
          <w:p w:rsidR="00051BBD" w:rsidRDefault="00051BBD">
            <w:pPr>
              <w:ind w:right="-29"/>
              <w:jc w:val="center"/>
              <w:rPr>
                <w:noProof/>
                <w:sz w:val="18"/>
                <w:szCs w:val="18"/>
              </w:rPr>
            </w:pPr>
          </w:p>
        </w:tc>
        <w:tc>
          <w:tcPr>
            <w:tcW w:w="900" w:type="dxa"/>
          </w:tcPr>
          <w:p w:rsidR="00051BBD" w:rsidRDefault="00051BBD">
            <w:pPr>
              <w:ind w:right="-29"/>
              <w:jc w:val="center"/>
              <w:rPr>
                <w:noProof/>
                <w:sz w:val="18"/>
                <w:szCs w:val="18"/>
              </w:rPr>
            </w:pPr>
          </w:p>
        </w:tc>
      </w:tr>
      <w:tr w:rsidR="00051BBD">
        <w:trPr>
          <w:trHeight w:hRule="exact" w:val="369"/>
          <w:jc w:val="center"/>
        </w:trPr>
        <w:tc>
          <w:tcPr>
            <w:tcW w:w="1423" w:type="dxa"/>
          </w:tcPr>
          <w:p w:rsidR="00051BBD" w:rsidRDefault="00FD0A5C">
            <w:pPr>
              <w:ind w:right="-29"/>
              <w:jc w:val="center"/>
              <w:rPr>
                <w:noProof/>
                <w:sz w:val="18"/>
                <w:szCs w:val="18"/>
              </w:rPr>
            </w:pPr>
            <w:r>
              <w:rPr>
                <w:noProof/>
                <w:sz w:val="18"/>
              </w:rPr>
              <w:t>- Resultat</w:t>
            </w:r>
          </w:p>
        </w:tc>
        <w:tc>
          <w:tcPr>
            <w:tcW w:w="720" w:type="dxa"/>
          </w:tcPr>
          <w:p w:rsidR="00051BBD" w:rsidRDefault="00051BBD">
            <w:pPr>
              <w:ind w:right="-29"/>
              <w:jc w:val="center"/>
              <w:rPr>
                <w:noProof/>
                <w:sz w:val="18"/>
                <w:szCs w:val="18"/>
              </w:rPr>
            </w:pPr>
          </w:p>
        </w:tc>
        <w:tc>
          <w:tcPr>
            <w:tcW w:w="701" w:type="dxa"/>
          </w:tcPr>
          <w:p w:rsidR="00051BBD" w:rsidRDefault="00051BBD">
            <w:pPr>
              <w:ind w:right="-29"/>
              <w:jc w:val="center"/>
              <w:rPr>
                <w:noProof/>
                <w:sz w:val="18"/>
                <w:szCs w:val="18"/>
              </w:rPr>
            </w:pPr>
          </w:p>
        </w:tc>
        <w:tc>
          <w:tcPr>
            <w:tcW w:w="504" w:type="dxa"/>
          </w:tcPr>
          <w:p w:rsidR="00051BBD" w:rsidRDefault="00051BBD">
            <w:pPr>
              <w:ind w:right="-29"/>
              <w:jc w:val="center"/>
              <w:rPr>
                <w:noProof/>
                <w:sz w:val="18"/>
                <w:szCs w:val="18"/>
              </w:rPr>
            </w:pPr>
          </w:p>
        </w:tc>
        <w:tc>
          <w:tcPr>
            <w:tcW w:w="720" w:type="dxa"/>
          </w:tcPr>
          <w:p w:rsidR="00051BBD" w:rsidRDefault="00051BBD">
            <w:pPr>
              <w:ind w:right="-29"/>
              <w:jc w:val="center"/>
              <w:rPr>
                <w:noProof/>
                <w:sz w:val="18"/>
                <w:szCs w:val="18"/>
              </w:rPr>
            </w:pPr>
          </w:p>
        </w:tc>
        <w:tc>
          <w:tcPr>
            <w:tcW w:w="540" w:type="dxa"/>
          </w:tcPr>
          <w:p w:rsidR="00051BBD" w:rsidRDefault="00051BBD">
            <w:pPr>
              <w:ind w:right="-29"/>
              <w:jc w:val="center"/>
              <w:rPr>
                <w:noProof/>
                <w:sz w:val="18"/>
                <w:szCs w:val="18"/>
              </w:rPr>
            </w:pPr>
          </w:p>
        </w:tc>
        <w:tc>
          <w:tcPr>
            <w:tcW w:w="720" w:type="dxa"/>
          </w:tcPr>
          <w:p w:rsidR="00051BBD" w:rsidRDefault="00051BBD">
            <w:pPr>
              <w:ind w:right="-29"/>
              <w:jc w:val="center"/>
              <w:rPr>
                <w:noProof/>
                <w:sz w:val="18"/>
                <w:szCs w:val="18"/>
              </w:rPr>
            </w:pPr>
          </w:p>
        </w:tc>
        <w:tc>
          <w:tcPr>
            <w:tcW w:w="720" w:type="dxa"/>
          </w:tcPr>
          <w:p w:rsidR="00051BBD" w:rsidRDefault="00051BBD">
            <w:pPr>
              <w:ind w:right="-29"/>
              <w:jc w:val="center"/>
              <w:rPr>
                <w:noProof/>
                <w:sz w:val="18"/>
                <w:szCs w:val="18"/>
              </w:rPr>
            </w:pPr>
          </w:p>
        </w:tc>
        <w:tc>
          <w:tcPr>
            <w:tcW w:w="720" w:type="dxa"/>
          </w:tcPr>
          <w:p w:rsidR="00051BBD" w:rsidRDefault="00051BBD">
            <w:pPr>
              <w:ind w:right="-29"/>
              <w:jc w:val="center"/>
              <w:rPr>
                <w:noProof/>
                <w:sz w:val="18"/>
                <w:szCs w:val="18"/>
              </w:rPr>
            </w:pPr>
          </w:p>
        </w:tc>
        <w:tc>
          <w:tcPr>
            <w:tcW w:w="604" w:type="dxa"/>
          </w:tcPr>
          <w:p w:rsidR="00051BBD" w:rsidRDefault="00051BBD">
            <w:pPr>
              <w:ind w:right="-29"/>
              <w:jc w:val="center"/>
              <w:rPr>
                <w:noProof/>
                <w:sz w:val="18"/>
                <w:szCs w:val="18"/>
              </w:rPr>
            </w:pPr>
          </w:p>
        </w:tc>
        <w:tc>
          <w:tcPr>
            <w:tcW w:w="851" w:type="dxa"/>
            <w:gridSpan w:val="2"/>
          </w:tcPr>
          <w:p w:rsidR="00051BBD" w:rsidRDefault="00051BBD">
            <w:pPr>
              <w:ind w:right="-29"/>
              <w:jc w:val="center"/>
              <w:rPr>
                <w:noProof/>
                <w:sz w:val="18"/>
                <w:szCs w:val="18"/>
              </w:rPr>
            </w:pPr>
          </w:p>
        </w:tc>
        <w:tc>
          <w:tcPr>
            <w:tcW w:w="567" w:type="dxa"/>
          </w:tcPr>
          <w:p w:rsidR="00051BBD" w:rsidRDefault="00051BBD">
            <w:pPr>
              <w:ind w:right="-29"/>
              <w:jc w:val="center"/>
              <w:rPr>
                <w:noProof/>
                <w:sz w:val="18"/>
                <w:szCs w:val="18"/>
              </w:rPr>
            </w:pPr>
          </w:p>
        </w:tc>
        <w:tc>
          <w:tcPr>
            <w:tcW w:w="786" w:type="dxa"/>
          </w:tcPr>
          <w:p w:rsidR="00051BBD" w:rsidRDefault="00051BBD">
            <w:pPr>
              <w:ind w:right="-29"/>
              <w:jc w:val="center"/>
              <w:rPr>
                <w:noProof/>
                <w:sz w:val="18"/>
                <w:szCs w:val="18"/>
              </w:rPr>
            </w:pPr>
          </w:p>
        </w:tc>
        <w:tc>
          <w:tcPr>
            <w:tcW w:w="432" w:type="dxa"/>
          </w:tcPr>
          <w:p w:rsidR="00051BBD" w:rsidRDefault="00051BBD">
            <w:pPr>
              <w:ind w:right="-29"/>
              <w:jc w:val="center"/>
              <w:rPr>
                <w:noProof/>
                <w:sz w:val="18"/>
                <w:szCs w:val="18"/>
              </w:rPr>
            </w:pPr>
          </w:p>
        </w:tc>
        <w:tc>
          <w:tcPr>
            <w:tcW w:w="720" w:type="dxa"/>
          </w:tcPr>
          <w:p w:rsidR="00051BBD" w:rsidRDefault="00051BBD">
            <w:pPr>
              <w:ind w:right="-29"/>
              <w:jc w:val="center"/>
              <w:rPr>
                <w:noProof/>
                <w:sz w:val="18"/>
                <w:szCs w:val="18"/>
              </w:rPr>
            </w:pPr>
          </w:p>
        </w:tc>
        <w:tc>
          <w:tcPr>
            <w:tcW w:w="540" w:type="dxa"/>
          </w:tcPr>
          <w:p w:rsidR="00051BBD" w:rsidRDefault="00051BBD">
            <w:pPr>
              <w:ind w:right="-29"/>
              <w:jc w:val="center"/>
              <w:rPr>
                <w:noProof/>
                <w:sz w:val="18"/>
                <w:szCs w:val="18"/>
              </w:rPr>
            </w:pPr>
          </w:p>
        </w:tc>
        <w:tc>
          <w:tcPr>
            <w:tcW w:w="720" w:type="dxa"/>
          </w:tcPr>
          <w:p w:rsidR="00051BBD" w:rsidRDefault="00051BBD">
            <w:pPr>
              <w:ind w:right="-29"/>
              <w:jc w:val="center"/>
              <w:rPr>
                <w:noProof/>
                <w:sz w:val="18"/>
                <w:szCs w:val="18"/>
              </w:rPr>
            </w:pPr>
          </w:p>
        </w:tc>
        <w:tc>
          <w:tcPr>
            <w:tcW w:w="720" w:type="dxa"/>
          </w:tcPr>
          <w:p w:rsidR="00051BBD" w:rsidRDefault="00051BBD">
            <w:pPr>
              <w:ind w:right="-29"/>
              <w:jc w:val="center"/>
              <w:rPr>
                <w:noProof/>
                <w:sz w:val="18"/>
                <w:szCs w:val="18"/>
              </w:rPr>
            </w:pPr>
          </w:p>
        </w:tc>
        <w:tc>
          <w:tcPr>
            <w:tcW w:w="900" w:type="dxa"/>
          </w:tcPr>
          <w:p w:rsidR="00051BBD" w:rsidRDefault="00051BBD">
            <w:pPr>
              <w:ind w:right="-29"/>
              <w:jc w:val="center"/>
              <w:rPr>
                <w:noProof/>
                <w:sz w:val="18"/>
                <w:szCs w:val="18"/>
              </w:rPr>
            </w:pPr>
          </w:p>
        </w:tc>
      </w:tr>
      <w:tr w:rsidR="00051BBD">
        <w:trPr>
          <w:jc w:val="center"/>
        </w:trPr>
        <w:tc>
          <w:tcPr>
            <w:tcW w:w="2844" w:type="dxa"/>
            <w:gridSpan w:val="3"/>
            <w:tcBorders>
              <w:bottom w:val="single" w:sz="12" w:space="0" w:color="auto"/>
            </w:tcBorders>
            <w:vAlign w:val="center"/>
          </w:tcPr>
          <w:p w:rsidR="00051BBD" w:rsidRDefault="00FD0A5C">
            <w:pPr>
              <w:ind w:right="-29"/>
              <w:jc w:val="center"/>
              <w:rPr>
                <w:noProof/>
                <w:sz w:val="18"/>
                <w:szCs w:val="18"/>
                <w:lang w:val="nn-NO"/>
              </w:rPr>
            </w:pPr>
            <w:r>
              <w:rPr>
                <w:noProof/>
                <w:sz w:val="18"/>
                <w:lang w:val="nn-NO"/>
              </w:rPr>
              <w:t>Subtotal for specifikt mål nr. 1</w:t>
            </w:r>
          </w:p>
        </w:tc>
        <w:tc>
          <w:tcPr>
            <w:tcW w:w="504" w:type="dxa"/>
            <w:tcBorders>
              <w:bottom w:val="single" w:sz="12" w:space="0" w:color="auto"/>
            </w:tcBorders>
          </w:tcPr>
          <w:p w:rsidR="00051BBD" w:rsidRDefault="00051BBD">
            <w:pPr>
              <w:ind w:right="-29"/>
              <w:jc w:val="center"/>
              <w:rPr>
                <w:noProof/>
                <w:sz w:val="18"/>
                <w:szCs w:val="18"/>
                <w:lang w:val="nn-NO"/>
              </w:rPr>
            </w:pPr>
          </w:p>
        </w:tc>
        <w:tc>
          <w:tcPr>
            <w:tcW w:w="720" w:type="dxa"/>
            <w:tcBorders>
              <w:bottom w:val="single" w:sz="12" w:space="0" w:color="auto"/>
            </w:tcBorders>
          </w:tcPr>
          <w:p w:rsidR="00051BBD" w:rsidRDefault="00051BBD">
            <w:pPr>
              <w:ind w:right="-29"/>
              <w:jc w:val="center"/>
              <w:rPr>
                <w:noProof/>
                <w:sz w:val="18"/>
                <w:szCs w:val="18"/>
                <w:lang w:val="nn-NO"/>
              </w:rPr>
            </w:pPr>
          </w:p>
        </w:tc>
        <w:tc>
          <w:tcPr>
            <w:tcW w:w="540" w:type="dxa"/>
            <w:tcBorders>
              <w:bottom w:val="single" w:sz="12" w:space="0" w:color="auto"/>
            </w:tcBorders>
          </w:tcPr>
          <w:p w:rsidR="00051BBD" w:rsidRDefault="00051BBD">
            <w:pPr>
              <w:ind w:right="-29"/>
              <w:jc w:val="center"/>
              <w:rPr>
                <w:noProof/>
                <w:sz w:val="18"/>
                <w:szCs w:val="18"/>
                <w:lang w:val="nn-NO"/>
              </w:rPr>
            </w:pPr>
          </w:p>
        </w:tc>
        <w:tc>
          <w:tcPr>
            <w:tcW w:w="720" w:type="dxa"/>
            <w:tcBorders>
              <w:bottom w:val="single" w:sz="12" w:space="0" w:color="auto"/>
            </w:tcBorders>
          </w:tcPr>
          <w:p w:rsidR="00051BBD" w:rsidRDefault="00051BBD">
            <w:pPr>
              <w:ind w:right="-29"/>
              <w:jc w:val="center"/>
              <w:rPr>
                <w:noProof/>
                <w:sz w:val="18"/>
                <w:szCs w:val="18"/>
                <w:lang w:val="nn-NO"/>
              </w:rPr>
            </w:pPr>
          </w:p>
        </w:tc>
        <w:tc>
          <w:tcPr>
            <w:tcW w:w="720" w:type="dxa"/>
            <w:tcBorders>
              <w:bottom w:val="single" w:sz="12" w:space="0" w:color="auto"/>
            </w:tcBorders>
          </w:tcPr>
          <w:p w:rsidR="00051BBD" w:rsidRDefault="00051BBD">
            <w:pPr>
              <w:ind w:right="-29"/>
              <w:jc w:val="center"/>
              <w:rPr>
                <w:noProof/>
                <w:sz w:val="18"/>
                <w:szCs w:val="18"/>
                <w:lang w:val="nn-NO"/>
              </w:rPr>
            </w:pPr>
          </w:p>
        </w:tc>
        <w:tc>
          <w:tcPr>
            <w:tcW w:w="720" w:type="dxa"/>
            <w:tcBorders>
              <w:bottom w:val="single" w:sz="12" w:space="0" w:color="auto"/>
            </w:tcBorders>
          </w:tcPr>
          <w:p w:rsidR="00051BBD" w:rsidRDefault="00051BBD">
            <w:pPr>
              <w:ind w:right="-29"/>
              <w:jc w:val="center"/>
              <w:rPr>
                <w:noProof/>
                <w:sz w:val="18"/>
                <w:szCs w:val="18"/>
                <w:lang w:val="nn-NO"/>
              </w:rPr>
            </w:pPr>
          </w:p>
        </w:tc>
        <w:tc>
          <w:tcPr>
            <w:tcW w:w="604" w:type="dxa"/>
            <w:tcBorders>
              <w:bottom w:val="single" w:sz="12" w:space="0" w:color="auto"/>
            </w:tcBorders>
          </w:tcPr>
          <w:p w:rsidR="00051BBD" w:rsidRDefault="00051BBD">
            <w:pPr>
              <w:ind w:right="-29"/>
              <w:jc w:val="center"/>
              <w:rPr>
                <w:noProof/>
                <w:sz w:val="18"/>
                <w:szCs w:val="18"/>
                <w:lang w:val="nn-NO"/>
              </w:rPr>
            </w:pPr>
          </w:p>
        </w:tc>
        <w:tc>
          <w:tcPr>
            <w:tcW w:w="851" w:type="dxa"/>
            <w:gridSpan w:val="2"/>
            <w:tcBorders>
              <w:bottom w:val="single" w:sz="12" w:space="0" w:color="auto"/>
            </w:tcBorders>
          </w:tcPr>
          <w:p w:rsidR="00051BBD" w:rsidRDefault="00051BBD">
            <w:pPr>
              <w:ind w:right="-29"/>
              <w:jc w:val="center"/>
              <w:rPr>
                <w:noProof/>
                <w:sz w:val="18"/>
                <w:szCs w:val="18"/>
                <w:lang w:val="nn-NO"/>
              </w:rPr>
            </w:pPr>
          </w:p>
        </w:tc>
        <w:tc>
          <w:tcPr>
            <w:tcW w:w="567" w:type="dxa"/>
            <w:tcBorders>
              <w:bottom w:val="single" w:sz="12" w:space="0" w:color="auto"/>
            </w:tcBorders>
          </w:tcPr>
          <w:p w:rsidR="00051BBD" w:rsidRDefault="00051BBD">
            <w:pPr>
              <w:ind w:right="-29"/>
              <w:jc w:val="center"/>
              <w:rPr>
                <w:noProof/>
                <w:sz w:val="18"/>
                <w:szCs w:val="18"/>
                <w:lang w:val="nn-NO"/>
              </w:rPr>
            </w:pPr>
          </w:p>
        </w:tc>
        <w:tc>
          <w:tcPr>
            <w:tcW w:w="786" w:type="dxa"/>
            <w:tcBorders>
              <w:bottom w:val="single" w:sz="12" w:space="0" w:color="auto"/>
            </w:tcBorders>
          </w:tcPr>
          <w:p w:rsidR="00051BBD" w:rsidRDefault="00051BBD">
            <w:pPr>
              <w:ind w:right="-29"/>
              <w:jc w:val="center"/>
              <w:rPr>
                <w:noProof/>
                <w:sz w:val="18"/>
                <w:szCs w:val="18"/>
                <w:lang w:val="nn-NO"/>
              </w:rPr>
            </w:pPr>
          </w:p>
        </w:tc>
        <w:tc>
          <w:tcPr>
            <w:tcW w:w="432" w:type="dxa"/>
            <w:tcBorders>
              <w:bottom w:val="single" w:sz="12" w:space="0" w:color="auto"/>
            </w:tcBorders>
          </w:tcPr>
          <w:p w:rsidR="00051BBD" w:rsidRDefault="00051BBD">
            <w:pPr>
              <w:ind w:right="-29"/>
              <w:jc w:val="center"/>
              <w:rPr>
                <w:noProof/>
                <w:sz w:val="18"/>
                <w:szCs w:val="18"/>
                <w:lang w:val="nn-NO"/>
              </w:rPr>
            </w:pPr>
          </w:p>
        </w:tc>
        <w:tc>
          <w:tcPr>
            <w:tcW w:w="720" w:type="dxa"/>
            <w:tcBorders>
              <w:bottom w:val="single" w:sz="12" w:space="0" w:color="auto"/>
            </w:tcBorders>
          </w:tcPr>
          <w:p w:rsidR="00051BBD" w:rsidRDefault="00051BBD">
            <w:pPr>
              <w:ind w:right="-29"/>
              <w:jc w:val="center"/>
              <w:rPr>
                <w:noProof/>
                <w:sz w:val="18"/>
                <w:szCs w:val="18"/>
                <w:lang w:val="nn-NO"/>
              </w:rPr>
            </w:pPr>
          </w:p>
        </w:tc>
        <w:tc>
          <w:tcPr>
            <w:tcW w:w="540" w:type="dxa"/>
            <w:tcBorders>
              <w:bottom w:val="single" w:sz="12" w:space="0" w:color="auto"/>
            </w:tcBorders>
          </w:tcPr>
          <w:p w:rsidR="00051BBD" w:rsidRDefault="00051BBD">
            <w:pPr>
              <w:ind w:right="-29"/>
              <w:jc w:val="center"/>
              <w:rPr>
                <w:noProof/>
                <w:sz w:val="18"/>
                <w:szCs w:val="18"/>
                <w:lang w:val="nn-NO"/>
              </w:rPr>
            </w:pPr>
          </w:p>
        </w:tc>
        <w:tc>
          <w:tcPr>
            <w:tcW w:w="720" w:type="dxa"/>
            <w:tcBorders>
              <w:bottom w:val="single" w:sz="12" w:space="0" w:color="auto"/>
            </w:tcBorders>
          </w:tcPr>
          <w:p w:rsidR="00051BBD" w:rsidRDefault="00051BBD">
            <w:pPr>
              <w:ind w:right="-29"/>
              <w:jc w:val="center"/>
              <w:rPr>
                <w:noProof/>
                <w:sz w:val="18"/>
                <w:szCs w:val="18"/>
                <w:lang w:val="nn-NO"/>
              </w:rPr>
            </w:pPr>
          </w:p>
        </w:tc>
        <w:tc>
          <w:tcPr>
            <w:tcW w:w="720" w:type="dxa"/>
            <w:tcBorders>
              <w:bottom w:val="single" w:sz="12" w:space="0" w:color="auto"/>
            </w:tcBorders>
          </w:tcPr>
          <w:p w:rsidR="00051BBD" w:rsidRDefault="00051BBD">
            <w:pPr>
              <w:ind w:right="-29"/>
              <w:jc w:val="center"/>
              <w:rPr>
                <w:noProof/>
                <w:sz w:val="18"/>
                <w:szCs w:val="18"/>
                <w:lang w:val="nn-NO"/>
              </w:rPr>
            </w:pPr>
          </w:p>
        </w:tc>
        <w:tc>
          <w:tcPr>
            <w:tcW w:w="900" w:type="dxa"/>
            <w:tcBorders>
              <w:bottom w:val="single" w:sz="12" w:space="0" w:color="auto"/>
            </w:tcBorders>
          </w:tcPr>
          <w:p w:rsidR="00051BBD" w:rsidRDefault="00051BBD">
            <w:pPr>
              <w:ind w:right="-29"/>
              <w:jc w:val="center"/>
              <w:rPr>
                <w:noProof/>
                <w:sz w:val="18"/>
                <w:szCs w:val="18"/>
                <w:lang w:val="nn-NO"/>
              </w:rPr>
            </w:pPr>
          </w:p>
        </w:tc>
      </w:tr>
      <w:tr w:rsidR="00051BBD">
        <w:trPr>
          <w:jc w:val="center"/>
        </w:trPr>
        <w:tc>
          <w:tcPr>
            <w:tcW w:w="2844" w:type="dxa"/>
            <w:gridSpan w:val="3"/>
            <w:vAlign w:val="center"/>
          </w:tcPr>
          <w:p w:rsidR="00051BBD" w:rsidRDefault="00FD0A5C">
            <w:pPr>
              <w:spacing w:before="60" w:after="60"/>
              <w:ind w:right="-29"/>
              <w:jc w:val="center"/>
              <w:rPr>
                <w:noProof/>
                <w:sz w:val="18"/>
                <w:szCs w:val="18"/>
              </w:rPr>
            </w:pPr>
            <w:r>
              <w:rPr>
                <w:noProof/>
                <w:sz w:val="18"/>
              </w:rPr>
              <w:t>SPECIFIKT MÅL NR. 2</w:t>
            </w:r>
          </w:p>
        </w:tc>
        <w:tc>
          <w:tcPr>
            <w:tcW w:w="504" w:type="dxa"/>
            <w:tcBorders>
              <w:top w:val="nil"/>
              <w:left w:val="nil"/>
              <w:bottom w:val="nil"/>
              <w:right w:val="nil"/>
            </w:tcBorders>
          </w:tcPr>
          <w:p w:rsidR="00051BBD" w:rsidRDefault="00051BBD">
            <w:pPr>
              <w:spacing w:before="60" w:after="60"/>
              <w:ind w:right="-29"/>
              <w:jc w:val="center"/>
              <w:rPr>
                <w:noProof/>
                <w:sz w:val="18"/>
                <w:szCs w:val="18"/>
              </w:rPr>
            </w:pPr>
          </w:p>
        </w:tc>
        <w:tc>
          <w:tcPr>
            <w:tcW w:w="720" w:type="dxa"/>
            <w:tcBorders>
              <w:top w:val="nil"/>
              <w:left w:val="nil"/>
              <w:bottom w:val="nil"/>
              <w:right w:val="nil"/>
            </w:tcBorders>
          </w:tcPr>
          <w:p w:rsidR="00051BBD" w:rsidRDefault="00051BBD">
            <w:pPr>
              <w:spacing w:before="60" w:after="60"/>
              <w:ind w:right="-29"/>
              <w:jc w:val="center"/>
              <w:rPr>
                <w:noProof/>
                <w:sz w:val="18"/>
                <w:szCs w:val="18"/>
              </w:rPr>
            </w:pPr>
          </w:p>
        </w:tc>
        <w:tc>
          <w:tcPr>
            <w:tcW w:w="540" w:type="dxa"/>
            <w:tcBorders>
              <w:top w:val="nil"/>
              <w:left w:val="nil"/>
              <w:bottom w:val="nil"/>
              <w:right w:val="nil"/>
            </w:tcBorders>
          </w:tcPr>
          <w:p w:rsidR="00051BBD" w:rsidRDefault="00051BBD">
            <w:pPr>
              <w:spacing w:before="60" w:after="60"/>
              <w:ind w:right="-29"/>
              <w:jc w:val="center"/>
              <w:rPr>
                <w:noProof/>
                <w:sz w:val="18"/>
                <w:szCs w:val="18"/>
              </w:rPr>
            </w:pPr>
          </w:p>
        </w:tc>
        <w:tc>
          <w:tcPr>
            <w:tcW w:w="720" w:type="dxa"/>
            <w:tcBorders>
              <w:top w:val="nil"/>
              <w:left w:val="nil"/>
              <w:bottom w:val="nil"/>
              <w:right w:val="nil"/>
            </w:tcBorders>
          </w:tcPr>
          <w:p w:rsidR="00051BBD" w:rsidRDefault="00051BBD">
            <w:pPr>
              <w:spacing w:before="60" w:after="60"/>
              <w:ind w:right="-29"/>
              <w:jc w:val="center"/>
              <w:rPr>
                <w:noProof/>
                <w:sz w:val="18"/>
                <w:szCs w:val="18"/>
              </w:rPr>
            </w:pPr>
          </w:p>
        </w:tc>
        <w:tc>
          <w:tcPr>
            <w:tcW w:w="720" w:type="dxa"/>
            <w:tcBorders>
              <w:top w:val="nil"/>
              <w:left w:val="nil"/>
              <w:bottom w:val="nil"/>
              <w:right w:val="nil"/>
            </w:tcBorders>
          </w:tcPr>
          <w:p w:rsidR="00051BBD" w:rsidRDefault="00051BBD">
            <w:pPr>
              <w:spacing w:before="60" w:after="60"/>
              <w:ind w:right="-29"/>
              <w:jc w:val="center"/>
              <w:rPr>
                <w:noProof/>
                <w:sz w:val="18"/>
                <w:szCs w:val="18"/>
              </w:rPr>
            </w:pPr>
          </w:p>
        </w:tc>
        <w:tc>
          <w:tcPr>
            <w:tcW w:w="720" w:type="dxa"/>
            <w:tcBorders>
              <w:top w:val="nil"/>
              <w:left w:val="nil"/>
              <w:bottom w:val="nil"/>
              <w:right w:val="nil"/>
            </w:tcBorders>
          </w:tcPr>
          <w:p w:rsidR="00051BBD" w:rsidRDefault="00051BBD">
            <w:pPr>
              <w:spacing w:before="60" w:after="60"/>
              <w:ind w:right="-29"/>
              <w:jc w:val="center"/>
              <w:rPr>
                <w:noProof/>
                <w:sz w:val="18"/>
                <w:szCs w:val="18"/>
              </w:rPr>
            </w:pPr>
          </w:p>
        </w:tc>
        <w:tc>
          <w:tcPr>
            <w:tcW w:w="604" w:type="dxa"/>
            <w:tcBorders>
              <w:top w:val="nil"/>
              <w:left w:val="nil"/>
              <w:bottom w:val="nil"/>
              <w:right w:val="nil"/>
            </w:tcBorders>
          </w:tcPr>
          <w:p w:rsidR="00051BBD" w:rsidRDefault="00051BBD">
            <w:pPr>
              <w:spacing w:before="60" w:after="60"/>
              <w:ind w:right="-29"/>
              <w:jc w:val="center"/>
              <w:rPr>
                <w:noProof/>
                <w:sz w:val="18"/>
                <w:szCs w:val="18"/>
              </w:rPr>
            </w:pPr>
          </w:p>
        </w:tc>
        <w:tc>
          <w:tcPr>
            <w:tcW w:w="851" w:type="dxa"/>
            <w:gridSpan w:val="2"/>
            <w:tcBorders>
              <w:top w:val="nil"/>
              <w:left w:val="nil"/>
              <w:bottom w:val="nil"/>
              <w:right w:val="nil"/>
            </w:tcBorders>
          </w:tcPr>
          <w:p w:rsidR="00051BBD" w:rsidRDefault="00051BBD">
            <w:pPr>
              <w:spacing w:before="60" w:after="60"/>
              <w:ind w:right="-29"/>
              <w:jc w:val="center"/>
              <w:rPr>
                <w:noProof/>
                <w:sz w:val="18"/>
                <w:szCs w:val="18"/>
              </w:rPr>
            </w:pPr>
          </w:p>
        </w:tc>
        <w:tc>
          <w:tcPr>
            <w:tcW w:w="567" w:type="dxa"/>
            <w:tcBorders>
              <w:top w:val="nil"/>
              <w:left w:val="nil"/>
              <w:bottom w:val="nil"/>
              <w:right w:val="nil"/>
            </w:tcBorders>
          </w:tcPr>
          <w:p w:rsidR="00051BBD" w:rsidRDefault="00051BBD">
            <w:pPr>
              <w:spacing w:before="60" w:after="60"/>
              <w:ind w:right="-29"/>
              <w:jc w:val="center"/>
              <w:rPr>
                <w:noProof/>
                <w:sz w:val="18"/>
                <w:szCs w:val="18"/>
              </w:rPr>
            </w:pPr>
          </w:p>
        </w:tc>
        <w:tc>
          <w:tcPr>
            <w:tcW w:w="786" w:type="dxa"/>
            <w:tcBorders>
              <w:top w:val="nil"/>
              <w:left w:val="nil"/>
              <w:bottom w:val="nil"/>
              <w:right w:val="nil"/>
            </w:tcBorders>
          </w:tcPr>
          <w:p w:rsidR="00051BBD" w:rsidRDefault="00051BBD">
            <w:pPr>
              <w:spacing w:before="60" w:after="60"/>
              <w:ind w:right="-29"/>
              <w:jc w:val="center"/>
              <w:rPr>
                <w:noProof/>
                <w:sz w:val="18"/>
                <w:szCs w:val="18"/>
              </w:rPr>
            </w:pPr>
          </w:p>
        </w:tc>
        <w:tc>
          <w:tcPr>
            <w:tcW w:w="432" w:type="dxa"/>
            <w:tcBorders>
              <w:top w:val="nil"/>
              <w:left w:val="nil"/>
              <w:bottom w:val="nil"/>
              <w:right w:val="nil"/>
            </w:tcBorders>
          </w:tcPr>
          <w:p w:rsidR="00051BBD" w:rsidRDefault="00051BBD">
            <w:pPr>
              <w:spacing w:before="60" w:after="60"/>
              <w:ind w:right="-29"/>
              <w:jc w:val="center"/>
              <w:rPr>
                <w:noProof/>
                <w:sz w:val="18"/>
                <w:szCs w:val="18"/>
              </w:rPr>
            </w:pPr>
          </w:p>
        </w:tc>
        <w:tc>
          <w:tcPr>
            <w:tcW w:w="720" w:type="dxa"/>
            <w:tcBorders>
              <w:top w:val="nil"/>
              <w:left w:val="nil"/>
              <w:bottom w:val="nil"/>
              <w:right w:val="nil"/>
            </w:tcBorders>
          </w:tcPr>
          <w:p w:rsidR="00051BBD" w:rsidRDefault="00051BBD">
            <w:pPr>
              <w:spacing w:before="60" w:after="60"/>
              <w:ind w:right="-29"/>
              <w:jc w:val="center"/>
              <w:rPr>
                <w:noProof/>
                <w:sz w:val="18"/>
                <w:szCs w:val="18"/>
              </w:rPr>
            </w:pPr>
          </w:p>
        </w:tc>
        <w:tc>
          <w:tcPr>
            <w:tcW w:w="540" w:type="dxa"/>
            <w:tcBorders>
              <w:top w:val="nil"/>
              <w:left w:val="nil"/>
              <w:bottom w:val="nil"/>
              <w:right w:val="nil"/>
            </w:tcBorders>
          </w:tcPr>
          <w:p w:rsidR="00051BBD" w:rsidRDefault="00051BBD">
            <w:pPr>
              <w:spacing w:before="60" w:after="60"/>
              <w:ind w:right="-29"/>
              <w:jc w:val="center"/>
              <w:rPr>
                <w:noProof/>
                <w:sz w:val="18"/>
                <w:szCs w:val="18"/>
              </w:rPr>
            </w:pPr>
          </w:p>
        </w:tc>
        <w:tc>
          <w:tcPr>
            <w:tcW w:w="720" w:type="dxa"/>
            <w:tcBorders>
              <w:top w:val="nil"/>
              <w:left w:val="nil"/>
              <w:bottom w:val="nil"/>
              <w:right w:val="nil"/>
            </w:tcBorders>
          </w:tcPr>
          <w:p w:rsidR="00051BBD" w:rsidRDefault="00051BBD">
            <w:pPr>
              <w:spacing w:before="60" w:after="60"/>
              <w:ind w:right="-29"/>
              <w:jc w:val="center"/>
              <w:rPr>
                <w:noProof/>
                <w:sz w:val="18"/>
                <w:szCs w:val="18"/>
              </w:rPr>
            </w:pPr>
          </w:p>
        </w:tc>
        <w:tc>
          <w:tcPr>
            <w:tcW w:w="720" w:type="dxa"/>
            <w:tcBorders>
              <w:top w:val="nil"/>
              <w:left w:val="nil"/>
              <w:bottom w:val="nil"/>
              <w:right w:val="nil"/>
            </w:tcBorders>
          </w:tcPr>
          <w:p w:rsidR="00051BBD" w:rsidRDefault="00051BBD">
            <w:pPr>
              <w:spacing w:before="60" w:after="60"/>
              <w:ind w:right="-29"/>
              <w:jc w:val="center"/>
              <w:rPr>
                <w:noProof/>
                <w:sz w:val="18"/>
                <w:szCs w:val="18"/>
              </w:rPr>
            </w:pPr>
          </w:p>
        </w:tc>
        <w:tc>
          <w:tcPr>
            <w:tcW w:w="900" w:type="dxa"/>
            <w:tcBorders>
              <w:top w:val="nil"/>
              <w:left w:val="nil"/>
              <w:bottom w:val="nil"/>
              <w:right w:val="nil"/>
            </w:tcBorders>
          </w:tcPr>
          <w:p w:rsidR="00051BBD" w:rsidRDefault="00051BBD">
            <w:pPr>
              <w:spacing w:before="60" w:after="60"/>
              <w:ind w:right="-29"/>
              <w:jc w:val="center"/>
              <w:rPr>
                <w:noProof/>
                <w:sz w:val="18"/>
                <w:szCs w:val="18"/>
              </w:rPr>
            </w:pPr>
          </w:p>
        </w:tc>
      </w:tr>
      <w:tr w:rsidR="00051BBD">
        <w:trPr>
          <w:trHeight w:hRule="exact" w:val="369"/>
          <w:jc w:val="center"/>
        </w:trPr>
        <w:tc>
          <w:tcPr>
            <w:tcW w:w="1423" w:type="dxa"/>
          </w:tcPr>
          <w:p w:rsidR="00051BBD" w:rsidRDefault="00FD0A5C">
            <w:pPr>
              <w:ind w:right="-29"/>
              <w:jc w:val="center"/>
              <w:rPr>
                <w:noProof/>
                <w:sz w:val="18"/>
                <w:szCs w:val="18"/>
              </w:rPr>
            </w:pPr>
            <w:r>
              <w:rPr>
                <w:noProof/>
                <w:sz w:val="18"/>
              </w:rPr>
              <w:t>- Resultat</w:t>
            </w:r>
          </w:p>
        </w:tc>
        <w:tc>
          <w:tcPr>
            <w:tcW w:w="720" w:type="dxa"/>
          </w:tcPr>
          <w:p w:rsidR="00051BBD" w:rsidRDefault="00051BBD">
            <w:pPr>
              <w:ind w:right="-29"/>
              <w:jc w:val="center"/>
              <w:rPr>
                <w:noProof/>
                <w:sz w:val="18"/>
                <w:szCs w:val="18"/>
              </w:rPr>
            </w:pPr>
          </w:p>
        </w:tc>
        <w:tc>
          <w:tcPr>
            <w:tcW w:w="701" w:type="dxa"/>
          </w:tcPr>
          <w:p w:rsidR="00051BBD" w:rsidRDefault="00051BBD">
            <w:pPr>
              <w:ind w:right="-29"/>
              <w:jc w:val="center"/>
              <w:rPr>
                <w:noProof/>
                <w:sz w:val="18"/>
                <w:szCs w:val="18"/>
              </w:rPr>
            </w:pPr>
          </w:p>
        </w:tc>
        <w:tc>
          <w:tcPr>
            <w:tcW w:w="504" w:type="dxa"/>
          </w:tcPr>
          <w:p w:rsidR="00051BBD" w:rsidRDefault="00051BBD">
            <w:pPr>
              <w:ind w:right="-29"/>
              <w:jc w:val="center"/>
              <w:rPr>
                <w:noProof/>
                <w:sz w:val="18"/>
                <w:szCs w:val="18"/>
              </w:rPr>
            </w:pPr>
          </w:p>
        </w:tc>
        <w:tc>
          <w:tcPr>
            <w:tcW w:w="720" w:type="dxa"/>
          </w:tcPr>
          <w:p w:rsidR="00051BBD" w:rsidRDefault="00051BBD">
            <w:pPr>
              <w:ind w:right="-29"/>
              <w:jc w:val="center"/>
              <w:rPr>
                <w:noProof/>
                <w:sz w:val="18"/>
                <w:szCs w:val="18"/>
              </w:rPr>
            </w:pPr>
          </w:p>
        </w:tc>
        <w:tc>
          <w:tcPr>
            <w:tcW w:w="540" w:type="dxa"/>
          </w:tcPr>
          <w:p w:rsidR="00051BBD" w:rsidRDefault="00051BBD">
            <w:pPr>
              <w:ind w:right="-29"/>
              <w:jc w:val="center"/>
              <w:rPr>
                <w:noProof/>
                <w:sz w:val="18"/>
                <w:szCs w:val="18"/>
              </w:rPr>
            </w:pPr>
          </w:p>
        </w:tc>
        <w:tc>
          <w:tcPr>
            <w:tcW w:w="720" w:type="dxa"/>
          </w:tcPr>
          <w:p w:rsidR="00051BBD" w:rsidRDefault="00051BBD">
            <w:pPr>
              <w:ind w:right="-29"/>
              <w:jc w:val="center"/>
              <w:rPr>
                <w:noProof/>
                <w:sz w:val="18"/>
                <w:szCs w:val="18"/>
              </w:rPr>
            </w:pPr>
          </w:p>
        </w:tc>
        <w:tc>
          <w:tcPr>
            <w:tcW w:w="720" w:type="dxa"/>
          </w:tcPr>
          <w:p w:rsidR="00051BBD" w:rsidRDefault="00051BBD">
            <w:pPr>
              <w:ind w:right="-29"/>
              <w:jc w:val="center"/>
              <w:rPr>
                <w:noProof/>
                <w:sz w:val="18"/>
                <w:szCs w:val="18"/>
              </w:rPr>
            </w:pPr>
          </w:p>
        </w:tc>
        <w:tc>
          <w:tcPr>
            <w:tcW w:w="720" w:type="dxa"/>
          </w:tcPr>
          <w:p w:rsidR="00051BBD" w:rsidRDefault="00051BBD">
            <w:pPr>
              <w:ind w:right="-29"/>
              <w:jc w:val="center"/>
              <w:rPr>
                <w:noProof/>
                <w:sz w:val="18"/>
                <w:szCs w:val="18"/>
              </w:rPr>
            </w:pPr>
          </w:p>
        </w:tc>
        <w:tc>
          <w:tcPr>
            <w:tcW w:w="604" w:type="dxa"/>
          </w:tcPr>
          <w:p w:rsidR="00051BBD" w:rsidRDefault="00051BBD">
            <w:pPr>
              <w:ind w:right="-29"/>
              <w:jc w:val="center"/>
              <w:rPr>
                <w:noProof/>
                <w:sz w:val="18"/>
                <w:szCs w:val="18"/>
              </w:rPr>
            </w:pPr>
          </w:p>
        </w:tc>
        <w:tc>
          <w:tcPr>
            <w:tcW w:w="851" w:type="dxa"/>
            <w:gridSpan w:val="2"/>
          </w:tcPr>
          <w:p w:rsidR="00051BBD" w:rsidRDefault="00051BBD">
            <w:pPr>
              <w:ind w:right="-29"/>
              <w:jc w:val="center"/>
              <w:rPr>
                <w:noProof/>
                <w:sz w:val="18"/>
                <w:szCs w:val="18"/>
              </w:rPr>
            </w:pPr>
          </w:p>
        </w:tc>
        <w:tc>
          <w:tcPr>
            <w:tcW w:w="567" w:type="dxa"/>
          </w:tcPr>
          <w:p w:rsidR="00051BBD" w:rsidRDefault="00051BBD">
            <w:pPr>
              <w:ind w:right="-29"/>
              <w:jc w:val="center"/>
              <w:rPr>
                <w:noProof/>
                <w:sz w:val="18"/>
                <w:szCs w:val="18"/>
              </w:rPr>
            </w:pPr>
          </w:p>
        </w:tc>
        <w:tc>
          <w:tcPr>
            <w:tcW w:w="786" w:type="dxa"/>
          </w:tcPr>
          <w:p w:rsidR="00051BBD" w:rsidRDefault="00051BBD">
            <w:pPr>
              <w:ind w:right="-29"/>
              <w:jc w:val="center"/>
              <w:rPr>
                <w:noProof/>
                <w:sz w:val="18"/>
                <w:szCs w:val="18"/>
              </w:rPr>
            </w:pPr>
          </w:p>
        </w:tc>
        <w:tc>
          <w:tcPr>
            <w:tcW w:w="432" w:type="dxa"/>
          </w:tcPr>
          <w:p w:rsidR="00051BBD" w:rsidRDefault="00051BBD">
            <w:pPr>
              <w:ind w:right="-29"/>
              <w:jc w:val="center"/>
              <w:rPr>
                <w:noProof/>
                <w:sz w:val="18"/>
                <w:szCs w:val="18"/>
              </w:rPr>
            </w:pPr>
          </w:p>
        </w:tc>
        <w:tc>
          <w:tcPr>
            <w:tcW w:w="720" w:type="dxa"/>
          </w:tcPr>
          <w:p w:rsidR="00051BBD" w:rsidRDefault="00051BBD">
            <w:pPr>
              <w:ind w:right="-29"/>
              <w:jc w:val="center"/>
              <w:rPr>
                <w:noProof/>
                <w:sz w:val="18"/>
                <w:szCs w:val="18"/>
              </w:rPr>
            </w:pPr>
          </w:p>
        </w:tc>
        <w:tc>
          <w:tcPr>
            <w:tcW w:w="540" w:type="dxa"/>
          </w:tcPr>
          <w:p w:rsidR="00051BBD" w:rsidRDefault="00051BBD">
            <w:pPr>
              <w:ind w:right="-29"/>
              <w:jc w:val="center"/>
              <w:rPr>
                <w:noProof/>
                <w:sz w:val="18"/>
                <w:szCs w:val="18"/>
              </w:rPr>
            </w:pPr>
          </w:p>
        </w:tc>
        <w:tc>
          <w:tcPr>
            <w:tcW w:w="720" w:type="dxa"/>
          </w:tcPr>
          <w:p w:rsidR="00051BBD" w:rsidRDefault="00051BBD">
            <w:pPr>
              <w:ind w:right="-29"/>
              <w:jc w:val="center"/>
              <w:rPr>
                <w:noProof/>
                <w:sz w:val="18"/>
                <w:szCs w:val="18"/>
              </w:rPr>
            </w:pPr>
          </w:p>
        </w:tc>
        <w:tc>
          <w:tcPr>
            <w:tcW w:w="720" w:type="dxa"/>
          </w:tcPr>
          <w:p w:rsidR="00051BBD" w:rsidRDefault="00051BBD">
            <w:pPr>
              <w:ind w:right="-29"/>
              <w:jc w:val="center"/>
              <w:rPr>
                <w:noProof/>
                <w:sz w:val="18"/>
                <w:szCs w:val="18"/>
              </w:rPr>
            </w:pPr>
          </w:p>
        </w:tc>
        <w:tc>
          <w:tcPr>
            <w:tcW w:w="900" w:type="dxa"/>
          </w:tcPr>
          <w:p w:rsidR="00051BBD" w:rsidRDefault="00051BBD">
            <w:pPr>
              <w:ind w:right="-29"/>
              <w:jc w:val="center"/>
              <w:rPr>
                <w:noProof/>
                <w:sz w:val="18"/>
                <w:szCs w:val="18"/>
              </w:rPr>
            </w:pPr>
          </w:p>
        </w:tc>
      </w:tr>
      <w:tr w:rsidR="00051BBD">
        <w:trPr>
          <w:jc w:val="center"/>
        </w:trPr>
        <w:tc>
          <w:tcPr>
            <w:tcW w:w="2844" w:type="dxa"/>
            <w:gridSpan w:val="3"/>
            <w:tcBorders>
              <w:bottom w:val="single" w:sz="12" w:space="0" w:color="auto"/>
            </w:tcBorders>
            <w:vAlign w:val="center"/>
          </w:tcPr>
          <w:p w:rsidR="00051BBD" w:rsidRDefault="00FD0A5C">
            <w:pPr>
              <w:jc w:val="center"/>
              <w:rPr>
                <w:noProof/>
                <w:sz w:val="18"/>
                <w:szCs w:val="18"/>
                <w:lang w:val="nn-NO"/>
              </w:rPr>
            </w:pPr>
            <w:r>
              <w:rPr>
                <w:noProof/>
                <w:sz w:val="18"/>
                <w:lang w:val="nn-NO"/>
              </w:rPr>
              <w:t>Subtotal for specifikt mål nr. 2</w:t>
            </w:r>
          </w:p>
        </w:tc>
        <w:tc>
          <w:tcPr>
            <w:tcW w:w="504" w:type="dxa"/>
            <w:tcBorders>
              <w:bottom w:val="single" w:sz="12" w:space="0" w:color="auto"/>
            </w:tcBorders>
          </w:tcPr>
          <w:p w:rsidR="00051BBD" w:rsidRDefault="00051BBD">
            <w:pPr>
              <w:ind w:right="-29"/>
              <w:jc w:val="center"/>
              <w:rPr>
                <w:noProof/>
                <w:sz w:val="18"/>
                <w:szCs w:val="18"/>
                <w:lang w:val="nn-NO"/>
              </w:rPr>
            </w:pPr>
          </w:p>
        </w:tc>
        <w:tc>
          <w:tcPr>
            <w:tcW w:w="720" w:type="dxa"/>
            <w:tcBorders>
              <w:bottom w:val="single" w:sz="12" w:space="0" w:color="auto"/>
            </w:tcBorders>
          </w:tcPr>
          <w:p w:rsidR="00051BBD" w:rsidRDefault="00051BBD">
            <w:pPr>
              <w:ind w:right="-29"/>
              <w:jc w:val="center"/>
              <w:rPr>
                <w:noProof/>
                <w:sz w:val="18"/>
                <w:szCs w:val="18"/>
                <w:lang w:val="nn-NO"/>
              </w:rPr>
            </w:pPr>
          </w:p>
        </w:tc>
        <w:tc>
          <w:tcPr>
            <w:tcW w:w="540" w:type="dxa"/>
            <w:tcBorders>
              <w:bottom w:val="single" w:sz="12" w:space="0" w:color="auto"/>
            </w:tcBorders>
          </w:tcPr>
          <w:p w:rsidR="00051BBD" w:rsidRDefault="00051BBD">
            <w:pPr>
              <w:ind w:right="-29"/>
              <w:jc w:val="center"/>
              <w:rPr>
                <w:noProof/>
                <w:sz w:val="18"/>
                <w:szCs w:val="18"/>
                <w:lang w:val="nn-NO"/>
              </w:rPr>
            </w:pPr>
          </w:p>
        </w:tc>
        <w:tc>
          <w:tcPr>
            <w:tcW w:w="720" w:type="dxa"/>
            <w:tcBorders>
              <w:bottom w:val="single" w:sz="12" w:space="0" w:color="auto"/>
            </w:tcBorders>
          </w:tcPr>
          <w:p w:rsidR="00051BBD" w:rsidRDefault="00051BBD">
            <w:pPr>
              <w:ind w:right="-29"/>
              <w:jc w:val="center"/>
              <w:rPr>
                <w:noProof/>
                <w:sz w:val="18"/>
                <w:szCs w:val="18"/>
                <w:lang w:val="nn-NO"/>
              </w:rPr>
            </w:pPr>
          </w:p>
        </w:tc>
        <w:tc>
          <w:tcPr>
            <w:tcW w:w="720" w:type="dxa"/>
            <w:tcBorders>
              <w:bottom w:val="single" w:sz="12" w:space="0" w:color="auto"/>
            </w:tcBorders>
          </w:tcPr>
          <w:p w:rsidR="00051BBD" w:rsidRDefault="00051BBD">
            <w:pPr>
              <w:ind w:right="-29"/>
              <w:jc w:val="center"/>
              <w:rPr>
                <w:noProof/>
                <w:sz w:val="18"/>
                <w:szCs w:val="18"/>
                <w:lang w:val="nn-NO"/>
              </w:rPr>
            </w:pPr>
          </w:p>
        </w:tc>
        <w:tc>
          <w:tcPr>
            <w:tcW w:w="720" w:type="dxa"/>
            <w:tcBorders>
              <w:bottom w:val="single" w:sz="12" w:space="0" w:color="auto"/>
            </w:tcBorders>
          </w:tcPr>
          <w:p w:rsidR="00051BBD" w:rsidRDefault="00051BBD">
            <w:pPr>
              <w:ind w:right="-29"/>
              <w:jc w:val="center"/>
              <w:rPr>
                <w:noProof/>
                <w:sz w:val="18"/>
                <w:szCs w:val="18"/>
                <w:lang w:val="nn-NO"/>
              </w:rPr>
            </w:pPr>
          </w:p>
        </w:tc>
        <w:tc>
          <w:tcPr>
            <w:tcW w:w="951" w:type="dxa"/>
            <w:gridSpan w:val="2"/>
            <w:tcBorders>
              <w:bottom w:val="single" w:sz="12" w:space="0" w:color="auto"/>
            </w:tcBorders>
          </w:tcPr>
          <w:p w:rsidR="00051BBD" w:rsidRDefault="00051BBD">
            <w:pPr>
              <w:ind w:right="-29"/>
              <w:jc w:val="center"/>
              <w:rPr>
                <w:noProof/>
                <w:sz w:val="18"/>
                <w:szCs w:val="18"/>
                <w:lang w:val="nn-NO"/>
              </w:rPr>
            </w:pPr>
          </w:p>
        </w:tc>
        <w:tc>
          <w:tcPr>
            <w:tcW w:w="504" w:type="dxa"/>
            <w:tcBorders>
              <w:bottom w:val="single" w:sz="12" w:space="0" w:color="auto"/>
            </w:tcBorders>
          </w:tcPr>
          <w:p w:rsidR="00051BBD" w:rsidRDefault="00051BBD">
            <w:pPr>
              <w:ind w:right="-29"/>
              <w:jc w:val="center"/>
              <w:rPr>
                <w:noProof/>
                <w:sz w:val="18"/>
                <w:szCs w:val="18"/>
                <w:lang w:val="nn-NO"/>
              </w:rPr>
            </w:pPr>
          </w:p>
        </w:tc>
        <w:tc>
          <w:tcPr>
            <w:tcW w:w="567" w:type="dxa"/>
            <w:tcBorders>
              <w:bottom w:val="single" w:sz="12" w:space="0" w:color="auto"/>
            </w:tcBorders>
          </w:tcPr>
          <w:p w:rsidR="00051BBD" w:rsidRDefault="00051BBD">
            <w:pPr>
              <w:ind w:right="-29"/>
              <w:jc w:val="center"/>
              <w:rPr>
                <w:noProof/>
                <w:sz w:val="18"/>
                <w:szCs w:val="18"/>
                <w:lang w:val="nn-NO"/>
              </w:rPr>
            </w:pPr>
          </w:p>
        </w:tc>
        <w:tc>
          <w:tcPr>
            <w:tcW w:w="786" w:type="dxa"/>
            <w:tcBorders>
              <w:bottom w:val="single" w:sz="12" w:space="0" w:color="auto"/>
            </w:tcBorders>
          </w:tcPr>
          <w:p w:rsidR="00051BBD" w:rsidRDefault="00051BBD">
            <w:pPr>
              <w:ind w:right="-29"/>
              <w:jc w:val="center"/>
              <w:rPr>
                <w:noProof/>
                <w:sz w:val="18"/>
                <w:szCs w:val="18"/>
                <w:lang w:val="nn-NO"/>
              </w:rPr>
            </w:pPr>
          </w:p>
        </w:tc>
        <w:tc>
          <w:tcPr>
            <w:tcW w:w="432" w:type="dxa"/>
            <w:tcBorders>
              <w:bottom w:val="single" w:sz="12" w:space="0" w:color="auto"/>
            </w:tcBorders>
          </w:tcPr>
          <w:p w:rsidR="00051BBD" w:rsidRDefault="00051BBD">
            <w:pPr>
              <w:ind w:right="-29"/>
              <w:jc w:val="center"/>
              <w:rPr>
                <w:noProof/>
                <w:sz w:val="18"/>
                <w:szCs w:val="18"/>
                <w:lang w:val="nn-NO"/>
              </w:rPr>
            </w:pPr>
          </w:p>
        </w:tc>
        <w:tc>
          <w:tcPr>
            <w:tcW w:w="720" w:type="dxa"/>
            <w:tcBorders>
              <w:bottom w:val="single" w:sz="12" w:space="0" w:color="auto"/>
            </w:tcBorders>
          </w:tcPr>
          <w:p w:rsidR="00051BBD" w:rsidRDefault="00051BBD">
            <w:pPr>
              <w:ind w:right="-29"/>
              <w:jc w:val="center"/>
              <w:rPr>
                <w:noProof/>
                <w:sz w:val="18"/>
                <w:szCs w:val="18"/>
                <w:lang w:val="nn-NO"/>
              </w:rPr>
            </w:pPr>
          </w:p>
        </w:tc>
        <w:tc>
          <w:tcPr>
            <w:tcW w:w="540" w:type="dxa"/>
            <w:tcBorders>
              <w:bottom w:val="single" w:sz="12" w:space="0" w:color="auto"/>
            </w:tcBorders>
          </w:tcPr>
          <w:p w:rsidR="00051BBD" w:rsidRDefault="00051BBD">
            <w:pPr>
              <w:ind w:right="-29"/>
              <w:jc w:val="center"/>
              <w:rPr>
                <w:noProof/>
                <w:sz w:val="18"/>
                <w:szCs w:val="18"/>
                <w:lang w:val="nn-NO"/>
              </w:rPr>
            </w:pPr>
          </w:p>
        </w:tc>
        <w:tc>
          <w:tcPr>
            <w:tcW w:w="720" w:type="dxa"/>
            <w:tcBorders>
              <w:bottom w:val="single" w:sz="12" w:space="0" w:color="auto"/>
            </w:tcBorders>
          </w:tcPr>
          <w:p w:rsidR="00051BBD" w:rsidRDefault="00051BBD">
            <w:pPr>
              <w:ind w:right="-29"/>
              <w:jc w:val="center"/>
              <w:rPr>
                <w:noProof/>
                <w:sz w:val="18"/>
                <w:szCs w:val="18"/>
                <w:lang w:val="nn-NO"/>
              </w:rPr>
            </w:pPr>
          </w:p>
        </w:tc>
        <w:tc>
          <w:tcPr>
            <w:tcW w:w="720" w:type="dxa"/>
            <w:tcBorders>
              <w:bottom w:val="single" w:sz="12" w:space="0" w:color="auto"/>
            </w:tcBorders>
          </w:tcPr>
          <w:p w:rsidR="00051BBD" w:rsidRDefault="00051BBD">
            <w:pPr>
              <w:ind w:right="-29"/>
              <w:jc w:val="center"/>
              <w:rPr>
                <w:noProof/>
                <w:sz w:val="18"/>
                <w:szCs w:val="18"/>
                <w:lang w:val="nn-NO"/>
              </w:rPr>
            </w:pPr>
          </w:p>
        </w:tc>
        <w:tc>
          <w:tcPr>
            <w:tcW w:w="900" w:type="dxa"/>
            <w:tcBorders>
              <w:bottom w:val="single" w:sz="12" w:space="0" w:color="auto"/>
            </w:tcBorders>
          </w:tcPr>
          <w:p w:rsidR="00051BBD" w:rsidRDefault="00051BBD">
            <w:pPr>
              <w:ind w:right="-29"/>
              <w:jc w:val="center"/>
              <w:rPr>
                <w:noProof/>
                <w:sz w:val="18"/>
                <w:szCs w:val="18"/>
                <w:lang w:val="nn-NO"/>
              </w:rPr>
            </w:pPr>
          </w:p>
        </w:tc>
      </w:tr>
      <w:tr w:rsidR="00051BBD">
        <w:trPr>
          <w:jc w:val="center"/>
        </w:trPr>
        <w:tc>
          <w:tcPr>
            <w:tcW w:w="2844" w:type="dxa"/>
            <w:gridSpan w:val="3"/>
            <w:tcBorders>
              <w:top w:val="single" w:sz="12" w:space="0" w:color="auto"/>
              <w:left w:val="single" w:sz="12" w:space="0" w:color="auto"/>
              <w:bottom w:val="single" w:sz="12" w:space="0" w:color="auto"/>
            </w:tcBorders>
            <w:vAlign w:val="center"/>
          </w:tcPr>
          <w:p w:rsidR="00051BBD" w:rsidRDefault="00FD0A5C">
            <w:pPr>
              <w:ind w:right="-29"/>
              <w:jc w:val="center"/>
              <w:rPr>
                <w:noProof/>
                <w:sz w:val="18"/>
                <w:szCs w:val="18"/>
              </w:rPr>
            </w:pPr>
            <w:r>
              <w:rPr>
                <w:b/>
                <w:noProof/>
                <w:sz w:val="18"/>
              </w:rPr>
              <w:t>OMKOSTNINGER I ALT</w:t>
            </w:r>
          </w:p>
        </w:tc>
        <w:tc>
          <w:tcPr>
            <w:tcW w:w="504" w:type="dxa"/>
            <w:tcBorders>
              <w:top w:val="single" w:sz="12" w:space="0" w:color="auto"/>
              <w:bottom w:val="single" w:sz="12" w:space="0" w:color="auto"/>
            </w:tcBorders>
          </w:tcPr>
          <w:p w:rsidR="00051BBD" w:rsidRDefault="00051BBD">
            <w:pPr>
              <w:spacing w:before="180" w:after="180"/>
              <w:ind w:right="-29"/>
              <w:jc w:val="center"/>
              <w:rPr>
                <w:noProof/>
                <w:sz w:val="18"/>
                <w:szCs w:val="18"/>
              </w:rPr>
            </w:pPr>
          </w:p>
        </w:tc>
        <w:tc>
          <w:tcPr>
            <w:tcW w:w="720" w:type="dxa"/>
            <w:tcBorders>
              <w:top w:val="single" w:sz="12" w:space="0" w:color="auto"/>
              <w:bottom w:val="single" w:sz="12" w:space="0" w:color="auto"/>
            </w:tcBorders>
          </w:tcPr>
          <w:p w:rsidR="00051BBD" w:rsidRDefault="00051BBD">
            <w:pPr>
              <w:spacing w:before="180" w:after="180"/>
              <w:ind w:right="-29"/>
              <w:jc w:val="center"/>
              <w:rPr>
                <w:noProof/>
                <w:sz w:val="18"/>
                <w:szCs w:val="18"/>
              </w:rPr>
            </w:pPr>
          </w:p>
        </w:tc>
        <w:tc>
          <w:tcPr>
            <w:tcW w:w="540" w:type="dxa"/>
            <w:tcBorders>
              <w:top w:val="single" w:sz="12" w:space="0" w:color="auto"/>
              <w:bottom w:val="single" w:sz="12" w:space="0" w:color="auto"/>
            </w:tcBorders>
          </w:tcPr>
          <w:p w:rsidR="00051BBD" w:rsidRDefault="00051BBD">
            <w:pPr>
              <w:spacing w:before="180" w:after="180"/>
              <w:ind w:right="-29"/>
              <w:jc w:val="center"/>
              <w:rPr>
                <w:noProof/>
                <w:sz w:val="18"/>
                <w:szCs w:val="18"/>
              </w:rPr>
            </w:pPr>
          </w:p>
        </w:tc>
        <w:tc>
          <w:tcPr>
            <w:tcW w:w="720" w:type="dxa"/>
            <w:tcBorders>
              <w:top w:val="single" w:sz="12" w:space="0" w:color="auto"/>
              <w:bottom w:val="single" w:sz="12" w:space="0" w:color="auto"/>
            </w:tcBorders>
          </w:tcPr>
          <w:p w:rsidR="00051BBD" w:rsidRDefault="00051BBD">
            <w:pPr>
              <w:spacing w:before="180" w:after="180"/>
              <w:ind w:right="-29"/>
              <w:jc w:val="center"/>
              <w:rPr>
                <w:noProof/>
                <w:sz w:val="18"/>
                <w:szCs w:val="18"/>
              </w:rPr>
            </w:pPr>
          </w:p>
        </w:tc>
        <w:tc>
          <w:tcPr>
            <w:tcW w:w="720" w:type="dxa"/>
            <w:tcBorders>
              <w:top w:val="single" w:sz="12" w:space="0" w:color="auto"/>
              <w:bottom w:val="single" w:sz="12" w:space="0" w:color="auto"/>
            </w:tcBorders>
          </w:tcPr>
          <w:p w:rsidR="00051BBD" w:rsidRDefault="00051BBD">
            <w:pPr>
              <w:spacing w:before="180" w:after="180"/>
              <w:ind w:right="-29"/>
              <w:jc w:val="center"/>
              <w:rPr>
                <w:noProof/>
                <w:sz w:val="18"/>
                <w:szCs w:val="18"/>
              </w:rPr>
            </w:pPr>
          </w:p>
        </w:tc>
        <w:tc>
          <w:tcPr>
            <w:tcW w:w="720" w:type="dxa"/>
            <w:tcBorders>
              <w:top w:val="single" w:sz="12" w:space="0" w:color="auto"/>
              <w:bottom w:val="single" w:sz="12" w:space="0" w:color="auto"/>
            </w:tcBorders>
          </w:tcPr>
          <w:p w:rsidR="00051BBD" w:rsidRDefault="00051BBD">
            <w:pPr>
              <w:spacing w:before="180" w:after="180"/>
              <w:ind w:right="-29"/>
              <w:jc w:val="center"/>
              <w:rPr>
                <w:noProof/>
                <w:sz w:val="18"/>
                <w:szCs w:val="18"/>
              </w:rPr>
            </w:pPr>
          </w:p>
        </w:tc>
        <w:tc>
          <w:tcPr>
            <w:tcW w:w="604" w:type="dxa"/>
            <w:tcBorders>
              <w:top w:val="single" w:sz="12" w:space="0" w:color="auto"/>
              <w:bottom w:val="single" w:sz="12" w:space="0" w:color="auto"/>
            </w:tcBorders>
          </w:tcPr>
          <w:p w:rsidR="00051BBD" w:rsidRDefault="00051BBD">
            <w:pPr>
              <w:spacing w:before="180" w:after="180"/>
              <w:ind w:right="-29"/>
              <w:jc w:val="center"/>
              <w:rPr>
                <w:noProof/>
                <w:sz w:val="18"/>
                <w:szCs w:val="18"/>
              </w:rPr>
            </w:pPr>
          </w:p>
        </w:tc>
        <w:tc>
          <w:tcPr>
            <w:tcW w:w="851" w:type="dxa"/>
            <w:gridSpan w:val="2"/>
            <w:tcBorders>
              <w:top w:val="single" w:sz="12" w:space="0" w:color="auto"/>
              <w:bottom w:val="single" w:sz="12" w:space="0" w:color="auto"/>
            </w:tcBorders>
          </w:tcPr>
          <w:p w:rsidR="00051BBD" w:rsidRDefault="00051BBD">
            <w:pPr>
              <w:spacing w:before="180" w:after="180"/>
              <w:ind w:right="-29"/>
              <w:jc w:val="center"/>
              <w:rPr>
                <w:noProof/>
                <w:sz w:val="18"/>
                <w:szCs w:val="18"/>
              </w:rPr>
            </w:pPr>
          </w:p>
        </w:tc>
        <w:tc>
          <w:tcPr>
            <w:tcW w:w="567" w:type="dxa"/>
            <w:tcBorders>
              <w:top w:val="single" w:sz="12" w:space="0" w:color="auto"/>
              <w:bottom w:val="single" w:sz="12" w:space="0" w:color="auto"/>
            </w:tcBorders>
          </w:tcPr>
          <w:p w:rsidR="00051BBD" w:rsidRDefault="00051BBD">
            <w:pPr>
              <w:spacing w:before="180" w:after="180"/>
              <w:ind w:right="-29"/>
              <w:jc w:val="center"/>
              <w:rPr>
                <w:noProof/>
                <w:sz w:val="18"/>
                <w:szCs w:val="18"/>
              </w:rPr>
            </w:pPr>
          </w:p>
        </w:tc>
        <w:tc>
          <w:tcPr>
            <w:tcW w:w="786" w:type="dxa"/>
            <w:tcBorders>
              <w:top w:val="single" w:sz="12" w:space="0" w:color="auto"/>
              <w:bottom w:val="single" w:sz="12" w:space="0" w:color="auto"/>
            </w:tcBorders>
          </w:tcPr>
          <w:p w:rsidR="00051BBD" w:rsidRDefault="00051BBD">
            <w:pPr>
              <w:spacing w:before="180" w:after="180"/>
              <w:ind w:right="-29"/>
              <w:jc w:val="center"/>
              <w:rPr>
                <w:noProof/>
                <w:sz w:val="18"/>
                <w:szCs w:val="18"/>
              </w:rPr>
            </w:pPr>
          </w:p>
        </w:tc>
        <w:tc>
          <w:tcPr>
            <w:tcW w:w="432" w:type="dxa"/>
            <w:tcBorders>
              <w:top w:val="single" w:sz="12" w:space="0" w:color="auto"/>
              <w:bottom w:val="single" w:sz="12" w:space="0" w:color="auto"/>
            </w:tcBorders>
          </w:tcPr>
          <w:p w:rsidR="00051BBD" w:rsidRDefault="00051BBD">
            <w:pPr>
              <w:spacing w:before="180" w:after="180"/>
              <w:ind w:right="-29"/>
              <w:jc w:val="center"/>
              <w:rPr>
                <w:noProof/>
                <w:sz w:val="18"/>
                <w:szCs w:val="18"/>
              </w:rPr>
            </w:pPr>
          </w:p>
        </w:tc>
        <w:tc>
          <w:tcPr>
            <w:tcW w:w="720" w:type="dxa"/>
            <w:tcBorders>
              <w:top w:val="single" w:sz="12" w:space="0" w:color="auto"/>
              <w:bottom w:val="single" w:sz="12" w:space="0" w:color="auto"/>
            </w:tcBorders>
          </w:tcPr>
          <w:p w:rsidR="00051BBD" w:rsidRDefault="00051BBD">
            <w:pPr>
              <w:spacing w:before="180" w:after="180"/>
              <w:ind w:right="-29"/>
              <w:jc w:val="center"/>
              <w:rPr>
                <w:noProof/>
                <w:sz w:val="18"/>
                <w:szCs w:val="18"/>
              </w:rPr>
            </w:pPr>
          </w:p>
        </w:tc>
        <w:tc>
          <w:tcPr>
            <w:tcW w:w="540" w:type="dxa"/>
            <w:tcBorders>
              <w:top w:val="single" w:sz="12" w:space="0" w:color="auto"/>
              <w:bottom w:val="single" w:sz="12" w:space="0" w:color="auto"/>
            </w:tcBorders>
          </w:tcPr>
          <w:p w:rsidR="00051BBD" w:rsidRDefault="00051BBD">
            <w:pPr>
              <w:spacing w:before="180" w:after="180"/>
              <w:ind w:right="-29"/>
              <w:jc w:val="center"/>
              <w:rPr>
                <w:noProof/>
                <w:sz w:val="18"/>
                <w:szCs w:val="18"/>
              </w:rPr>
            </w:pPr>
          </w:p>
        </w:tc>
        <w:tc>
          <w:tcPr>
            <w:tcW w:w="720" w:type="dxa"/>
            <w:tcBorders>
              <w:top w:val="single" w:sz="12" w:space="0" w:color="auto"/>
              <w:bottom w:val="single" w:sz="12" w:space="0" w:color="auto"/>
            </w:tcBorders>
          </w:tcPr>
          <w:p w:rsidR="00051BBD" w:rsidRDefault="00051BBD">
            <w:pPr>
              <w:spacing w:before="180" w:after="180"/>
              <w:ind w:right="-29"/>
              <w:jc w:val="center"/>
              <w:rPr>
                <w:noProof/>
                <w:sz w:val="18"/>
                <w:szCs w:val="18"/>
              </w:rPr>
            </w:pPr>
          </w:p>
        </w:tc>
        <w:tc>
          <w:tcPr>
            <w:tcW w:w="720" w:type="dxa"/>
            <w:tcBorders>
              <w:top w:val="single" w:sz="12" w:space="0" w:color="auto"/>
              <w:bottom w:val="single" w:sz="12" w:space="0" w:color="auto"/>
            </w:tcBorders>
          </w:tcPr>
          <w:p w:rsidR="00051BBD" w:rsidRDefault="00051BBD">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051BBD" w:rsidRDefault="00051BBD">
            <w:pPr>
              <w:spacing w:before="180" w:after="180"/>
              <w:ind w:right="-29"/>
              <w:jc w:val="center"/>
              <w:rPr>
                <w:noProof/>
                <w:sz w:val="18"/>
                <w:szCs w:val="18"/>
              </w:rPr>
            </w:pPr>
          </w:p>
        </w:tc>
      </w:tr>
    </w:tbl>
    <w:p w:rsidR="00051BBD" w:rsidRDefault="00051BBD">
      <w:pPr>
        <w:rPr>
          <w:noProof/>
        </w:rPr>
        <w:sectPr w:rsidR="00051BBD">
          <w:pgSz w:w="16840" w:h="11907" w:orient="landscape" w:code="9"/>
          <w:pgMar w:top="1134" w:right="1418" w:bottom="1134" w:left="1418" w:header="709" w:footer="709" w:gutter="0"/>
          <w:cols w:space="708"/>
          <w:docGrid w:linePitch="360"/>
        </w:sectPr>
      </w:pPr>
    </w:p>
    <w:p w:rsidR="00051BBD" w:rsidRDefault="00051BBD">
      <w:pPr>
        <w:ind w:hanging="284"/>
        <w:rPr>
          <w:rFonts w:eastAsia="Times New Roman"/>
          <w:noProof/>
          <w:szCs w:val="24"/>
        </w:rPr>
      </w:pPr>
    </w:p>
    <w:p w:rsidR="00051BBD" w:rsidRDefault="00FD0A5C">
      <w:pPr>
        <w:pStyle w:val="ListParagraph"/>
        <w:ind w:left="360" w:hanging="284"/>
        <w:rPr>
          <w:rFonts w:ascii="Times New Roman" w:hAnsi="Times New Roman"/>
          <w:b/>
          <w:noProof/>
        </w:rPr>
      </w:pPr>
      <w:r>
        <w:rPr>
          <w:rFonts w:ascii="Times New Roman" w:hAnsi="Times New Roman"/>
          <w:b/>
          <w:noProof/>
          <w:sz w:val="18"/>
        </w:rPr>
        <w:t xml:space="preserve">BEMÆRK </w:t>
      </w:r>
    </w:p>
    <w:p w:rsidR="00051BBD" w:rsidRDefault="00FD0A5C">
      <w:pPr>
        <w:ind w:left="360" w:hanging="284"/>
        <w:rPr>
          <w:noProof/>
          <w:sz w:val="20"/>
          <w:szCs w:val="20"/>
        </w:rPr>
      </w:pPr>
      <w:r>
        <w:rPr>
          <w:noProof/>
          <w:sz w:val="20"/>
        </w:rPr>
        <w:t>Det forventede positive resultat af dette forslag er, at 1) medlemsstaterne vil få information om skatteafgørelser i andre lande, som vil gøre dem i stand til at anvende modforanstaltninger, som de mener vil være relevan</w:t>
      </w:r>
      <w:r>
        <w:rPr>
          <w:noProof/>
          <w:sz w:val="20"/>
        </w:rPr>
        <w:t>te; ii) offentligheden kan se foranstaltningen som et aktivt skridt til at sikre, at alle skatteydere betaler deres rimelige del af skatterne; iii) når medlemsstaterne bliver udsat for pres fra ligestillede, kan det få dem til at ændre praksis med deres af</w:t>
      </w:r>
      <w:r>
        <w:rPr>
          <w:noProof/>
          <w:sz w:val="20"/>
        </w:rPr>
        <w:t>gørelser; iv) selskaber vil måske begrænse deres aggressive skatteplanlægningsstrukturer. Medlemsstater, der udsteder skatteafgørelser, vil få flere administrative byrder og omkostninger til regelefterlevelse, som direkte vedrører videregivelsen af oplysni</w:t>
      </w:r>
      <w:r>
        <w:rPr>
          <w:noProof/>
          <w:sz w:val="20"/>
        </w:rPr>
        <w:t>nger om afgørelser, men disse omkostninger forventes at blive begrænsede, i betragtning af hvor begrænsede de oplysninger er, der skal videregives. Desuden skal oplysningerne allerede være givet (dvs. at forslaget i vid udstrækning blot præciserer og bekræ</w:t>
      </w:r>
      <w:r>
        <w:rPr>
          <w:noProof/>
          <w:sz w:val="20"/>
        </w:rPr>
        <w:t>fter eksisterende forpligtelser til informationsudveksling).</w:t>
      </w:r>
    </w:p>
    <w:p w:rsidR="00051BBD" w:rsidRDefault="00FD0A5C">
      <w:pPr>
        <w:pStyle w:val="ManualHeading3"/>
        <w:rPr>
          <w:bCs/>
          <w:noProof/>
          <w:szCs w:val="24"/>
        </w:rPr>
      </w:pPr>
      <w:r>
        <w:t>3.2.3.</w:t>
      </w:r>
      <w:r>
        <w:tab/>
      </w:r>
      <w:r>
        <w:rPr>
          <w:noProof/>
        </w:rPr>
        <w:t>Anslåede virkninger for administrationsbevillingerne</w:t>
      </w:r>
    </w:p>
    <w:p w:rsidR="00051BBD" w:rsidRDefault="00FD0A5C">
      <w:pPr>
        <w:pStyle w:val="ManualHeading4"/>
        <w:rPr>
          <w:noProof/>
        </w:rPr>
      </w:pPr>
      <w:r>
        <w:t>3.2.3.1.</w:t>
      </w:r>
      <w:r>
        <w:tab/>
      </w:r>
      <w:r>
        <w:rPr>
          <w:noProof/>
        </w:rPr>
        <w:t xml:space="preserve">Resumé </w:t>
      </w:r>
    </w:p>
    <w:p w:rsidR="00051BBD" w:rsidRDefault="00FD0A5C">
      <w:pPr>
        <w:pStyle w:val="ListDash1"/>
        <w:ind w:hanging="284"/>
        <w:rPr>
          <w:noProof/>
        </w:rPr>
      </w:pPr>
      <w:r>
        <w:rPr>
          <w:noProof/>
        </w:rPr>
        <w:sym w:font="Wingdings" w:char="F0A8"/>
      </w:r>
      <w:r>
        <w:rPr>
          <w:noProof/>
        </w:rPr>
        <w:tab/>
        <w:t xml:space="preserve">Forslaget/initiativet medfører ikke anvendelse af administrationsbevillinger </w:t>
      </w:r>
    </w:p>
    <w:p w:rsidR="00051BBD" w:rsidRDefault="00FD0A5C">
      <w:pPr>
        <w:pStyle w:val="ListDash1"/>
        <w:ind w:hanging="284"/>
        <w:rPr>
          <w:noProof/>
        </w:rPr>
      </w:pPr>
      <w:r>
        <w:rPr>
          <w:noProof/>
        </w:rPr>
        <w:sym w:font="Wingdings" w:char="F0FD"/>
      </w:r>
      <w:r>
        <w:rPr>
          <w:noProof/>
        </w:rPr>
        <w:tab/>
        <w:t xml:space="preserve">Forslaget/initiativet medfører </w:t>
      </w:r>
      <w:r>
        <w:rPr>
          <w:noProof/>
        </w:rPr>
        <w:t>anvendelse af administrationsbevillinger som anført herunder:</w:t>
      </w:r>
    </w:p>
    <w:p w:rsidR="00051BBD" w:rsidRDefault="00FD0A5C">
      <w:pPr>
        <w:ind w:hanging="284"/>
        <w:rPr>
          <w:noProof/>
          <w:sz w:val="20"/>
        </w:rPr>
      </w:pPr>
      <w:r>
        <w:rPr>
          <w:noProof/>
          <w:sz w:val="20"/>
        </w:rPr>
        <w:t>i mio. EUR (3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051BBD">
        <w:trPr>
          <w:trHeight w:val="585"/>
        </w:trPr>
        <w:tc>
          <w:tcPr>
            <w:tcW w:w="1980" w:type="dxa"/>
          </w:tcPr>
          <w:p w:rsidR="00051BBD" w:rsidRDefault="00051BBD">
            <w:pPr>
              <w:spacing w:before="60" w:after="60" w:line="200" w:lineRule="exact"/>
              <w:ind w:hanging="284"/>
              <w:rPr>
                <w:noProof/>
                <w:sz w:val="16"/>
                <w:szCs w:val="16"/>
              </w:rPr>
            </w:pPr>
          </w:p>
        </w:tc>
        <w:tc>
          <w:tcPr>
            <w:tcW w:w="1080" w:type="dxa"/>
            <w:vAlign w:val="center"/>
          </w:tcPr>
          <w:p w:rsidR="00051BBD" w:rsidRDefault="00FD0A5C">
            <w:pPr>
              <w:spacing w:before="60" w:after="60" w:line="200" w:lineRule="exact"/>
              <w:ind w:hanging="284"/>
              <w:jc w:val="center"/>
              <w:rPr>
                <w:noProof/>
                <w:sz w:val="20"/>
                <w:szCs w:val="20"/>
              </w:rPr>
            </w:pPr>
            <w:r>
              <w:rPr>
                <w:noProof/>
                <w:sz w:val="20"/>
                <w:szCs w:val="20"/>
              </w:rPr>
              <w:t xml:space="preserve">År </w:t>
            </w:r>
            <w:r>
              <w:rPr>
                <w:b/>
                <w:noProof/>
                <w:sz w:val="20"/>
                <w:szCs w:val="20"/>
              </w:rPr>
              <w:t>2016</w:t>
            </w:r>
            <w:r>
              <w:rPr>
                <w:rStyle w:val="FootnoteReference"/>
                <w:b/>
                <w:noProof/>
                <w:sz w:val="20"/>
                <w:szCs w:val="20"/>
              </w:rPr>
              <w:footnoteReference w:id="26"/>
            </w:r>
          </w:p>
        </w:tc>
        <w:tc>
          <w:tcPr>
            <w:tcW w:w="1080" w:type="dxa"/>
            <w:vAlign w:val="center"/>
          </w:tcPr>
          <w:p w:rsidR="00051BBD" w:rsidRDefault="00FD0A5C">
            <w:pPr>
              <w:spacing w:before="60" w:after="60" w:line="200" w:lineRule="exact"/>
              <w:ind w:hanging="284"/>
              <w:jc w:val="center"/>
              <w:rPr>
                <w:noProof/>
                <w:sz w:val="20"/>
                <w:szCs w:val="20"/>
              </w:rPr>
            </w:pPr>
            <w:r>
              <w:rPr>
                <w:noProof/>
                <w:sz w:val="20"/>
                <w:szCs w:val="20"/>
              </w:rPr>
              <w:t xml:space="preserve">År </w:t>
            </w:r>
            <w:r>
              <w:rPr>
                <w:b/>
                <w:noProof/>
                <w:sz w:val="20"/>
                <w:szCs w:val="20"/>
              </w:rPr>
              <w:t>2017</w:t>
            </w:r>
          </w:p>
        </w:tc>
        <w:tc>
          <w:tcPr>
            <w:tcW w:w="1080" w:type="dxa"/>
            <w:vAlign w:val="center"/>
          </w:tcPr>
          <w:p w:rsidR="00051BBD" w:rsidRDefault="00FD0A5C">
            <w:pPr>
              <w:spacing w:before="60" w:after="60" w:line="200" w:lineRule="exact"/>
              <w:ind w:hanging="284"/>
              <w:jc w:val="center"/>
              <w:rPr>
                <w:noProof/>
                <w:sz w:val="20"/>
                <w:szCs w:val="20"/>
              </w:rPr>
            </w:pPr>
            <w:r>
              <w:rPr>
                <w:noProof/>
                <w:sz w:val="20"/>
                <w:szCs w:val="20"/>
              </w:rPr>
              <w:t xml:space="preserve">År </w:t>
            </w:r>
            <w:r>
              <w:rPr>
                <w:b/>
                <w:noProof/>
                <w:sz w:val="20"/>
                <w:szCs w:val="20"/>
              </w:rPr>
              <w:t>2018</w:t>
            </w:r>
          </w:p>
        </w:tc>
        <w:tc>
          <w:tcPr>
            <w:tcW w:w="1080" w:type="dxa"/>
            <w:vAlign w:val="center"/>
          </w:tcPr>
          <w:p w:rsidR="00051BBD" w:rsidRDefault="00FD0A5C">
            <w:pPr>
              <w:spacing w:before="60" w:after="60" w:line="200" w:lineRule="exact"/>
              <w:ind w:hanging="284"/>
              <w:jc w:val="center"/>
              <w:rPr>
                <w:noProof/>
                <w:sz w:val="20"/>
                <w:szCs w:val="20"/>
              </w:rPr>
            </w:pPr>
            <w:r>
              <w:rPr>
                <w:noProof/>
                <w:sz w:val="20"/>
                <w:szCs w:val="20"/>
              </w:rPr>
              <w:t xml:space="preserve">År </w:t>
            </w:r>
            <w:r>
              <w:rPr>
                <w:b/>
                <w:noProof/>
                <w:sz w:val="20"/>
                <w:szCs w:val="20"/>
              </w:rPr>
              <w:t>2019</w:t>
            </w:r>
          </w:p>
        </w:tc>
        <w:tc>
          <w:tcPr>
            <w:tcW w:w="3240" w:type="dxa"/>
            <w:vAlign w:val="center"/>
          </w:tcPr>
          <w:p w:rsidR="00051BBD" w:rsidRDefault="00FD0A5C">
            <w:pPr>
              <w:spacing w:line="200" w:lineRule="exact"/>
              <w:ind w:hanging="284"/>
              <w:jc w:val="center"/>
              <w:rPr>
                <w:b/>
                <w:noProof/>
                <w:sz w:val="20"/>
                <w:szCs w:val="20"/>
              </w:rPr>
            </w:pPr>
            <w:r>
              <w:rPr>
                <w:b/>
                <w:noProof/>
                <w:sz w:val="20"/>
                <w:szCs w:val="20"/>
              </w:rPr>
              <w:t>2020</w:t>
            </w:r>
          </w:p>
        </w:tc>
        <w:tc>
          <w:tcPr>
            <w:tcW w:w="1080" w:type="dxa"/>
            <w:vAlign w:val="center"/>
          </w:tcPr>
          <w:p w:rsidR="00051BBD" w:rsidRDefault="00FD0A5C">
            <w:pPr>
              <w:spacing w:before="60" w:after="60" w:line="200" w:lineRule="exact"/>
              <w:ind w:hanging="284"/>
              <w:jc w:val="center"/>
              <w:rPr>
                <w:b/>
                <w:noProof/>
                <w:sz w:val="20"/>
                <w:szCs w:val="20"/>
              </w:rPr>
            </w:pPr>
            <w:r>
              <w:rPr>
                <w:b/>
                <w:noProof/>
                <w:sz w:val="20"/>
                <w:szCs w:val="20"/>
              </w:rPr>
              <w:t>I ALT</w:t>
            </w:r>
          </w:p>
        </w:tc>
      </w:tr>
    </w:tbl>
    <w:p w:rsidR="00051BBD" w:rsidRDefault="00051BBD">
      <w:pPr>
        <w:spacing w:line="200" w:lineRule="exact"/>
        <w:ind w:hanging="284"/>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051BBD">
        <w:trPr>
          <w:trHeight w:val="585"/>
        </w:trPr>
        <w:tc>
          <w:tcPr>
            <w:tcW w:w="1980" w:type="dxa"/>
            <w:shd w:val="clear" w:color="auto" w:fill="CCCCCC"/>
            <w:vAlign w:val="center"/>
          </w:tcPr>
          <w:p w:rsidR="00051BBD" w:rsidRDefault="00FD0A5C">
            <w:pPr>
              <w:spacing w:before="60" w:after="60" w:line="200" w:lineRule="exact"/>
              <w:ind w:left="328" w:firstLine="142"/>
              <w:jc w:val="center"/>
              <w:rPr>
                <w:b/>
                <w:noProof/>
                <w:sz w:val="16"/>
                <w:szCs w:val="16"/>
              </w:rPr>
            </w:pPr>
            <w:r>
              <w:rPr>
                <w:b/>
                <w:noProof/>
                <w:sz w:val="16"/>
                <w:szCs w:val="16"/>
              </w:rPr>
              <w:t>UDGIFTSOMRÅDE 5 i den flerårige finansielle ramme</w:t>
            </w:r>
          </w:p>
        </w:tc>
        <w:tc>
          <w:tcPr>
            <w:tcW w:w="1080" w:type="dxa"/>
            <w:vAlign w:val="center"/>
          </w:tcPr>
          <w:p w:rsidR="00051BBD" w:rsidRDefault="00051BBD">
            <w:pPr>
              <w:spacing w:before="60" w:after="60" w:line="200" w:lineRule="exact"/>
              <w:ind w:hanging="284"/>
              <w:jc w:val="right"/>
              <w:rPr>
                <w:noProof/>
                <w:sz w:val="16"/>
                <w:szCs w:val="16"/>
              </w:rPr>
            </w:pPr>
          </w:p>
        </w:tc>
        <w:tc>
          <w:tcPr>
            <w:tcW w:w="1080" w:type="dxa"/>
            <w:vAlign w:val="center"/>
          </w:tcPr>
          <w:p w:rsidR="00051BBD" w:rsidRDefault="00051BBD">
            <w:pPr>
              <w:spacing w:before="60" w:after="60" w:line="200" w:lineRule="exact"/>
              <w:ind w:hanging="284"/>
              <w:jc w:val="right"/>
              <w:rPr>
                <w:noProof/>
                <w:sz w:val="16"/>
                <w:szCs w:val="16"/>
              </w:rPr>
            </w:pPr>
          </w:p>
        </w:tc>
        <w:tc>
          <w:tcPr>
            <w:tcW w:w="1080" w:type="dxa"/>
            <w:vAlign w:val="center"/>
          </w:tcPr>
          <w:p w:rsidR="00051BBD" w:rsidRDefault="00051BBD">
            <w:pPr>
              <w:spacing w:before="60" w:after="60" w:line="200" w:lineRule="exact"/>
              <w:ind w:hanging="284"/>
              <w:jc w:val="right"/>
              <w:rPr>
                <w:noProof/>
                <w:sz w:val="16"/>
                <w:szCs w:val="16"/>
              </w:rPr>
            </w:pPr>
          </w:p>
        </w:tc>
        <w:tc>
          <w:tcPr>
            <w:tcW w:w="1080" w:type="dxa"/>
            <w:vAlign w:val="center"/>
          </w:tcPr>
          <w:p w:rsidR="00051BBD" w:rsidRDefault="00051BBD">
            <w:pPr>
              <w:spacing w:before="60" w:after="60" w:line="200" w:lineRule="exact"/>
              <w:ind w:hanging="284"/>
              <w:jc w:val="right"/>
              <w:rPr>
                <w:noProof/>
                <w:sz w:val="16"/>
                <w:szCs w:val="16"/>
              </w:rPr>
            </w:pPr>
          </w:p>
        </w:tc>
        <w:tc>
          <w:tcPr>
            <w:tcW w:w="1080" w:type="dxa"/>
            <w:vAlign w:val="center"/>
          </w:tcPr>
          <w:p w:rsidR="00051BBD" w:rsidRDefault="00051BBD">
            <w:pPr>
              <w:spacing w:before="60" w:after="60" w:line="200" w:lineRule="exact"/>
              <w:ind w:hanging="284"/>
              <w:jc w:val="right"/>
              <w:rPr>
                <w:noProof/>
                <w:sz w:val="16"/>
                <w:szCs w:val="16"/>
              </w:rPr>
            </w:pPr>
          </w:p>
        </w:tc>
        <w:tc>
          <w:tcPr>
            <w:tcW w:w="1080" w:type="dxa"/>
            <w:vAlign w:val="center"/>
          </w:tcPr>
          <w:p w:rsidR="00051BBD" w:rsidRDefault="00051BBD">
            <w:pPr>
              <w:spacing w:before="60" w:after="60" w:line="200" w:lineRule="exact"/>
              <w:ind w:hanging="284"/>
              <w:jc w:val="right"/>
              <w:rPr>
                <w:noProof/>
                <w:sz w:val="16"/>
                <w:szCs w:val="16"/>
              </w:rPr>
            </w:pPr>
          </w:p>
        </w:tc>
        <w:tc>
          <w:tcPr>
            <w:tcW w:w="1080" w:type="dxa"/>
            <w:vAlign w:val="center"/>
          </w:tcPr>
          <w:p w:rsidR="00051BBD" w:rsidRDefault="00051BBD">
            <w:pPr>
              <w:spacing w:before="60" w:after="60" w:line="200" w:lineRule="exact"/>
              <w:ind w:hanging="284"/>
              <w:jc w:val="right"/>
              <w:rPr>
                <w:b/>
                <w:noProof/>
                <w:sz w:val="16"/>
                <w:szCs w:val="16"/>
              </w:rPr>
            </w:pPr>
          </w:p>
        </w:tc>
        <w:tc>
          <w:tcPr>
            <w:tcW w:w="1080" w:type="dxa"/>
            <w:vAlign w:val="center"/>
          </w:tcPr>
          <w:p w:rsidR="00051BBD" w:rsidRDefault="00051BBD">
            <w:pPr>
              <w:spacing w:before="60" w:after="60" w:line="200" w:lineRule="exact"/>
              <w:ind w:hanging="284"/>
              <w:jc w:val="right"/>
              <w:rPr>
                <w:b/>
                <w:noProof/>
                <w:sz w:val="16"/>
                <w:szCs w:val="16"/>
              </w:rPr>
            </w:pPr>
          </w:p>
        </w:tc>
      </w:tr>
      <w:tr w:rsidR="00051BBD">
        <w:trPr>
          <w:trHeight w:val="585"/>
        </w:trPr>
        <w:tc>
          <w:tcPr>
            <w:tcW w:w="1980" w:type="dxa"/>
            <w:vAlign w:val="center"/>
          </w:tcPr>
          <w:p w:rsidR="00051BBD" w:rsidRDefault="00FD0A5C">
            <w:pPr>
              <w:spacing w:before="60" w:after="60" w:line="200" w:lineRule="exact"/>
              <w:ind w:left="328"/>
              <w:jc w:val="left"/>
              <w:rPr>
                <w:noProof/>
                <w:sz w:val="16"/>
                <w:szCs w:val="16"/>
              </w:rPr>
            </w:pPr>
            <w:r>
              <w:rPr>
                <w:noProof/>
                <w:sz w:val="16"/>
              </w:rPr>
              <w:t xml:space="preserve">Menneskelige ressourcer </w:t>
            </w:r>
          </w:p>
        </w:tc>
        <w:tc>
          <w:tcPr>
            <w:tcW w:w="1080" w:type="dxa"/>
            <w:vAlign w:val="center"/>
          </w:tcPr>
          <w:p w:rsidR="00051BBD" w:rsidRDefault="00FD0A5C">
            <w:pPr>
              <w:spacing w:before="20" w:after="20"/>
              <w:ind w:hanging="284"/>
              <w:jc w:val="right"/>
              <w:rPr>
                <w:noProof/>
              </w:rPr>
            </w:pPr>
            <w:r>
              <w:rPr>
                <w:noProof/>
              </w:rPr>
              <w:t>0,528</w:t>
            </w:r>
          </w:p>
        </w:tc>
        <w:tc>
          <w:tcPr>
            <w:tcW w:w="1080" w:type="dxa"/>
            <w:vAlign w:val="center"/>
          </w:tcPr>
          <w:p w:rsidR="00051BBD" w:rsidRDefault="00FD0A5C">
            <w:pPr>
              <w:spacing w:before="20" w:after="20"/>
              <w:ind w:hanging="284"/>
              <w:jc w:val="right"/>
              <w:rPr>
                <w:noProof/>
              </w:rPr>
            </w:pPr>
            <w:r>
              <w:rPr>
                <w:noProof/>
              </w:rPr>
              <w:t>0,528</w:t>
            </w:r>
          </w:p>
        </w:tc>
        <w:tc>
          <w:tcPr>
            <w:tcW w:w="1080" w:type="dxa"/>
            <w:vAlign w:val="center"/>
          </w:tcPr>
          <w:p w:rsidR="00051BBD" w:rsidRDefault="00FD0A5C">
            <w:pPr>
              <w:spacing w:before="20" w:after="20"/>
              <w:ind w:hanging="284"/>
              <w:jc w:val="right"/>
              <w:rPr>
                <w:noProof/>
              </w:rPr>
            </w:pPr>
            <w:r>
              <w:rPr>
                <w:noProof/>
              </w:rPr>
              <w:t>0,528</w:t>
            </w:r>
          </w:p>
        </w:tc>
        <w:tc>
          <w:tcPr>
            <w:tcW w:w="1080" w:type="dxa"/>
            <w:vAlign w:val="center"/>
          </w:tcPr>
          <w:p w:rsidR="00051BBD" w:rsidRDefault="00FD0A5C">
            <w:pPr>
              <w:spacing w:before="20" w:after="20"/>
              <w:ind w:hanging="284"/>
              <w:jc w:val="right"/>
              <w:rPr>
                <w:noProof/>
              </w:rPr>
            </w:pPr>
            <w:r>
              <w:rPr>
                <w:noProof/>
              </w:rPr>
              <w:t>0,528</w:t>
            </w:r>
          </w:p>
        </w:tc>
        <w:tc>
          <w:tcPr>
            <w:tcW w:w="1080" w:type="dxa"/>
            <w:vAlign w:val="center"/>
          </w:tcPr>
          <w:p w:rsidR="00051BBD" w:rsidRDefault="00FD0A5C">
            <w:pPr>
              <w:spacing w:before="20" w:after="20"/>
              <w:ind w:hanging="284"/>
              <w:jc w:val="right"/>
              <w:rPr>
                <w:noProof/>
              </w:rPr>
            </w:pPr>
            <w:r>
              <w:rPr>
                <w:noProof/>
              </w:rPr>
              <w:t>0,528</w:t>
            </w:r>
          </w:p>
        </w:tc>
        <w:tc>
          <w:tcPr>
            <w:tcW w:w="1080" w:type="dxa"/>
            <w:vAlign w:val="center"/>
          </w:tcPr>
          <w:p w:rsidR="00051BBD" w:rsidRDefault="00051BBD">
            <w:pPr>
              <w:spacing w:before="20" w:after="20"/>
              <w:ind w:hanging="284"/>
              <w:jc w:val="right"/>
              <w:rPr>
                <w:noProof/>
              </w:rPr>
            </w:pPr>
          </w:p>
        </w:tc>
        <w:tc>
          <w:tcPr>
            <w:tcW w:w="1080" w:type="dxa"/>
            <w:vAlign w:val="center"/>
          </w:tcPr>
          <w:p w:rsidR="00051BBD" w:rsidRDefault="00051BBD">
            <w:pPr>
              <w:spacing w:before="20" w:after="20"/>
              <w:ind w:hanging="284"/>
              <w:jc w:val="right"/>
              <w:rPr>
                <w:noProof/>
              </w:rPr>
            </w:pPr>
          </w:p>
        </w:tc>
        <w:tc>
          <w:tcPr>
            <w:tcW w:w="1080" w:type="dxa"/>
            <w:vAlign w:val="center"/>
          </w:tcPr>
          <w:p w:rsidR="00051BBD" w:rsidRDefault="00051BBD">
            <w:pPr>
              <w:spacing w:before="60" w:after="60" w:line="200" w:lineRule="exact"/>
              <w:ind w:hanging="284"/>
              <w:jc w:val="right"/>
              <w:rPr>
                <w:b/>
                <w:noProof/>
                <w:sz w:val="16"/>
                <w:szCs w:val="16"/>
              </w:rPr>
            </w:pPr>
          </w:p>
        </w:tc>
      </w:tr>
      <w:tr w:rsidR="00051BBD">
        <w:trPr>
          <w:trHeight w:val="585"/>
        </w:trPr>
        <w:tc>
          <w:tcPr>
            <w:tcW w:w="1980" w:type="dxa"/>
            <w:vAlign w:val="center"/>
          </w:tcPr>
          <w:p w:rsidR="00051BBD" w:rsidRDefault="00FD0A5C">
            <w:pPr>
              <w:spacing w:before="60" w:after="60" w:line="200" w:lineRule="exact"/>
              <w:ind w:left="328" w:firstLine="114"/>
              <w:jc w:val="left"/>
              <w:rPr>
                <w:noProof/>
                <w:sz w:val="16"/>
                <w:szCs w:val="16"/>
              </w:rPr>
            </w:pPr>
            <w:r>
              <w:rPr>
                <w:noProof/>
                <w:sz w:val="16"/>
              </w:rPr>
              <w:t xml:space="preserve">Andre administrations-udgifter </w:t>
            </w:r>
          </w:p>
        </w:tc>
        <w:tc>
          <w:tcPr>
            <w:tcW w:w="1080" w:type="dxa"/>
            <w:vAlign w:val="center"/>
          </w:tcPr>
          <w:p w:rsidR="00051BBD" w:rsidRDefault="00FD0A5C">
            <w:pPr>
              <w:spacing w:before="20" w:after="20"/>
              <w:ind w:hanging="284"/>
              <w:jc w:val="right"/>
              <w:rPr>
                <w:noProof/>
              </w:rPr>
            </w:pPr>
            <w:r>
              <w:rPr>
                <w:noProof/>
              </w:rPr>
              <w:t>0,030</w:t>
            </w:r>
          </w:p>
        </w:tc>
        <w:tc>
          <w:tcPr>
            <w:tcW w:w="1080" w:type="dxa"/>
            <w:vAlign w:val="center"/>
          </w:tcPr>
          <w:p w:rsidR="00051BBD" w:rsidRDefault="00FD0A5C">
            <w:pPr>
              <w:spacing w:before="20" w:after="20"/>
              <w:ind w:hanging="284"/>
              <w:jc w:val="right"/>
              <w:rPr>
                <w:noProof/>
              </w:rPr>
            </w:pPr>
            <w:r>
              <w:rPr>
                <w:noProof/>
              </w:rPr>
              <w:t>0,030</w:t>
            </w:r>
          </w:p>
        </w:tc>
        <w:tc>
          <w:tcPr>
            <w:tcW w:w="1080" w:type="dxa"/>
            <w:vAlign w:val="center"/>
          </w:tcPr>
          <w:p w:rsidR="00051BBD" w:rsidRDefault="00FD0A5C">
            <w:pPr>
              <w:spacing w:before="20" w:after="20"/>
              <w:ind w:hanging="284"/>
              <w:jc w:val="right"/>
              <w:rPr>
                <w:noProof/>
              </w:rPr>
            </w:pPr>
            <w:r>
              <w:rPr>
                <w:noProof/>
              </w:rPr>
              <w:t>0,030</w:t>
            </w:r>
          </w:p>
        </w:tc>
        <w:tc>
          <w:tcPr>
            <w:tcW w:w="1080" w:type="dxa"/>
            <w:vAlign w:val="center"/>
          </w:tcPr>
          <w:p w:rsidR="00051BBD" w:rsidRDefault="00FD0A5C">
            <w:pPr>
              <w:spacing w:before="20" w:after="20"/>
              <w:ind w:hanging="284"/>
              <w:jc w:val="right"/>
              <w:rPr>
                <w:noProof/>
              </w:rPr>
            </w:pPr>
            <w:r>
              <w:rPr>
                <w:noProof/>
              </w:rPr>
              <w:t>0,030</w:t>
            </w:r>
          </w:p>
        </w:tc>
        <w:tc>
          <w:tcPr>
            <w:tcW w:w="1080" w:type="dxa"/>
            <w:vAlign w:val="center"/>
          </w:tcPr>
          <w:p w:rsidR="00051BBD" w:rsidRDefault="00FD0A5C">
            <w:pPr>
              <w:spacing w:before="20" w:after="20"/>
              <w:ind w:hanging="284"/>
              <w:jc w:val="right"/>
              <w:rPr>
                <w:noProof/>
              </w:rPr>
            </w:pPr>
            <w:r>
              <w:rPr>
                <w:noProof/>
              </w:rPr>
              <w:t>0,030</w:t>
            </w:r>
          </w:p>
        </w:tc>
        <w:tc>
          <w:tcPr>
            <w:tcW w:w="1080" w:type="dxa"/>
            <w:vAlign w:val="center"/>
          </w:tcPr>
          <w:p w:rsidR="00051BBD" w:rsidRDefault="00051BBD">
            <w:pPr>
              <w:spacing w:before="20" w:after="20"/>
              <w:ind w:hanging="284"/>
              <w:jc w:val="right"/>
              <w:rPr>
                <w:noProof/>
              </w:rPr>
            </w:pPr>
          </w:p>
        </w:tc>
        <w:tc>
          <w:tcPr>
            <w:tcW w:w="1080" w:type="dxa"/>
            <w:vAlign w:val="center"/>
          </w:tcPr>
          <w:p w:rsidR="00051BBD" w:rsidRDefault="00051BBD">
            <w:pPr>
              <w:spacing w:before="20" w:after="20"/>
              <w:ind w:hanging="284"/>
              <w:jc w:val="right"/>
              <w:rPr>
                <w:noProof/>
              </w:rPr>
            </w:pPr>
          </w:p>
        </w:tc>
        <w:tc>
          <w:tcPr>
            <w:tcW w:w="1080" w:type="dxa"/>
            <w:vAlign w:val="center"/>
          </w:tcPr>
          <w:p w:rsidR="00051BBD" w:rsidRDefault="00051BBD">
            <w:pPr>
              <w:spacing w:before="60" w:after="60" w:line="200" w:lineRule="exact"/>
              <w:ind w:hanging="284"/>
              <w:jc w:val="right"/>
              <w:rPr>
                <w:b/>
                <w:noProof/>
                <w:sz w:val="16"/>
                <w:szCs w:val="16"/>
              </w:rPr>
            </w:pPr>
          </w:p>
        </w:tc>
      </w:tr>
      <w:tr w:rsidR="00051BBD">
        <w:trPr>
          <w:trHeight w:val="585"/>
        </w:trPr>
        <w:tc>
          <w:tcPr>
            <w:tcW w:w="1980" w:type="dxa"/>
            <w:shd w:val="clear" w:color="auto" w:fill="CCCCCC"/>
            <w:vAlign w:val="center"/>
          </w:tcPr>
          <w:p w:rsidR="00051BBD" w:rsidRDefault="00FD0A5C">
            <w:pPr>
              <w:spacing w:before="60" w:after="60" w:line="200" w:lineRule="exact"/>
              <w:ind w:left="328" w:hanging="612"/>
              <w:jc w:val="center"/>
              <w:rPr>
                <w:b/>
                <w:noProof/>
                <w:sz w:val="16"/>
                <w:szCs w:val="16"/>
              </w:rPr>
            </w:pPr>
            <w:r>
              <w:rPr>
                <w:b/>
                <w:noProof/>
                <w:sz w:val="16"/>
                <w:szCs w:val="16"/>
              </w:rPr>
              <w:t xml:space="preserve">Subtotal UDGIFTSOMRÅDE 5 i den flerårige finansielle ramme </w:t>
            </w:r>
          </w:p>
        </w:tc>
        <w:tc>
          <w:tcPr>
            <w:tcW w:w="1080" w:type="dxa"/>
            <w:vAlign w:val="center"/>
          </w:tcPr>
          <w:p w:rsidR="00051BBD" w:rsidRDefault="00FD0A5C">
            <w:pPr>
              <w:spacing w:before="20" w:after="20"/>
              <w:ind w:hanging="284"/>
              <w:jc w:val="right"/>
              <w:rPr>
                <w:noProof/>
              </w:rPr>
            </w:pPr>
            <w:r>
              <w:rPr>
                <w:noProof/>
              </w:rPr>
              <w:t>0,558</w:t>
            </w:r>
          </w:p>
        </w:tc>
        <w:tc>
          <w:tcPr>
            <w:tcW w:w="1080" w:type="dxa"/>
            <w:vAlign w:val="center"/>
          </w:tcPr>
          <w:p w:rsidR="00051BBD" w:rsidRDefault="00FD0A5C">
            <w:pPr>
              <w:spacing w:before="20" w:after="20"/>
              <w:ind w:hanging="284"/>
              <w:jc w:val="right"/>
              <w:rPr>
                <w:noProof/>
              </w:rPr>
            </w:pPr>
            <w:r>
              <w:rPr>
                <w:noProof/>
              </w:rPr>
              <w:t>0,558</w:t>
            </w:r>
          </w:p>
        </w:tc>
        <w:tc>
          <w:tcPr>
            <w:tcW w:w="1080" w:type="dxa"/>
            <w:vAlign w:val="center"/>
          </w:tcPr>
          <w:p w:rsidR="00051BBD" w:rsidRDefault="00FD0A5C">
            <w:pPr>
              <w:spacing w:before="20" w:after="20"/>
              <w:ind w:hanging="284"/>
              <w:jc w:val="right"/>
              <w:rPr>
                <w:noProof/>
              </w:rPr>
            </w:pPr>
            <w:r>
              <w:rPr>
                <w:noProof/>
              </w:rPr>
              <w:t>0,558</w:t>
            </w:r>
          </w:p>
        </w:tc>
        <w:tc>
          <w:tcPr>
            <w:tcW w:w="1080" w:type="dxa"/>
            <w:vAlign w:val="center"/>
          </w:tcPr>
          <w:p w:rsidR="00051BBD" w:rsidRDefault="00FD0A5C">
            <w:pPr>
              <w:spacing w:before="20" w:after="20"/>
              <w:ind w:hanging="284"/>
              <w:jc w:val="right"/>
              <w:rPr>
                <w:noProof/>
              </w:rPr>
            </w:pPr>
            <w:r>
              <w:rPr>
                <w:noProof/>
              </w:rPr>
              <w:t>0,558</w:t>
            </w:r>
          </w:p>
        </w:tc>
        <w:tc>
          <w:tcPr>
            <w:tcW w:w="1080" w:type="dxa"/>
            <w:vAlign w:val="center"/>
          </w:tcPr>
          <w:p w:rsidR="00051BBD" w:rsidRDefault="00FD0A5C">
            <w:pPr>
              <w:spacing w:before="20" w:after="20"/>
              <w:ind w:hanging="284"/>
              <w:jc w:val="right"/>
              <w:rPr>
                <w:noProof/>
              </w:rPr>
            </w:pPr>
            <w:r>
              <w:rPr>
                <w:noProof/>
              </w:rPr>
              <w:t>0,558</w:t>
            </w:r>
          </w:p>
        </w:tc>
        <w:tc>
          <w:tcPr>
            <w:tcW w:w="1080" w:type="dxa"/>
            <w:vAlign w:val="center"/>
          </w:tcPr>
          <w:p w:rsidR="00051BBD" w:rsidRDefault="00051BBD">
            <w:pPr>
              <w:spacing w:before="20" w:after="20"/>
              <w:ind w:hanging="284"/>
              <w:jc w:val="right"/>
              <w:rPr>
                <w:noProof/>
              </w:rPr>
            </w:pPr>
          </w:p>
        </w:tc>
        <w:tc>
          <w:tcPr>
            <w:tcW w:w="1080" w:type="dxa"/>
            <w:vAlign w:val="center"/>
          </w:tcPr>
          <w:p w:rsidR="00051BBD" w:rsidRDefault="00051BBD">
            <w:pPr>
              <w:spacing w:before="20" w:after="20"/>
              <w:ind w:hanging="284"/>
              <w:jc w:val="right"/>
              <w:rPr>
                <w:noProof/>
              </w:rPr>
            </w:pPr>
          </w:p>
        </w:tc>
        <w:tc>
          <w:tcPr>
            <w:tcW w:w="1080" w:type="dxa"/>
            <w:vAlign w:val="center"/>
          </w:tcPr>
          <w:p w:rsidR="00051BBD" w:rsidRDefault="00051BBD">
            <w:pPr>
              <w:spacing w:before="60" w:after="60" w:line="200" w:lineRule="exact"/>
              <w:ind w:hanging="284"/>
              <w:jc w:val="right"/>
              <w:rPr>
                <w:b/>
                <w:noProof/>
                <w:sz w:val="16"/>
                <w:szCs w:val="16"/>
              </w:rPr>
            </w:pPr>
          </w:p>
        </w:tc>
      </w:tr>
    </w:tbl>
    <w:p w:rsidR="00051BBD" w:rsidRDefault="00051BBD">
      <w:pPr>
        <w:spacing w:line="200" w:lineRule="exact"/>
        <w:ind w:hanging="284"/>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051BBD">
        <w:trPr>
          <w:trHeight w:val="585"/>
        </w:trPr>
        <w:tc>
          <w:tcPr>
            <w:tcW w:w="1980" w:type="dxa"/>
            <w:shd w:val="clear" w:color="auto" w:fill="CCCCCC"/>
            <w:vAlign w:val="center"/>
          </w:tcPr>
          <w:p w:rsidR="00051BBD" w:rsidRDefault="00FD0A5C">
            <w:pPr>
              <w:spacing w:before="60" w:after="60" w:line="200" w:lineRule="exact"/>
              <w:ind w:left="328" w:hanging="612"/>
              <w:jc w:val="center"/>
              <w:rPr>
                <w:b/>
                <w:noProof/>
                <w:sz w:val="16"/>
                <w:szCs w:val="16"/>
              </w:rPr>
            </w:pPr>
            <w:r>
              <w:rPr>
                <w:b/>
                <w:noProof/>
                <w:sz w:val="16"/>
                <w:szCs w:val="16"/>
              </w:rPr>
              <w:t>Uden for UDGIFTSOMRÅDE 5</w:t>
            </w:r>
            <w:r>
              <w:rPr>
                <w:rStyle w:val="FootnoteReference"/>
                <w:b/>
                <w:noProof/>
                <w:sz w:val="16"/>
                <w:szCs w:val="16"/>
              </w:rPr>
              <w:footnoteReference w:id="27"/>
            </w:r>
            <w:r>
              <w:rPr>
                <w:b/>
                <w:noProof/>
                <w:sz w:val="16"/>
                <w:szCs w:val="16"/>
              </w:rPr>
              <w:t xml:space="preserve"> i den flerårige finansielle ramme </w:t>
            </w:r>
          </w:p>
        </w:tc>
        <w:tc>
          <w:tcPr>
            <w:tcW w:w="1080" w:type="dxa"/>
            <w:vAlign w:val="center"/>
          </w:tcPr>
          <w:p w:rsidR="00051BBD" w:rsidRDefault="00051BBD">
            <w:pPr>
              <w:spacing w:before="60" w:after="60" w:line="200" w:lineRule="exact"/>
              <w:ind w:hanging="284"/>
              <w:jc w:val="right"/>
              <w:rPr>
                <w:noProof/>
                <w:sz w:val="16"/>
                <w:szCs w:val="16"/>
              </w:rPr>
            </w:pPr>
          </w:p>
        </w:tc>
        <w:tc>
          <w:tcPr>
            <w:tcW w:w="1080" w:type="dxa"/>
            <w:vAlign w:val="center"/>
          </w:tcPr>
          <w:p w:rsidR="00051BBD" w:rsidRDefault="00051BBD">
            <w:pPr>
              <w:spacing w:before="60" w:after="60" w:line="200" w:lineRule="exact"/>
              <w:ind w:hanging="284"/>
              <w:jc w:val="right"/>
              <w:rPr>
                <w:noProof/>
                <w:sz w:val="16"/>
                <w:szCs w:val="16"/>
              </w:rPr>
            </w:pPr>
          </w:p>
        </w:tc>
        <w:tc>
          <w:tcPr>
            <w:tcW w:w="1080" w:type="dxa"/>
            <w:vAlign w:val="center"/>
          </w:tcPr>
          <w:p w:rsidR="00051BBD" w:rsidRDefault="00051BBD">
            <w:pPr>
              <w:spacing w:before="60" w:after="60" w:line="200" w:lineRule="exact"/>
              <w:ind w:hanging="284"/>
              <w:jc w:val="right"/>
              <w:rPr>
                <w:noProof/>
                <w:sz w:val="16"/>
                <w:szCs w:val="16"/>
              </w:rPr>
            </w:pPr>
          </w:p>
        </w:tc>
        <w:tc>
          <w:tcPr>
            <w:tcW w:w="1080" w:type="dxa"/>
            <w:vAlign w:val="center"/>
          </w:tcPr>
          <w:p w:rsidR="00051BBD" w:rsidRDefault="00051BBD">
            <w:pPr>
              <w:spacing w:before="60" w:after="60" w:line="200" w:lineRule="exact"/>
              <w:ind w:hanging="284"/>
              <w:jc w:val="right"/>
              <w:rPr>
                <w:noProof/>
                <w:sz w:val="16"/>
                <w:szCs w:val="16"/>
              </w:rPr>
            </w:pPr>
          </w:p>
        </w:tc>
        <w:tc>
          <w:tcPr>
            <w:tcW w:w="1080" w:type="dxa"/>
            <w:vAlign w:val="center"/>
          </w:tcPr>
          <w:p w:rsidR="00051BBD" w:rsidRDefault="00051BBD">
            <w:pPr>
              <w:spacing w:before="60" w:after="60" w:line="200" w:lineRule="exact"/>
              <w:ind w:hanging="284"/>
              <w:jc w:val="right"/>
              <w:rPr>
                <w:noProof/>
                <w:sz w:val="16"/>
                <w:szCs w:val="16"/>
              </w:rPr>
            </w:pPr>
          </w:p>
        </w:tc>
        <w:tc>
          <w:tcPr>
            <w:tcW w:w="1080" w:type="dxa"/>
            <w:vAlign w:val="center"/>
          </w:tcPr>
          <w:p w:rsidR="00051BBD" w:rsidRDefault="00051BBD">
            <w:pPr>
              <w:spacing w:before="60" w:after="60" w:line="200" w:lineRule="exact"/>
              <w:ind w:hanging="284"/>
              <w:jc w:val="right"/>
              <w:rPr>
                <w:noProof/>
                <w:sz w:val="16"/>
                <w:szCs w:val="16"/>
              </w:rPr>
            </w:pPr>
          </w:p>
        </w:tc>
        <w:tc>
          <w:tcPr>
            <w:tcW w:w="1080" w:type="dxa"/>
            <w:vAlign w:val="center"/>
          </w:tcPr>
          <w:p w:rsidR="00051BBD" w:rsidRDefault="00051BBD">
            <w:pPr>
              <w:spacing w:before="60" w:after="60" w:line="200" w:lineRule="exact"/>
              <w:ind w:hanging="284"/>
              <w:jc w:val="right"/>
              <w:rPr>
                <w:b/>
                <w:noProof/>
                <w:sz w:val="16"/>
                <w:szCs w:val="16"/>
              </w:rPr>
            </w:pPr>
          </w:p>
        </w:tc>
        <w:tc>
          <w:tcPr>
            <w:tcW w:w="1080" w:type="dxa"/>
            <w:vAlign w:val="center"/>
          </w:tcPr>
          <w:p w:rsidR="00051BBD" w:rsidRDefault="00051BBD">
            <w:pPr>
              <w:spacing w:before="60" w:after="60" w:line="200" w:lineRule="exact"/>
              <w:ind w:hanging="284"/>
              <w:jc w:val="right"/>
              <w:rPr>
                <w:b/>
                <w:noProof/>
                <w:sz w:val="16"/>
                <w:szCs w:val="16"/>
              </w:rPr>
            </w:pPr>
          </w:p>
        </w:tc>
      </w:tr>
      <w:tr w:rsidR="00051BBD">
        <w:trPr>
          <w:trHeight w:val="585"/>
        </w:trPr>
        <w:tc>
          <w:tcPr>
            <w:tcW w:w="1980" w:type="dxa"/>
            <w:vAlign w:val="center"/>
          </w:tcPr>
          <w:p w:rsidR="00051BBD" w:rsidRDefault="00FD0A5C">
            <w:pPr>
              <w:spacing w:before="60" w:after="60" w:line="200" w:lineRule="exact"/>
              <w:ind w:left="328"/>
              <w:jc w:val="left"/>
              <w:rPr>
                <w:noProof/>
                <w:sz w:val="16"/>
                <w:szCs w:val="16"/>
              </w:rPr>
            </w:pPr>
            <w:r>
              <w:rPr>
                <w:noProof/>
                <w:sz w:val="16"/>
              </w:rPr>
              <w:t xml:space="preserve">Menneskelige ressourcer </w:t>
            </w:r>
          </w:p>
        </w:tc>
        <w:tc>
          <w:tcPr>
            <w:tcW w:w="1080" w:type="dxa"/>
            <w:vAlign w:val="center"/>
          </w:tcPr>
          <w:p w:rsidR="00051BBD" w:rsidRDefault="00051BBD">
            <w:pPr>
              <w:spacing w:before="60" w:after="60" w:line="200" w:lineRule="exact"/>
              <w:ind w:hanging="284"/>
              <w:jc w:val="right"/>
              <w:rPr>
                <w:noProof/>
                <w:sz w:val="16"/>
                <w:szCs w:val="16"/>
              </w:rPr>
            </w:pPr>
          </w:p>
        </w:tc>
        <w:tc>
          <w:tcPr>
            <w:tcW w:w="1080" w:type="dxa"/>
            <w:vAlign w:val="center"/>
          </w:tcPr>
          <w:p w:rsidR="00051BBD" w:rsidRDefault="00051BBD">
            <w:pPr>
              <w:spacing w:before="60" w:after="60" w:line="200" w:lineRule="exact"/>
              <w:ind w:hanging="284"/>
              <w:jc w:val="right"/>
              <w:rPr>
                <w:noProof/>
                <w:sz w:val="16"/>
                <w:szCs w:val="16"/>
              </w:rPr>
            </w:pPr>
          </w:p>
        </w:tc>
        <w:tc>
          <w:tcPr>
            <w:tcW w:w="1080" w:type="dxa"/>
            <w:vAlign w:val="center"/>
          </w:tcPr>
          <w:p w:rsidR="00051BBD" w:rsidRDefault="00051BBD">
            <w:pPr>
              <w:spacing w:before="60" w:after="60" w:line="200" w:lineRule="exact"/>
              <w:ind w:hanging="284"/>
              <w:jc w:val="right"/>
              <w:rPr>
                <w:noProof/>
                <w:sz w:val="16"/>
                <w:szCs w:val="16"/>
              </w:rPr>
            </w:pPr>
          </w:p>
        </w:tc>
        <w:tc>
          <w:tcPr>
            <w:tcW w:w="1080" w:type="dxa"/>
            <w:vAlign w:val="center"/>
          </w:tcPr>
          <w:p w:rsidR="00051BBD" w:rsidRDefault="00051BBD">
            <w:pPr>
              <w:spacing w:before="60" w:after="60" w:line="200" w:lineRule="exact"/>
              <w:ind w:hanging="284"/>
              <w:jc w:val="right"/>
              <w:rPr>
                <w:noProof/>
                <w:sz w:val="16"/>
                <w:szCs w:val="16"/>
              </w:rPr>
            </w:pPr>
          </w:p>
        </w:tc>
        <w:tc>
          <w:tcPr>
            <w:tcW w:w="1080" w:type="dxa"/>
            <w:vAlign w:val="center"/>
          </w:tcPr>
          <w:p w:rsidR="00051BBD" w:rsidRDefault="00051BBD">
            <w:pPr>
              <w:spacing w:before="60" w:after="60" w:line="200" w:lineRule="exact"/>
              <w:ind w:hanging="284"/>
              <w:jc w:val="right"/>
              <w:rPr>
                <w:noProof/>
                <w:sz w:val="16"/>
                <w:szCs w:val="16"/>
              </w:rPr>
            </w:pPr>
          </w:p>
        </w:tc>
        <w:tc>
          <w:tcPr>
            <w:tcW w:w="1080" w:type="dxa"/>
            <w:vAlign w:val="center"/>
          </w:tcPr>
          <w:p w:rsidR="00051BBD" w:rsidRDefault="00051BBD">
            <w:pPr>
              <w:spacing w:before="60" w:after="60" w:line="200" w:lineRule="exact"/>
              <w:ind w:hanging="284"/>
              <w:jc w:val="right"/>
              <w:rPr>
                <w:noProof/>
                <w:sz w:val="16"/>
                <w:szCs w:val="16"/>
              </w:rPr>
            </w:pPr>
          </w:p>
        </w:tc>
        <w:tc>
          <w:tcPr>
            <w:tcW w:w="1080" w:type="dxa"/>
            <w:vAlign w:val="center"/>
          </w:tcPr>
          <w:p w:rsidR="00051BBD" w:rsidRDefault="00051BBD">
            <w:pPr>
              <w:spacing w:before="60" w:after="60" w:line="200" w:lineRule="exact"/>
              <w:ind w:hanging="284"/>
              <w:jc w:val="right"/>
              <w:rPr>
                <w:b/>
                <w:noProof/>
                <w:sz w:val="16"/>
                <w:szCs w:val="16"/>
              </w:rPr>
            </w:pPr>
          </w:p>
        </w:tc>
        <w:tc>
          <w:tcPr>
            <w:tcW w:w="1080" w:type="dxa"/>
            <w:vAlign w:val="center"/>
          </w:tcPr>
          <w:p w:rsidR="00051BBD" w:rsidRDefault="00051BBD">
            <w:pPr>
              <w:spacing w:before="60" w:after="60" w:line="200" w:lineRule="exact"/>
              <w:ind w:hanging="284"/>
              <w:jc w:val="right"/>
              <w:rPr>
                <w:b/>
                <w:noProof/>
                <w:sz w:val="16"/>
                <w:szCs w:val="16"/>
              </w:rPr>
            </w:pPr>
          </w:p>
        </w:tc>
      </w:tr>
      <w:tr w:rsidR="00051BBD">
        <w:trPr>
          <w:trHeight w:val="585"/>
        </w:trPr>
        <w:tc>
          <w:tcPr>
            <w:tcW w:w="1980" w:type="dxa"/>
            <w:vAlign w:val="center"/>
          </w:tcPr>
          <w:p w:rsidR="00051BBD" w:rsidRDefault="00FD0A5C">
            <w:pPr>
              <w:spacing w:before="60" w:after="60" w:line="200" w:lineRule="exact"/>
              <w:ind w:left="72" w:hanging="27"/>
              <w:jc w:val="left"/>
              <w:rPr>
                <w:noProof/>
                <w:sz w:val="16"/>
                <w:szCs w:val="16"/>
              </w:rPr>
            </w:pPr>
            <w:r>
              <w:rPr>
                <w:noProof/>
                <w:sz w:val="16"/>
                <w:szCs w:val="16"/>
              </w:rPr>
              <w:t>Andre udgifter af</w:t>
            </w:r>
            <w:r>
              <w:rPr>
                <w:noProof/>
                <w:sz w:val="16"/>
              </w:rPr>
              <w:t xml:space="preserve"> administrativ art</w:t>
            </w:r>
          </w:p>
        </w:tc>
        <w:tc>
          <w:tcPr>
            <w:tcW w:w="1080" w:type="dxa"/>
            <w:vAlign w:val="center"/>
          </w:tcPr>
          <w:p w:rsidR="00051BBD" w:rsidRDefault="00051BBD">
            <w:pPr>
              <w:spacing w:before="60" w:after="60" w:line="200" w:lineRule="exact"/>
              <w:ind w:hanging="284"/>
              <w:jc w:val="right"/>
              <w:rPr>
                <w:noProof/>
                <w:sz w:val="16"/>
                <w:szCs w:val="16"/>
              </w:rPr>
            </w:pPr>
          </w:p>
        </w:tc>
        <w:tc>
          <w:tcPr>
            <w:tcW w:w="1080" w:type="dxa"/>
            <w:vAlign w:val="center"/>
          </w:tcPr>
          <w:p w:rsidR="00051BBD" w:rsidRDefault="00051BBD">
            <w:pPr>
              <w:spacing w:before="60" w:after="60" w:line="200" w:lineRule="exact"/>
              <w:ind w:hanging="284"/>
              <w:jc w:val="right"/>
              <w:rPr>
                <w:noProof/>
                <w:sz w:val="16"/>
                <w:szCs w:val="16"/>
              </w:rPr>
            </w:pPr>
          </w:p>
        </w:tc>
        <w:tc>
          <w:tcPr>
            <w:tcW w:w="1080" w:type="dxa"/>
            <w:vAlign w:val="center"/>
          </w:tcPr>
          <w:p w:rsidR="00051BBD" w:rsidRDefault="00051BBD">
            <w:pPr>
              <w:spacing w:before="60" w:after="60" w:line="200" w:lineRule="exact"/>
              <w:ind w:hanging="284"/>
              <w:jc w:val="right"/>
              <w:rPr>
                <w:noProof/>
                <w:sz w:val="16"/>
                <w:szCs w:val="16"/>
              </w:rPr>
            </w:pPr>
          </w:p>
        </w:tc>
        <w:tc>
          <w:tcPr>
            <w:tcW w:w="1080" w:type="dxa"/>
            <w:vAlign w:val="center"/>
          </w:tcPr>
          <w:p w:rsidR="00051BBD" w:rsidRDefault="00051BBD">
            <w:pPr>
              <w:spacing w:before="60" w:after="60" w:line="200" w:lineRule="exact"/>
              <w:ind w:hanging="284"/>
              <w:jc w:val="right"/>
              <w:rPr>
                <w:noProof/>
                <w:sz w:val="16"/>
                <w:szCs w:val="16"/>
              </w:rPr>
            </w:pPr>
          </w:p>
        </w:tc>
        <w:tc>
          <w:tcPr>
            <w:tcW w:w="1080" w:type="dxa"/>
            <w:vAlign w:val="center"/>
          </w:tcPr>
          <w:p w:rsidR="00051BBD" w:rsidRDefault="00051BBD">
            <w:pPr>
              <w:spacing w:before="60" w:after="60" w:line="200" w:lineRule="exact"/>
              <w:ind w:hanging="284"/>
              <w:jc w:val="right"/>
              <w:rPr>
                <w:noProof/>
                <w:sz w:val="16"/>
                <w:szCs w:val="16"/>
              </w:rPr>
            </w:pPr>
          </w:p>
        </w:tc>
        <w:tc>
          <w:tcPr>
            <w:tcW w:w="1080" w:type="dxa"/>
            <w:vAlign w:val="center"/>
          </w:tcPr>
          <w:p w:rsidR="00051BBD" w:rsidRDefault="00051BBD">
            <w:pPr>
              <w:spacing w:before="60" w:after="60" w:line="200" w:lineRule="exact"/>
              <w:ind w:hanging="284"/>
              <w:jc w:val="right"/>
              <w:rPr>
                <w:noProof/>
                <w:sz w:val="16"/>
                <w:szCs w:val="16"/>
              </w:rPr>
            </w:pPr>
          </w:p>
        </w:tc>
        <w:tc>
          <w:tcPr>
            <w:tcW w:w="1080" w:type="dxa"/>
            <w:vAlign w:val="center"/>
          </w:tcPr>
          <w:p w:rsidR="00051BBD" w:rsidRDefault="00051BBD">
            <w:pPr>
              <w:spacing w:before="60" w:after="60" w:line="200" w:lineRule="exact"/>
              <w:ind w:hanging="284"/>
              <w:jc w:val="right"/>
              <w:rPr>
                <w:b/>
                <w:noProof/>
                <w:sz w:val="16"/>
                <w:szCs w:val="16"/>
              </w:rPr>
            </w:pPr>
          </w:p>
        </w:tc>
        <w:tc>
          <w:tcPr>
            <w:tcW w:w="1080" w:type="dxa"/>
            <w:vAlign w:val="center"/>
          </w:tcPr>
          <w:p w:rsidR="00051BBD" w:rsidRDefault="00051BBD">
            <w:pPr>
              <w:spacing w:before="60" w:after="60" w:line="200" w:lineRule="exact"/>
              <w:ind w:hanging="284"/>
              <w:jc w:val="right"/>
              <w:rPr>
                <w:b/>
                <w:noProof/>
                <w:sz w:val="16"/>
                <w:szCs w:val="16"/>
              </w:rPr>
            </w:pPr>
          </w:p>
        </w:tc>
      </w:tr>
      <w:tr w:rsidR="00051BBD">
        <w:trPr>
          <w:trHeight w:val="585"/>
        </w:trPr>
        <w:tc>
          <w:tcPr>
            <w:tcW w:w="1980" w:type="dxa"/>
            <w:shd w:val="clear" w:color="auto" w:fill="CCCCCC"/>
            <w:vAlign w:val="center"/>
          </w:tcPr>
          <w:p w:rsidR="00051BBD" w:rsidRDefault="00FD0A5C">
            <w:pPr>
              <w:spacing w:before="60" w:after="60" w:line="200" w:lineRule="exact"/>
              <w:ind w:hanging="284"/>
              <w:jc w:val="center"/>
              <w:rPr>
                <w:b/>
                <w:noProof/>
                <w:sz w:val="16"/>
                <w:szCs w:val="16"/>
              </w:rPr>
            </w:pPr>
            <w:r>
              <w:rPr>
                <w:b/>
                <w:noProof/>
                <w:sz w:val="16"/>
                <w:szCs w:val="16"/>
              </w:rPr>
              <w:t>Subtotal uden for UDGIFTSOMRÅDE 5 i den</w:t>
            </w:r>
            <w:r>
              <w:rPr>
                <w:b/>
                <w:noProof/>
                <w:sz w:val="16"/>
              </w:rPr>
              <w:t xml:space="preserve"> flerårige finansielle ramme </w:t>
            </w:r>
          </w:p>
        </w:tc>
        <w:tc>
          <w:tcPr>
            <w:tcW w:w="1080" w:type="dxa"/>
            <w:vAlign w:val="center"/>
          </w:tcPr>
          <w:p w:rsidR="00051BBD" w:rsidRDefault="00051BBD">
            <w:pPr>
              <w:spacing w:before="60" w:after="60" w:line="200" w:lineRule="exact"/>
              <w:ind w:hanging="284"/>
              <w:jc w:val="right"/>
              <w:rPr>
                <w:noProof/>
                <w:sz w:val="16"/>
                <w:szCs w:val="16"/>
              </w:rPr>
            </w:pPr>
          </w:p>
        </w:tc>
        <w:tc>
          <w:tcPr>
            <w:tcW w:w="1080" w:type="dxa"/>
            <w:vAlign w:val="center"/>
          </w:tcPr>
          <w:p w:rsidR="00051BBD" w:rsidRDefault="00051BBD">
            <w:pPr>
              <w:spacing w:before="60" w:after="60" w:line="200" w:lineRule="exact"/>
              <w:ind w:hanging="284"/>
              <w:jc w:val="right"/>
              <w:rPr>
                <w:noProof/>
                <w:sz w:val="16"/>
                <w:szCs w:val="16"/>
              </w:rPr>
            </w:pPr>
          </w:p>
        </w:tc>
        <w:tc>
          <w:tcPr>
            <w:tcW w:w="1080" w:type="dxa"/>
            <w:vAlign w:val="center"/>
          </w:tcPr>
          <w:p w:rsidR="00051BBD" w:rsidRDefault="00051BBD">
            <w:pPr>
              <w:spacing w:before="60" w:after="60" w:line="200" w:lineRule="exact"/>
              <w:ind w:hanging="284"/>
              <w:jc w:val="right"/>
              <w:rPr>
                <w:noProof/>
                <w:sz w:val="16"/>
                <w:szCs w:val="16"/>
              </w:rPr>
            </w:pPr>
          </w:p>
        </w:tc>
        <w:tc>
          <w:tcPr>
            <w:tcW w:w="1080" w:type="dxa"/>
            <w:vAlign w:val="center"/>
          </w:tcPr>
          <w:p w:rsidR="00051BBD" w:rsidRDefault="00051BBD">
            <w:pPr>
              <w:spacing w:before="60" w:after="60" w:line="200" w:lineRule="exact"/>
              <w:ind w:hanging="284"/>
              <w:jc w:val="right"/>
              <w:rPr>
                <w:noProof/>
                <w:sz w:val="16"/>
                <w:szCs w:val="16"/>
              </w:rPr>
            </w:pPr>
          </w:p>
        </w:tc>
        <w:tc>
          <w:tcPr>
            <w:tcW w:w="1080" w:type="dxa"/>
            <w:vAlign w:val="center"/>
          </w:tcPr>
          <w:p w:rsidR="00051BBD" w:rsidRDefault="00051BBD">
            <w:pPr>
              <w:spacing w:before="60" w:after="60" w:line="200" w:lineRule="exact"/>
              <w:ind w:hanging="284"/>
              <w:jc w:val="right"/>
              <w:rPr>
                <w:noProof/>
                <w:sz w:val="16"/>
                <w:szCs w:val="16"/>
              </w:rPr>
            </w:pPr>
          </w:p>
        </w:tc>
        <w:tc>
          <w:tcPr>
            <w:tcW w:w="1080" w:type="dxa"/>
            <w:vAlign w:val="center"/>
          </w:tcPr>
          <w:p w:rsidR="00051BBD" w:rsidRDefault="00051BBD">
            <w:pPr>
              <w:spacing w:before="60" w:after="60" w:line="200" w:lineRule="exact"/>
              <w:ind w:hanging="284"/>
              <w:jc w:val="right"/>
              <w:rPr>
                <w:noProof/>
                <w:sz w:val="16"/>
                <w:szCs w:val="16"/>
              </w:rPr>
            </w:pPr>
          </w:p>
        </w:tc>
        <w:tc>
          <w:tcPr>
            <w:tcW w:w="1080" w:type="dxa"/>
            <w:vAlign w:val="center"/>
          </w:tcPr>
          <w:p w:rsidR="00051BBD" w:rsidRDefault="00051BBD">
            <w:pPr>
              <w:spacing w:before="60" w:after="60" w:line="200" w:lineRule="exact"/>
              <w:ind w:hanging="284"/>
              <w:jc w:val="right"/>
              <w:rPr>
                <w:b/>
                <w:noProof/>
                <w:sz w:val="16"/>
                <w:szCs w:val="16"/>
              </w:rPr>
            </w:pPr>
          </w:p>
        </w:tc>
        <w:tc>
          <w:tcPr>
            <w:tcW w:w="1080" w:type="dxa"/>
            <w:vAlign w:val="center"/>
          </w:tcPr>
          <w:p w:rsidR="00051BBD" w:rsidRDefault="00051BBD">
            <w:pPr>
              <w:spacing w:before="60" w:after="60" w:line="200" w:lineRule="exact"/>
              <w:ind w:hanging="284"/>
              <w:jc w:val="right"/>
              <w:rPr>
                <w:b/>
                <w:noProof/>
                <w:sz w:val="16"/>
                <w:szCs w:val="16"/>
              </w:rPr>
            </w:pPr>
          </w:p>
        </w:tc>
      </w:tr>
    </w:tbl>
    <w:p w:rsidR="00051BBD" w:rsidRDefault="00051BBD">
      <w:pPr>
        <w:spacing w:line="200" w:lineRule="exact"/>
        <w:ind w:hanging="284"/>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051BBD">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051BBD" w:rsidRDefault="00FD0A5C">
            <w:pPr>
              <w:spacing w:before="60" w:after="60" w:line="200" w:lineRule="exact"/>
              <w:ind w:hanging="284"/>
              <w:jc w:val="center"/>
              <w:rPr>
                <w:noProof/>
                <w:sz w:val="16"/>
                <w:szCs w:val="16"/>
              </w:rPr>
            </w:pPr>
            <w:r>
              <w:rPr>
                <w:b/>
                <w:noProof/>
                <w:sz w:val="16"/>
              </w:rPr>
              <w:t>I ALT</w:t>
            </w:r>
          </w:p>
        </w:tc>
        <w:tc>
          <w:tcPr>
            <w:tcW w:w="1080" w:type="dxa"/>
            <w:tcBorders>
              <w:top w:val="single" w:sz="12" w:space="0" w:color="auto"/>
              <w:left w:val="single" w:sz="2" w:space="0" w:color="auto"/>
              <w:bottom w:val="single" w:sz="12" w:space="0" w:color="auto"/>
              <w:right w:val="single" w:sz="2" w:space="0" w:color="auto"/>
            </w:tcBorders>
            <w:vAlign w:val="center"/>
          </w:tcPr>
          <w:p w:rsidR="00051BBD" w:rsidRDefault="00FD0A5C">
            <w:pPr>
              <w:spacing w:before="20" w:after="20"/>
              <w:ind w:hanging="284"/>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051BBD" w:rsidRDefault="00FD0A5C">
            <w:pPr>
              <w:spacing w:before="20" w:after="20"/>
              <w:ind w:hanging="284"/>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051BBD" w:rsidRDefault="00FD0A5C">
            <w:pPr>
              <w:spacing w:before="20" w:after="20"/>
              <w:ind w:hanging="284"/>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051BBD" w:rsidRDefault="00FD0A5C">
            <w:pPr>
              <w:spacing w:before="20" w:after="20"/>
              <w:ind w:hanging="284"/>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051BBD" w:rsidRDefault="00FD0A5C">
            <w:pPr>
              <w:spacing w:before="20" w:after="20"/>
              <w:ind w:hanging="284"/>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051BBD" w:rsidRDefault="00051BBD">
            <w:pPr>
              <w:spacing w:before="20" w:after="20"/>
              <w:ind w:hanging="284"/>
              <w:jc w:val="right"/>
              <w:rPr>
                <w:noProof/>
              </w:rPr>
            </w:pPr>
          </w:p>
        </w:tc>
        <w:tc>
          <w:tcPr>
            <w:tcW w:w="1080" w:type="dxa"/>
            <w:tcBorders>
              <w:top w:val="single" w:sz="12" w:space="0" w:color="auto"/>
              <w:left w:val="single" w:sz="2" w:space="0" w:color="auto"/>
              <w:bottom w:val="single" w:sz="12" w:space="0" w:color="auto"/>
              <w:right w:val="single" w:sz="2" w:space="0" w:color="auto"/>
            </w:tcBorders>
            <w:vAlign w:val="center"/>
          </w:tcPr>
          <w:p w:rsidR="00051BBD" w:rsidRDefault="00051BBD">
            <w:pPr>
              <w:spacing w:before="20" w:after="20"/>
              <w:ind w:hanging="284"/>
              <w:jc w:val="right"/>
              <w:rPr>
                <w:noProof/>
              </w:rPr>
            </w:pPr>
          </w:p>
        </w:tc>
        <w:tc>
          <w:tcPr>
            <w:tcW w:w="1080" w:type="dxa"/>
            <w:tcBorders>
              <w:top w:val="single" w:sz="12" w:space="0" w:color="auto"/>
              <w:left w:val="single" w:sz="2" w:space="0" w:color="auto"/>
              <w:bottom w:val="single" w:sz="12" w:space="0" w:color="auto"/>
              <w:right w:val="single" w:sz="12" w:space="0" w:color="auto"/>
            </w:tcBorders>
            <w:vAlign w:val="center"/>
          </w:tcPr>
          <w:p w:rsidR="00051BBD" w:rsidRDefault="00051BBD">
            <w:pPr>
              <w:spacing w:before="60" w:after="60" w:line="200" w:lineRule="exact"/>
              <w:ind w:hanging="284"/>
              <w:jc w:val="right"/>
              <w:rPr>
                <w:b/>
                <w:noProof/>
                <w:sz w:val="16"/>
                <w:szCs w:val="16"/>
              </w:rPr>
            </w:pPr>
          </w:p>
        </w:tc>
      </w:tr>
    </w:tbl>
    <w:p w:rsidR="00051BBD" w:rsidRDefault="00FD0A5C">
      <w:pPr>
        <w:ind w:hanging="284"/>
        <w:rPr>
          <w:noProof/>
          <w:sz w:val="18"/>
        </w:rPr>
      </w:pPr>
      <w:r>
        <w:rPr>
          <w:noProof/>
          <w:sz w:val="18"/>
        </w:rPr>
        <w:t xml:space="preserve"> </w:t>
      </w:r>
      <w:r>
        <w:rPr>
          <w:noProof/>
          <w:sz w:val="18"/>
        </w:rPr>
        <w:tab/>
        <w:t xml:space="preserve">Bevillingerne til menneskelige ressourcer og andre administrationsudgifter vil </w:t>
      </w:r>
      <w:r>
        <w:rPr>
          <w:noProof/>
          <w:sz w:val="18"/>
        </w:rPr>
        <w:t>blive dækket ved hjælp af de bevillinger, der i forvejen er afsat til generaldirektoratets forvaltning af aktionen, og/eller ved intern omfordeling i generaldirektoratet, eventuelt suppleret med yderligere bevillinger, som tildeles det ansvarlige generaldi</w:t>
      </w:r>
      <w:r>
        <w:rPr>
          <w:noProof/>
          <w:sz w:val="18"/>
        </w:rPr>
        <w:t>rektorat i forbindelse med den årlige tildelingsprocedure under hensyntagen til de budgetmæssige begrænsninger.</w:t>
      </w:r>
    </w:p>
    <w:p w:rsidR="00051BBD" w:rsidRDefault="00051BBD">
      <w:pPr>
        <w:rPr>
          <w:noProof/>
          <w:sz w:val="18"/>
        </w:rPr>
        <w:sectPr w:rsidR="00051BBD">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p>
    <w:p w:rsidR="00051BBD" w:rsidRDefault="00FD0A5C">
      <w:pPr>
        <w:pStyle w:val="ManualHeading4"/>
        <w:rPr>
          <w:bCs/>
          <w:noProof/>
          <w:szCs w:val="24"/>
        </w:rPr>
      </w:pPr>
      <w:r>
        <w:t>3.2.3.2.</w:t>
      </w:r>
      <w:r>
        <w:tab/>
      </w:r>
      <w:r>
        <w:rPr>
          <w:noProof/>
        </w:rPr>
        <w:t xml:space="preserve">Anslået behov for </w:t>
      </w:r>
      <w:r>
        <w:rPr>
          <w:noProof/>
        </w:rPr>
        <w:t>menneskelige ressourcer</w:t>
      </w:r>
    </w:p>
    <w:p w:rsidR="00051BBD" w:rsidRDefault="00FD0A5C">
      <w:pPr>
        <w:pStyle w:val="ListDash1"/>
        <w:rPr>
          <w:noProof/>
        </w:rPr>
      </w:pPr>
      <w:r>
        <w:rPr>
          <w:noProof/>
        </w:rPr>
        <w:sym w:font="Wingdings" w:char="F0A8"/>
      </w:r>
      <w:r>
        <w:rPr>
          <w:noProof/>
        </w:rPr>
        <w:tab/>
        <w:t xml:space="preserve">Forslaget/initiativet medfører ikke anvendelse af menneskelige ressourcer </w:t>
      </w:r>
    </w:p>
    <w:p w:rsidR="00051BBD" w:rsidRDefault="00FD0A5C">
      <w:pPr>
        <w:pStyle w:val="ListDash1"/>
        <w:rPr>
          <w:noProof/>
        </w:rPr>
      </w:pPr>
      <w:r>
        <w:rPr>
          <w:noProof/>
        </w:rPr>
        <w:sym w:font="Wingdings" w:char="F0FD"/>
      </w:r>
      <w:r>
        <w:rPr>
          <w:noProof/>
        </w:rPr>
        <w:tab/>
        <w:t>Forslaget/initiativet medfører anvendelse af menneskelige ressourcer som anført herunder:</w:t>
      </w:r>
    </w:p>
    <w:p w:rsidR="00051BBD" w:rsidRDefault="00FD0A5C">
      <w:pPr>
        <w:spacing w:after="60"/>
        <w:jc w:val="right"/>
        <w:rPr>
          <w:i/>
          <w:noProof/>
          <w:sz w:val="20"/>
        </w:rPr>
      </w:pPr>
      <w:r>
        <w:rPr>
          <w:i/>
          <w:noProof/>
          <w:sz w:val="20"/>
        </w:rPr>
        <w:t>Overslag angives i årsværk</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051BBD">
        <w:trPr>
          <w:gridBefore w:val="1"/>
          <w:wBefore w:w="6" w:type="pct"/>
          <w:trHeight w:val="289"/>
          <w:jc w:val="center"/>
        </w:trPr>
        <w:tc>
          <w:tcPr>
            <w:tcW w:w="1897" w:type="pct"/>
            <w:gridSpan w:val="2"/>
            <w:shd w:val="clear" w:color="auto" w:fill="auto"/>
          </w:tcPr>
          <w:p w:rsidR="00051BBD" w:rsidRDefault="00051BBD">
            <w:pPr>
              <w:pStyle w:val="Text1"/>
              <w:spacing w:before="40" w:after="40"/>
              <w:ind w:left="0"/>
              <w:jc w:val="center"/>
              <w:rPr>
                <w:i/>
                <w:noProof/>
                <w:sz w:val="16"/>
                <w:szCs w:val="16"/>
              </w:rPr>
            </w:pPr>
          </w:p>
        </w:tc>
        <w:tc>
          <w:tcPr>
            <w:tcW w:w="318" w:type="pct"/>
            <w:shd w:val="clear" w:color="auto" w:fill="auto"/>
            <w:vAlign w:val="center"/>
          </w:tcPr>
          <w:p w:rsidR="00051BBD" w:rsidRDefault="00FD0A5C">
            <w:pPr>
              <w:spacing w:before="20" w:after="20"/>
              <w:jc w:val="center"/>
              <w:rPr>
                <w:noProof/>
                <w:sz w:val="16"/>
                <w:szCs w:val="16"/>
              </w:rPr>
            </w:pPr>
            <w:r>
              <w:rPr>
                <w:noProof/>
                <w:sz w:val="16"/>
                <w:szCs w:val="16"/>
              </w:rPr>
              <w:t xml:space="preserve">År </w:t>
            </w:r>
            <w:r>
              <w:rPr>
                <w:b/>
                <w:noProof/>
                <w:sz w:val="16"/>
                <w:szCs w:val="16"/>
              </w:rPr>
              <w:t>2016</w:t>
            </w:r>
          </w:p>
        </w:tc>
        <w:tc>
          <w:tcPr>
            <w:tcW w:w="318" w:type="pct"/>
            <w:shd w:val="clear" w:color="auto" w:fill="auto"/>
            <w:vAlign w:val="center"/>
          </w:tcPr>
          <w:p w:rsidR="00051BBD" w:rsidRDefault="00FD0A5C">
            <w:pPr>
              <w:spacing w:before="20" w:after="20"/>
              <w:jc w:val="center"/>
              <w:rPr>
                <w:noProof/>
                <w:sz w:val="16"/>
                <w:szCs w:val="16"/>
              </w:rPr>
            </w:pPr>
            <w:r>
              <w:rPr>
                <w:noProof/>
                <w:sz w:val="16"/>
                <w:szCs w:val="16"/>
              </w:rPr>
              <w:t xml:space="preserve">År </w:t>
            </w:r>
            <w:r>
              <w:rPr>
                <w:b/>
                <w:noProof/>
                <w:sz w:val="16"/>
                <w:szCs w:val="16"/>
              </w:rPr>
              <w:t>2017</w:t>
            </w:r>
          </w:p>
        </w:tc>
        <w:tc>
          <w:tcPr>
            <w:tcW w:w="1891" w:type="pct"/>
            <w:shd w:val="clear" w:color="auto" w:fill="auto"/>
            <w:vAlign w:val="center"/>
          </w:tcPr>
          <w:p w:rsidR="00051BBD" w:rsidRDefault="00FD0A5C">
            <w:pPr>
              <w:spacing w:before="20" w:after="20"/>
              <w:jc w:val="center"/>
              <w:rPr>
                <w:noProof/>
                <w:sz w:val="16"/>
                <w:szCs w:val="16"/>
              </w:rPr>
            </w:pPr>
            <w:r>
              <w:rPr>
                <w:noProof/>
                <w:sz w:val="16"/>
                <w:szCs w:val="16"/>
              </w:rPr>
              <w:t xml:space="preserve">År </w:t>
            </w:r>
            <w:r>
              <w:rPr>
                <w:b/>
                <w:noProof/>
                <w:sz w:val="16"/>
                <w:szCs w:val="16"/>
              </w:rPr>
              <w:t>2018</w:t>
            </w:r>
          </w:p>
        </w:tc>
        <w:tc>
          <w:tcPr>
            <w:tcW w:w="226" w:type="pct"/>
            <w:shd w:val="clear" w:color="auto" w:fill="auto"/>
            <w:vAlign w:val="center"/>
          </w:tcPr>
          <w:p w:rsidR="00051BBD" w:rsidRDefault="00FD0A5C">
            <w:pPr>
              <w:spacing w:before="20" w:after="20"/>
              <w:jc w:val="center"/>
              <w:rPr>
                <w:noProof/>
                <w:sz w:val="16"/>
                <w:szCs w:val="16"/>
              </w:rPr>
            </w:pPr>
            <w:r>
              <w:rPr>
                <w:noProof/>
                <w:sz w:val="16"/>
                <w:szCs w:val="16"/>
              </w:rPr>
              <w:t xml:space="preserve">År </w:t>
            </w:r>
            <w:r>
              <w:rPr>
                <w:b/>
                <w:noProof/>
                <w:sz w:val="16"/>
                <w:szCs w:val="16"/>
              </w:rPr>
              <w:t>2019</w:t>
            </w:r>
          </w:p>
        </w:tc>
        <w:tc>
          <w:tcPr>
            <w:tcW w:w="345" w:type="pct"/>
            <w:gridSpan w:val="3"/>
            <w:shd w:val="clear" w:color="auto" w:fill="auto"/>
            <w:vAlign w:val="center"/>
          </w:tcPr>
          <w:p w:rsidR="00051BBD" w:rsidRDefault="00FD0A5C">
            <w:pPr>
              <w:jc w:val="center"/>
              <w:rPr>
                <w:b/>
                <w:noProof/>
                <w:sz w:val="16"/>
                <w:szCs w:val="16"/>
              </w:rPr>
            </w:pPr>
            <w:r>
              <w:rPr>
                <w:noProof/>
                <w:sz w:val="16"/>
                <w:szCs w:val="16"/>
              </w:rPr>
              <w:t>2020</w:t>
            </w:r>
          </w:p>
        </w:tc>
      </w:tr>
      <w:tr w:rsidR="00051BBD">
        <w:trPr>
          <w:gridBefore w:val="1"/>
          <w:wBefore w:w="6" w:type="pct"/>
          <w:trHeight w:val="289"/>
          <w:jc w:val="center"/>
        </w:trPr>
        <w:tc>
          <w:tcPr>
            <w:tcW w:w="4424" w:type="pct"/>
            <w:gridSpan w:val="5"/>
            <w:shd w:val="clear" w:color="auto" w:fill="auto"/>
          </w:tcPr>
          <w:p w:rsidR="00051BBD" w:rsidRDefault="00FD0A5C">
            <w:pPr>
              <w:spacing w:before="20" w:after="20"/>
              <w:rPr>
                <w:noProof/>
                <w:sz w:val="16"/>
                <w:szCs w:val="16"/>
              </w:rPr>
            </w:pPr>
            <w:r>
              <w:rPr>
                <w:b/>
                <w:noProof/>
                <w:sz w:val="16"/>
              </w:rPr>
              <w:sym w:font="Wingdings" w:char="F09F"/>
            </w:r>
            <w:r>
              <w:rPr>
                <w:b/>
                <w:noProof/>
                <w:sz w:val="16"/>
              </w:rPr>
              <w:t xml:space="preserve">  Stillinger i stillingsfortegnelsen (tjenestemænd og midlertidigt ansatte)</w:t>
            </w:r>
          </w:p>
        </w:tc>
        <w:tc>
          <w:tcPr>
            <w:tcW w:w="226" w:type="pct"/>
            <w:shd w:val="clear" w:color="auto" w:fill="auto"/>
            <w:vAlign w:val="center"/>
          </w:tcPr>
          <w:p w:rsidR="00051BBD" w:rsidRDefault="00051BBD">
            <w:pPr>
              <w:spacing w:before="20" w:after="20"/>
              <w:jc w:val="center"/>
              <w:rPr>
                <w:noProof/>
                <w:sz w:val="16"/>
                <w:szCs w:val="16"/>
              </w:rPr>
            </w:pPr>
          </w:p>
        </w:tc>
        <w:tc>
          <w:tcPr>
            <w:tcW w:w="345" w:type="pct"/>
            <w:gridSpan w:val="3"/>
            <w:shd w:val="clear" w:color="auto" w:fill="auto"/>
            <w:vAlign w:val="center"/>
          </w:tcPr>
          <w:p w:rsidR="00051BBD" w:rsidRDefault="00051BBD">
            <w:pPr>
              <w:jc w:val="center"/>
              <w:rPr>
                <w:noProof/>
                <w:sz w:val="16"/>
                <w:szCs w:val="16"/>
              </w:rPr>
            </w:pPr>
          </w:p>
        </w:tc>
      </w:tr>
      <w:tr w:rsidR="00051BBD">
        <w:trPr>
          <w:gridBefore w:val="1"/>
          <w:wBefore w:w="6" w:type="pct"/>
          <w:trHeight w:val="289"/>
          <w:jc w:val="center"/>
        </w:trPr>
        <w:tc>
          <w:tcPr>
            <w:tcW w:w="1897" w:type="pct"/>
            <w:gridSpan w:val="2"/>
            <w:shd w:val="clear" w:color="auto" w:fill="auto"/>
            <w:vAlign w:val="center"/>
          </w:tcPr>
          <w:p w:rsidR="00051BBD" w:rsidRDefault="00FD0A5C">
            <w:pPr>
              <w:pStyle w:val="Text1"/>
              <w:spacing w:beforeLines="20" w:before="48" w:afterLines="20" w:after="48"/>
              <w:ind w:left="134"/>
              <w:jc w:val="left"/>
              <w:rPr>
                <w:b/>
                <w:noProof/>
                <w:sz w:val="16"/>
                <w:szCs w:val="16"/>
              </w:rPr>
            </w:pPr>
            <w:r>
              <w:rPr>
                <w:noProof/>
                <w:sz w:val="16"/>
              </w:rPr>
              <w:t>XX 01 01 01 (i hovedsædet og i Kommissionens repræsentationskontorer)</w:t>
            </w:r>
          </w:p>
        </w:tc>
        <w:tc>
          <w:tcPr>
            <w:tcW w:w="318" w:type="pct"/>
            <w:shd w:val="clear" w:color="auto" w:fill="auto"/>
            <w:vAlign w:val="center"/>
          </w:tcPr>
          <w:p w:rsidR="00051BBD" w:rsidRDefault="00FD0A5C">
            <w:pPr>
              <w:spacing w:beforeLines="20" w:before="48" w:afterLines="20" w:after="48"/>
              <w:jc w:val="center"/>
              <w:rPr>
                <w:noProof/>
              </w:rPr>
            </w:pPr>
            <w:r>
              <w:rPr>
                <w:noProof/>
              </w:rPr>
              <w:t>4</w:t>
            </w:r>
          </w:p>
        </w:tc>
        <w:tc>
          <w:tcPr>
            <w:tcW w:w="318" w:type="pct"/>
            <w:shd w:val="clear" w:color="auto" w:fill="auto"/>
            <w:vAlign w:val="center"/>
          </w:tcPr>
          <w:p w:rsidR="00051BBD" w:rsidRDefault="00FD0A5C">
            <w:pPr>
              <w:spacing w:beforeLines="20" w:before="48" w:afterLines="20" w:after="48"/>
              <w:jc w:val="center"/>
              <w:rPr>
                <w:noProof/>
              </w:rPr>
            </w:pPr>
            <w:r>
              <w:rPr>
                <w:noProof/>
              </w:rPr>
              <w:t>4</w:t>
            </w:r>
          </w:p>
        </w:tc>
        <w:tc>
          <w:tcPr>
            <w:tcW w:w="1891" w:type="pct"/>
            <w:shd w:val="clear" w:color="auto" w:fill="auto"/>
            <w:vAlign w:val="center"/>
          </w:tcPr>
          <w:p w:rsidR="00051BBD" w:rsidRDefault="00FD0A5C">
            <w:pPr>
              <w:spacing w:beforeLines="20" w:before="48" w:afterLines="20" w:after="48"/>
              <w:jc w:val="center"/>
              <w:rPr>
                <w:noProof/>
              </w:rPr>
            </w:pPr>
            <w:r>
              <w:rPr>
                <w:noProof/>
              </w:rPr>
              <w:t>4</w:t>
            </w:r>
          </w:p>
        </w:tc>
        <w:tc>
          <w:tcPr>
            <w:tcW w:w="226" w:type="pct"/>
            <w:shd w:val="clear" w:color="auto" w:fill="auto"/>
            <w:vAlign w:val="center"/>
          </w:tcPr>
          <w:p w:rsidR="00051BBD" w:rsidRDefault="00FD0A5C">
            <w:pPr>
              <w:spacing w:beforeLines="20" w:before="48" w:afterLines="20" w:after="48"/>
              <w:jc w:val="center"/>
              <w:rPr>
                <w:noProof/>
              </w:rPr>
            </w:pPr>
            <w:r>
              <w:rPr>
                <w:noProof/>
              </w:rPr>
              <w:t>4</w:t>
            </w:r>
          </w:p>
        </w:tc>
        <w:tc>
          <w:tcPr>
            <w:tcW w:w="115" w:type="pct"/>
            <w:shd w:val="clear" w:color="auto" w:fill="auto"/>
            <w:vAlign w:val="center"/>
          </w:tcPr>
          <w:p w:rsidR="00051BBD" w:rsidRDefault="00FD0A5C">
            <w:pPr>
              <w:spacing w:beforeLines="20" w:before="48" w:afterLines="20" w:after="48"/>
              <w:jc w:val="center"/>
              <w:rPr>
                <w:noProof/>
              </w:rPr>
            </w:pPr>
            <w:r>
              <w:rPr>
                <w:noProof/>
              </w:rPr>
              <w:t>4</w:t>
            </w:r>
          </w:p>
        </w:tc>
        <w:tc>
          <w:tcPr>
            <w:tcW w:w="115" w:type="pct"/>
            <w:shd w:val="clear" w:color="auto" w:fill="auto"/>
            <w:vAlign w:val="center"/>
          </w:tcPr>
          <w:p w:rsidR="00051BBD" w:rsidRDefault="00051BBD">
            <w:pPr>
              <w:spacing w:beforeLines="20" w:before="48" w:afterLines="20" w:after="48"/>
              <w:jc w:val="center"/>
              <w:rPr>
                <w:noProof/>
              </w:rPr>
            </w:pPr>
          </w:p>
        </w:tc>
        <w:tc>
          <w:tcPr>
            <w:tcW w:w="115" w:type="pct"/>
            <w:shd w:val="clear" w:color="auto" w:fill="auto"/>
            <w:vAlign w:val="center"/>
          </w:tcPr>
          <w:p w:rsidR="00051BBD" w:rsidRDefault="00051BBD">
            <w:pPr>
              <w:spacing w:beforeLines="20" w:before="48" w:afterLines="20" w:after="48"/>
              <w:jc w:val="center"/>
              <w:rPr>
                <w:noProof/>
              </w:rPr>
            </w:pPr>
          </w:p>
        </w:tc>
      </w:tr>
      <w:tr w:rsidR="00051BBD">
        <w:trPr>
          <w:gridBefore w:val="1"/>
          <w:wBefore w:w="6" w:type="pct"/>
          <w:trHeight w:val="289"/>
          <w:jc w:val="center"/>
        </w:trPr>
        <w:tc>
          <w:tcPr>
            <w:tcW w:w="1897" w:type="pct"/>
            <w:gridSpan w:val="2"/>
            <w:shd w:val="clear" w:color="auto" w:fill="auto"/>
            <w:vAlign w:val="center"/>
          </w:tcPr>
          <w:p w:rsidR="00051BBD" w:rsidRDefault="00FD0A5C">
            <w:pPr>
              <w:pStyle w:val="Text1"/>
              <w:spacing w:beforeLines="20" w:before="48" w:afterLines="20" w:after="48"/>
              <w:ind w:left="134"/>
              <w:jc w:val="left"/>
              <w:rPr>
                <w:noProof/>
                <w:sz w:val="16"/>
                <w:szCs w:val="16"/>
              </w:rPr>
            </w:pPr>
            <w:r>
              <w:rPr>
                <w:noProof/>
                <w:sz w:val="16"/>
              </w:rPr>
              <w:t>XX 01 01 02 (Delegationer)</w:t>
            </w:r>
          </w:p>
        </w:tc>
        <w:tc>
          <w:tcPr>
            <w:tcW w:w="318" w:type="pct"/>
            <w:shd w:val="clear" w:color="auto" w:fill="auto"/>
            <w:vAlign w:val="center"/>
          </w:tcPr>
          <w:p w:rsidR="00051BBD" w:rsidRDefault="00FD0A5C">
            <w:pPr>
              <w:spacing w:beforeLines="20" w:before="48" w:afterLines="20" w:after="48"/>
              <w:jc w:val="center"/>
              <w:rPr>
                <w:noProof/>
              </w:rPr>
            </w:pPr>
            <w:r>
              <w:rPr>
                <w:noProof/>
              </w:rPr>
              <w:t>p.m.</w:t>
            </w:r>
          </w:p>
        </w:tc>
        <w:tc>
          <w:tcPr>
            <w:tcW w:w="318" w:type="pct"/>
            <w:shd w:val="clear" w:color="auto" w:fill="auto"/>
            <w:vAlign w:val="center"/>
          </w:tcPr>
          <w:p w:rsidR="00051BBD" w:rsidRDefault="00FD0A5C">
            <w:pPr>
              <w:spacing w:beforeLines="20" w:before="48" w:afterLines="20" w:after="48"/>
              <w:jc w:val="center"/>
              <w:rPr>
                <w:noProof/>
              </w:rPr>
            </w:pPr>
            <w:r>
              <w:rPr>
                <w:noProof/>
              </w:rPr>
              <w:t>p.m.</w:t>
            </w:r>
          </w:p>
        </w:tc>
        <w:tc>
          <w:tcPr>
            <w:tcW w:w="1891" w:type="pct"/>
            <w:shd w:val="clear" w:color="auto" w:fill="auto"/>
            <w:vAlign w:val="center"/>
          </w:tcPr>
          <w:p w:rsidR="00051BBD" w:rsidRDefault="00FD0A5C">
            <w:pPr>
              <w:spacing w:beforeLines="20" w:before="48" w:afterLines="20" w:after="48"/>
              <w:jc w:val="center"/>
              <w:rPr>
                <w:noProof/>
              </w:rPr>
            </w:pPr>
            <w:r>
              <w:rPr>
                <w:noProof/>
              </w:rPr>
              <w:t>p.m.</w:t>
            </w:r>
          </w:p>
        </w:tc>
        <w:tc>
          <w:tcPr>
            <w:tcW w:w="226" w:type="pct"/>
            <w:shd w:val="clear" w:color="auto" w:fill="auto"/>
            <w:vAlign w:val="center"/>
          </w:tcPr>
          <w:p w:rsidR="00051BBD" w:rsidRDefault="00FD0A5C">
            <w:pPr>
              <w:spacing w:beforeLines="20" w:before="48" w:afterLines="20" w:after="48"/>
              <w:jc w:val="center"/>
              <w:rPr>
                <w:noProof/>
              </w:rPr>
            </w:pPr>
            <w:r>
              <w:rPr>
                <w:noProof/>
              </w:rPr>
              <w:t>p.m.</w:t>
            </w:r>
          </w:p>
        </w:tc>
        <w:tc>
          <w:tcPr>
            <w:tcW w:w="115" w:type="pct"/>
            <w:shd w:val="clear" w:color="auto" w:fill="auto"/>
            <w:vAlign w:val="center"/>
          </w:tcPr>
          <w:p w:rsidR="00051BBD" w:rsidRDefault="00FD0A5C">
            <w:pPr>
              <w:spacing w:beforeLines="20" w:before="48" w:afterLines="20" w:after="48"/>
              <w:jc w:val="center"/>
              <w:rPr>
                <w:noProof/>
              </w:rPr>
            </w:pPr>
            <w:r>
              <w:rPr>
                <w:noProof/>
              </w:rPr>
              <w:t>p.m.</w:t>
            </w:r>
          </w:p>
        </w:tc>
        <w:tc>
          <w:tcPr>
            <w:tcW w:w="115" w:type="pct"/>
            <w:shd w:val="clear" w:color="auto" w:fill="auto"/>
            <w:vAlign w:val="center"/>
          </w:tcPr>
          <w:p w:rsidR="00051BBD" w:rsidRDefault="00FD0A5C">
            <w:pPr>
              <w:spacing w:beforeLines="20" w:before="48" w:afterLines="20" w:after="48"/>
              <w:jc w:val="center"/>
              <w:rPr>
                <w:noProof/>
              </w:rPr>
            </w:pPr>
            <w:r>
              <w:rPr>
                <w:noProof/>
              </w:rPr>
              <w:t>.</w:t>
            </w:r>
          </w:p>
        </w:tc>
        <w:tc>
          <w:tcPr>
            <w:tcW w:w="115" w:type="pct"/>
            <w:shd w:val="clear" w:color="auto" w:fill="auto"/>
            <w:vAlign w:val="center"/>
          </w:tcPr>
          <w:p w:rsidR="00051BBD" w:rsidRDefault="00FD0A5C">
            <w:pPr>
              <w:spacing w:beforeLines="20" w:before="48" w:afterLines="20" w:after="48"/>
              <w:jc w:val="center"/>
              <w:rPr>
                <w:noProof/>
              </w:rPr>
            </w:pPr>
            <w:r>
              <w:rPr>
                <w:noProof/>
              </w:rPr>
              <w:t>.</w:t>
            </w:r>
          </w:p>
        </w:tc>
      </w:tr>
      <w:tr w:rsidR="00051BBD">
        <w:trPr>
          <w:gridBefore w:val="1"/>
          <w:wBefore w:w="6" w:type="pct"/>
          <w:trHeight w:val="289"/>
          <w:jc w:val="center"/>
        </w:trPr>
        <w:tc>
          <w:tcPr>
            <w:tcW w:w="1897" w:type="pct"/>
            <w:gridSpan w:val="2"/>
            <w:shd w:val="clear" w:color="auto" w:fill="auto"/>
            <w:vAlign w:val="center"/>
          </w:tcPr>
          <w:p w:rsidR="00051BBD" w:rsidRDefault="00FD0A5C">
            <w:pPr>
              <w:pStyle w:val="Text1"/>
              <w:spacing w:beforeLines="20" w:before="48" w:afterLines="20" w:after="48"/>
              <w:ind w:left="134"/>
              <w:jc w:val="left"/>
              <w:rPr>
                <w:noProof/>
                <w:sz w:val="16"/>
                <w:szCs w:val="16"/>
              </w:rPr>
            </w:pPr>
            <w:r>
              <w:rPr>
                <w:noProof/>
                <w:sz w:val="16"/>
              </w:rPr>
              <w:t xml:space="preserve">XX 01 05 01 (Indirekte </w:t>
            </w:r>
            <w:r>
              <w:rPr>
                <w:noProof/>
                <w:sz w:val="16"/>
              </w:rPr>
              <w:t>forskning)</w:t>
            </w:r>
          </w:p>
        </w:tc>
        <w:tc>
          <w:tcPr>
            <w:tcW w:w="318" w:type="pct"/>
            <w:shd w:val="clear" w:color="auto" w:fill="auto"/>
            <w:vAlign w:val="center"/>
          </w:tcPr>
          <w:p w:rsidR="00051BBD" w:rsidRDefault="00FD0A5C">
            <w:pPr>
              <w:spacing w:beforeLines="20" w:before="48" w:afterLines="20" w:after="48"/>
              <w:jc w:val="center"/>
              <w:rPr>
                <w:noProof/>
              </w:rPr>
            </w:pPr>
            <w:r>
              <w:rPr>
                <w:noProof/>
              </w:rPr>
              <w:t>p.m.</w:t>
            </w:r>
          </w:p>
        </w:tc>
        <w:tc>
          <w:tcPr>
            <w:tcW w:w="318" w:type="pct"/>
            <w:shd w:val="clear" w:color="auto" w:fill="auto"/>
            <w:vAlign w:val="center"/>
          </w:tcPr>
          <w:p w:rsidR="00051BBD" w:rsidRDefault="00FD0A5C">
            <w:pPr>
              <w:spacing w:beforeLines="20" w:before="48" w:afterLines="20" w:after="48"/>
              <w:jc w:val="center"/>
              <w:rPr>
                <w:noProof/>
              </w:rPr>
            </w:pPr>
            <w:r>
              <w:rPr>
                <w:noProof/>
              </w:rPr>
              <w:t>p.m.</w:t>
            </w:r>
          </w:p>
        </w:tc>
        <w:tc>
          <w:tcPr>
            <w:tcW w:w="1891" w:type="pct"/>
            <w:shd w:val="clear" w:color="auto" w:fill="auto"/>
            <w:vAlign w:val="center"/>
          </w:tcPr>
          <w:p w:rsidR="00051BBD" w:rsidRDefault="00FD0A5C">
            <w:pPr>
              <w:spacing w:beforeLines="20" w:before="48" w:afterLines="20" w:after="48"/>
              <w:jc w:val="center"/>
              <w:rPr>
                <w:noProof/>
              </w:rPr>
            </w:pPr>
            <w:r>
              <w:rPr>
                <w:noProof/>
              </w:rPr>
              <w:t>p.m.</w:t>
            </w:r>
          </w:p>
        </w:tc>
        <w:tc>
          <w:tcPr>
            <w:tcW w:w="226" w:type="pct"/>
            <w:shd w:val="clear" w:color="auto" w:fill="auto"/>
            <w:vAlign w:val="center"/>
          </w:tcPr>
          <w:p w:rsidR="00051BBD" w:rsidRDefault="00FD0A5C">
            <w:pPr>
              <w:spacing w:beforeLines="20" w:before="48" w:afterLines="20" w:after="48"/>
              <w:jc w:val="center"/>
              <w:rPr>
                <w:noProof/>
              </w:rPr>
            </w:pPr>
            <w:r>
              <w:rPr>
                <w:noProof/>
              </w:rPr>
              <w:t>p.m.</w:t>
            </w:r>
          </w:p>
        </w:tc>
        <w:tc>
          <w:tcPr>
            <w:tcW w:w="115" w:type="pct"/>
            <w:shd w:val="clear" w:color="auto" w:fill="auto"/>
            <w:vAlign w:val="center"/>
          </w:tcPr>
          <w:p w:rsidR="00051BBD" w:rsidRDefault="00FD0A5C">
            <w:pPr>
              <w:spacing w:beforeLines="20" w:before="48" w:afterLines="20" w:after="48"/>
              <w:jc w:val="center"/>
              <w:rPr>
                <w:noProof/>
              </w:rPr>
            </w:pPr>
            <w:r>
              <w:rPr>
                <w:noProof/>
              </w:rPr>
              <w:t>p.m.</w:t>
            </w:r>
          </w:p>
        </w:tc>
        <w:tc>
          <w:tcPr>
            <w:tcW w:w="115" w:type="pct"/>
            <w:shd w:val="clear" w:color="auto" w:fill="auto"/>
            <w:vAlign w:val="center"/>
          </w:tcPr>
          <w:p w:rsidR="00051BBD" w:rsidRDefault="00FD0A5C">
            <w:pPr>
              <w:spacing w:beforeLines="20" w:before="48" w:afterLines="20" w:after="48"/>
              <w:jc w:val="center"/>
              <w:rPr>
                <w:noProof/>
              </w:rPr>
            </w:pPr>
            <w:r>
              <w:rPr>
                <w:noProof/>
              </w:rPr>
              <w:t>.</w:t>
            </w:r>
          </w:p>
        </w:tc>
        <w:tc>
          <w:tcPr>
            <w:tcW w:w="115" w:type="pct"/>
            <w:shd w:val="clear" w:color="auto" w:fill="auto"/>
            <w:vAlign w:val="center"/>
          </w:tcPr>
          <w:p w:rsidR="00051BBD" w:rsidRDefault="00FD0A5C">
            <w:pPr>
              <w:spacing w:beforeLines="20" w:before="48" w:afterLines="20" w:after="48"/>
              <w:jc w:val="center"/>
              <w:rPr>
                <w:noProof/>
              </w:rPr>
            </w:pPr>
            <w:r>
              <w:rPr>
                <w:noProof/>
              </w:rPr>
              <w:t>.</w:t>
            </w:r>
          </w:p>
        </w:tc>
      </w:tr>
      <w:tr w:rsidR="00051BBD">
        <w:trPr>
          <w:gridBefore w:val="1"/>
          <w:wBefore w:w="6" w:type="pct"/>
          <w:trHeight w:val="289"/>
          <w:jc w:val="center"/>
        </w:trPr>
        <w:tc>
          <w:tcPr>
            <w:tcW w:w="1897" w:type="pct"/>
            <w:gridSpan w:val="2"/>
            <w:shd w:val="clear" w:color="auto" w:fill="auto"/>
            <w:vAlign w:val="center"/>
          </w:tcPr>
          <w:p w:rsidR="00051BBD" w:rsidRDefault="00FD0A5C">
            <w:pPr>
              <w:pStyle w:val="Text1"/>
              <w:spacing w:beforeLines="20" w:before="48" w:afterLines="20" w:after="48"/>
              <w:ind w:left="134"/>
              <w:jc w:val="left"/>
              <w:rPr>
                <w:noProof/>
                <w:sz w:val="16"/>
                <w:szCs w:val="16"/>
              </w:rPr>
            </w:pPr>
            <w:r>
              <w:rPr>
                <w:noProof/>
                <w:sz w:val="16"/>
              </w:rPr>
              <w:t>10 01 05 01 (Direkte forskning)</w:t>
            </w:r>
          </w:p>
        </w:tc>
        <w:tc>
          <w:tcPr>
            <w:tcW w:w="318" w:type="pct"/>
            <w:shd w:val="clear" w:color="auto" w:fill="auto"/>
            <w:vAlign w:val="center"/>
          </w:tcPr>
          <w:p w:rsidR="00051BBD" w:rsidRDefault="00FD0A5C">
            <w:pPr>
              <w:spacing w:beforeLines="20" w:before="48" w:afterLines="20" w:after="48"/>
              <w:jc w:val="center"/>
              <w:rPr>
                <w:noProof/>
              </w:rPr>
            </w:pPr>
            <w:r>
              <w:rPr>
                <w:noProof/>
              </w:rPr>
              <w:t>p.m.</w:t>
            </w:r>
          </w:p>
        </w:tc>
        <w:tc>
          <w:tcPr>
            <w:tcW w:w="318" w:type="pct"/>
            <w:shd w:val="clear" w:color="auto" w:fill="auto"/>
            <w:vAlign w:val="center"/>
          </w:tcPr>
          <w:p w:rsidR="00051BBD" w:rsidRDefault="00FD0A5C">
            <w:pPr>
              <w:spacing w:beforeLines="20" w:before="48" w:afterLines="20" w:after="48"/>
              <w:jc w:val="center"/>
              <w:rPr>
                <w:noProof/>
              </w:rPr>
            </w:pPr>
            <w:r>
              <w:rPr>
                <w:noProof/>
              </w:rPr>
              <w:t>p.m.</w:t>
            </w:r>
          </w:p>
        </w:tc>
        <w:tc>
          <w:tcPr>
            <w:tcW w:w="1891" w:type="pct"/>
            <w:shd w:val="clear" w:color="auto" w:fill="auto"/>
            <w:vAlign w:val="center"/>
          </w:tcPr>
          <w:p w:rsidR="00051BBD" w:rsidRDefault="00FD0A5C">
            <w:pPr>
              <w:spacing w:beforeLines="20" w:before="48" w:afterLines="20" w:after="48"/>
              <w:jc w:val="center"/>
              <w:rPr>
                <w:noProof/>
              </w:rPr>
            </w:pPr>
            <w:r>
              <w:rPr>
                <w:noProof/>
              </w:rPr>
              <w:t>p.m.</w:t>
            </w:r>
          </w:p>
        </w:tc>
        <w:tc>
          <w:tcPr>
            <w:tcW w:w="226" w:type="pct"/>
            <w:shd w:val="clear" w:color="auto" w:fill="auto"/>
            <w:vAlign w:val="center"/>
          </w:tcPr>
          <w:p w:rsidR="00051BBD" w:rsidRDefault="00FD0A5C">
            <w:pPr>
              <w:spacing w:beforeLines="20" w:before="48" w:afterLines="20" w:after="48"/>
              <w:jc w:val="center"/>
              <w:rPr>
                <w:noProof/>
              </w:rPr>
            </w:pPr>
            <w:r>
              <w:rPr>
                <w:noProof/>
              </w:rPr>
              <w:t>p.m.</w:t>
            </w:r>
          </w:p>
        </w:tc>
        <w:tc>
          <w:tcPr>
            <w:tcW w:w="115" w:type="pct"/>
            <w:shd w:val="clear" w:color="auto" w:fill="auto"/>
            <w:vAlign w:val="center"/>
          </w:tcPr>
          <w:p w:rsidR="00051BBD" w:rsidRDefault="00FD0A5C">
            <w:pPr>
              <w:spacing w:beforeLines="20" w:before="48" w:afterLines="20" w:after="48"/>
              <w:jc w:val="center"/>
              <w:rPr>
                <w:noProof/>
              </w:rPr>
            </w:pPr>
            <w:r>
              <w:rPr>
                <w:noProof/>
              </w:rPr>
              <w:t>p.m.</w:t>
            </w:r>
          </w:p>
        </w:tc>
        <w:tc>
          <w:tcPr>
            <w:tcW w:w="115" w:type="pct"/>
            <w:shd w:val="clear" w:color="auto" w:fill="auto"/>
            <w:vAlign w:val="center"/>
          </w:tcPr>
          <w:p w:rsidR="00051BBD" w:rsidRDefault="00FD0A5C">
            <w:pPr>
              <w:spacing w:beforeLines="20" w:before="48" w:afterLines="20" w:after="48"/>
              <w:jc w:val="center"/>
              <w:rPr>
                <w:noProof/>
              </w:rPr>
            </w:pPr>
            <w:r>
              <w:rPr>
                <w:noProof/>
              </w:rPr>
              <w:t>.</w:t>
            </w:r>
          </w:p>
        </w:tc>
        <w:tc>
          <w:tcPr>
            <w:tcW w:w="115" w:type="pct"/>
            <w:shd w:val="clear" w:color="auto" w:fill="auto"/>
            <w:vAlign w:val="center"/>
          </w:tcPr>
          <w:p w:rsidR="00051BBD" w:rsidRDefault="00051BBD">
            <w:pPr>
              <w:spacing w:beforeLines="20" w:before="48" w:afterLines="20" w:after="48"/>
              <w:jc w:val="center"/>
              <w:rPr>
                <w:noProof/>
              </w:rPr>
            </w:pPr>
          </w:p>
        </w:tc>
      </w:tr>
      <w:tr w:rsidR="00051BBD">
        <w:trPr>
          <w:gridAfter w:val="4"/>
          <w:wAfter w:w="571" w:type="pct"/>
          <w:trHeight w:val="248"/>
          <w:jc w:val="center"/>
        </w:trPr>
        <w:tc>
          <w:tcPr>
            <w:tcW w:w="4429" w:type="pct"/>
            <w:gridSpan w:val="6"/>
            <w:shd w:val="clear" w:color="auto" w:fill="auto"/>
            <w:vAlign w:val="center"/>
          </w:tcPr>
          <w:p w:rsidR="00051BBD" w:rsidRDefault="00FD0A5C">
            <w:pPr>
              <w:pStyle w:val="Text1"/>
              <w:spacing w:before="60" w:after="60"/>
              <w:ind w:left="0"/>
              <w:jc w:val="left"/>
              <w:rPr>
                <w:noProof/>
                <w:sz w:val="16"/>
                <w:szCs w:val="16"/>
              </w:rPr>
            </w:pPr>
            <w:r>
              <w:rPr>
                <w:b/>
                <w:noProof/>
                <w:sz w:val="16"/>
              </w:rPr>
              <w:sym w:font="Wingdings" w:char="F09F"/>
            </w:r>
            <w:r>
              <w:rPr>
                <w:b/>
                <w:noProof/>
                <w:sz w:val="16"/>
              </w:rPr>
              <w:t xml:space="preserve"> Eksternt personale (i årsværk): i fuldtidsækvivalenter</w:t>
            </w:r>
            <w:r>
              <w:rPr>
                <w:rStyle w:val="FootnoteReference"/>
                <w:b/>
                <w:noProof/>
                <w:sz w:val="16"/>
              </w:rPr>
              <w:footnoteReference w:id="28"/>
            </w:r>
          </w:p>
        </w:tc>
      </w:tr>
      <w:tr w:rsidR="00051BBD">
        <w:trPr>
          <w:gridBefore w:val="1"/>
          <w:wBefore w:w="6" w:type="pct"/>
          <w:trHeight w:val="289"/>
          <w:jc w:val="center"/>
        </w:trPr>
        <w:tc>
          <w:tcPr>
            <w:tcW w:w="1897" w:type="pct"/>
            <w:gridSpan w:val="2"/>
            <w:shd w:val="clear" w:color="auto" w:fill="auto"/>
            <w:vAlign w:val="center"/>
          </w:tcPr>
          <w:p w:rsidR="00051BBD" w:rsidRDefault="00FD0A5C">
            <w:pPr>
              <w:pStyle w:val="Text1"/>
              <w:spacing w:beforeLines="20" w:before="48" w:afterLines="20" w:after="48"/>
              <w:ind w:left="136"/>
              <w:jc w:val="left"/>
              <w:rPr>
                <w:b/>
                <w:noProof/>
                <w:sz w:val="16"/>
                <w:szCs w:val="16"/>
              </w:rPr>
            </w:pPr>
            <w:r>
              <w:rPr>
                <w:noProof/>
                <w:sz w:val="16"/>
              </w:rPr>
              <w:t>XX 01 02 01 (KA, UNE, V under den samlede bevillingsramme)</w:t>
            </w:r>
          </w:p>
        </w:tc>
        <w:tc>
          <w:tcPr>
            <w:tcW w:w="318" w:type="pct"/>
            <w:shd w:val="clear" w:color="auto" w:fill="auto"/>
            <w:vAlign w:val="center"/>
          </w:tcPr>
          <w:p w:rsidR="00051BBD" w:rsidRDefault="00FD0A5C">
            <w:pPr>
              <w:spacing w:beforeLines="20" w:before="48" w:afterLines="20" w:after="48"/>
              <w:jc w:val="center"/>
              <w:rPr>
                <w:noProof/>
              </w:rPr>
            </w:pPr>
            <w:r>
              <w:rPr>
                <w:noProof/>
              </w:rPr>
              <w:t>p.m.</w:t>
            </w:r>
          </w:p>
        </w:tc>
        <w:tc>
          <w:tcPr>
            <w:tcW w:w="318" w:type="pct"/>
            <w:shd w:val="clear" w:color="auto" w:fill="auto"/>
            <w:vAlign w:val="center"/>
          </w:tcPr>
          <w:p w:rsidR="00051BBD" w:rsidRDefault="00FD0A5C">
            <w:pPr>
              <w:spacing w:beforeLines="20" w:before="48" w:afterLines="20" w:after="48"/>
              <w:jc w:val="center"/>
              <w:rPr>
                <w:noProof/>
              </w:rPr>
            </w:pPr>
            <w:r>
              <w:rPr>
                <w:noProof/>
              </w:rPr>
              <w:t>p.m.</w:t>
            </w:r>
          </w:p>
        </w:tc>
        <w:tc>
          <w:tcPr>
            <w:tcW w:w="1891" w:type="pct"/>
            <w:shd w:val="clear" w:color="auto" w:fill="auto"/>
            <w:vAlign w:val="center"/>
          </w:tcPr>
          <w:p w:rsidR="00051BBD" w:rsidRDefault="00FD0A5C">
            <w:pPr>
              <w:spacing w:beforeLines="20" w:before="48" w:afterLines="20" w:after="48"/>
              <w:jc w:val="center"/>
              <w:rPr>
                <w:noProof/>
              </w:rPr>
            </w:pPr>
            <w:r>
              <w:rPr>
                <w:noProof/>
              </w:rPr>
              <w:t>p.m.</w:t>
            </w:r>
          </w:p>
        </w:tc>
        <w:tc>
          <w:tcPr>
            <w:tcW w:w="226" w:type="pct"/>
            <w:shd w:val="clear" w:color="auto" w:fill="auto"/>
            <w:vAlign w:val="center"/>
          </w:tcPr>
          <w:p w:rsidR="00051BBD" w:rsidRDefault="00FD0A5C">
            <w:pPr>
              <w:spacing w:beforeLines="20" w:before="48" w:afterLines="20" w:after="48"/>
              <w:jc w:val="center"/>
              <w:rPr>
                <w:noProof/>
              </w:rPr>
            </w:pPr>
            <w:r>
              <w:rPr>
                <w:noProof/>
              </w:rPr>
              <w:t>p.m.</w:t>
            </w:r>
          </w:p>
        </w:tc>
        <w:tc>
          <w:tcPr>
            <w:tcW w:w="115" w:type="pct"/>
            <w:shd w:val="clear" w:color="auto" w:fill="auto"/>
            <w:vAlign w:val="center"/>
          </w:tcPr>
          <w:p w:rsidR="00051BBD" w:rsidRDefault="00FD0A5C">
            <w:pPr>
              <w:spacing w:beforeLines="20" w:before="48" w:afterLines="20" w:after="48"/>
              <w:jc w:val="center"/>
              <w:rPr>
                <w:noProof/>
              </w:rPr>
            </w:pPr>
            <w:r>
              <w:rPr>
                <w:noProof/>
              </w:rPr>
              <w:t>p.m.</w:t>
            </w:r>
          </w:p>
        </w:tc>
        <w:tc>
          <w:tcPr>
            <w:tcW w:w="115" w:type="pct"/>
            <w:shd w:val="clear" w:color="auto" w:fill="auto"/>
            <w:vAlign w:val="center"/>
          </w:tcPr>
          <w:p w:rsidR="00051BBD" w:rsidRDefault="00051BBD">
            <w:pPr>
              <w:spacing w:beforeLines="20" w:before="48" w:afterLines="20" w:after="48"/>
              <w:jc w:val="center"/>
              <w:rPr>
                <w:noProof/>
              </w:rPr>
            </w:pPr>
          </w:p>
        </w:tc>
        <w:tc>
          <w:tcPr>
            <w:tcW w:w="115" w:type="pct"/>
            <w:shd w:val="clear" w:color="auto" w:fill="auto"/>
            <w:vAlign w:val="center"/>
          </w:tcPr>
          <w:p w:rsidR="00051BBD" w:rsidRDefault="00051BBD">
            <w:pPr>
              <w:spacing w:beforeLines="20" w:before="48" w:afterLines="20" w:after="48"/>
              <w:jc w:val="center"/>
              <w:rPr>
                <w:noProof/>
              </w:rPr>
            </w:pPr>
          </w:p>
        </w:tc>
      </w:tr>
      <w:tr w:rsidR="00051BBD">
        <w:trPr>
          <w:gridBefore w:val="1"/>
          <w:wBefore w:w="6" w:type="pct"/>
          <w:trHeight w:val="289"/>
          <w:jc w:val="center"/>
        </w:trPr>
        <w:tc>
          <w:tcPr>
            <w:tcW w:w="1897" w:type="pct"/>
            <w:gridSpan w:val="2"/>
            <w:shd w:val="clear" w:color="auto" w:fill="auto"/>
            <w:vAlign w:val="center"/>
          </w:tcPr>
          <w:p w:rsidR="00051BBD" w:rsidRDefault="00FD0A5C">
            <w:pPr>
              <w:pStyle w:val="Text1"/>
              <w:spacing w:beforeLines="20" w:before="48" w:afterLines="20" w:after="48"/>
              <w:ind w:left="136"/>
              <w:jc w:val="left"/>
              <w:rPr>
                <w:noProof/>
                <w:sz w:val="16"/>
                <w:szCs w:val="16"/>
              </w:rPr>
            </w:pPr>
            <w:r>
              <w:rPr>
                <w:noProof/>
                <w:sz w:val="16"/>
              </w:rPr>
              <w:t>XX 01 02</w:t>
            </w:r>
            <w:r>
              <w:rPr>
                <w:noProof/>
                <w:sz w:val="16"/>
              </w:rPr>
              <w:t xml:space="preserve"> 02 (KA, LA, UNE, V og JED i delegationerne)</w:t>
            </w:r>
          </w:p>
        </w:tc>
        <w:tc>
          <w:tcPr>
            <w:tcW w:w="318" w:type="pct"/>
            <w:shd w:val="clear" w:color="auto" w:fill="auto"/>
            <w:vAlign w:val="center"/>
          </w:tcPr>
          <w:p w:rsidR="00051BBD" w:rsidRDefault="00FD0A5C">
            <w:pPr>
              <w:spacing w:beforeLines="20" w:before="48" w:afterLines="20" w:after="48"/>
              <w:jc w:val="center"/>
              <w:rPr>
                <w:noProof/>
              </w:rPr>
            </w:pPr>
            <w:r>
              <w:rPr>
                <w:noProof/>
              </w:rPr>
              <w:t>p.m.</w:t>
            </w:r>
          </w:p>
        </w:tc>
        <w:tc>
          <w:tcPr>
            <w:tcW w:w="318" w:type="pct"/>
            <w:shd w:val="clear" w:color="auto" w:fill="auto"/>
            <w:vAlign w:val="center"/>
          </w:tcPr>
          <w:p w:rsidR="00051BBD" w:rsidRDefault="00FD0A5C">
            <w:pPr>
              <w:spacing w:beforeLines="20" w:before="48" w:afterLines="20" w:after="48"/>
              <w:jc w:val="center"/>
              <w:rPr>
                <w:noProof/>
              </w:rPr>
            </w:pPr>
            <w:r>
              <w:rPr>
                <w:noProof/>
              </w:rPr>
              <w:t>p.m.</w:t>
            </w:r>
          </w:p>
        </w:tc>
        <w:tc>
          <w:tcPr>
            <w:tcW w:w="1891" w:type="pct"/>
            <w:shd w:val="clear" w:color="auto" w:fill="auto"/>
            <w:vAlign w:val="center"/>
          </w:tcPr>
          <w:p w:rsidR="00051BBD" w:rsidRDefault="00FD0A5C">
            <w:pPr>
              <w:spacing w:beforeLines="20" w:before="48" w:afterLines="20" w:after="48"/>
              <w:jc w:val="center"/>
              <w:rPr>
                <w:noProof/>
              </w:rPr>
            </w:pPr>
            <w:r>
              <w:rPr>
                <w:noProof/>
              </w:rPr>
              <w:t>p.m.</w:t>
            </w:r>
          </w:p>
        </w:tc>
        <w:tc>
          <w:tcPr>
            <w:tcW w:w="226" w:type="pct"/>
            <w:shd w:val="clear" w:color="auto" w:fill="auto"/>
            <w:vAlign w:val="center"/>
          </w:tcPr>
          <w:p w:rsidR="00051BBD" w:rsidRDefault="00FD0A5C">
            <w:pPr>
              <w:spacing w:beforeLines="20" w:before="48" w:afterLines="20" w:after="48"/>
              <w:jc w:val="center"/>
              <w:rPr>
                <w:noProof/>
              </w:rPr>
            </w:pPr>
            <w:r>
              <w:rPr>
                <w:noProof/>
              </w:rPr>
              <w:t>p.m.</w:t>
            </w:r>
          </w:p>
        </w:tc>
        <w:tc>
          <w:tcPr>
            <w:tcW w:w="115" w:type="pct"/>
            <w:shd w:val="clear" w:color="auto" w:fill="auto"/>
            <w:vAlign w:val="center"/>
          </w:tcPr>
          <w:p w:rsidR="00051BBD" w:rsidRDefault="00FD0A5C">
            <w:pPr>
              <w:spacing w:beforeLines="20" w:before="48" w:afterLines="20" w:after="48"/>
              <w:jc w:val="center"/>
              <w:rPr>
                <w:noProof/>
              </w:rPr>
            </w:pPr>
            <w:r>
              <w:rPr>
                <w:noProof/>
              </w:rPr>
              <w:t>p.m.</w:t>
            </w:r>
          </w:p>
        </w:tc>
        <w:tc>
          <w:tcPr>
            <w:tcW w:w="115" w:type="pct"/>
            <w:shd w:val="clear" w:color="auto" w:fill="auto"/>
            <w:vAlign w:val="center"/>
          </w:tcPr>
          <w:p w:rsidR="00051BBD" w:rsidRDefault="00FD0A5C">
            <w:pPr>
              <w:spacing w:beforeLines="20" w:before="48" w:afterLines="20" w:after="48"/>
              <w:jc w:val="center"/>
              <w:rPr>
                <w:noProof/>
              </w:rPr>
            </w:pPr>
            <w:r>
              <w:rPr>
                <w:noProof/>
              </w:rPr>
              <w:t>.</w:t>
            </w:r>
          </w:p>
        </w:tc>
        <w:tc>
          <w:tcPr>
            <w:tcW w:w="115" w:type="pct"/>
            <w:shd w:val="clear" w:color="auto" w:fill="auto"/>
            <w:vAlign w:val="center"/>
          </w:tcPr>
          <w:p w:rsidR="00051BBD" w:rsidRDefault="00051BBD">
            <w:pPr>
              <w:spacing w:beforeLines="20" w:before="48" w:afterLines="20" w:after="48"/>
              <w:jc w:val="center"/>
              <w:rPr>
                <w:noProof/>
              </w:rPr>
            </w:pPr>
          </w:p>
        </w:tc>
      </w:tr>
      <w:tr w:rsidR="00051BBD">
        <w:trPr>
          <w:gridBefore w:val="1"/>
          <w:wBefore w:w="6" w:type="pct"/>
          <w:trHeight w:val="289"/>
          <w:jc w:val="center"/>
        </w:trPr>
        <w:tc>
          <w:tcPr>
            <w:tcW w:w="948" w:type="pct"/>
            <w:vMerge w:val="restart"/>
            <w:shd w:val="clear" w:color="auto" w:fill="auto"/>
            <w:vAlign w:val="center"/>
          </w:tcPr>
          <w:p w:rsidR="00051BBD" w:rsidRDefault="00FD0A5C">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9"/>
            </w:r>
          </w:p>
        </w:tc>
        <w:tc>
          <w:tcPr>
            <w:tcW w:w="949" w:type="pct"/>
            <w:shd w:val="clear" w:color="auto" w:fill="auto"/>
            <w:vAlign w:val="center"/>
          </w:tcPr>
          <w:p w:rsidR="00051BBD" w:rsidRDefault="00FD0A5C">
            <w:pPr>
              <w:pStyle w:val="Text1"/>
              <w:spacing w:beforeLines="20" w:before="48" w:afterLines="20" w:after="48"/>
              <w:ind w:left="136"/>
              <w:jc w:val="left"/>
              <w:rPr>
                <w:b/>
                <w:noProof/>
                <w:sz w:val="16"/>
                <w:szCs w:val="16"/>
              </w:rPr>
            </w:pPr>
            <w:r>
              <w:rPr>
                <w:noProof/>
                <w:sz w:val="16"/>
              </w:rPr>
              <w:t>- i hovedsædet</w:t>
            </w:r>
          </w:p>
        </w:tc>
        <w:tc>
          <w:tcPr>
            <w:tcW w:w="318" w:type="pct"/>
            <w:shd w:val="clear" w:color="auto" w:fill="auto"/>
            <w:vAlign w:val="center"/>
          </w:tcPr>
          <w:p w:rsidR="00051BBD" w:rsidRDefault="00FD0A5C">
            <w:pPr>
              <w:spacing w:beforeLines="20" w:before="48" w:afterLines="20" w:after="48"/>
              <w:jc w:val="center"/>
              <w:rPr>
                <w:noProof/>
              </w:rPr>
            </w:pPr>
            <w:r>
              <w:rPr>
                <w:noProof/>
              </w:rPr>
              <w:t>p.m.</w:t>
            </w:r>
          </w:p>
        </w:tc>
        <w:tc>
          <w:tcPr>
            <w:tcW w:w="318" w:type="pct"/>
            <w:shd w:val="clear" w:color="auto" w:fill="auto"/>
            <w:vAlign w:val="center"/>
          </w:tcPr>
          <w:p w:rsidR="00051BBD" w:rsidRDefault="00FD0A5C">
            <w:pPr>
              <w:spacing w:beforeLines="20" w:before="48" w:afterLines="20" w:after="48"/>
              <w:jc w:val="center"/>
              <w:rPr>
                <w:noProof/>
              </w:rPr>
            </w:pPr>
            <w:r>
              <w:rPr>
                <w:noProof/>
              </w:rPr>
              <w:t>p.m.</w:t>
            </w:r>
          </w:p>
        </w:tc>
        <w:tc>
          <w:tcPr>
            <w:tcW w:w="1891" w:type="pct"/>
            <w:shd w:val="clear" w:color="auto" w:fill="auto"/>
            <w:vAlign w:val="center"/>
          </w:tcPr>
          <w:p w:rsidR="00051BBD" w:rsidRDefault="00FD0A5C">
            <w:pPr>
              <w:spacing w:beforeLines="20" w:before="48" w:afterLines="20" w:after="48"/>
              <w:jc w:val="center"/>
              <w:rPr>
                <w:noProof/>
              </w:rPr>
            </w:pPr>
            <w:r>
              <w:rPr>
                <w:noProof/>
              </w:rPr>
              <w:t>p.m.</w:t>
            </w:r>
          </w:p>
        </w:tc>
        <w:tc>
          <w:tcPr>
            <w:tcW w:w="226" w:type="pct"/>
            <w:shd w:val="clear" w:color="auto" w:fill="auto"/>
            <w:vAlign w:val="center"/>
          </w:tcPr>
          <w:p w:rsidR="00051BBD" w:rsidRDefault="00FD0A5C">
            <w:pPr>
              <w:spacing w:beforeLines="20" w:before="48" w:afterLines="20" w:after="48"/>
              <w:jc w:val="center"/>
              <w:rPr>
                <w:noProof/>
              </w:rPr>
            </w:pPr>
            <w:r>
              <w:rPr>
                <w:noProof/>
              </w:rPr>
              <w:t>p.m.</w:t>
            </w:r>
          </w:p>
        </w:tc>
        <w:tc>
          <w:tcPr>
            <w:tcW w:w="115" w:type="pct"/>
            <w:shd w:val="clear" w:color="auto" w:fill="auto"/>
            <w:vAlign w:val="center"/>
          </w:tcPr>
          <w:p w:rsidR="00051BBD" w:rsidRDefault="00FD0A5C">
            <w:pPr>
              <w:spacing w:beforeLines="20" w:before="48" w:afterLines="20" w:after="48"/>
              <w:jc w:val="center"/>
              <w:rPr>
                <w:noProof/>
              </w:rPr>
            </w:pPr>
            <w:r>
              <w:rPr>
                <w:noProof/>
              </w:rPr>
              <w:t>p.m.</w:t>
            </w:r>
          </w:p>
        </w:tc>
        <w:tc>
          <w:tcPr>
            <w:tcW w:w="115" w:type="pct"/>
            <w:shd w:val="clear" w:color="auto" w:fill="auto"/>
            <w:vAlign w:val="center"/>
          </w:tcPr>
          <w:p w:rsidR="00051BBD" w:rsidRDefault="00FD0A5C">
            <w:pPr>
              <w:spacing w:beforeLines="20" w:before="48" w:afterLines="20" w:after="48"/>
              <w:jc w:val="center"/>
              <w:rPr>
                <w:noProof/>
              </w:rPr>
            </w:pPr>
            <w:r>
              <w:rPr>
                <w:noProof/>
              </w:rPr>
              <w:t>p.m.</w:t>
            </w:r>
          </w:p>
        </w:tc>
        <w:tc>
          <w:tcPr>
            <w:tcW w:w="115" w:type="pct"/>
            <w:shd w:val="clear" w:color="auto" w:fill="auto"/>
            <w:vAlign w:val="center"/>
          </w:tcPr>
          <w:p w:rsidR="00051BBD" w:rsidRDefault="00FD0A5C">
            <w:pPr>
              <w:spacing w:beforeLines="20" w:before="48" w:afterLines="20" w:after="48"/>
              <w:jc w:val="center"/>
              <w:rPr>
                <w:noProof/>
              </w:rPr>
            </w:pPr>
            <w:r>
              <w:rPr>
                <w:noProof/>
              </w:rPr>
              <w:t>p.m.</w:t>
            </w:r>
          </w:p>
        </w:tc>
      </w:tr>
      <w:tr w:rsidR="00051BBD">
        <w:trPr>
          <w:gridBefore w:val="1"/>
          <w:wBefore w:w="6" w:type="pct"/>
          <w:trHeight w:val="289"/>
          <w:jc w:val="center"/>
        </w:trPr>
        <w:tc>
          <w:tcPr>
            <w:tcW w:w="948" w:type="pct"/>
            <w:vMerge/>
            <w:shd w:val="clear" w:color="auto" w:fill="auto"/>
            <w:vAlign w:val="center"/>
          </w:tcPr>
          <w:p w:rsidR="00051BBD" w:rsidRDefault="00051BBD">
            <w:pPr>
              <w:pStyle w:val="Text1"/>
              <w:spacing w:beforeLines="20" w:before="48" w:afterLines="20" w:after="48"/>
              <w:ind w:left="136"/>
              <w:jc w:val="left"/>
              <w:rPr>
                <w:b/>
                <w:noProof/>
                <w:sz w:val="16"/>
                <w:szCs w:val="16"/>
              </w:rPr>
            </w:pPr>
          </w:p>
        </w:tc>
        <w:tc>
          <w:tcPr>
            <w:tcW w:w="949" w:type="pct"/>
            <w:shd w:val="clear" w:color="auto" w:fill="auto"/>
            <w:vAlign w:val="center"/>
          </w:tcPr>
          <w:p w:rsidR="00051BBD" w:rsidRDefault="00FD0A5C">
            <w:pPr>
              <w:pStyle w:val="Text1"/>
              <w:spacing w:beforeLines="20" w:before="48" w:afterLines="20" w:after="48"/>
              <w:ind w:left="136"/>
              <w:jc w:val="left"/>
              <w:rPr>
                <w:b/>
                <w:noProof/>
                <w:sz w:val="16"/>
                <w:szCs w:val="16"/>
              </w:rPr>
            </w:pPr>
            <w:r>
              <w:rPr>
                <w:noProof/>
                <w:sz w:val="16"/>
              </w:rPr>
              <w:t xml:space="preserve">- i delegationer </w:t>
            </w:r>
          </w:p>
        </w:tc>
        <w:tc>
          <w:tcPr>
            <w:tcW w:w="318" w:type="pct"/>
            <w:shd w:val="clear" w:color="auto" w:fill="auto"/>
            <w:vAlign w:val="center"/>
          </w:tcPr>
          <w:p w:rsidR="00051BBD" w:rsidRDefault="00FD0A5C">
            <w:pPr>
              <w:spacing w:beforeLines="20" w:before="48" w:afterLines="20" w:after="48"/>
              <w:jc w:val="center"/>
              <w:rPr>
                <w:noProof/>
              </w:rPr>
            </w:pPr>
            <w:r>
              <w:rPr>
                <w:noProof/>
              </w:rPr>
              <w:t>p.m.</w:t>
            </w:r>
          </w:p>
        </w:tc>
        <w:tc>
          <w:tcPr>
            <w:tcW w:w="318" w:type="pct"/>
            <w:shd w:val="clear" w:color="auto" w:fill="auto"/>
            <w:vAlign w:val="center"/>
          </w:tcPr>
          <w:p w:rsidR="00051BBD" w:rsidRDefault="00FD0A5C">
            <w:pPr>
              <w:spacing w:beforeLines="20" w:before="48" w:afterLines="20" w:after="48"/>
              <w:jc w:val="center"/>
              <w:rPr>
                <w:noProof/>
              </w:rPr>
            </w:pPr>
            <w:r>
              <w:rPr>
                <w:noProof/>
              </w:rPr>
              <w:t>p.m.</w:t>
            </w:r>
          </w:p>
        </w:tc>
        <w:tc>
          <w:tcPr>
            <w:tcW w:w="1891" w:type="pct"/>
            <w:shd w:val="clear" w:color="auto" w:fill="auto"/>
            <w:vAlign w:val="center"/>
          </w:tcPr>
          <w:p w:rsidR="00051BBD" w:rsidRDefault="00FD0A5C">
            <w:pPr>
              <w:spacing w:beforeLines="20" w:before="48" w:afterLines="20" w:after="48"/>
              <w:jc w:val="center"/>
              <w:rPr>
                <w:noProof/>
              </w:rPr>
            </w:pPr>
            <w:r>
              <w:rPr>
                <w:noProof/>
              </w:rPr>
              <w:t>p.m.</w:t>
            </w:r>
          </w:p>
        </w:tc>
        <w:tc>
          <w:tcPr>
            <w:tcW w:w="226" w:type="pct"/>
            <w:shd w:val="clear" w:color="auto" w:fill="auto"/>
            <w:vAlign w:val="center"/>
          </w:tcPr>
          <w:p w:rsidR="00051BBD" w:rsidRDefault="00FD0A5C">
            <w:pPr>
              <w:spacing w:beforeLines="20" w:before="48" w:afterLines="20" w:after="48"/>
              <w:jc w:val="center"/>
              <w:rPr>
                <w:noProof/>
              </w:rPr>
            </w:pPr>
            <w:r>
              <w:rPr>
                <w:noProof/>
              </w:rPr>
              <w:t>p.m.</w:t>
            </w:r>
          </w:p>
        </w:tc>
        <w:tc>
          <w:tcPr>
            <w:tcW w:w="115" w:type="pct"/>
            <w:shd w:val="clear" w:color="auto" w:fill="auto"/>
            <w:vAlign w:val="center"/>
          </w:tcPr>
          <w:p w:rsidR="00051BBD" w:rsidRDefault="00FD0A5C">
            <w:pPr>
              <w:spacing w:beforeLines="20" w:before="48" w:afterLines="20" w:after="48"/>
              <w:jc w:val="center"/>
              <w:rPr>
                <w:noProof/>
              </w:rPr>
            </w:pPr>
            <w:r>
              <w:rPr>
                <w:noProof/>
              </w:rPr>
              <w:t>p.m.</w:t>
            </w:r>
          </w:p>
        </w:tc>
        <w:tc>
          <w:tcPr>
            <w:tcW w:w="115" w:type="pct"/>
            <w:shd w:val="clear" w:color="auto" w:fill="auto"/>
            <w:vAlign w:val="center"/>
          </w:tcPr>
          <w:p w:rsidR="00051BBD" w:rsidRDefault="00FD0A5C">
            <w:pPr>
              <w:spacing w:beforeLines="20" w:before="48" w:afterLines="20" w:after="48"/>
              <w:jc w:val="center"/>
              <w:rPr>
                <w:noProof/>
              </w:rPr>
            </w:pPr>
            <w:r>
              <w:rPr>
                <w:noProof/>
              </w:rPr>
              <w:t>.</w:t>
            </w:r>
          </w:p>
        </w:tc>
        <w:tc>
          <w:tcPr>
            <w:tcW w:w="115" w:type="pct"/>
            <w:shd w:val="clear" w:color="auto" w:fill="auto"/>
            <w:vAlign w:val="center"/>
          </w:tcPr>
          <w:p w:rsidR="00051BBD" w:rsidRDefault="00051BBD">
            <w:pPr>
              <w:spacing w:beforeLines="20" w:before="48" w:afterLines="20" w:after="48"/>
              <w:jc w:val="center"/>
              <w:rPr>
                <w:noProof/>
              </w:rPr>
            </w:pPr>
          </w:p>
        </w:tc>
      </w:tr>
      <w:tr w:rsidR="00051BBD">
        <w:trPr>
          <w:gridBefore w:val="1"/>
          <w:wBefore w:w="6" w:type="pct"/>
          <w:trHeight w:val="289"/>
          <w:jc w:val="center"/>
        </w:trPr>
        <w:tc>
          <w:tcPr>
            <w:tcW w:w="1897" w:type="pct"/>
            <w:gridSpan w:val="2"/>
            <w:shd w:val="clear" w:color="auto" w:fill="auto"/>
            <w:vAlign w:val="center"/>
          </w:tcPr>
          <w:p w:rsidR="00051BBD" w:rsidRDefault="00FD0A5C">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 (KA, UNE, V – indirekte forskning)</w:t>
            </w:r>
          </w:p>
        </w:tc>
        <w:tc>
          <w:tcPr>
            <w:tcW w:w="318" w:type="pct"/>
            <w:shd w:val="clear" w:color="auto" w:fill="auto"/>
            <w:vAlign w:val="center"/>
          </w:tcPr>
          <w:p w:rsidR="00051BBD" w:rsidRDefault="00FD0A5C">
            <w:pPr>
              <w:spacing w:beforeLines="20" w:before="48" w:afterLines="20" w:after="48"/>
              <w:jc w:val="center"/>
              <w:rPr>
                <w:noProof/>
              </w:rPr>
            </w:pPr>
            <w:r>
              <w:rPr>
                <w:noProof/>
              </w:rPr>
              <w:t>p.m.</w:t>
            </w:r>
          </w:p>
        </w:tc>
        <w:tc>
          <w:tcPr>
            <w:tcW w:w="318" w:type="pct"/>
            <w:shd w:val="clear" w:color="auto" w:fill="auto"/>
            <w:vAlign w:val="center"/>
          </w:tcPr>
          <w:p w:rsidR="00051BBD" w:rsidRDefault="00FD0A5C">
            <w:pPr>
              <w:spacing w:beforeLines="20" w:before="48" w:afterLines="20" w:after="48"/>
              <w:jc w:val="center"/>
              <w:rPr>
                <w:noProof/>
              </w:rPr>
            </w:pPr>
            <w:r>
              <w:rPr>
                <w:noProof/>
              </w:rPr>
              <w:t>p.m.</w:t>
            </w:r>
          </w:p>
        </w:tc>
        <w:tc>
          <w:tcPr>
            <w:tcW w:w="1891" w:type="pct"/>
            <w:shd w:val="clear" w:color="auto" w:fill="auto"/>
            <w:vAlign w:val="center"/>
          </w:tcPr>
          <w:p w:rsidR="00051BBD" w:rsidRDefault="00FD0A5C">
            <w:pPr>
              <w:spacing w:beforeLines="20" w:before="48" w:afterLines="20" w:after="48"/>
              <w:jc w:val="center"/>
              <w:rPr>
                <w:noProof/>
              </w:rPr>
            </w:pPr>
            <w:r>
              <w:rPr>
                <w:noProof/>
              </w:rPr>
              <w:t>p.m.</w:t>
            </w:r>
          </w:p>
        </w:tc>
        <w:tc>
          <w:tcPr>
            <w:tcW w:w="226" w:type="pct"/>
            <w:shd w:val="clear" w:color="auto" w:fill="auto"/>
            <w:vAlign w:val="center"/>
          </w:tcPr>
          <w:p w:rsidR="00051BBD" w:rsidRDefault="00FD0A5C">
            <w:pPr>
              <w:spacing w:beforeLines="20" w:before="48" w:afterLines="20" w:after="48"/>
              <w:jc w:val="center"/>
              <w:rPr>
                <w:noProof/>
              </w:rPr>
            </w:pPr>
            <w:r>
              <w:rPr>
                <w:noProof/>
              </w:rPr>
              <w:t>p.m.</w:t>
            </w:r>
          </w:p>
        </w:tc>
        <w:tc>
          <w:tcPr>
            <w:tcW w:w="115" w:type="pct"/>
            <w:shd w:val="clear" w:color="auto" w:fill="auto"/>
            <w:vAlign w:val="center"/>
          </w:tcPr>
          <w:p w:rsidR="00051BBD" w:rsidRDefault="00FD0A5C">
            <w:pPr>
              <w:spacing w:beforeLines="20" w:before="48" w:afterLines="20" w:after="48"/>
              <w:jc w:val="center"/>
              <w:rPr>
                <w:noProof/>
              </w:rPr>
            </w:pPr>
            <w:r>
              <w:rPr>
                <w:noProof/>
              </w:rPr>
              <w:t>p.m.</w:t>
            </w:r>
          </w:p>
        </w:tc>
        <w:tc>
          <w:tcPr>
            <w:tcW w:w="115" w:type="pct"/>
            <w:shd w:val="clear" w:color="auto" w:fill="auto"/>
            <w:vAlign w:val="center"/>
          </w:tcPr>
          <w:p w:rsidR="00051BBD" w:rsidRDefault="00051BBD">
            <w:pPr>
              <w:spacing w:beforeLines="20" w:before="48" w:afterLines="20" w:after="48"/>
              <w:jc w:val="center"/>
              <w:rPr>
                <w:noProof/>
              </w:rPr>
            </w:pPr>
          </w:p>
        </w:tc>
        <w:tc>
          <w:tcPr>
            <w:tcW w:w="115" w:type="pct"/>
            <w:shd w:val="clear" w:color="auto" w:fill="auto"/>
            <w:vAlign w:val="center"/>
          </w:tcPr>
          <w:p w:rsidR="00051BBD" w:rsidRDefault="00FD0A5C">
            <w:pPr>
              <w:spacing w:beforeLines="20" w:before="48" w:afterLines="20" w:after="48"/>
              <w:jc w:val="center"/>
              <w:rPr>
                <w:noProof/>
              </w:rPr>
            </w:pPr>
            <w:r>
              <w:rPr>
                <w:noProof/>
              </w:rPr>
              <w:t>p.m.</w:t>
            </w:r>
          </w:p>
        </w:tc>
      </w:tr>
      <w:tr w:rsidR="00051BBD">
        <w:trPr>
          <w:gridBefore w:val="1"/>
          <w:wBefore w:w="6" w:type="pct"/>
          <w:trHeight w:val="289"/>
          <w:jc w:val="center"/>
        </w:trPr>
        <w:tc>
          <w:tcPr>
            <w:tcW w:w="1897" w:type="pct"/>
            <w:gridSpan w:val="2"/>
            <w:shd w:val="clear" w:color="auto" w:fill="auto"/>
            <w:vAlign w:val="center"/>
          </w:tcPr>
          <w:p w:rsidR="00051BBD" w:rsidRDefault="00FD0A5C">
            <w:pPr>
              <w:pStyle w:val="Text1"/>
              <w:spacing w:beforeLines="20" w:before="48" w:afterLines="20" w:after="48"/>
              <w:ind w:left="136"/>
              <w:jc w:val="left"/>
              <w:rPr>
                <w:noProof/>
                <w:sz w:val="16"/>
                <w:szCs w:val="16"/>
                <w:lang w:val="nb-NO"/>
              </w:rPr>
            </w:pPr>
            <w:r>
              <w:rPr>
                <w:noProof/>
                <w:sz w:val="16"/>
                <w:lang w:val="nb-NO"/>
              </w:rPr>
              <w:t>10 01 05 02 (KA, UNE, V – direkte forskning)</w:t>
            </w:r>
          </w:p>
        </w:tc>
        <w:tc>
          <w:tcPr>
            <w:tcW w:w="318" w:type="pct"/>
            <w:shd w:val="clear" w:color="auto" w:fill="auto"/>
            <w:vAlign w:val="center"/>
          </w:tcPr>
          <w:p w:rsidR="00051BBD" w:rsidRDefault="00FD0A5C">
            <w:pPr>
              <w:spacing w:beforeLines="20" w:before="48" w:afterLines="20" w:after="48"/>
              <w:jc w:val="center"/>
              <w:rPr>
                <w:noProof/>
              </w:rPr>
            </w:pPr>
            <w:r>
              <w:rPr>
                <w:noProof/>
              </w:rPr>
              <w:t>p.m.</w:t>
            </w:r>
          </w:p>
        </w:tc>
        <w:tc>
          <w:tcPr>
            <w:tcW w:w="318" w:type="pct"/>
            <w:shd w:val="clear" w:color="auto" w:fill="auto"/>
            <w:vAlign w:val="center"/>
          </w:tcPr>
          <w:p w:rsidR="00051BBD" w:rsidRDefault="00FD0A5C">
            <w:pPr>
              <w:spacing w:beforeLines="20" w:before="48" w:afterLines="20" w:after="48"/>
              <w:jc w:val="center"/>
              <w:rPr>
                <w:noProof/>
              </w:rPr>
            </w:pPr>
            <w:r>
              <w:rPr>
                <w:noProof/>
              </w:rPr>
              <w:t>p.m.</w:t>
            </w:r>
          </w:p>
        </w:tc>
        <w:tc>
          <w:tcPr>
            <w:tcW w:w="1891" w:type="pct"/>
            <w:shd w:val="clear" w:color="auto" w:fill="auto"/>
            <w:vAlign w:val="center"/>
          </w:tcPr>
          <w:p w:rsidR="00051BBD" w:rsidRDefault="00FD0A5C">
            <w:pPr>
              <w:spacing w:beforeLines="20" w:before="48" w:afterLines="20" w:after="48"/>
              <w:jc w:val="center"/>
              <w:rPr>
                <w:noProof/>
              </w:rPr>
            </w:pPr>
            <w:r>
              <w:rPr>
                <w:noProof/>
              </w:rPr>
              <w:t>p.m.</w:t>
            </w:r>
          </w:p>
        </w:tc>
        <w:tc>
          <w:tcPr>
            <w:tcW w:w="226" w:type="pct"/>
            <w:shd w:val="clear" w:color="auto" w:fill="auto"/>
            <w:vAlign w:val="center"/>
          </w:tcPr>
          <w:p w:rsidR="00051BBD" w:rsidRDefault="00FD0A5C">
            <w:pPr>
              <w:spacing w:beforeLines="20" w:before="48" w:afterLines="20" w:after="48"/>
              <w:jc w:val="center"/>
              <w:rPr>
                <w:noProof/>
              </w:rPr>
            </w:pPr>
            <w:r>
              <w:rPr>
                <w:noProof/>
              </w:rPr>
              <w:t>p.m.</w:t>
            </w:r>
          </w:p>
        </w:tc>
        <w:tc>
          <w:tcPr>
            <w:tcW w:w="115" w:type="pct"/>
            <w:shd w:val="clear" w:color="auto" w:fill="auto"/>
            <w:vAlign w:val="center"/>
          </w:tcPr>
          <w:p w:rsidR="00051BBD" w:rsidRDefault="00FD0A5C">
            <w:pPr>
              <w:spacing w:beforeLines="20" w:before="48" w:afterLines="20" w:after="48"/>
              <w:jc w:val="center"/>
              <w:rPr>
                <w:noProof/>
              </w:rPr>
            </w:pPr>
            <w:r>
              <w:rPr>
                <w:noProof/>
              </w:rPr>
              <w:t>p.m.</w:t>
            </w:r>
          </w:p>
        </w:tc>
        <w:tc>
          <w:tcPr>
            <w:tcW w:w="115" w:type="pct"/>
            <w:shd w:val="clear" w:color="auto" w:fill="auto"/>
            <w:vAlign w:val="center"/>
          </w:tcPr>
          <w:p w:rsidR="00051BBD" w:rsidRDefault="00FD0A5C">
            <w:pPr>
              <w:spacing w:beforeLines="20" w:before="48" w:afterLines="20" w:after="48"/>
              <w:jc w:val="center"/>
              <w:rPr>
                <w:noProof/>
              </w:rPr>
            </w:pPr>
            <w:r>
              <w:rPr>
                <w:noProof/>
              </w:rPr>
              <w:t>p.m.</w:t>
            </w:r>
          </w:p>
        </w:tc>
        <w:tc>
          <w:tcPr>
            <w:tcW w:w="115" w:type="pct"/>
            <w:shd w:val="clear" w:color="auto" w:fill="auto"/>
            <w:vAlign w:val="center"/>
          </w:tcPr>
          <w:p w:rsidR="00051BBD" w:rsidRDefault="00051BBD">
            <w:pPr>
              <w:spacing w:beforeLines="20" w:before="48" w:afterLines="20" w:after="48"/>
              <w:jc w:val="center"/>
              <w:rPr>
                <w:noProof/>
              </w:rPr>
            </w:pPr>
          </w:p>
        </w:tc>
      </w:tr>
      <w:tr w:rsidR="00051BBD">
        <w:trPr>
          <w:gridBefore w:val="1"/>
          <w:wBefore w:w="6" w:type="pct"/>
          <w:trHeight w:val="289"/>
          <w:jc w:val="center"/>
        </w:trPr>
        <w:tc>
          <w:tcPr>
            <w:tcW w:w="1897" w:type="pct"/>
            <w:gridSpan w:val="2"/>
            <w:tcBorders>
              <w:bottom w:val="double" w:sz="4" w:space="0" w:color="auto"/>
            </w:tcBorders>
            <w:shd w:val="clear" w:color="auto" w:fill="auto"/>
            <w:vAlign w:val="center"/>
          </w:tcPr>
          <w:p w:rsidR="00051BBD" w:rsidRDefault="00FD0A5C">
            <w:pPr>
              <w:pStyle w:val="Text1"/>
              <w:spacing w:beforeLines="20" w:before="48" w:afterLines="20" w:after="48"/>
              <w:ind w:left="134"/>
              <w:jc w:val="left"/>
              <w:rPr>
                <w:noProof/>
                <w:sz w:val="16"/>
                <w:szCs w:val="16"/>
              </w:rPr>
            </w:pPr>
            <w:r>
              <w:rPr>
                <w:noProof/>
                <w:sz w:val="16"/>
              </w:rPr>
              <w:t>Andre budgetposter (skal angives)</w:t>
            </w:r>
          </w:p>
        </w:tc>
        <w:tc>
          <w:tcPr>
            <w:tcW w:w="318" w:type="pct"/>
            <w:tcBorders>
              <w:bottom w:val="double" w:sz="4" w:space="0" w:color="auto"/>
            </w:tcBorders>
            <w:shd w:val="clear" w:color="auto" w:fill="auto"/>
            <w:vAlign w:val="center"/>
          </w:tcPr>
          <w:p w:rsidR="00051BBD" w:rsidRDefault="00FD0A5C">
            <w:pPr>
              <w:spacing w:beforeLines="20" w:before="48" w:afterLines="20" w:after="48"/>
              <w:jc w:val="center"/>
              <w:rPr>
                <w:noProof/>
              </w:rPr>
            </w:pPr>
            <w:r>
              <w:rPr>
                <w:noProof/>
              </w:rPr>
              <w:t>p.m.</w:t>
            </w:r>
          </w:p>
        </w:tc>
        <w:tc>
          <w:tcPr>
            <w:tcW w:w="318" w:type="pct"/>
            <w:tcBorders>
              <w:bottom w:val="double" w:sz="4" w:space="0" w:color="auto"/>
            </w:tcBorders>
            <w:shd w:val="clear" w:color="auto" w:fill="auto"/>
            <w:vAlign w:val="center"/>
          </w:tcPr>
          <w:p w:rsidR="00051BBD" w:rsidRDefault="00FD0A5C">
            <w:pPr>
              <w:spacing w:beforeLines="20" w:before="48" w:afterLines="20" w:after="48"/>
              <w:jc w:val="center"/>
              <w:rPr>
                <w:noProof/>
              </w:rPr>
            </w:pPr>
            <w:r>
              <w:rPr>
                <w:noProof/>
              </w:rPr>
              <w:t>p.m.</w:t>
            </w:r>
          </w:p>
        </w:tc>
        <w:tc>
          <w:tcPr>
            <w:tcW w:w="1891" w:type="pct"/>
            <w:tcBorders>
              <w:bottom w:val="double" w:sz="4" w:space="0" w:color="auto"/>
            </w:tcBorders>
            <w:shd w:val="clear" w:color="auto" w:fill="auto"/>
            <w:vAlign w:val="center"/>
          </w:tcPr>
          <w:p w:rsidR="00051BBD" w:rsidRDefault="00FD0A5C">
            <w:pPr>
              <w:spacing w:beforeLines="20" w:before="48" w:afterLines="20" w:after="48"/>
              <w:jc w:val="center"/>
              <w:rPr>
                <w:noProof/>
              </w:rPr>
            </w:pPr>
            <w:r>
              <w:rPr>
                <w:noProof/>
              </w:rPr>
              <w:t>p.m.</w:t>
            </w:r>
          </w:p>
        </w:tc>
        <w:tc>
          <w:tcPr>
            <w:tcW w:w="226" w:type="pct"/>
            <w:tcBorders>
              <w:bottom w:val="double" w:sz="4" w:space="0" w:color="auto"/>
            </w:tcBorders>
            <w:shd w:val="clear" w:color="auto" w:fill="auto"/>
            <w:vAlign w:val="center"/>
          </w:tcPr>
          <w:p w:rsidR="00051BBD" w:rsidRDefault="00FD0A5C">
            <w:pPr>
              <w:spacing w:beforeLines="20" w:before="48" w:afterLines="20" w:after="48"/>
              <w:jc w:val="center"/>
              <w:rPr>
                <w:noProof/>
              </w:rPr>
            </w:pPr>
            <w:r>
              <w:rPr>
                <w:noProof/>
              </w:rPr>
              <w:t>p.m.</w:t>
            </w:r>
          </w:p>
        </w:tc>
        <w:tc>
          <w:tcPr>
            <w:tcW w:w="115" w:type="pct"/>
            <w:tcBorders>
              <w:bottom w:val="double" w:sz="4" w:space="0" w:color="auto"/>
            </w:tcBorders>
            <w:shd w:val="clear" w:color="auto" w:fill="auto"/>
            <w:vAlign w:val="center"/>
          </w:tcPr>
          <w:p w:rsidR="00051BBD" w:rsidRDefault="00FD0A5C">
            <w:pPr>
              <w:spacing w:beforeLines="20" w:before="48" w:afterLines="20" w:after="48"/>
              <w:jc w:val="center"/>
              <w:rPr>
                <w:noProof/>
              </w:rPr>
            </w:pPr>
            <w:r>
              <w:rPr>
                <w:noProof/>
              </w:rPr>
              <w:t>p.m.</w:t>
            </w:r>
          </w:p>
        </w:tc>
        <w:tc>
          <w:tcPr>
            <w:tcW w:w="115" w:type="pct"/>
            <w:tcBorders>
              <w:bottom w:val="double" w:sz="4" w:space="0" w:color="auto"/>
            </w:tcBorders>
            <w:shd w:val="clear" w:color="auto" w:fill="auto"/>
            <w:vAlign w:val="center"/>
          </w:tcPr>
          <w:p w:rsidR="00051BBD" w:rsidRDefault="00051BBD">
            <w:pPr>
              <w:spacing w:beforeLines="20" w:before="48" w:afterLines="20" w:after="48"/>
              <w:jc w:val="center"/>
              <w:rPr>
                <w:noProof/>
              </w:rPr>
            </w:pPr>
          </w:p>
        </w:tc>
        <w:tc>
          <w:tcPr>
            <w:tcW w:w="115" w:type="pct"/>
            <w:tcBorders>
              <w:bottom w:val="double" w:sz="4" w:space="0" w:color="auto"/>
            </w:tcBorders>
            <w:shd w:val="clear" w:color="auto" w:fill="auto"/>
            <w:vAlign w:val="center"/>
          </w:tcPr>
          <w:p w:rsidR="00051BBD" w:rsidRDefault="00051BBD">
            <w:pPr>
              <w:spacing w:beforeLines="20" w:before="48" w:afterLines="20" w:after="48"/>
              <w:jc w:val="center"/>
              <w:rPr>
                <w:noProof/>
              </w:rPr>
            </w:pPr>
          </w:p>
        </w:tc>
      </w:tr>
      <w:tr w:rsidR="00051BBD">
        <w:trPr>
          <w:gridBefore w:val="1"/>
          <w:wBefore w:w="6" w:type="pct"/>
          <w:trHeight w:val="289"/>
          <w:jc w:val="center"/>
        </w:trPr>
        <w:tc>
          <w:tcPr>
            <w:tcW w:w="1897" w:type="pct"/>
            <w:gridSpan w:val="2"/>
            <w:tcBorders>
              <w:top w:val="double" w:sz="4" w:space="0" w:color="auto"/>
            </w:tcBorders>
            <w:shd w:val="clear" w:color="auto" w:fill="auto"/>
            <w:vAlign w:val="center"/>
          </w:tcPr>
          <w:p w:rsidR="00051BBD" w:rsidRDefault="00FD0A5C">
            <w:pPr>
              <w:pStyle w:val="Text1"/>
              <w:spacing w:beforeLines="20" w:before="48" w:afterLines="20" w:after="48"/>
              <w:ind w:left="136"/>
              <w:jc w:val="left"/>
              <w:rPr>
                <w:noProof/>
                <w:sz w:val="16"/>
                <w:szCs w:val="16"/>
              </w:rPr>
            </w:pPr>
            <w:r>
              <w:rPr>
                <w:b/>
                <w:noProof/>
                <w:sz w:val="16"/>
              </w:rPr>
              <w:t>I ALT</w:t>
            </w:r>
          </w:p>
        </w:tc>
        <w:tc>
          <w:tcPr>
            <w:tcW w:w="318" w:type="pct"/>
            <w:tcBorders>
              <w:top w:val="double" w:sz="4" w:space="0" w:color="auto"/>
            </w:tcBorders>
            <w:shd w:val="clear" w:color="auto" w:fill="auto"/>
            <w:vAlign w:val="center"/>
          </w:tcPr>
          <w:p w:rsidR="00051BBD" w:rsidRDefault="00FD0A5C">
            <w:pPr>
              <w:spacing w:beforeLines="20" w:before="48" w:afterLines="20" w:after="48"/>
              <w:jc w:val="center"/>
              <w:rPr>
                <w:noProof/>
              </w:rPr>
            </w:pPr>
            <w:r>
              <w:rPr>
                <w:noProof/>
              </w:rPr>
              <w:t>4</w:t>
            </w:r>
          </w:p>
        </w:tc>
        <w:tc>
          <w:tcPr>
            <w:tcW w:w="318" w:type="pct"/>
            <w:tcBorders>
              <w:top w:val="double" w:sz="4" w:space="0" w:color="auto"/>
            </w:tcBorders>
            <w:shd w:val="clear" w:color="auto" w:fill="auto"/>
            <w:vAlign w:val="center"/>
          </w:tcPr>
          <w:p w:rsidR="00051BBD" w:rsidRDefault="00FD0A5C">
            <w:pPr>
              <w:spacing w:beforeLines="20" w:before="48" w:afterLines="20" w:after="48"/>
              <w:jc w:val="center"/>
              <w:rPr>
                <w:noProof/>
              </w:rPr>
            </w:pPr>
            <w:r>
              <w:rPr>
                <w:noProof/>
              </w:rPr>
              <w:t>4</w:t>
            </w:r>
          </w:p>
        </w:tc>
        <w:tc>
          <w:tcPr>
            <w:tcW w:w="1891" w:type="pct"/>
            <w:tcBorders>
              <w:top w:val="double" w:sz="4" w:space="0" w:color="auto"/>
            </w:tcBorders>
            <w:shd w:val="clear" w:color="auto" w:fill="auto"/>
            <w:vAlign w:val="center"/>
          </w:tcPr>
          <w:p w:rsidR="00051BBD" w:rsidRDefault="00FD0A5C">
            <w:pPr>
              <w:spacing w:beforeLines="20" w:before="48" w:afterLines="20" w:after="48"/>
              <w:jc w:val="center"/>
              <w:rPr>
                <w:noProof/>
              </w:rPr>
            </w:pPr>
            <w:r>
              <w:rPr>
                <w:noProof/>
              </w:rPr>
              <w:t>4</w:t>
            </w:r>
          </w:p>
        </w:tc>
        <w:tc>
          <w:tcPr>
            <w:tcW w:w="226" w:type="pct"/>
            <w:tcBorders>
              <w:top w:val="double" w:sz="4" w:space="0" w:color="auto"/>
            </w:tcBorders>
            <w:shd w:val="clear" w:color="auto" w:fill="auto"/>
            <w:vAlign w:val="center"/>
          </w:tcPr>
          <w:p w:rsidR="00051BBD" w:rsidRDefault="00FD0A5C">
            <w:pPr>
              <w:spacing w:beforeLines="20" w:before="48" w:afterLines="20" w:after="48"/>
              <w:jc w:val="center"/>
              <w:rPr>
                <w:noProof/>
              </w:rPr>
            </w:pPr>
            <w:r>
              <w:rPr>
                <w:noProof/>
              </w:rPr>
              <w:t>4</w:t>
            </w:r>
          </w:p>
        </w:tc>
        <w:tc>
          <w:tcPr>
            <w:tcW w:w="115" w:type="pct"/>
            <w:tcBorders>
              <w:top w:val="double" w:sz="4" w:space="0" w:color="auto"/>
            </w:tcBorders>
            <w:shd w:val="clear" w:color="auto" w:fill="auto"/>
            <w:vAlign w:val="center"/>
          </w:tcPr>
          <w:p w:rsidR="00051BBD" w:rsidRDefault="00FD0A5C">
            <w:pPr>
              <w:spacing w:beforeLines="20" w:before="48" w:afterLines="20" w:after="48"/>
              <w:jc w:val="center"/>
              <w:rPr>
                <w:noProof/>
              </w:rPr>
            </w:pPr>
            <w:r>
              <w:rPr>
                <w:noProof/>
              </w:rPr>
              <w:t>4</w:t>
            </w:r>
          </w:p>
        </w:tc>
        <w:tc>
          <w:tcPr>
            <w:tcW w:w="115" w:type="pct"/>
            <w:tcBorders>
              <w:top w:val="double" w:sz="4" w:space="0" w:color="auto"/>
            </w:tcBorders>
            <w:shd w:val="clear" w:color="auto" w:fill="auto"/>
            <w:vAlign w:val="center"/>
          </w:tcPr>
          <w:p w:rsidR="00051BBD" w:rsidRDefault="00051BBD">
            <w:pPr>
              <w:spacing w:beforeLines="20" w:before="48" w:afterLines="20" w:after="48"/>
              <w:jc w:val="center"/>
              <w:rPr>
                <w:noProof/>
              </w:rPr>
            </w:pPr>
          </w:p>
        </w:tc>
        <w:tc>
          <w:tcPr>
            <w:tcW w:w="115" w:type="pct"/>
            <w:tcBorders>
              <w:top w:val="double" w:sz="4" w:space="0" w:color="auto"/>
            </w:tcBorders>
            <w:shd w:val="clear" w:color="auto" w:fill="auto"/>
            <w:vAlign w:val="center"/>
          </w:tcPr>
          <w:p w:rsidR="00051BBD" w:rsidRDefault="00051BBD">
            <w:pPr>
              <w:spacing w:beforeLines="20" w:before="48" w:afterLines="20" w:after="48"/>
              <w:jc w:val="center"/>
              <w:rPr>
                <w:noProof/>
              </w:rPr>
            </w:pPr>
          </w:p>
        </w:tc>
      </w:tr>
    </w:tbl>
    <w:p w:rsidR="00051BBD" w:rsidRDefault="00FD0A5C">
      <w:pPr>
        <w:pStyle w:val="Text1"/>
        <w:spacing w:before="60" w:after="60"/>
        <w:ind w:left="851"/>
        <w:rPr>
          <w:noProof/>
          <w:sz w:val="18"/>
          <w:szCs w:val="18"/>
        </w:rPr>
      </w:pPr>
      <w:r>
        <w:rPr>
          <w:b/>
          <w:noProof/>
          <w:sz w:val="18"/>
        </w:rPr>
        <w:t>XX</w:t>
      </w:r>
      <w:r>
        <w:rPr>
          <w:noProof/>
        </w:rPr>
        <w:t xml:space="preserve"> </w:t>
      </w:r>
      <w:r>
        <w:rPr>
          <w:noProof/>
          <w:sz w:val="18"/>
        </w:rPr>
        <w:t>angiver det berørte politikområde eller budgetafsnit.</w:t>
      </w:r>
    </w:p>
    <w:p w:rsidR="00051BBD" w:rsidRDefault="00FD0A5C">
      <w:pPr>
        <w:pStyle w:val="Text1"/>
        <w:rPr>
          <w:noProof/>
          <w:sz w:val="18"/>
          <w:szCs w:val="18"/>
        </w:rPr>
      </w:pPr>
      <w:r>
        <w:rPr>
          <w:noProof/>
          <w:sz w:val="18"/>
        </w:rPr>
        <w:t xml:space="preserve">Personalebehovet vil blive </w:t>
      </w:r>
      <w:r>
        <w:rPr>
          <w:noProof/>
          <w:sz w:val="18"/>
        </w:rPr>
        <w:t xml:space="preserve">dækket ved hjælp af det personale, som generaldirektoratet allerede har afsat til aktionen, og/eller interne rokader i generaldirektoratet, eventuelt suppleret med yderligere bevillinger, som tildeles det ansvarlige generaldirektorat i forbindelse med den </w:t>
      </w:r>
      <w:r>
        <w:rPr>
          <w:noProof/>
          <w:sz w:val="18"/>
        </w:rPr>
        <w:t>årlige tildelingsprocedure under hensyntagen til de budgetmæssige begrænsninger.</w:t>
      </w:r>
    </w:p>
    <w:p w:rsidR="00051BBD" w:rsidRDefault="00FD0A5C">
      <w:pPr>
        <w:rPr>
          <w:noProof/>
          <w:sz w:val="20"/>
        </w:rPr>
      </w:pPr>
      <w:r>
        <w:rPr>
          <w:noProof/>
          <w:sz w:val="20"/>
        </w:rPr>
        <w:t>Opgavebeskrivelse: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051BBD">
        <w:tc>
          <w:tcPr>
            <w:tcW w:w="3240" w:type="dxa"/>
          </w:tcPr>
          <w:p w:rsidR="00051BBD" w:rsidRDefault="00FD0A5C">
            <w:pPr>
              <w:rPr>
                <w:noProof/>
                <w:sz w:val="20"/>
              </w:rPr>
            </w:pPr>
            <w:r>
              <w:rPr>
                <w:noProof/>
                <w:sz w:val="20"/>
              </w:rPr>
              <w:t>Tjenestemænd og midlertidigt ansatte</w:t>
            </w:r>
          </w:p>
        </w:tc>
        <w:tc>
          <w:tcPr>
            <w:tcW w:w="7200" w:type="dxa"/>
          </w:tcPr>
          <w:p w:rsidR="00051BBD" w:rsidRDefault="00FD0A5C">
            <w:pPr>
              <w:rPr>
                <w:noProof/>
                <w:sz w:val="20"/>
              </w:rPr>
            </w:pPr>
            <w:r>
              <w:rPr>
                <w:noProof/>
                <w:sz w:val="20"/>
              </w:rPr>
              <w:t xml:space="preserve">Forberedelse af møder og korrespondance med medlemsstater; (afhængigt af drøftelser med medlemsstaterne) arbejde med </w:t>
            </w:r>
            <w:r>
              <w:rPr>
                <w:noProof/>
                <w:sz w:val="20"/>
              </w:rPr>
              <w:t>formularer, IT-formater og centralregister; indsættelse af kontraktansatte udefra til at arbejde på IT-systemet</w:t>
            </w:r>
          </w:p>
        </w:tc>
      </w:tr>
      <w:tr w:rsidR="00051BBD">
        <w:tc>
          <w:tcPr>
            <w:tcW w:w="3240" w:type="dxa"/>
          </w:tcPr>
          <w:p w:rsidR="00051BBD" w:rsidRDefault="00FD0A5C">
            <w:pPr>
              <w:spacing w:before="60" w:after="60"/>
              <w:rPr>
                <w:noProof/>
                <w:sz w:val="20"/>
              </w:rPr>
            </w:pPr>
            <w:r>
              <w:rPr>
                <w:noProof/>
                <w:sz w:val="20"/>
              </w:rPr>
              <w:t>Eksternt personale</w:t>
            </w:r>
          </w:p>
        </w:tc>
        <w:tc>
          <w:tcPr>
            <w:tcW w:w="7200" w:type="dxa"/>
          </w:tcPr>
          <w:p w:rsidR="00051BBD" w:rsidRDefault="00FD0A5C">
            <w:pPr>
              <w:rPr>
                <w:noProof/>
                <w:sz w:val="20"/>
              </w:rPr>
            </w:pPr>
            <w:r>
              <w:rPr>
                <w:noProof/>
                <w:sz w:val="20"/>
              </w:rPr>
              <w:t>Ikke relevant</w:t>
            </w:r>
          </w:p>
        </w:tc>
      </w:tr>
    </w:tbl>
    <w:p w:rsidR="00051BBD" w:rsidRDefault="00051BBD">
      <w:pPr>
        <w:rPr>
          <w:noProof/>
        </w:rPr>
        <w:sectPr w:rsidR="00051BBD">
          <w:pgSz w:w="11907" w:h="16840"/>
          <w:pgMar w:top="1134" w:right="1418" w:bottom="1134" w:left="1418" w:header="709" w:footer="709" w:gutter="0"/>
          <w:cols w:space="708"/>
          <w:docGrid w:linePitch="360"/>
        </w:sectPr>
      </w:pPr>
    </w:p>
    <w:p w:rsidR="00051BBD" w:rsidRDefault="00FD0A5C">
      <w:pPr>
        <w:pStyle w:val="ManualHeading3"/>
        <w:rPr>
          <w:bCs/>
          <w:noProof/>
          <w:szCs w:val="24"/>
        </w:rPr>
      </w:pPr>
      <w:r>
        <w:t>3.2.4.</w:t>
      </w:r>
      <w:r>
        <w:tab/>
      </w:r>
      <w:r>
        <w:rPr>
          <w:noProof/>
        </w:rPr>
        <w:t xml:space="preserve">Forenelighed med indeværende flerårige finansielle ramme </w:t>
      </w:r>
    </w:p>
    <w:p w:rsidR="00051BBD" w:rsidRDefault="00FD0A5C">
      <w:pPr>
        <w:pStyle w:val="ListDash1"/>
        <w:rPr>
          <w:noProof/>
        </w:rPr>
      </w:pPr>
      <w:r>
        <w:rPr>
          <w:noProof/>
        </w:rPr>
        <w:sym w:font="Wingdings" w:char="F0FD"/>
      </w:r>
      <w:r>
        <w:rPr>
          <w:noProof/>
        </w:rPr>
        <w:tab/>
        <w:t>Forslaget/initiative</w:t>
      </w:r>
      <w:r>
        <w:rPr>
          <w:noProof/>
        </w:rPr>
        <w:t>t er foreneligt med indeværende flerårige finansielle ramme.</w:t>
      </w:r>
    </w:p>
    <w:p w:rsidR="00051BBD" w:rsidRDefault="00FD0A5C">
      <w:pPr>
        <w:pStyle w:val="ListDash1"/>
        <w:rPr>
          <w:noProof/>
        </w:rPr>
      </w:pPr>
      <w:r>
        <w:rPr>
          <w:noProof/>
        </w:rPr>
        <w:sym w:font="Wingdings" w:char="F0A8"/>
      </w:r>
      <w:r>
        <w:rPr>
          <w:noProof/>
        </w:rPr>
        <w:tab/>
        <w:t>Forslaget/initiativet kræver omlægning af det relevante udgiftsområde i den flerårige finansielle ramme.</w:t>
      </w:r>
    </w:p>
    <w:p w:rsidR="00051BBD" w:rsidRDefault="00FD0A5C">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omlægningen med angivelse af de berørte budgetposter og beløbenes stør</w:t>
      </w:r>
      <w:r>
        <w:rPr>
          <w:noProof/>
          <w:sz w:val="20"/>
        </w:rPr>
        <w:t>relse.</w:t>
      </w:r>
    </w:p>
    <w:p w:rsidR="00051BBD" w:rsidRDefault="00051BBD">
      <w:pPr>
        <w:pStyle w:val="Text1"/>
        <w:pBdr>
          <w:top w:val="single" w:sz="4" w:space="1" w:color="auto"/>
          <w:left w:val="single" w:sz="4" w:space="4" w:color="auto"/>
          <w:bottom w:val="single" w:sz="4" w:space="1" w:color="auto"/>
          <w:right w:val="single" w:sz="4" w:space="4" w:color="auto"/>
        </w:pBdr>
        <w:rPr>
          <w:noProof/>
        </w:rPr>
      </w:pPr>
    </w:p>
    <w:p w:rsidR="00051BBD" w:rsidRDefault="00FD0A5C">
      <w:pPr>
        <w:pStyle w:val="ListDash1"/>
        <w:rPr>
          <w:noProof/>
        </w:rPr>
      </w:pPr>
      <w:r>
        <w:rPr>
          <w:noProof/>
        </w:rPr>
        <w:sym w:font="Wingdings" w:char="F0A8"/>
      </w:r>
      <w:r>
        <w:rPr>
          <w:noProof/>
        </w:rPr>
        <w:tab/>
        <w:t>Forslaget/initiativet kræver, at fleksibilitetsinstrumentet anvendes, eller at den flerårige finansielle ramme revideres.</w:t>
      </w:r>
    </w:p>
    <w:p w:rsidR="00051BBD" w:rsidRDefault="00FD0A5C">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behovet med angivelse af de berørte udgiftsområder og budgetposter og beløbenes størrelse.</w:t>
      </w:r>
    </w:p>
    <w:p w:rsidR="00051BBD" w:rsidRDefault="00051BBD">
      <w:pPr>
        <w:pStyle w:val="Text1"/>
        <w:pBdr>
          <w:top w:val="single" w:sz="4" w:space="1" w:color="auto"/>
          <w:left w:val="single" w:sz="4" w:space="4" w:color="auto"/>
          <w:bottom w:val="single" w:sz="4" w:space="1" w:color="auto"/>
          <w:right w:val="single" w:sz="4" w:space="4" w:color="auto"/>
        </w:pBdr>
        <w:rPr>
          <w:noProof/>
        </w:rPr>
      </w:pPr>
    </w:p>
    <w:p w:rsidR="00051BBD" w:rsidRDefault="00FD0A5C">
      <w:pPr>
        <w:pStyle w:val="ManualHeading3"/>
        <w:rPr>
          <w:bCs/>
          <w:noProof/>
          <w:szCs w:val="24"/>
        </w:rPr>
      </w:pPr>
      <w:r>
        <w:t>3.2.5.</w:t>
      </w:r>
      <w:r>
        <w:tab/>
      </w:r>
      <w:r>
        <w:rPr>
          <w:noProof/>
        </w:rPr>
        <w:t xml:space="preserve">Tredjemands bidrag til finansieringen </w:t>
      </w:r>
    </w:p>
    <w:p w:rsidR="00051BBD" w:rsidRDefault="00FD0A5C">
      <w:pPr>
        <w:pStyle w:val="ListDash1"/>
        <w:rPr>
          <w:noProof/>
        </w:rPr>
      </w:pPr>
      <w:r>
        <w:rPr>
          <w:noProof/>
        </w:rPr>
        <w:t xml:space="preserve">Forslaget/initiativet indeholder ikke bestemmelser om samfinansiering med tredjemand. </w:t>
      </w:r>
    </w:p>
    <w:p w:rsidR="00051BBD" w:rsidRDefault="00FD0A5C">
      <w:pPr>
        <w:pStyle w:val="ListDash1"/>
        <w:rPr>
          <w:noProof/>
        </w:rPr>
      </w:pPr>
      <w:r>
        <w:rPr>
          <w:strike/>
          <w:noProof/>
        </w:rPr>
        <w:t>Forslaget/initiativet indeholder bestemmelser om samfinansiering, jf. følgede overslag</w:t>
      </w:r>
      <w:r>
        <w:rPr>
          <w:noProof/>
        </w:rPr>
        <w:t>:</w:t>
      </w:r>
    </w:p>
    <w:p w:rsidR="00051BBD" w:rsidRDefault="00FD0A5C">
      <w:pPr>
        <w:jc w:val="right"/>
        <w:rPr>
          <w:noProof/>
          <w:sz w:val="20"/>
        </w:rPr>
      </w:pPr>
      <w:r>
        <w:rPr>
          <w:noProof/>
          <w:sz w:val="20"/>
        </w:rPr>
        <w:t>Bevillinger i mio. EUR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051BBD">
        <w:trPr>
          <w:cantSplit/>
        </w:trPr>
        <w:tc>
          <w:tcPr>
            <w:tcW w:w="2340" w:type="dxa"/>
          </w:tcPr>
          <w:p w:rsidR="00051BBD" w:rsidRDefault="00051BBD">
            <w:pPr>
              <w:spacing w:before="60" w:after="60"/>
              <w:rPr>
                <w:noProof/>
                <w:sz w:val="20"/>
              </w:rPr>
            </w:pPr>
          </w:p>
        </w:tc>
        <w:tc>
          <w:tcPr>
            <w:tcW w:w="964" w:type="dxa"/>
            <w:vAlign w:val="center"/>
          </w:tcPr>
          <w:p w:rsidR="00051BBD" w:rsidRDefault="00FD0A5C">
            <w:pPr>
              <w:jc w:val="center"/>
              <w:rPr>
                <w:noProof/>
                <w:sz w:val="20"/>
                <w:szCs w:val="20"/>
              </w:rPr>
            </w:pPr>
            <w:r>
              <w:rPr>
                <w:noProof/>
                <w:sz w:val="20"/>
                <w:szCs w:val="20"/>
              </w:rPr>
              <w:t>År</w:t>
            </w:r>
            <w:r>
              <w:rPr>
                <w:noProof/>
                <w:sz w:val="20"/>
                <w:szCs w:val="20"/>
              </w:rPr>
              <w:t xml:space="preserve"> </w:t>
            </w:r>
            <w:r>
              <w:rPr>
                <w:b/>
                <w:noProof/>
                <w:sz w:val="20"/>
                <w:szCs w:val="20"/>
              </w:rPr>
              <w:t>n</w:t>
            </w:r>
          </w:p>
        </w:tc>
        <w:tc>
          <w:tcPr>
            <w:tcW w:w="964" w:type="dxa"/>
            <w:vAlign w:val="center"/>
          </w:tcPr>
          <w:p w:rsidR="00051BBD" w:rsidRDefault="00FD0A5C">
            <w:pPr>
              <w:jc w:val="center"/>
              <w:rPr>
                <w:noProof/>
                <w:sz w:val="20"/>
                <w:szCs w:val="20"/>
              </w:rPr>
            </w:pPr>
            <w:r>
              <w:rPr>
                <w:noProof/>
                <w:sz w:val="20"/>
                <w:szCs w:val="20"/>
              </w:rPr>
              <w:t xml:space="preserve">År </w:t>
            </w:r>
            <w:r>
              <w:rPr>
                <w:b/>
                <w:noProof/>
                <w:sz w:val="20"/>
                <w:szCs w:val="20"/>
              </w:rPr>
              <w:t>n + 1</w:t>
            </w:r>
          </w:p>
        </w:tc>
        <w:tc>
          <w:tcPr>
            <w:tcW w:w="964" w:type="dxa"/>
            <w:vAlign w:val="center"/>
          </w:tcPr>
          <w:p w:rsidR="00051BBD" w:rsidRDefault="00FD0A5C">
            <w:pPr>
              <w:jc w:val="center"/>
              <w:rPr>
                <w:noProof/>
                <w:sz w:val="20"/>
                <w:szCs w:val="20"/>
              </w:rPr>
            </w:pPr>
            <w:r>
              <w:rPr>
                <w:noProof/>
                <w:sz w:val="20"/>
                <w:szCs w:val="20"/>
              </w:rPr>
              <w:t xml:space="preserve">År </w:t>
            </w:r>
            <w:r>
              <w:rPr>
                <w:b/>
                <w:noProof/>
                <w:sz w:val="20"/>
                <w:szCs w:val="20"/>
              </w:rPr>
              <w:t>n + 2</w:t>
            </w:r>
          </w:p>
        </w:tc>
        <w:tc>
          <w:tcPr>
            <w:tcW w:w="964" w:type="dxa"/>
            <w:vAlign w:val="center"/>
          </w:tcPr>
          <w:p w:rsidR="00051BBD" w:rsidRDefault="00FD0A5C">
            <w:pPr>
              <w:jc w:val="center"/>
              <w:rPr>
                <w:noProof/>
                <w:sz w:val="20"/>
                <w:szCs w:val="20"/>
              </w:rPr>
            </w:pPr>
            <w:r>
              <w:rPr>
                <w:noProof/>
                <w:sz w:val="20"/>
                <w:szCs w:val="20"/>
              </w:rPr>
              <w:t xml:space="preserve">År </w:t>
            </w:r>
            <w:r>
              <w:rPr>
                <w:b/>
                <w:noProof/>
                <w:sz w:val="20"/>
                <w:szCs w:val="20"/>
              </w:rPr>
              <w:t>n + 3</w:t>
            </w:r>
          </w:p>
        </w:tc>
        <w:tc>
          <w:tcPr>
            <w:tcW w:w="2892" w:type="dxa"/>
            <w:gridSpan w:val="3"/>
            <w:vAlign w:val="center"/>
          </w:tcPr>
          <w:p w:rsidR="00051BBD" w:rsidRDefault="00FD0A5C">
            <w:pPr>
              <w:jc w:val="center"/>
              <w:rPr>
                <w:b/>
                <w:noProof/>
                <w:sz w:val="20"/>
              </w:rPr>
            </w:pPr>
            <w:r>
              <w:rPr>
                <w:noProof/>
                <w:sz w:val="20"/>
              </w:rPr>
              <w:t>Der indsættes flere år, hvis virkningerne varer længere (jf. punkt 1.6)</w:t>
            </w:r>
          </w:p>
        </w:tc>
        <w:tc>
          <w:tcPr>
            <w:tcW w:w="1158" w:type="dxa"/>
            <w:vAlign w:val="center"/>
          </w:tcPr>
          <w:p w:rsidR="00051BBD" w:rsidRDefault="00FD0A5C">
            <w:pPr>
              <w:spacing w:before="60" w:after="60"/>
              <w:jc w:val="center"/>
              <w:rPr>
                <w:noProof/>
                <w:sz w:val="20"/>
              </w:rPr>
            </w:pPr>
            <w:r>
              <w:rPr>
                <w:noProof/>
                <w:sz w:val="20"/>
              </w:rPr>
              <w:t>I alt</w:t>
            </w:r>
          </w:p>
        </w:tc>
      </w:tr>
      <w:tr w:rsidR="00051BBD">
        <w:trPr>
          <w:cantSplit/>
        </w:trPr>
        <w:tc>
          <w:tcPr>
            <w:tcW w:w="2340" w:type="dxa"/>
          </w:tcPr>
          <w:p w:rsidR="00051BBD" w:rsidRDefault="00FD0A5C">
            <w:pPr>
              <w:jc w:val="left"/>
              <w:rPr>
                <w:noProof/>
                <w:sz w:val="22"/>
              </w:rPr>
            </w:pPr>
            <w:r>
              <w:rPr>
                <w:noProof/>
                <w:sz w:val="20"/>
              </w:rPr>
              <w:t>Angiv organ, som deltager i samfinansieringen</w:t>
            </w:r>
            <w:r>
              <w:rPr>
                <w:i/>
                <w:noProof/>
                <w:sz w:val="20"/>
              </w:rPr>
              <w:t xml:space="preserve"> </w:t>
            </w:r>
          </w:p>
        </w:tc>
        <w:tc>
          <w:tcPr>
            <w:tcW w:w="964" w:type="dxa"/>
            <w:vAlign w:val="center"/>
          </w:tcPr>
          <w:p w:rsidR="00051BBD" w:rsidRDefault="00051BBD">
            <w:pPr>
              <w:spacing w:before="60" w:after="60"/>
              <w:jc w:val="center"/>
              <w:rPr>
                <w:noProof/>
                <w:sz w:val="20"/>
              </w:rPr>
            </w:pPr>
          </w:p>
        </w:tc>
        <w:tc>
          <w:tcPr>
            <w:tcW w:w="964" w:type="dxa"/>
            <w:vAlign w:val="center"/>
          </w:tcPr>
          <w:p w:rsidR="00051BBD" w:rsidRDefault="00051BBD">
            <w:pPr>
              <w:spacing w:before="60" w:after="60"/>
              <w:jc w:val="center"/>
              <w:rPr>
                <w:noProof/>
                <w:sz w:val="20"/>
              </w:rPr>
            </w:pPr>
          </w:p>
        </w:tc>
        <w:tc>
          <w:tcPr>
            <w:tcW w:w="964" w:type="dxa"/>
            <w:vAlign w:val="center"/>
          </w:tcPr>
          <w:p w:rsidR="00051BBD" w:rsidRDefault="00051BBD">
            <w:pPr>
              <w:spacing w:before="60" w:after="60"/>
              <w:jc w:val="center"/>
              <w:rPr>
                <w:noProof/>
                <w:sz w:val="20"/>
              </w:rPr>
            </w:pPr>
          </w:p>
        </w:tc>
        <w:tc>
          <w:tcPr>
            <w:tcW w:w="964" w:type="dxa"/>
            <w:vAlign w:val="center"/>
          </w:tcPr>
          <w:p w:rsidR="00051BBD" w:rsidRDefault="00051BBD">
            <w:pPr>
              <w:spacing w:before="60" w:after="60"/>
              <w:jc w:val="center"/>
              <w:rPr>
                <w:noProof/>
                <w:sz w:val="20"/>
              </w:rPr>
            </w:pPr>
          </w:p>
        </w:tc>
        <w:tc>
          <w:tcPr>
            <w:tcW w:w="964" w:type="dxa"/>
            <w:vAlign w:val="center"/>
          </w:tcPr>
          <w:p w:rsidR="00051BBD" w:rsidRDefault="00051BBD">
            <w:pPr>
              <w:spacing w:before="60" w:after="60"/>
              <w:jc w:val="center"/>
              <w:rPr>
                <w:noProof/>
                <w:sz w:val="20"/>
              </w:rPr>
            </w:pPr>
          </w:p>
        </w:tc>
        <w:tc>
          <w:tcPr>
            <w:tcW w:w="964" w:type="dxa"/>
            <w:vAlign w:val="center"/>
          </w:tcPr>
          <w:p w:rsidR="00051BBD" w:rsidRDefault="00051BBD">
            <w:pPr>
              <w:spacing w:before="60" w:after="60"/>
              <w:jc w:val="center"/>
              <w:rPr>
                <w:noProof/>
                <w:sz w:val="20"/>
              </w:rPr>
            </w:pPr>
          </w:p>
        </w:tc>
        <w:tc>
          <w:tcPr>
            <w:tcW w:w="964" w:type="dxa"/>
            <w:vAlign w:val="center"/>
          </w:tcPr>
          <w:p w:rsidR="00051BBD" w:rsidRDefault="00051BBD">
            <w:pPr>
              <w:spacing w:before="60" w:after="60"/>
              <w:jc w:val="center"/>
              <w:rPr>
                <w:noProof/>
                <w:sz w:val="20"/>
              </w:rPr>
            </w:pPr>
          </w:p>
        </w:tc>
        <w:tc>
          <w:tcPr>
            <w:tcW w:w="1158" w:type="dxa"/>
            <w:vAlign w:val="center"/>
          </w:tcPr>
          <w:p w:rsidR="00051BBD" w:rsidRDefault="00051BBD">
            <w:pPr>
              <w:spacing w:before="60" w:after="60"/>
              <w:jc w:val="center"/>
              <w:rPr>
                <w:noProof/>
                <w:sz w:val="20"/>
              </w:rPr>
            </w:pPr>
          </w:p>
        </w:tc>
      </w:tr>
      <w:tr w:rsidR="00051BBD">
        <w:trPr>
          <w:cantSplit/>
        </w:trPr>
        <w:tc>
          <w:tcPr>
            <w:tcW w:w="2340" w:type="dxa"/>
          </w:tcPr>
          <w:p w:rsidR="00051BBD" w:rsidRDefault="00FD0A5C">
            <w:pPr>
              <w:spacing w:before="60" w:after="60"/>
              <w:jc w:val="left"/>
              <w:rPr>
                <w:noProof/>
                <w:sz w:val="20"/>
              </w:rPr>
            </w:pPr>
            <w:r>
              <w:rPr>
                <w:noProof/>
                <w:sz w:val="20"/>
              </w:rPr>
              <w:t xml:space="preserve">Samfinansierede bevillinger I ALT </w:t>
            </w:r>
          </w:p>
        </w:tc>
        <w:tc>
          <w:tcPr>
            <w:tcW w:w="964" w:type="dxa"/>
            <w:vAlign w:val="center"/>
          </w:tcPr>
          <w:p w:rsidR="00051BBD" w:rsidRDefault="00051BBD">
            <w:pPr>
              <w:spacing w:before="60" w:after="60"/>
              <w:jc w:val="center"/>
              <w:rPr>
                <w:noProof/>
                <w:sz w:val="20"/>
              </w:rPr>
            </w:pPr>
          </w:p>
        </w:tc>
        <w:tc>
          <w:tcPr>
            <w:tcW w:w="964" w:type="dxa"/>
            <w:vAlign w:val="center"/>
          </w:tcPr>
          <w:p w:rsidR="00051BBD" w:rsidRDefault="00051BBD">
            <w:pPr>
              <w:spacing w:before="60" w:after="60"/>
              <w:jc w:val="center"/>
              <w:rPr>
                <w:noProof/>
                <w:sz w:val="20"/>
              </w:rPr>
            </w:pPr>
          </w:p>
        </w:tc>
        <w:tc>
          <w:tcPr>
            <w:tcW w:w="964" w:type="dxa"/>
            <w:vAlign w:val="center"/>
          </w:tcPr>
          <w:p w:rsidR="00051BBD" w:rsidRDefault="00051BBD">
            <w:pPr>
              <w:spacing w:before="60" w:after="60"/>
              <w:jc w:val="center"/>
              <w:rPr>
                <w:noProof/>
                <w:sz w:val="20"/>
              </w:rPr>
            </w:pPr>
          </w:p>
        </w:tc>
        <w:tc>
          <w:tcPr>
            <w:tcW w:w="964" w:type="dxa"/>
            <w:vAlign w:val="center"/>
          </w:tcPr>
          <w:p w:rsidR="00051BBD" w:rsidRDefault="00051BBD">
            <w:pPr>
              <w:spacing w:before="60" w:after="60"/>
              <w:jc w:val="center"/>
              <w:rPr>
                <w:noProof/>
                <w:sz w:val="20"/>
              </w:rPr>
            </w:pPr>
          </w:p>
        </w:tc>
        <w:tc>
          <w:tcPr>
            <w:tcW w:w="964" w:type="dxa"/>
            <w:vAlign w:val="center"/>
          </w:tcPr>
          <w:p w:rsidR="00051BBD" w:rsidRDefault="00051BBD">
            <w:pPr>
              <w:spacing w:before="60" w:after="60"/>
              <w:jc w:val="center"/>
              <w:rPr>
                <w:noProof/>
                <w:sz w:val="20"/>
              </w:rPr>
            </w:pPr>
          </w:p>
        </w:tc>
        <w:tc>
          <w:tcPr>
            <w:tcW w:w="964" w:type="dxa"/>
            <w:vAlign w:val="center"/>
          </w:tcPr>
          <w:p w:rsidR="00051BBD" w:rsidRDefault="00051BBD">
            <w:pPr>
              <w:spacing w:before="60" w:after="60"/>
              <w:jc w:val="center"/>
              <w:rPr>
                <w:noProof/>
                <w:sz w:val="20"/>
              </w:rPr>
            </w:pPr>
          </w:p>
        </w:tc>
        <w:tc>
          <w:tcPr>
            <w:tcW w:w="964" w:type="dxa"/>
            <w:vAlign w:val="center"/>
          </w:tcPr>
          <w:p w:rsidR="00051BBD" w:rsidRDefault="00051BBD">
            <w:pPr>
              <w:spacing w:before="60" w:after="60"/>
              <w:jc w:val="center"/>
              <w:rPr>
                <w:noProof/>
                <w:sz w:val="20"/>
              </w:rPr>
            </w:pPr>
          </w:p>
        </w:tc>
        <w:tc>
          <w:tcPr>
            <w:tcW w:w="1158" w:type="dxa"/>
            <w:vAlign w:val="center"/>
          </w:tcPr>
          <w:p w:rsidR="00051BBD" w:rsidRDefault="00051BBD">
            <w:pPr>
              <w:spacing w:before="60" w:after="60"/>
              <w:jc w:val="center"/>
              <w:rPr>
                <w:noProof/>
                <w:sz w:val="20"/>
              </w:rPr>
            </w:pPr>
          </w:p>
        </w:tc>
      </w:tr>
    </w:tbl>
    <w:p w:rsidR="00051BBD" w:rsidRDefault="00FD0A5C">
      <w:pPr>
        <w:pStyle w:val="ManualHeading2"/>
        <w:rPr>
          <w:bCs/>
          <w:noProof/>
          <w:szCs w:val="24"/>
        </w:rPr>
      </w:pPr>
      <w:r>
        <w:rPr>
          <w:noProof/>
        </w:rPr>
        <w:br w:type="page"/>
      </w:r>
      <w:r>
        <w:t>3.3.</w:t>
      </w:r>
      <w:r>
        <w:tab/>
      </w:r>
      <w:r>
        <w:rPr>
          <w:noProof/>
        </w:rPr>
        <w:t xml:space="preserve">Anslåede virkninger for indtægterne </w:t>
      </w:r>
    </w:p>
    <w:p w:rsidR="00051BBD" w:rsidRDefault="00FD0A5C">
      <w:pPr>
        <w:pStyle w:val="ListDash1"/>
        <w:rPr>
          <w:noProof/>
        </w:rPr>
      </w:pPr>
      <w:r>
        <w:rPr>
          <w:noProof/>
        </w:rPr>
        <w:sym w:font="Wingdings" w:char="F0FD"/>
      </w:r>
      <w:r>
        <w:rPr>
          <w:noProof/>
        </w:rPr>
        <w:tab/>
      </w:r>
      <w:r>
        <w:rPr>
          <w:noProof/>
        </w:rPr>
        <w:t>Forslaget/initiativet har ingen finansielle virkninger for indtægterne.</w:t>
      </w:r>
    </w:p>
    <w:p w:rsidR="00051BBD" w:rsidRDefault="00FD0A5C">
      <w:pPr>
        <w:pStyle w:val="ListDash1"/>
        <w:rPr>
          <w:noProof/>
        </w:rPr>
      </w:pPr>
      <w:r>
        <w:rPr>
          <w:noProof/>
        </w:rPr>
        <w:sym w:font="Wingdings" w:char="F0A8"/>
      </w:r>
      <w:r>
        <w:rPr>
          <w:noProof/>
        </w:rPr>
        <w:tab/>
        <w:t>Forslaget/initiativet har følgende finansielle virkninger:</w:t>
      </w:r>
    </w:p>
    <w:p w:rsidR="00051BBD" w:rsidRDefault="00FD0A5C">
      <w:pPr>
        <w:pStyle w:val="ListNumberLevel3"/>
        <w:rPr>
          <w:noProof/>
        </w:rPr>
      </w:pPr>
      <w:r>
        <w:rPr>
          <w:noProof/>
        </w:rPr>
        <w:sym w:font="Wingdings" w:char="F0A8"/>
      </w:r>
      <w:r>
        <w:rPr>
          <w:noProof/>
        </w:rPr>
        <w:tab/>
        <w:t xml:space="preserve">for egne indtægter </w:t>
      </w:r>
    </w:p>
    <w:p w:rsidR="00051BBD" w:rsidRDefault="00FD0A5C">
      <w:pPr>
        <w:pStyle w:val="ListNumberLevel3"/>
        <w:rPr>
          <w:noProof/>
        </w:rPr>
      </w:pPr>
      <w:r>
        <w:rPr>
          <w:noProof/>
        </w:rPr>
        <w:sym w:font="Wingdings" w:char="F0A8"/>
      </w:r>
      <w:r>
        <w:rPr>
          <w:noProof/>
        </w:rPr>
        <w:tab/>
        <w:t xml:space="preserve">for diverse indtægter </w:t>
      </w:r>
    </w:p>
    <w:p w:rsidR="00051BBD" w:rsidRDefault="00FD0A5C">
      <w:pPr>
        <w:jc w:val="right"/>
        <w:rPr>
          <w:i/>
          <w:noProof/>
          <w:sz w:val="20"/>
        </w:rPr>
      </w:pPr>
      <w:r>
        <w:rPr>
          <w:noProof/>
        </w:rPr>
        <w:t>i mio. EUR (3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051BBD">
        <w:trPr>
          <w:trHeight w:val="388"/>
        </w:trPr>
        <w:tc>
          <w:tcPr>
            <w:tcW w:w="2144" w:type="dxa"/>
            <w:vMerge w:val="restart"/>
            <w:vAlign w:val="center"/>
          </w:tcPr>
          <w:p w:rsidR="00051BBD" w:rsidRDefault="00FD0A5C">
            <w:pPr>
              <w:spacing w:before="40" w:after="40"/>
              <w:jc w:val="left"/>
              <w:rPr>
                <w:noProof/>
                <w:sz w:val="18"/>
              </w:rPr>
            </w:pPr>
            <w:r>
              <w:rPr>
                <w:noProof/>
                <w:sz w:val="18"/>
              </w:rPr>
              <w:t>På budgettets indtægtsside:</w:t>
            </w:r>
          </w:p>
        </w:tc>
        <w:tc>
          <w:tcPr>
            <w:tcW w:w="1276" w:type="dxa"/>
            <w:vMerge w:val="restart"/>
            <w:vAlign w:val="center"/>
          </w:tcPr>
          <w:p w:rsidR="00051BBD" w:rsidRDefault="00FD0A5C">
            <w:pPr>
              <w:jc w:val="center"/>
              <w:rPr>
                <w:noProof/>
                <w:sz w:val="18"/>
              </w:rPr>
            </w:pPr>
            <w:r>
              <w:rPr>
                <w:noProof/>
                <w:sz w:val="18"/>
              </w:rPr>
              <w:t xml:space="preserve">Bevillinger til </w:t>
            </w:r>
            <w:r>
              <w:rPr>
                <w:noProof/>
                <w:sz w:val="18"/>
              </w:rPr>
              <w:t>rådighed i indeværende regnskabsår</w:t>
            </w:r>
          </w:p>
        </w:tc>
        <w:tc>
          <w:tcPr>
            <w:tcW w:w="7200" w:type="dxa"/>
            <w:gridSpan w:val="7"/>
            <w:vAlign w:val="center"/>
          </w:tcPr>
          <w:p w:rsidR="00051BBD" w:rsidRDefault="00FD0A5C">
            <w:pPr>
              <w:jc w:val="center"/>
              <w:rPr>
                <w:noProof/>
                <w:sz w:val="18"/>
              </w:rPr>
            </w:pPr>
            <w:r>
              <w:rPr>
                <w:noProof/>
                <w:sz w:val="18"/>
              </w:rPr>
              <w:t>Forslagets/initiativets virkninger</w:t>
            </w:r>
            <w:r>
              <w:rPr>
                <w:rStyle w:val="FootnoteReference"/>
                <w:noProof/>
                <w:sz w:val="18"/>
              </w:rPr>
              <w:footnoteReference w:id="30"/>
            </w:r>
          </w:p>
        </w:tc>
      </w:tr>
      <w:tr w:rsidR="00051BBD">
        <w:trPr>
          <w:trHeight w:val="388"/>
        </w:trPr>
        <w:tc>
          <w:tcPr>
            <w:tcW w:w="2144" w:type="dxa"/>
            <w:vMerge/>
          </w:tcPr>
          <w:p w:rsidR="00051BBD" w:rsidRDefault="00051BBD">
            <w:pPr>
              <w:spacing w:before="40" w:after="40"/>
              <w:rPr>
                <w:noProof/>
                <w:sz w:val="18"/>
              </w:rPr>
            </w:pPr>
          </w:p>
        </w:tc>
        <w:tc>
          <w:tcPr>
            <w:tcW w:w="1276" w:type="dxa"/>
            <w:vMerge/>
          </w:tcPr>
          <w:p w:rsidR="00051BBD" w:rsidRDefault="00051BBD">
            <w:pPr>
              <w:spacing w:beforeLines="40" w:before="96" w:afterLines="40" w:after="96"/>
              <w:rPr>
                <w:i/>
                <w:noProof/>
                <w:sz w:val="18"/>
              </w:rPr>
            </w:pPr>
          </w:p>
        </w:tc>
        <w:tc>
          <w:tcPr>
            <w:tcW w:w="1080" w:type="dxa"/>
            <w:vAlign w:val="center"/>
          </w:tcPr>
          <w:p w:rsidR="00051BBD" w:rsidRDefault="00FD0A5C">
            <w:pPr>
              <w:jc w:val="center"/>
              <w:rPr>
                <w:noProof/>
                <w:sz w:val="18"/>
                <w:szCs w:val="18"/>
              </w:rPr>
            </w:pPr>
            <w:r>
              <w:rPr>
                <w:noProof/>
                <w:sz w:val="18"/>
                <w:szCs w:val="18"/>
              </w:rPr>
              <w:t xml:space="preserve">År </w:t>
            </w:r>
            <w:r>
              <w:rPr>
                <w:b/>
                <w:noProof/>
                <w:sz w:val="18"/>
                <w:szCs w:val="18"/>
              </w:rPr>
              <w:t>n</w:t>
            </w:r>
          </w:p>
        </w:tc>
        <w:tc>
          <w:tcPr>
            <w:tcW w:w="900" w:type="dxa"/>
            <w:vAlign w:val="center"/>
          </w:tcPr>
          <w:p w:rsidR="00051BBD" w:rsidRDefault="00FD0A5C">
            <w:pPr>
              <w:jc w:val="center"/>
              <w:rPr>
                <w:noProof/>
                <w:sz w:val="18"/>
                <w:szCs w:val="18"/>
              </w:rPr>
            </w:pPr>
            <w:r>
              <w:rPr>
                <w:noProof/>
                <w:sz w:val="18"/>
                <w:szCs w:val="18"/>
              </w:rPr>
              <w:t xml:space="preserve">År </w:t>
            </w:r>
            <w:r>
              <w:rPr>
                <w:b/>
                <w:noProof/>
                <w:sz w:val="18"/>
                <w:szCs w:val="18"/>
              </w:rPr>
              <w:t>n + 1</w:t>
            </w:r>
          </w:p>
        </w:tc>
        <w:tc>
          <w:tcPr>
            <w:tcW w:w="900" w:type="dxa"/>
            <w:vAlign w:val="center"/>
          </w:tcPr>
          <w:p w:rsidR="00051BBD" w:rsidRDefault="00FD0A5C">
            <w:pPr>
              <w:jc w:val="center"/>
              <w:rPr>
                <w:noProof/>
                <w:sz w:val="18"/>
                <w:szCs w:val="18"/>
              </w:rPr>
            </w:pPr>
            <w:r>
              <w:rPr>
                <w:noProof/>
                <w:sz w:val="18"/>
                <w:szCs w:val="18"/>
              </w:rPr>
              <w:t xml:space="preserve">År </w:t>
            </w:r>
            <w:r>
              <w:rPr>
                <w:b/>
                <w:noProof/>
                <w:sz w:val="18"/>
                <w:szCs w:val="18"/>
              </w:rPr>
              <w:t>n + 2</w:t>
            </w:r>
          </w:p>
        </w:tc>
        <w:tc>
          <w:tcPr>
            <w:tcW w:w="1080" w:type="dxa"/>
            <w:vAlign w:val="center"/>
          </w:tcPr>
          <w:p w:rsidR="00051BBD" w:rsidRDefault="00FD0A5C">
            <w:pPr>
              <w:jc w:val="center"/>
              <w:rPr>
                <w:noProof/>
                <w:sz w:val="18"/>
                <w:szCs w:val="18"/>
              </w:rPr>
            </w:pPr>
            <w:r>
              <w:rPr>
                <w:noProof/>
                <w:sz w:val="18"/>
                <w:szCs w:val="18"/>
              </w:rPr>
              <w:t xml:space="preserve">År </w:t>
            </w:r>
            <w:r>
              <w:rPr>
                <w:b/>
                <w:noProof/>
                <w:sz w:val="18"/>
                <w:szCs w:val="18"/>
              </w:rPr>
              <w:t>n + 3</w:t>
            </w:r>
          </w:p>
        </w:tc>
        <w:tc>
          <w:tcPr>
            <w:tcW w:w="3240" w:type="dxa"/>
            <w:gridSpan w:val="3"/>
            <w:vAlign w:val="center"/>
          </w:tcPr>
          <w:p w:rsidR="00051BBD" w:rsidRDefault="00FD0A5C">
            <w:pPr>
              <w:jc w:val="center"/>
              <w:rPr>
                <w:b/>
                <w:noProof/>
                <w:sz w:val="18"/>
              </w:rPr>
            </w:pPr>
            <w:r>
              <w:rPr>
                <w:noProof/>
                <w:sz w:val="18"/>
              </w:rPr>
              <w:t>Der indsættes flere år, hvis virkningerne varer længere (jf. punkt 1.6)</w:t>
            </w:r>
          </w:p>
        </w:tc>
      </w:tr>
      <w:tr w:rsidR="00051BBD">
        <w:trPr>
          <w:trHeight w:val="388"/>
        </w:trPr>
        <w:tc>
          <w:tcPr>
            <w:tcW w:w="2144" w:type="dxa"/>
            <w:vAlign w:val="center"/>
          </w:tcPr>
          <w:p w:rsidR="00051BBD" w:rsidRDefault="00FD0A5C">
            <w:pPr>
              <w:spacing w:before="40" w:after="40"/>
              <w:rPr>
                <w:noProof/>
                <w:sz w:val="18"/>
              </w:rPr>
            </w:pPr>
            <w:r>
              <w:rPr>
                <w:noProof/>
                <w:sz w:val="18"/>
              </w:rPr>
              <w:t>Artikel ………….</w:t>
            </w:r>
          </w:p>
        </w:tc>
        <w:tc>
          <w:tcPr>
            <w:tcW w:w="1276" w:type="dxa"/>
          </w:tcPr>
          <w:p w:rsidR="00051BBD" w:rsidRDefault="00051BBD">
            <w:pPr>
              <w:spacing w:beforeLines="40" w:before="96" w:afterLines="40" w:after="96"/>
              <w:jc w:val="center"/>
              <w:rPr>
                <w:i/>
                <w:noProof/>
                <w:sz w:val="18"/>
              </w:rPr>
            </w:pPr>
          </w:p>
        </w:tc>
        <w:tc>
          <w:tcPr>
            <w:tcW w:w="1080" w:type="dxa"/>
          </w:tcPr>
          <w:p w:rsidR="00051BBD" w:rsidRDefault="00051BBD">
            <w:pPr>
              <w:spacing w:beforeLines="40" w:before="96" w:afterLines="40" w:after="96"/>
              <w:jc w:val="center"/>
              <w:rPr>
                <w:noProof/>
                <w:sz w:val="18"/>
              </w:rPr>
            </w:pPr>
          </w:p>
        </w:tc>
        <w:tc>
          <w:tcPr>
            <w:tcW w:w="900" w:type="dxa"/>
          </w:tcPr>
          <w:p w:rsidR="00051BBD" w:rsidRDefault="00051BBD">
            <w:pPr>
              <w:spacing w:beforeLines="40" w:before="96" w:afterLines="40" w:after="96"/>
              <w:jc w:val="center"/>
              <w:rPr>
                <w:noProof/>
                <w:sz w:val="18"/>
              </w:rPr>
            </w:pPr>
          </w:p>
        </w:tc>
        <w:tc>
          <w:tcPr>
            <w:tcW w:w="900" w:type="dxa"/>
          </w:tcPr>
          <w:p w:rsidR="00051BBD" w:rsidRDefault="00051BBD">
            <w:pPr>
              <w:spacing w:beforeLines="40" w:before="96" w:afterLines="40" w:after="96"/>
              <w:jc w:val="center"/>
              <w:rPr>
                <w:noProof/>
                <w:sz w:val="18"/>
              </w:rPr>
            </w:pPr>
          </w:p>
        </w:tc>
        <w:tc>
          <w:tcPr>
            <w:tcW w:w="1080" w:type="dxa"/>
          </w:tcPr>
          <w:p w:rsidR="00051BBD" w:rsidRDefault="00051BBD">
            <w:pPr>
              <w:spacing w:beforeLines="40" w:before="96" w:afterLines="40" w:after="96"/>
              <w:jc w:val="center"/>
              <w:rPr>
                <w:noProof/>
                <w:sz w:val="18"/>
              </w:rPr>
            </w:pPr>
          </w:p>
        </w:tc>
        <w:tc>
          <w:tcPr>
            <w:tcW w:w="1080" w:type="dxa"/>
          </w:tcPr>
          <w:p w:rsidR="00051BBD" w:rsidRDefault="00051BBD">
            <w:pPr>
              <w:spacing w:beforeLines="40" w:before="96" w:afterLines="40" w:after="96"/>
              <w:jc w:val="center"/>
              <w:rPr>
                <w:noProof/>
                <w:sz w:val="18"/>
              </w:rPr>
            </w:pPr>
          </w:p>
        </w:tc>
        <w:tc>
          <w:tcPr>
            <w:tcW w:w="1080" w:type="dxa"/>
          </w:tcPr>
          <w:p w:rsidR="00051BBD" w:rsidRDefault="00051BBD">
            <w:pPr>
              <w:spacing w:beforeLines="40" w:before="96" w:afterLines="40" w:after="96"/>
              <w:jc w:val="center"/>
              <w:rPr>
                <w:noProof/>
                <w:sz w:val="18"/>
              </w:rPr>
            </w:pPr>
          </w:p>
        </w:tc>
        <w:tc>
          <w:tcPr>
            <w:tcW w:w="1080" w:type="dxa"/>
          </w:tcPr>
          <w:p w:rsidR="00051BBD" w:rsidRDefault="00051BBD">
            <w:pPr>
              <w:spacing w:beforeLines="40" w:before="96" w:afterLines="40" w:after="96"/>
              <w:jc w:val="center"/>
              <w:rPr>
                <w:noProof/>
                <w:sz w:val="18"/>
              </w:rPr>
            </w:pPr>
          </w:p>
        </w:tc>
      </w:tr>
    </w:tbl>
    <w:p w:rsidR="00051BBD" w:rsidRDefault="00FD0A5C">
      <w:pPr>
        <w:pStyle w:val="Text1"/>
        <w:rPr>
          <w:noProof/>
          <w:sz w:val="20"/>
        </w:rPr>
      </w:pPr>
      <w:r>
        <w:rPr>
          <w:noProof/>
          <w:sz w:val="20"/>
        </w:rPr>
        <w:t>For diverse indtægter, der er formålsbestemte, angives</w:t>
      </w:r>
      <w:r>
        <w:rPr>
          <w:noProof/>
          <w:sz w:val="20"/>
        </w:rPr>
        <w:t xml:space="preserve"> det, hvilke af budgettets udgiftsposter der påvirkes.</w:t>
      </w:r>
    </w:p>
    <w:p w:rsidR="00051BBD" w:rsidRDefault="00051BBD">
      <w:pPr>
        <w:pStyle w:val="Text1"/>
        <w:pBdr>
          <w:top w:val="single" w:sz="4" w:space="1" w:color="auto"/>
          <w:left w:val="single" w:sz="4" w:space="4" w:color="auto"/>
          <w:bottom w:val="single" w:sz="4" w:space="1" w:color="auto"/>
          <w:right w:val="single" w:sz="4" w:space="4" w:color="auto"/>
        </w:pBdr>
        <w:rPr>
          <w:noProof/>
        </w:rPr>
      </w:pPr>
    </w:p>
    <w:p w:rsidR="00051BBD" w:rsidRDefault="00FD0A5C">
      <w:pPr>
        <w:pStyle w:val="Text1"/>
        <w:rPr>
          <w:noProof/>
          <w:sz w:val="20"/>
        </w:rPr>
      </w:pPr>
      <w:r>
        <w:rPr>
          <w:noProof/>
          <w:sz w:val="20"/>
        </w:rPr>
        <w:t>Det oplyses, hvilken metode der er benyttet til at beregne virkningerne for indtægterne.</w:t>
      </w:r>
    </w:p>
    <w:p w:rsidR="00051BBD" w:rsidRDefault="00051BBD">
      <w:pPr>
        <w:pStyle w:val="Text1"/>
        <w:pBdr>
          <w:top w:val="single" w:sz="4" w:space="1" w:color="auto"/>
          <w:left w:val="single" w:sz="4" w:space="4" w:color="auto"/>
          <w:bottom w:val="single" w:sz="4" w:space="1" w:color="auto"/>
          <w:right w:val="single" w:sz="4" w:space="4" w:color="auto"/>
        </w:pBdr>
        <w:rPr>
          <w:noProof/>
        </w:rPr>
      </w:pPr>
    </w:p>
    <w:p w:rsidR="00051BBD" w:rsidRDefault="00051BBD">
      <w:pPr>
        <w:rPr>
          <w:noProof/>
        </w:rPr>
      </w:pPr>
    </w:p>
    <w:sectPr w:rsidR="00051BBD">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BBD" w:rsidRDefault="00FD0A5C">
      <w:pPr>
        <w:spacing w:before="0" w:after="0"/>
      </w:pPr>
      <w:r>
        <w:separator/>
      </w:r>
    </w:p>
  </w:endnote>
  <w:endnote w:type="continuationSeparator" w:id="0">
    <w:p w:rsidR="00051BBD" w:rsidRDefault="00FD0A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EU 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BD" w:rsidRDefault="00FD0A5C">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DA</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BD" w:rsidRDefault="00FD0A5C">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BD" w:rsidRDefault="00051B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BD" w:rsidRDefault="00FD0A5C">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BD" w:rsidRDefault="00051BBD">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BD" w:rsidRDefault="00FD0A5C">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BD" w:rsidRDefault="00051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BBD" w:rsidRDefault="00FD0A5C">
      <w:pPr>
        <w:spacing w:before="0" w:after="0"/>
      </w:pPr>
      <w:r>
        <w:separator/>
      </w:r>
    </w:p>
  </w:footnote>
  <w:footnote w:type="continuationSeparator" w:id="0">
    <w:p w:rsidR="00051BBD" w:rsidRDefault="00FD0A5C">
      <w:pPr>
        <w:spacing w:before="0" w:after="0"/>
      </w:pPr>
      <w:r>
        <w:continuationSeparator/>
      </w:r>
    </w:p>
  </w:footnote>
  <w:footnote w:id="1">
    <w:p w:rsidR="00051BBD" w:rsidRDefault="00FD0A5C">
      <w:pPr>
        <w:pStyle w:val="FootnoteText"/>
        <w:ind w:left="142" w:hanging="142"/>
      </w:pPr>
      <w:r>
        <w:rPr>
          <w:rStyle w:val="FootnoteReference"/>
        </w:rPr>
        <w:footnoteRef/>
      </w:r>
      <w:r>
        <w:tab/>
      </w:r>
      <w:hyperlink r:id="rId1">
        <w:r>
          <w:rPr>
            <w:rStyle w:val="Hyperlink"/>
          </w:rPr>
          <w:t>Kommissionens henstilling af 6.12.2012</w:t>
        </w:r>
      </w:hyperlink>
      <w:r>
        <w:t xml:space="preserve"> om aggressiv skatteplanlægning.</w:t>
      </w:r>
    </w:p>
  </w:footnote>
  <w:footnote w:id="2">
    <w:p w:rsidR="00051BBD" w:rsidRDefault="00FD0A5C">
      <w:pPr>
        <w:pStyle w:val="FootnoteText"/>
        <w:ind w:left="142" w:hanging="142"/>
        <w:rPr>
          <w:lang w:val="de-DE"/>
        </w:rPr>
      </w:pPr>
      <w:r>
        <w:rPr>
          <w:rStyle w:val="FootnoteReference"/>
        </w:rPr>
        <w:footnoteRef/>
      </w:r>
      <w:r>
        <w:rPr>
          <w:lang w:val="de-DE"/>
        </w:rPr>
        <w:tab/>
      </w:r>
      <w:r>
        <w:rPr>
          <w:i/>
          <w:lang w:val="de-DE"/>
        </w:rPr>
        <w:t>EFT</w:t>
      </w:r>
      <w:r>
        <w:rPr>
          <w:lang w:val="de-DE"/>
        </w:rPr>
        <w:t xml:space="preserve"> 98/C 2/01.</w:t>
      </w:r>
    </w:p>
  </w:footnote>
  <w:footnote w:id="3">
    <w:p w:rsidR="00051BBD" w:rsidRDefault="00FD0A5C">
      <w:pPr>
        <w:pStyle w:val="FootnoteText"/>
        <w:ind w:left="142" w:hanging="142"/>
        <w:rPr>
          <w:lang w:val="de-DE"/>
        </w:rPr>
      </w:pPr>
      <w:r>
        <w:rPr>
          <w:rStyle w:val="FootnoteReference"/>
        </w:rPr>
        <w:footnoteRef/>
      </w:r>
      <w:r>
        <w:rPr>
          <w:lang w:val="de-DE"/>
        </w:rPr>
        <w:tab/>
        <w:t xml:space="preserve">Dokument 10903/12 FISC 77. </w:t>
      </w:r>
    </w:p>
  </w:footnote>
  <w:footnote w:id="4">
    <w:p w:rsidR="00051BBD" w:rsidRDefault="00FD0A5C">
      <w:pPr>
        <w:pStyle w:val="FootnoteText"/>
        <w:ind w:left="142" w:hanging="142"/>
        <w:rPr>
          <w:lang w:val="de-DE"/>
        </w:rPr>
      </w:pPr>
      <w:r>
        <w:rPr>
          <w:rStyle w:val="FootnoteReference"/>
        </w:rPr>
        <w:footnoteRef/>
      </w:r>
      <w:r>
        <w:rPr>
          <w:lang w:val="de-DE"/>
        </w:rPr>
        <w:tab/>
      </w:r>
      <w:hyperlink r:id="rId2">
        <w:r>
          <w:rPr>
            <w:rStyle w:val="Hyperlink"/>
            <w:lang w:val="de-DE"/>
          </w:rPr>
          <w:t>http://ec.europa.eu/priorities/work-pro</w:t>
        </w:r>
        <w:r>
          <w:rPr>
            <w:rStyle w:val="Hyperlink"/>
            <w:lang w:val="de-DE"/>
          </w:rPr>
          <w:t>gramme/index_da.htm</w:t>
        </w:r>
      </w:hyperlink>
      <w:r>
        <w:rPr>
          <w:lang w:val="de-DE"/>
        </w:rPr>
        <w:t xml:space="preserve"> </w:t>
      </w:r>
    </w:p>
  </w:footnote>
  <w:footnote w:id="5">
    <w:p w:rsidR="00051BBD" w:rsidRDefault="00FD0A5C">
      <w:pPr>
        <w:spacing w:before="0" w:after="0"/>
        <w:ind w:left="142" w:hanging="142"/>
      </w:pPr>
      <w:r>
        <w:rPr>
          <w:rStyle w:val="FootnoteReference"/>
        </w:rPr>
        <w:footnoteRef/>
      </w:r>
      <w:r>
        <w:tab/>
      </w:r>
      <w:r>
        <w:rPr>
          <w:sz w:val="20"/>
        </w:rPr>
        <w:t xml:space="preserve">Europa-Parlamentets beslutning af 21. maj 2013 om bekæmpelse af skattesvig, skatteunddragelse og skattely (Ordfører: </w:t>
      </w:r>
      <w:proofErr w:type="spellStart"/>
      <w:r>
        <w:rPr>
          <w:sz w:val="20"/>
        </w:rPr>
        <w:t>Mojca</w:t>
      </w:r>
      <w:proofErr w:type="spellEnd"/>
      <w:r>
        <w:rPr>
          <w:sz w:val="20"/>
        </w:rPr>
        <w:t xml:space="preserve"> </w:t>
      </w:r>
      <w:proofErr w:type="spellStart"/>
      <w:r>
        <w:rPr>
          <w:sz w:val="20"/>
        </w:rPr>
        <w:t>Kleva</w:t>
      </w:r>
      <w:proofErr w:type="spellEnd"/>
      <w:r>
        <w:rPr>
          <w:sz w:val="20"/>
        </w:rPr>
        <w:t>) – 2013/2025(INI).</w:t>
      </w:r>
    </w:p>
  </w:footnote>
  <w:footnote w:id="6">
    <w:p w:rsidR="00051BBD" w:rsidRDefault="00FD0A5C">
      <w:pPr>
        <w:spacing w:before="0" w:after="0"/>
        <w:ind w:left="142" w:hanging="142"/>
      </w:pPr>
      <w:r>
        <w:rPr>
          <w:rStyle w:val="FootnoteReference"/>
        </w:rPr>
        <w:footnoteRef/>
      </w:r>
      <w:r>
        <w:tab/>
      </w:r>
      <w:r>
        <w:rPr>
          <w:sz w:val="20"/>
        </w:rPr>
        <w:t xml:space="preserve">Det Europæiske Økonomiske og Sociale Udvalgs udtalelse fra den 17. april 2013 om </w:t>
      </w:r>
      <w:r>
        <w:rPr>
          <w:sz w:val="20"/>
        </w:rPr>
        <w:t xml:space="preserve">Kommissionens meddelelse til Europa-Parlamentet og Rådet – En handlingsplan til styrkelse af bekæmpelsen af skattesvig og skatteunddragelse COM(2012) 722 final (Ordfører: </w:t>
      </w:r>
      <w:proofErr w:type="spellStart"/>
      <w:r>
        <w:rPr>
          <w:sz w:val="20"/>
        </w:rPr>
        <w:t>Petru</w:t>
      </w:r>
      <w:proofErr w:type="spellEnd"/>
      <w:r>
        <w:rPr>
          <w:sz w:val="20"/>
        </w:rPr>
        <w:t xml:space="preserve"> Sorin </w:t>
      </w:r>
      <w:proofErr w:type="spellStart"/>
      <w:r>
        <w:rPr>
          <w:sz w:val="20"/>
        </w:rPr>
        <w:t>Dandea</w:t>
      </w:r>
      <w:proofErr w:type="spellEnd"/>
      <w:r>
        <w:rPr>
          <w:sz w:val="20"/>
        </w:rPr>
        <w:t>) – CESE 101/2013.</w:t>
      </w:r>
    </w:p>
  </w:footnote>
  <w:footnote w:id="7">
    <w:p w:rsidR="00051BBD" w:rsidRDefault="00FD0A5C">
      <w:pPr>
        <w:pStyle w:val="FootnoteText"/>
        <w:ind w:left="142" w:hanging="142"/>
      </w:pPr>
      <w:r>
        <w:rPr>
          <w:rStyle w:val="FootnoteReference"/>
        </w:rPr>
        <w:footnoteRef/>
      </w:r>
      <w:r>
        <w:tab/>
        <w:t>De offentligt tilgængelige rapporter fra Grupp</w:t>
      </w:r>
      <w:r>
        <w:t xml:space="preserve">en vedrørende Adfærdskodeksen (erhvervsbeskatning) kan ses </w:t>
      </w:r>
      <w:hyperlink r:id="rId3">
        <w:r>
          <w:rPr>
            <w:rStyle w:val="Hyperlink"/>
          </w:rPr>
          <w:t>her</w:t>
        </w:r>
      </w:hyperlink>
      <w:r>
        <w:rPr>
          <w:rStyle w:val="Hyperlink"/>
        </w:rPr>
        <w:t>.</w:t>
      </w:r>
    </w:p>
  </w:footnote>
  <w:footnote w:id="8">
    <w:p w:rsidR="00051BBD" w:rsidRDefault="00FD0A5C">
      <w:pPr>
        <w:pStyle w:val="FootnoteText"/>
        <w:ind w:left="142" w:hanging="142"/>
      </w:pPr>
      <w:r>
        <w:rPr>
          <w:rStyle w:val="FootnoteReference"/>
        </w:rPr>
        <w:footnoteRef/>
      </w:r>
      <w:r>
        <w:tab/>
        <w:t>Som det undersøges i OECD's BEPS-projekt.</w:t>
      </w:r>
    </w:p>
  </w:footnote>
  <w:footnote w:id="9">
    <w:p w:rsidR="00051BBD" w:rsidRDefault="00FD0A5C">
      <w:pPr>
        <w:pStyle w:val="FootnoteText"/>
        <w:ind w:left="142" w:hanging="142"/>
      </w:pPr>
      <w:r>
        <w:rPr>
          <w:rStyle w:val="FootnoteReference"/>
        </w:rPr>
        <w:footnoteRef/>
      </w:r>
      <w:r>
        <w:tab/>
        <w:t xml:space="preserve">EFT L 359 af 16.12.2014. </w:t>
      </w:r>
    </w:p>
  </w:footnote>
  <w:footnote w:id="10">
    <w:p w:rsidR="00051BBD" w:rsidRDefault="00FD0A5C">
      <w:pPr>
        <w:pStyle w:val="FootnoteText"/>
        <w:ind w:left="142" w:hanging="142"/>
      </w:pPr>
      <w:r>
        <w:rPr>
          <w:rStyle w:val="FootnoteReference"/>
        </w:rPr>
        <w:footnoteRef/>
      </w:r>
      <w:r>
        <w:tab/>
        <w:t>EUT C […] af […], s. […].</w:t>
      </w:r>
    </w:p>
  </w:footnote>
  <w:footnote w:id="11">
    <w:p w:rsidR="00051BBD" w:rsidRDefault="00FD0A5C">
      <w:pPr>
        <w:pStyle w:val="FootnoteText"/>
        <w:ind w:left="142" w:hanging="142"/>
      </w:pPr>
      <w:r>
        <w:rPr>
          <w:rStyle w:val="FootnoteReference"/>
        </w:rPr>
        <w:footnoteRef/>
      </w:r>
      <w:r>
        <w:tab/>
        <w:t>EUT C […] af […], s. […].</w:t>
      </w:r>
    </w:p>
  </w:footnote>
  <w:footnote w:id="12">
    <w:p w:rsidR="00051BBD" w:rsidRDefault="00FD0A5C">
      <w:pPr>
        <w:pStyle w:val="FootnoteText"/>
        <w:ind w:left="142" w:hanging="142"/>
      </w:pPr>
      <w:r>
        <w:rPr>
          <w:rStyle w:val="FootnoteReference"/>
        </w:rPr>
        <w:footnoteRef/>
      </w:r>
      <w:r>
        <w:tab/>
        <w:t>EUT C […] af […], s. […].</w:t>
      </w:r>
    </w:p>
  </w:footnote>
  <w:footnote w:id="13">
    <w:p w:rsidR="00051BBD" w:rsidRDefault="00FD0A5C">
      <w:pPr>
        <w:pStyle w:val="FootnoteText"/>
        <w:ind w:left="142" w:hanging="142"/>
      </w:pPr>
      <w:r>
        <w:rPr>
          <w:rStyle w:val="FootnoteReference"/>
        </w:rPr>
        <w:footnoteRef/>
      </w:r>
      <w:r>
        <w:tab/>
        <w:t xml:space="preserve">Rådets direktiv 2011/16/EU af 15. februar 2011 om </w:t>
      </w:r>
      <w:r>
        <w:t>administrativt samarbejde på beskatningsområdet og om ophævelse af direktiv 77/799/EØF (EUT L 64 af 11.3.2011, s. 1).</w:t>
      </w:r>
    </w:p>
  </w:footnote>
  <w:footnote w:id="14">
    <w:p w:rsidR="00051BBD" w:rsidRDefault="00FD0A5C">
      <w:pPr>
        <w:pStyle w:val="FootnoteText"/>
        <w:ind w:left="142" w:hanging="142"/>
      </w:pPr>
      <w:r>
        <w:rPr>
          <w:rStyle w:val="FootnoteReference"/>
        </w:rPr>
        <w:footnoteRef/>
      </w:r>
      <w:r>
        <w:tab/>
        <w:t>EUT C 369 af 17.12.2011, s. 14.</w:t>
      </w:r>
    </w:p>
  </w:footnote>
  <w:footnote w:id="15">
    <w:p w:rsidR="00051BBD" w:rsidRDefault="00FD0A5C">
      <w:pPr>
        <w:pStyle w:val="FootnoteText"/>
        <w:rPr>
          <w:szCs w:val="24"/>
        </w:rPr>
      </w:pPr>
      <w:r>
        <w:rPr>
          <w:rStyle w:val="FootnoteReference"/>
        </w:rPr>
        <w:footnoteRef/>
      </w:r>
      <w:r>
        <w:tab/>
        <w:t xml:space="preserve">ABM: Activity </w:t>
      </w:r>
      <w:proofErr w:type="spellStart"/>
      <w:r>
        <w:t>Based</w:t>
      </w:r>
      <w:proofErr w:type="spellEnd"/>
      <w:r>
        <w:t xml:space="preserve"> Management (aktivitetsbaseret ledelse) – ABB: Activity </w:t>
      </w:r>
      <w:proofErr w:type="spellStart"/>
      <w:r>
        <w:t>Based</w:t>
      </w:r>
      <w:proofErr w:type="spellEnd"/>
      <w:r>
        <w:t xml:space="preserve"> </w:t>
      </w:r>
      <w:proofErr w:type="spellStart"/>
      <w:r>
        <w:t>Budgeting</w:t>
      </w:r>
      <w:proofErr w:type="spellEnd"/>
      <w:r>
        <w:t xml:space="preserve"> (aktivitets</w:t>
      </w:r>
      <w:r>
        <w:t>baseret budgetlægning).</w:t>
      </w:r>
    </w:p>
  </w:footnote>
  <w:footnote w:id="16">
    <w:p w:rsidR="00051BBD" w:rsidRDefault="00FD0A5C">
      <w:pPr>
        <w:pStyle w:val="FootnoteText"/>
        <w:rPr>
          <w:szCs w:val="24"/>
        </w:rPr>
      </w:pPr>
      <w:r>
        <w:rPr>
          <w:rStyle w:val="FootnoteReference"/>
        </w:rPr>
        <w:footnoteRef/>
      </w:r>
      <w:r>
        <w:tab/>
        <w:t>Jf. finansforordningens artikel 54, stk. 2, litra a), hhv. b).</w:t>
      </w:r>
    </w:p>
  </w:footnote>
  <w:footnote w:id="17">
    <w:p w:rsidR="00051BBD" w:rsidRDefault="00FD0A5C">
      <w:pPr>
        <w:pStyle w:val="FootnoteText"/>
        <w:ind w:left="0" w:firstLine="0"/>
        <w:rPr>
          <w:szCs w:val="24"/>
        </w:rPr>
      </w:pPr>
      <w:r>
        <w:rPr>
          <w:rStyle w:val="FootnoteReference"/>
        </w:rPr>
        <w:footnoteRef/>
      </w:r>
      <w:r>
        <w:tab/>
        <w:t xml:space="preserve">Forklaringer vedrørende forvaltningsmetoder og henvisninger til finansforordningen findes på webstedet </w:t>
      </w:r>
      <w:proofErr w:type="spellStart"/>
      <w:r>
        <w:t>BudgWeb</w:t>
      </w:r>
      <w:proofErr w:type="spellEnd"/>
      <w:r>
        <w:t xml:space="preserve">: </w:t>
      </w:r>
      <w:r>
        <w:rPr>
          <w:sz w:val="18"/>
        </w:rPr>
        <w:t>http://www.cc.cec/budg/man/budgmanag/budgmanag_en.htm</w:t>
      </w:r>
      <w:r>
        <w:rPr>
          <w:sz w:val="18"/>
        </w:rPr>
        <w:t>l</w:t>
      </w:r>
    </w:p>
  </w:footnote>
  <w:footnote w:id="18">
    <w:p w:rsidR="00051BBD" w:rsidRDefault="00FD0A5C">
      <w:pPr>
        <w:pStyle w:val="FootnoteText"/>
        <w:rPr>
          <w:szCs w:val="24"/>
        </w:rPr>
      </w:pPr>
      <w:r>
        <w:rPr>
          <w:rStyle w:val="FootnoteReference"/>
        </w:rPr>
        <w:footnoteRef/>
      </w:r>
      <w:r>
        <w:tab/>
        <w:t>OB = opdelte bevillinger/IOB = ikke-opdelte bevillinger.</w:t>
      </w:r>
    </w:p>
  </w:footnote>
  <w:footnote w:id="19">
    <w:p w:rsidR="00051BBD" w:rsidRDefault="00FD0A5C">
      <w:pPr>
        <w:pStyle w:val="FootnoteText"/>
        <w:rPr>
          <w:szCs w:val="24"/>
        </w:rPr>
      </w:pPr>
      <w:r>
        <w:rPr>
          <w:rStyle w:val="FootnoteReference"/>
        </w:rPr>
        <w:footnoteRef/>
      </w:r>
      <w:r>
        <w:tab/>
        <w:t xml:space="preserve">EFTA: Den Europæiske Frihandelssammenslutning. </w:t>
      </w:r>
    </w:p>
  </w:footnote>
  <w:footnote w:id="20">
    <w:p w:rsidR="00051BBD" w:rsidRDefault="00FD0A5C">
      <w:pPr>
        <w:pStyle w:val="FootnoteText"/>
        <w:rPr>
          <w:szCs w:val="24"/>
        </w:rPr>
      </w:pPr>
      <w:r>
        <w:rPr>
          <w:rStyle w:val="FootnoteReference"/>
        </w:rPr>
        <w:footnoteRef/>
      </w:r>
      <w:r>
        <w:tab/>
        <w:t>Kandidatlande og, efter omstændighederne, potentielle kandidatlande på Vestbalkan.</w:t>
      </w:r>
    </w:p>
  </w:footnote>
  <w:footnote w:id="21">
    <w:p w:rsidR="00051BBD" w:rsidRDefault="00FD0A5C">
      <w:pPr>
        <w:pStyle w:val="FootnoteText"/>
        <w:rPr>
          <w:szCs w:val="24"/>
        </w:rPr>
      </w:pPr>
      <w:r>
        <w:rPr>
          <w:rStyle w:val="FootnoteReference"/>
        </w:rPr>
        <w:footnoteRef/>
      </w:r>
      <w:r>
        <w:tab/>
        <w:t>År 2016 er det år, hvor gennemførelsen af forslaget/initia</w:t>
      </w:r>
      <w:r>
        <w:t>tivet begynder.</w:t>
      </w:r>
    </w:p>
  </w:footnote>
  <w:footnote w:id="22">
    <w:p w:rsidR="00051BBD" w:rsidRDefault="00FD0A5C">
      <w:pPr>
        <w:pStyle w:val="FootnoteText"/>
        <w:rPr>
          <w:szCs w:val="24"/>
        </w:rPr>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23">
    <w:p w:rsidR="00051BBD" w:rsidRDefault="00FD0A5C">
      <w:pPr>
        <w:pStyle w:val="FootnoteText"/>
        <w:rPr>
          <w:szCs w:val="24"/>
        </w:rPr>
      </w:pPr>
      <w:r>
        <w:rPr>
          <w:rStyle w:val="FootnoteReference"/>
        </w:rPr>
        <w:footnoteRef/>
      </w:r>
      <w:r>
        <w:tab/>
        <w:t>År 2016 er det år, hvor gennemførelsen af forslaget/ini</w:t>
      </w:r>
      <w:r>
        <w:t>tiativet begynder.</w:t>
      </w:r>
    </w:p>
  </w:footnote>
  <w:footnote w:id="24">
    <w:p w:rsidR="00051BBD" w:rsidRDefault="00FD0A5C">
      <w:pPr>
        <w:pStyle w:val="FootnoteText"/>
        <w:rPr>
          <w:szCs w:val="24"/>
        </w:rPr>
      </w:pPr>
      <w:r>
        <w:rPr>
          <w:rStyle w:val="FootnoteReference"/>
        </w:rPr>
        <w:footnoteRef/>
      </w:r>
      <w:r>
        <w:tab/>
        <w:t>Resultater er de produkter og tjenesteydelser, der skal leveres (f.eks. antal finansierede studenterudvekslinger, antal km bygget vej osv.).</w:t>
      </w:r>
    </w:p>
  </w:footnote>
  <w:footnote w:id="25">
    <w:p w:rsidR="00051BBD" w:rsidRDefault="00FD0A5C">
      <w:pPr>
        <w:pStyle w:val="FootnoteText"/>
        <w:rPr>
          <w:szCs w:val="24"/>
        </w:rPr>
      </w:pPr>
      <w:r>
        <w:rPr>
          <w:rStyle w:val="FootnoteReference"/>
        </w:rPr>
        <w:footnoteRef/>
      </w:r>
      <w:r>
        <w:tab/>
        <w:t xml:space="preserve">Som beskrevet i punkt 1.4.2. 'Specifikke mål ...'. </w:t>
      </w:r>
    </w:p>
  </w:footnote>
  <w:footnote w:id="26">
    <w:p w:rsidR="00051BBD" w:rsidRDefault="00FD0A5C">
      <w:pPr>
        <w:pStyle w:val="FootnoteText"/>
        <w:rPr>
          <w:szCs w:val="24"/>
        </w:rPr>
      </w:pPr>
      <w:r>
        <w:rPr>
          <w:rStyle w:val="FootnoteReference"/>
        </w:rPr>
        <w:footnoteRef/>
      </w:r>
      <w:r>
        <w:tab/>
        <w:t>År 2016 er det år, hvor gennemførelsen</w:t>
      </w:r>
      <w:r>
        <w:t xml:space="preserve"> af forslaget/initiativet begynder.</w:t>
      </w:r>
    </w:p>
  </w:footnote>
  <w:footnote w:id="27">
    <w:p w:rsidR="00051BBD" w:rsidRDefault="00FD0A5C">
      <w:pPr>
        <w:pStyle w:val="FootnoteText"/>
        <w:rPr>
          <w:szCs w:val="24"/>
        </w:rPr>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28">
    <w:p w:rsidR="00051BBD" w:rsidRDefault="00FD0A5C">
      <w:pPr>
        <w:pStyle w:val="FootnoteText"/>
        <w:rPr>
          <w:szCs w:val="24"/>
        </w:rPr>
      </w:pPr>
      <w:r>
        <w:rPr>
          <w:rStyle w:val="FootnoteReference"/>
        </w:rPr>
        <w:footnoteRef/>
      </w:r>
      <w:r>
        <w:tab/>
        <w:t>KA= kontraktansatte LA= lokalt ansa</w:t>
      </w:r>
      <w:r>
        <w:t xml:space="preserve">tte UNE= udstationerede nationale eksperter V= vikarer JED= junioreksperter ved delegationerne. </w:t>
      </w:r>
    </w:p>
  </w:footnote>
  <w:footnote w:id="29">
    <w:p w:rsidR="00051BBD" w:rsidRDefault="00FD0A5C">
      <w:pPr>
        <w:pStyle w:val="FootnoteText"/>
        <w:rPr>
          <w:szCs w:val="24"/>
        </w:rPr>
      </w:pPr>
      <w:r>
        <w:rPr>
          <w:rStyle w:val="FootnoteReference"/>
        </w:rPr>
        <w:footnoteRef/>
      </w:r>
      <w:r>
        <w:tab/>
        <w:t>Delloft for eksternt personale under aktionsbevillingerne (tidligere BA-poster).</w:t>
      </w:r>
    </w:p>
  </w:footnote>
  <w:footnote w:id="30">
    <w:p w:rsidR="00051BBD" w:rsidRDefault="00FD0A5C">
      <w:pPr>
        <w:pStyle w:val="FootnoteText"/>
        <w:rPr>
          <w:szCs w:val="24"/>
        </w:rPr>
      </w:pPr>
      <w:r>
        <w:rPr>
          <w:rStyle w:val="FootnoteReference"/>
        </w:rPr>
        <w:footnoteRef/>
      </w:r>
      <w:r>
        <w:tab/>
        <w:t xml:space="preserve">Med hensyn til EU's traditionelle egne indtægter (told, sukkerafgifter) </w:t>
      </w:r>
      <w:r>
        <w:t>opgives beløbene netto, dvs. bruttobeløb, hvorfra der er trukket opkrævningsomkostninger på 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BD" w:rsidRDefault="00051BBD">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BD" w:rsidRDefault="00051BBD">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BD" w:rsidRDefault="00051B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BD" w:rsidRDefault="00051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606A1D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BB49C1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73E124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30C0CC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5EE33C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08B82B26"/>
    <w:multiLevelType w:val="multilevel"/>
    <w:tmpl w:val="0809001F"/>
    <w:styleLink w:val="Style2"/>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6EE75F5"/>
    <w:multiLevelType w:val="multilevel"/>
    <w:tmpl w:val="DE226A70"/>
    <w:lvl w:ilvl="0">
      <w:start w:val="1"/>
      <w:numFmt w:val="decimal"/>
      <w:pStyle w:val="ListNumber1"/>
      <w:lvlText w:val="(%1)"/>
      <w:lvlJc w:val="left"/>
      <w:pPr>
        <w:tabs>
          <w:tab w:val="num" w:pos="1191"/>
        </w:tabs>
        <w:ind w:left="1191" w:hanging="709"/>
      </w:pPr>
      <w:rPr>
        <w:rFonts w:cs="Times New Roman" w:hint="default"/>
      </w:rPr>
    </w:lvl>
    <w:lvl w:ilvl="1">
      <w:start w:val="1"/>
      <w:numFmt w:val="lowerLetter"/>
      <w:pStyle w:val="ListNumber1Level2"/>
      <w:lvlText w:val="(%2)"/>
      <w:lvlJc w:val="left"/>
      <w:pPr>
        <w:tabs>
          <w:tab w:val="num" w:pos="1899"/>
        </w:tabs>
        <w:ind w:left="1899" w:hanging="708"/>
      </w:pPr>
      <w:rPr>
        <w:rFonts w:cs="Times New Roman"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7E1619A"/>
    <w:multiLevelType w:val="multilevel"/>
    <w:tmpl w:val="0809001F"/>
    <w:styleLink w:val="Style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6">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6"/>
  </w:num>
  <w:num w:numId="5">
    <w:abstractNumId w:val="20"/>
  </w:num>
  <w:num w:numId="6">
    <w:abstractNumId w:val="27"/>
  </w:num>
  <w:num w:numId="7">
    <w:abstractNumId w:val="4"/>
  </w:num>
  <w:num w:numId="8">
    <w:abstractNumId w:val="28"/>
    <w:lvlOverride w:ilvl="0">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1"/>
  </w:num>
  <w:num w:numId="13">
    <w:abstractNumId w:val="0"/>
  </w:num>
  <w:num w:numId="14">
    <w:abstractNumId w:val="28"/>
  </w:num>
  <w:num w:numId="15">
    <w:abstractNumId w:val="24"/>
  </w:num>
  <w:num w:numId="16">
    <w:abstractNumId w:val="6"/>
  </w:num>
  <w:num w:numId="17">
    <w:abstractNumId w:val="25"/>
  </w:num>
  <w:num w:numId="18">
    <w:abstractNumId w:val="22"/>
  </w:num>
  <w:num w:numId="19">
    <w:abstractNumId w:val="19"/>
  </w:num>
  <w:num w:numId="20">
    <w:abstractNumId w:val="11"/>
  </w:num>
  <w:num w:numId="21">
    <w:abstractNumId w:val="23"/>
  </w:num>
  <w:num w:numId="22">
    <w:abstractNumId w:val="10"/>
  </w:num>
  <w:num w:numId="23">
    <w:abstractNumId w:val="12"/>
  </w:num>
  <w:num w:numId="24">
    <w:abstractNumId w:val="8"/>
  </w:num>
  <w:num w:numId="25">
    <w:abstractNumId w:val="21"/>
  </w:num>
  <w:num w:numId="26">
    <w:abstractNumId w:val="7"/>
  </w:num>
  <w:num w:numId="27">
    <w:abstractNumId w:val="13"/>
  </w:num>
  <w:num w:numId="28">
    <w:abstractNumId w:val="17"/>
  </w:num>
  <w:num w:numId="29">
    <w:abstractNumId w:val="18"/>
  </w:num>
  <w:num w:numId="30">
    <w:abstractNumId w:val="9"/>
  </w:num>
  <w:num w:numId="31">
    <w:abstractNumId w:val="16"/>
  </w:num>
  <w:num w:numId="32">
    <w:abstractNumId w:val="28"/>
  </w:num>
  <w:num w:numId="33">
    <w:abstractNumId w:val="19"/>
  </w:num>
  <w:num w:numId="34">
    <w:abstractNumId w:val="11"/>
  </w:num>
  <w:num w:numId="35">
    <w:abstractNumId w:val="23"/>
  </w:num>
  <w:num w:numId="36">
    <w:abstractNumId w:val="10"/>
  </w:num>
  <w:num w:numId="37">
    <w:abstractNumId w:val="12"/>
  </w:num>
  <w:num w:numId="38">
    <w:abstractNumId w:val="8"/>
  </w:num>
  <w:num w:numId="39">
    <w:abstractNumId w:val="21"/>
  </w:num>
  <w:num w:numId="40">
    <w:abstractNumId w:val="7"/>
  </w:num>
  <w:num w:numId="41">
    <w:abstractNumId w:val="13"/>
  </w:num>
  <w:num w:numId="42">
    <w:abstractNumId w:val="17"/>
  </w:num>
  <w:num w:numId="43">
    <w:abstractNumId w:val="18"/>
  </w:num>
  <w:num w:numId="44">
    <w:abstractNumId w:val="9"/>
  </w:num>
  <w:num w:numId="45">
    <w:abstractNumId w:val="16"/>
  </w:num>
  <w:num w:numId="46">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efaultTabStop w:val="720"/>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3-19 10:12:1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8"/>
    <w:docVar w:name="DQCResult_ModifiedMarkers" w:val="0;0"/>
    <w:docVar w:name="DQCResult_ModifiedNumbering" w:val="0;0"/>
    <w:docVar w:name="DQCResult_Objects" w:val="0;0"/>
    <w:docVar w:name="DQCResult_Sections" w:val="0;0"/>
    <w:docVar w:name="DQCResult_StructureCheck" w:val="0;0"/>
    <w:docVar w:name="DQCResult_SuperfluousWhitespace" w:val="0;22"/>
    <w:docVar w:name="DQCResult_UnknownFonts" w:val="0;0"/>
    <w:docVar w:name="DQCResult_UnknownStyles" w:val="0;3"/>
    <w:docVar w:name="DQCStatus" w:val="Yellow"/>
    <w:docVar w:name="DQCVersion" w:val="2"/>
    <w:docVar w:name="DQCWithWarnings" w:val="0"/>
    <w:docVar w:name="LW_CONFIDENCE" w:val=" "/>
    <w:docVar w:name="LW_CONST_RESTREINT_UE" w:val="RESTREINT UE"/>
    <w:docVar w:name="LW_CORRIGENDUM" w:val="&lt;UNUSED&gt;"/>
    <w:docVar w:name="LW_COVERPAGE_GUID" w:val="E9AFC3E7034C40CD9782F3557A3C4E17"/>
    <w:docVar w:name="LW_CROSSREFERENCE" w:val="{SWD(2015) 60 final}"/>
    <w:docVar w:name="LW_DocType" w:val="COM"/>
    <w:docVar w:name="LW_EMISSION" w:val="18.3.2015"/>
    <w:docVar w:name="LW_EMISSION_ISODATE" w:val="2015-03-18"/>
    <w:docVar w:name="LW_EMISSION_LOCATION" w:val="BRX"/>
    <w:docVar w:name="LW_EMISSION_PREFIX" w:val="Bruxelles, den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DA"/>
    <w:docVar w:name="LW_MARKING" w:val="&lt;UNUSED&gt;"/>
    <w:docVar w:name="LW_NOM.INST" w:val="EUROPA-KOMMISSIONEN"/>
    <w:docVar w:name="LW_NOM.INST_JOINTDOC" w:val="&lt;EMPTY&gt;"/>
    <w:docVar w:name="LW_PART_NBR" w:val="1"/>
    <w:docVar w:name="LW_PART_NBR_TOTAL" w:val="1"/>
    <w:docVar w:name="LW_REF.II.NEW.CP" w:val="CNS"/>
    <w:docVar w:name="LW_REF.II.NEW.CP_NUMBER" w:val="0068"/>
    <w:docVar w:name="LW_REF.II.NEW.CP_YEAR" w:val="2015"/>
    <w:docVar w:name="LW_REF.INST.NEW" w:val="COM"/>
    <w:docVar w:name="LW_REF.INST.NEW_ADOPTED" w:val="final"/>
    <w:docVar w:name="LW_REF.INST.NEW_TEXT" w:val="(2015) 135"/>
    <w:docVar w:name="LW_REF.INTERNE" w:val="&lt;UNUSED&gt;"/>
    <w:docVar w:name="LW_SOUS.TITRE.OBJ.CP" w:val="&lt;UNUSED&gt;"/>
    <w:docVar w:name="LW_STATUT.CP" w:val="Forslag til"/>
    <w:docVar w:name="LW_SUPERTITRE" w:val="&lt;UNUSED&gt;"/>
    <w:docVar w:name="LW_TITRE.OBJ.CP" w:val="om ændring af direktiv 2011/16/EU for så vidt angår obligatorisk automatisk udveksling af oplysninger på beskatningsområdet"/>
    <w:docVar w:name="LW_TYPE.DOC.CP" w:val="RÅDETS DIREKTIV"/>
  </w:docVars>
  <w:rsids>
    <w:rsidRoot w:val="00051BBD"/>
    <w:rsid w:val="00051BBD"/>
    <w:rsid w:val="00FD0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da-DK"/>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lang w:val="fr-FR"/>
    </w:rPr>
  </w:style>
  <w:style w:type="paragraph" w:styleId="ListBullet2">
    <w:name w:val="List Bullet 2"/>
    <w:basedOn w:val="Normal"/>
    <w:uiPriority w:val="99"/>
    <w:pPr>
      <w:numPr>
        <w:numId w:val="6"/>
      </w:numPr>
    </w:pPr>
    <w:rPr>
      <w:rFonts w:eastAsia="Times New Roman"/>
      <w:lang w:val="fr-FR"/>
    </w:rPr>
  </w:style>
  <w:style w:type="paragraph" w:styleId="ListBullet3">
    <w:name w:val="List Bullet 3"/>
    <w:basedOn w:val="Normal"/>
    <w:uiPriority w:val="99"/>
    <w:semiHidden/>
    <w:unhideWhenUsed/>
    <w:pPr>
      <w:numPr>
        <w:numId w:val="7"/>
      </w:numPr>
      <w:contextualSpacing/>
    </w:pPr>
    <w:rPr>
      <w:rFonts w:eastAsia="Times New Roman"/>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rPr>
      <w:rFonts w:eastAsia="Times New Roman"/>
      <w:b/>
      <w:bCs/>
    </w:rPr>
  </w:style>
  <w:style w:type="character" w:customStyle="1" w:styleId="CommentSubjectChar">
    <w:name w:val="Comment Subject Char"/>
    <w:link w:val="CommentSubject"/>
    <w:uiPriority w:val="99"/>
    <w:rPr>
      <w:rFonts w:ascii="Times New Roman" w:eastAsia="Times New Roman" w:hAnsi="Times New Roman" w:cs="Times New Roman"/>
      <w:b/>
      <w:bCs/>
      <w:sz w:val="20"/>
      <w:szCs w:val="20"/>
      <w:lang w:val="en-GB" w:eastAsia="en-GB"/>
    </w:r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Bullet4">
    <w:name w:val="List Bullet 4"/>
    <w:basedOn w:val="Normal"/>
    <w:uiPriority w:val="99"/>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uiPriority w:val="99"/>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NoSpacing">
    <w:name w:val="No Spacing"/>
    <w:uiPriority w:val="1"/>
    <w:qFormat/>
    <w:pPr>
      <w:jc w:val="both"/>
    </w:pPr>
    <w:rPr>
      <w:rFonts w:ascii="Times New Roman" w:eastAsia="Times New Roman" w:hAnsi="Times New Roman"/>
      <w:sz w:val="24"/>
    </w:rPr>
  </w:style>
  <w:style w:type="paragraph" w:styleId="Title">
    <w:name w:val="Title"/>
    <w:basedOn w:val="Normal"/>
    <w:next w:val="Normal"/>
    <w:link w:val="TitleChar"/>
    <w:uiPriority w:val="10"/>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Pr>
      <w:rFonts w:ascii="Cambria" w:eastAsia="Times New Roman" w:hAnsi="Cambria" w:cs="Times New Roman"/>
      <w:b/>
      <w:bCs/>
      <w:kern w:val="28"/>
      <w:sz w:val="32"/>
      <w:szCs w:val="32"/>
      <w:lang w:val="en-GB" w:eastAsia="en-GB"/>
    </w:rPr>
  </w:style>
  <w:style w:type="paragraph" w:customStyle="1" w:styleId="Default">
    <w:name w:val="Default"/>
    <w:pPr>
      <w:autoSpaceDE w:val="0"/>
      <w:autoSpaceDN w:val="0"/>
      <w:adjustRightInd w:val="0"/>
    </w:pPr>
    <w:rPr>
      <w:rFonts w:ascii="EU Albertina" w:eastAsia="Times New Roman" w:hAnsi="EU Albertina" w:cs="EU Albertina"/>
      <w:color w:val="000000"/>
      <w:sz w:val="24"/>
      <w:szCs w:val="24"/>
    </w:rPr>
  </w:style>
  <w:style w:type="paragraph" w:styleId="Revision">
    <w:name w:val="Revision"/>
    <w:hidden/>
    <w:uiPriority w:val="99"/>
    <w:semiHidden/>
    <w:rPr>
      <w:rFonts w:ascii="Times New Roman" w:eastAsia="Times New Roman" w:hAnsi="Times New Roman"/>
      <w:sz w:val="24"/>
    </w:rPr>
  </w:style>
  <w:style w:type="paragraph" w:styleId="EndnoteText">
    <w:name w:val="endnote text"/>
    <w:basedOn w:val="Normal"/>
    <w:link w:val="EndnoteTextChar"/>
    <w:uiPriority w:val="99"/>
    <w:semiHidden/>
    <w:unhideWhenUsed/>
    <w:rPr>
      <w:rFonts w:eastAsia="Times New Roman"/>
      <w:sz w:val="20"/>
      <w:szCs w:val="20"/>
    </w:rPr>
  </w:style>
  <w:style w:type="character" w:customStyle="1" w:styleId="EndnoteTextChar">
    <w:name w:val="Endnote Text Char"/>
    <w:link w:val="EndnoteText"/>
    <w:uiPriority w:val="99"/>
    <w:semiHidden/>
    <w:rPr>
      <w:rFonts w:ascii="Times New Roman" w:eastAsia="Times New Roman" w:hAnsi="Times New Roman" w:cs="Times New Roman"/>
      <w:sz w:val="20"/>
      <w:szCs w:val="20"/>
      <w:lang w:val="en-GB" w:eastAsia="en-GB"/>
    </w:rPr>
  </w:style>
  <w:style w:type="character" w:styleId="EndnoteReference">
    <w:name w:val="endnote reference"/>
    <w:uiPriority w:val="99"/>
    <w:semiHidden/>
    <w:unhideWhenUsed/>
    <w:rPr>
      <w:vertAlign w:val="superscript"/>
    </w:rPr>
  </w:style>
  <w:style w:type="paragraph" w:customStyle="1" w:styleId="ListDash3">
    <w:name w:val="List Dash 3"/>
    <w:basedOn w:val="Text3"/>
    <w:pPr>
      <w:numPr>
        <w:numId w:val="17"/>
      </w:numPr>
      <w:spacing w:before="0" w:after="240"/>
    </w:pPr>
    <w:rPr>
      <w:rFonts w:eastAsia="Times New Roman"/>
      <w:szCs w:val="20"/>
    </w:rPr>
  </w:style>
  <w:style w:type="paragraph" w:customStyle="1" w:styleId="ListNumber1">
    <w:name w:val="List Number 1"/>
    <w:basedOn w:val="Text1"/>
    <w:pPr>
      <w:numPr>
        <w:numId w:val="18"/>
      </w:numPr>
      <w:spacing w:before="0" w:after="240"/>
    </w:pPr>
    <w:rPr>
      <w:rFonts w:eastAsia="Times New Roman"/>
      <w:szCs w:val="20"/>
    </w:rPr>
  </w:style>
  <w:style w:type="paragraph" w:customStyle="1" w:styleId="ListNumber1Level2">
    <w:name w:val="List Number 1 (Level 2)"/>
    <w:basedOn w:val="Text1"/>
    <w:pPr>
      <w:numPr>
        <w:ilvl w:val="1"/>
        <w:numId w:val="18"/>
      </w:numPr>
      <w:spacing w:before="0" w:after="240"/>
    </w:pPr>
    <w:rPr>
      <w:rFonts w:eastAsia="Times New Roman"/>
      <w:szCs w:val="20"/>
    </w:rPr>
  </w:style>
  <w:style w:type="paragraph" w:customStyle="1" w:styleId="ListNumber1Level3">
    <w:name w:val="List Number 1 (Level 3)"/>
    <w:basedOn w:val="Text1"/>
    <w:pPr>
      <w:numPr>
        <w:ilvl w:val="2"/>
        <w:numId w:val="18"/>
      </w:numPr>
      <w:spacing w:before="0" w:after="240"/>
    </w:pPr>
    <w:rPr>
      <w:rFonts w:eastAsia="Times New Roman"/>
      <w:szCs w:val="20"/>
    </w:rPr>
  </w:style>
  <w:style w:type="paragraph" w:customStyle="1" w:styleId="ListNumber1Level4">
    <w:name w:val="List Number 1 (Level 4)"/>
    <w:basedOn w:val="Text1"/>
    <w:pPr>
      <w:numPr>
        <w:ilvl w:val="3"/>
        <w:numId w:val="18"/>
      </w:numPr>
      <w:spacing w:before="0" w:after="240"/>
    </w:pPr>
    <w:rPr>
      <w:rFonts w:eastAsia="Times New Roman"/>
      <w:szCs w:val="20"/>
    </w:rPr>
  </w:style>
  <w:style w:type="numbering" w:customStyle="1" w:styleId="Style2">
    <w:name w:val="Style2"/>
    <w:pPr>
      <w:numPr>
        <w:numId w:val="16"/>
      </w:numPr>
    </w:pPr>
  </w:style>
  <w:style w:type="numbering" w:customStyle="1" w:styleId="Style1">
    <w:name w:val="Style1"/>
    <w:pPr>
      <w:numPr>
        <w:numId w:val="15"/>
      </w:numPr>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Pr>
      <w:rFonts w:ascii="Times New Roman" w:eastAsiaTheme="minorHAnsi" w:hAnsi="Times New Roman"/>
      <w:sz w:val="24"/>
      <w:lang w:val="da-DK"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da-DK"/>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lang w:val="fr-FR"/>
    </w:rPr>
  </w:style>
  <w:style w:type="paragraph" w:styleId="ListBullet2">
    <w:name w:val="List Bullet 2"/>
    <w:basedOn w:val="Normal"/>
    <w:uiPriority w:val="99"/>
    <w:pPr>
      <w:numPr>
        <w:numId w:val="6"/>
      </w:numPr>
    </w:pPr>
    <w:rPr>
      <w:rFonts w:eastAsia="Times New Roman"/>
      <w:lang w:val="fr-FR"/>
    </w:rPr>
  </w:style>
  <w:style w:type="paragraph" w:styleId="ListBullet3">
    <w:name w:val="List Bullet 3"/>
    <w:basedOn w:val="Normal"/>
    <w:uiPriority w:val="99"/>
    <w:semiHidden/>
    <w:unhideWhenUsed/>
    <w:pPr>
      <w:numPr>
        <w:numId w:val="7"/>
      </w:numPr>
      <w:contextualSpacing/>
    </w:pPr>
    <w:rPr>
      <w:rFonts w:eastAsia="Times New Roman"/>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rPr>
      <w:rFonts w:eastAsia="Times New Roman"/>
      <w:b/>
      <w:bCs/>
    </w:rPr>
  </w:style>
  <w:style w:type="character" w:customStyle="1" w:styleId="CommentSubjectChar">
    <w:name w:val="Comment Subject Char"/>
    <w:link w:val="CommentSubject"/>
    <w:uiPriority w:val="99"/>
    <w:rPr>
      <w:rFonts w:ascii="Times New Roman" w:eastAsia="Times New Roman" w:hAnsi="Times New Roman" w:cs="Times New Roman"/>
      <w:b/>
      <w:bCs/>
      <w:sz w:val="20"/>
      <w:szCs w:val="20"/>
      <w:lang w:val="en-GB" w:eastAsia="en-GB"/>
    </w:r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Bullet4">
    <w:name w:val="List Bullet 4"/>
    <w:basedOn w:val="Normal"/>
    <w:uiPriority w:val="99"/>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uiPriority w:val="99"/>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NoSpacing">
    <w:name w:val="No Spacing"/>
    <w:uiPriority w:val="1"/>
    <w:qFormat/>
    <w:pPr>
      <w:jc w:val="both"/>
    </w:pPr>
    <w:rPr>
      <w:rFonts w:ascii="Times New Roman" w:eastAsia="Times New Roman" w:hAnsi="Times New Roman"/>
      <w:sz w:val="24"/>
    </w:rPr>
  </w:style>
  <w:style w:type="paragraph" w:styleId="Title">
    <w:name w:val="Title"/>
    <w:basedOn w:val="Normal"/>
    <w:next w:val="Normal"/>
    <w:link w:val="TitleChar"/>
    <w:uiPriority w:val="10"/>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Pr>
      <w:rFonts w:ascii="Cambria" w:eastAsia="Times New Roman" w:hAnsi="Cambria" w:cs="Times New Roman"/>
      <w:b/>
      <w:bCs/>
      <w:kern w:val="28"/>
      <w:sz w:val="32"/>
      <w:szCs w:val="32"/>
      <w:lang w:val="en-GB" w:eastAsia="en-GB"/>
    </w:rPr>
  </w:style>
  <w:style w:type="paragraph" w:customStyle="1" w:styleId="Default">
    <w:name w:val="Default"/>
    <w:pPr>
      <w:autoSpaceDE w:val="0"/>
      <w:autoSpaceDN w:val="0"/>
      <w:adjustRightInd w:val="0"/>
    </w:pPr>
    <w:rPr>
      <w:rFonts w:ascii="EU Albertina" w:eastAsia="Times New Roman" w:hAnsi="EU Albertina" w:cs="EU Albertina"/>
      <w:color w:val="000000"/>
      <w:sz w:val="24"/>
      <w:szCs w:val="24"/>
    </w:rPr>
  </w:style>
  <w:style w:type="paragraph" w:styleId="Revision">
    <w:name w:val="Revision"/>
    <w:hidden/>
    <w:uiPriority w:val="99"/>
    <w:semiHidden/>
    <w:rPr>
      <w:rFonts w:ascii="Times New Roman" w:eastAsia="Times New Roman" w:hAnsi="Times New Roman"/>
      <w:sz w:val="24"/>
    </w:rPr>
  </w:style>
  <w:style w:type="paragraph" w:styleId="EndnoteText">
    <w:name w:val="endnote text"/>
    <w:basedOn w:val="Normal"/>
    <w:link w:val="EndnoteTextChar"/>
    <w:uiPriority w:val="99"/>
    <w:semiHidden/>
    <w:unhideWhenUsed/>
    <w:rPr>
      <w:rFonts w:eastAsia="Times New Roman"/>
      <w:sz w:val="20"/>
      <w:szCs w:val="20"/>
    </w:rPr>
  </w:style>
  <w:style w:type="character" w:customStyle="1" w:styleId="EndnoteTextChar">
    <w:name w:val="Endnote Text Char"/>
    <w:link w:val="EndnoteText"/>
    <w:uiPriority w:val="99"/>
    <w:semiHidden/>
    <w:rPr>
      <w:rFonts w:ascii="Times New Roman" w:eastAsia="Times New Roman" w:hAnsi="Times New Roman" w:cs="Times New Roman"/>
      <w:sz w:val="20"/>
      <w:szCs w:val="20"/>
      <w:lang w:val="en-GB" w:eastAsia="en-GB"/>
    </w:rPr>
  </w:style>
  <w:style w:type="character" w:styleId="EndnoteReference">
    <w:name w:val="endnote reference"/>
    <w:uiPriority w:val="99"/>
    <w:semiHidden/>
    <w:unhideWhenUsed/>
    <w:rPr>
      <w:vertAlign w:val="superscript"/>
    </w:rPr>
  </w:style>
  <w:style w:type="paragraph" w:customStyle="1" w:styleId="ListDash3">
    <w:name w:val="List Dash 3"/>
    <w:basedOn w:val="Text3"/>
    <w:pPr>
      <w:numPr>
        <w:numId w:val="17"/>
      </w:numPr>
      <w:spacing w:before="0" w:after="240"/>
    </w:pPr>
    <w:rPr>
      <w:rFonts w:eastAsia="Times New Roman"/>
      <w:szCs w:val="20"/>
    </w:rPr>
  </w:style>
  <w:style w:type="paragraph" w:customStyle="1" w:styleId="ListNumber1">
    <w:name w:val="List Number 1"/>
    <w:basedOn w:val="Text1"/>
    <w:pPr>
      <w:numPr>
        <w:numId w:val="18"/>
      </w:numPr>
      <w:spacing w:before="0" w:after="240"/>
    </w:pPr>
    <w:rPr>
      <w:rFonts w:eastAsia="Times New Roman"/>
      <w:szCs w:val="20"/>
    </w:rPr>
  </w:style>
  <w:style w:type="paragraph" w:customStyle="1" w:styleId="ListNumber1Level2">
    <w:name w:val="List Number 1 (Level 2)"/>
    <w:basedOn w:val="Text1"/>
    <w:pPr>
      <w:numPr>
        <w:ilvl w:val="1"/>
        <w:numId w:val="18"/>
      </w:numPr>
      <w:spacing w:before="0" w:after="240"/>
    </w:pPr>
    <w:rPr>
      <w:rFonts w:eastAsia="Times New Roman"/>
      <w:szCs w:val="20"/>
    </w:rPr>
  </w:style>
  <w:style w:type="paragraph" w:customStyle="1" w:styleId="ListNumber1Level3">
    <w:name w:val="List Number 1 (Level 3)"/>
    <w:basedOn w:val="Text1"/>
    <w:pPr>
      <w:numPr>
        <w:ilvl w:val="2"/>
        <w:numId w:val="18"/>
      </w:numPr>
      <w:spacing w:before="0" w:after="240"/>
    </w:pPr>
    <w:rPr>
      <w:rFonts w:eastAsia="Times New Roman"/>
      <w:szCs w:val="20"/>
    </w:rPr>
  </w:style>
  <w:style w:type="paragraph" w:customStyle="1" w:styleId="ListNumber1Level4">
    <w:name w:val="List Number 1 (Level 4)"/>
    <w:basedOn w:val="Text1"/>
    <w:pPr>
      <w:numPr>
        <w:ilvl w:val="3"/>
        <w:numId w:val="18"/>
      </w:numPr>
      <w:spacing w:before="0" w:after="240"/>
    </w:pPr>
    <w:rPr>
      <w:rFonts w:eastAsia="Times New Roman"/>
      <w:szCs w:val="20"/>
    </w:rPr>
  </w:style>
  <w:style w:type="numbering" w:customStyle="1" w:styleId="Style2">
    <w:name w:val="Style2"/>
    <w:pPr>
      <w:numPr>
        <w:numId w:val="16"/>
      </w:numPr>
    </w:pPr>
  </w:style>
  <w:style w:type="numbering" w:customStyle="1" w:styleId="Style1">
    <w:name w:val="Style1"/>
    <w:pPr>
      <w:numPr>
        <w:numId w:val="15"/>
      </w:numPr>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Pr>
      <w:rFonts w:ascii="Times New Roman" w:eastAsiaTheme="minorHAnsi" w:hAnsi="Times New Roman"/>
      <w:sz w:val="24"/>
      <w:lang w:val="da-DK"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17496">
      <w:bodyDiv w:val="1"/>
      <w:marLeft w:val="0"/>
      <w:marRight w:val="0"/>
      <w:marTop w:val="0"/>
      <w:marBottom w:val="0"/>
      <w:divBdr>
        <w:top w:val="none" w:sz="0" w:space="0" w:color="auto"/>
        <w:left w:val="none" w:sz="0" w:space="0" w:color="auto"/>
        <w:bottom w:val="none" w:sz="0" w:space="0" w:color="auto"/>
        <w:right w:val="none" w:sz="0" w:space="0" w:color="auto"/>
      </w:divBdr>
    </w:div>
    <w:div w:id="194997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c.cec/budg/leg/internal/leg-070_internal_en.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register/en/content/out/?typ=SET&amp;i=ADV&amp;RESULTSET=1&amp;DOC_ID=&amp;DOS_INTERINST=&amp;DOC_TITLE=Code+Conduct+Business+Taxation+Report&amp;CONTENTS=&amp;DOC_SUBJECT=&amp;DOC_DATE=&amp;document_date_single_comparator=&amp;document_date_single_date=&amp;document_date_from_date=&amp;document_date_to_date=&amp;MEET_DATE=&amp;meeting_date_single_comparator=&amp;meeting_date_single_date=&amp;meeting_date_from_date=&amp;meeting_date_to_date=&amp;DOC_LANCD=EN&amp;ROWSPP=25&amp;NRROWS=500&amp;ORDERBY=DOC_DATE+DESC" TargetMode="External"/><Relationship Id="rId2" Type="http://schemas.openxmlformats.org/officeDocument/2006/relationships/hyperlink" Target="http://ec.europa.eu/priorities/work-programme/index_da.htm" TargetMode="External"/><Relationship Id="rId1" Type="http://schemas.openxmlformats.org/officeDocument/2006/relationships/hyperlink" Target="http://ec.europa.eu/taxation_customs/resources/documents/taxation/tax_fraud_evasion/c_2012_8806_d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908B55AC52C4FAF7A8AE6DC3F0E00" ma:contentTypeVersion="0" ma:contentTypeDescription="Create a new document." ma:contentTypeScope="" ma:versionID="e1674feb5aa7bee42ad47ea36a32e5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E735B-F98B-4419-85C3-5BDC7C752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1AE787-327E-44B8-BFA2-5BA46F2D48AD}">
  <ds:schemaRefs>
    <ds:schemaRef ds:uri="http://schemas.microsoft.com/sharepoint/v3/contenttype/forms"/>
  </ds:schemaRefs>
</ds:datastoreItem>
</file>

<file path=customXml/itemProps3.xml><?xml version="1.0" encoding="utf-8"?>
<ds:datastoreItem xmlns:ds="http://schemas.openxmlformats.org/officeDocument/2006/customXml" ds:itemID="{F1B41663-9444-41DF-A356-41837CAE8E26}">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 ds:uri="http://purl.org/dc/dcmitype/"/>
    <ds:schemaRef ds:uri="http://schemas.microsoft.com/office/2006/documentManagement/types"/>
  </ds:schemaRefs>
</ds:datastoreItem>
</file>

<file path=customXml/itemProps4.xml><?xml version="1.0" encoding="utf-8"?>
<ds:datastoreItem xmlns:ds="http://schemas.openxmlformats.org/officeDocument/2006/customXml" ds:itemID="{7B283186-8F4F-491B-9D11-F9FD4135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Pages>
  <Words>8755</Words>
  <Characters>56085</Characters>
  <Application>Microsoft Office Word</Application>
  <DocSecurity>0</DocSecurity>
  <Lines>1823</Lines>
  <Paragraphs>762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64311</CharactersWithSpaces>
  <SharedDoc>false</SharedDoc>
  <HLinks>
    <vt:vector size="24" baseType="variant">
      <vt:variant>
        <vt:i4>7209064</vt:i4>
      </vt:variant>
      <vt:variant>
        <vt:i4>0</vt:i4>
      </vt:variant>
      <vt:variant>
        <vt:i4>0</vt:i4>
      </vt:variant>
      <vt:variant>
        <vt:i4>5</vt:i4>
      </vt:variant>
      <vt:variant>
        <vt:lpwstr>http://www.cc.cec/budg/leg/internal/leg-070_internal_en.html</vt:lpwstr>
      </vt:variant>
      <vt:variant>
        <vt:lpwstr/>
      </vt:variant>
      <vt:variant>
        <vt:i4>8192002</vt:i4>
      </vt:variant>
      <vt:variant>
        <vt:i4>6</vt:i4>
      </vt:variant>
      <vt:variant>
        <vt:i4>0</vt:i4>
      </vt:variant>
      <vt:variant>
        <vt:i4>5</vt:i4>
      </vt:variant>
      <vt:variant>
        <vt:lpwstr>http://www.consilium.europa.eu/register/en/content/out/?typ=SET&amp;i=ADV&amp;RESULTSET=1&amp;DOC_ID=&amp;DOS_INTERINST=&amp;DOC_TITLE=Code+Conduct+Business+Taxation+Report&amp;CONTENTS=&amp;DOC_SUBJECT=&amp;DOC_DATE=&amp;document_date_single_comparator=&amp;document_date_single_date=&amp;document_date_from_date=&amp;document_date_to_date=&amp;MEET_DATE=&amp;meeting_date_single_comparator=&amp;meeting_date_single_date=&amp;meeting_date_from_date=&amp;meeting_date_to_date=&amp;DOC_LANCD=EN&amp;ROWSPP=25&amp;NRROWS=500&amp;ORDERBY=DOC_DATE+DESC</vt:lpwstr>
      </vt:variant>
      <vt:variant>
        <vt:lpwstr/>
      </vt:variant>
      <vt:variant>
        <vt:i4>1966120</vt:i4>
      </vt:variant>
      <vt:variant>
        <vt:i4>3</vt:i4>
      </vt:variant>
      <vt:variant>
        <vt:i4>0</vt:i4>
      </vt:variant>
      <vt:variant>
        <vt:i4>5</vt:i4>
      </vt:variant>
      <vt:variant>
        <vt:lpwstr>http://ec.europa.eu/priorities/work-programme/index_en.htm</vt:lpwstr>
      </vt:variant>
      <vt:variant>
        <vt:lpwstr/>
      </vt:variant>
      <vt:variant>
        <vt:i4>2097214</vt:i4>
      </vt:variant>
      <vt:variant>
        <vt:i4>0</vt:i4>
      </vt:variant>
      <vt:variant>
        <vt:i4>0</vt:i4>
      </vt:variant>
      <vt:variant>
        <vt:i4>5</vt:i4>
      </vt:variant>
      <vt:variant>
        <vt:lpwstr>http://ec.europa.eu/taxation_customs/resources/documents/taxation/tax_fraud_evasion/c_2012_8806_en.pdf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20</cp:revision>
  <cp:lastPrinted>2015-03-13T15:11:00Z</cp:lastPrinted>
  <dcterms:created xsi:type="dcterms:W3CDTF">2015-03-18T15:43:00Z</dcterms:created>
  <dcterms:modified xsi:type="dcterms:W3CDTF">2015-03-19T09:25:00Z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ContentTypeId">
    <vt:lpwstr>0x010100929908B55AC52C4FAF7A8AE6DC3F0E00</vt:lpwstr>
  </property>
  <property fmtid="{D5CDD505-2E9C-101B-9397-08002B2CF9AE}" pid="11" name="DQCStatus">
    <vt:lpwstr>Yellow (DQC version 02)</vt:lpwstr>
  </property>
</Properties>
</file>