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49" w:rsidRDefault="002542A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96382DD06A34F849890AE341B8B7BF2" style="width:450.8pt;height:365.9pt">
            <v:imagedata r:id="rId12" o:title=""/>
          </v:shape>
        </w:pict>
      </w:r>
    </w:p>
    <w:p w:rsidR="00BF2E49" w:rsidRDefault="00BF2E49">
      <w:pPr>
        <w:rPr>
          <w:noProof/>
        </w:rPr>
        <w:sectPr w:rsidR="00BF2E49">
          <w:footerReference w:type="default" r:id="rId13"/>
          <w:pgSz w:w="11907" w:h="16839"/>
          <w:pgMar w:top="1134" w:right="1417" w:bottom="1134" w:left="1417" w:header="709" w:footer="709" w:gutter="0"/>
          <w:pgNumType w:start="1"/>
          <w:cols w:space="720"/>
          <w:docGrid w:linePitch="360"/>
        </w:sectPr>
      </w:pPr>
    </w:p>
    <w:p w:rsidR="00BF2E49" w:rsidRDefault="002542A5">
      <w:pPr>
        <w:pStyle w:val="Exposdesmotifstitre"/>
        <w:rPr>
          <w:noProof/>
        </w:rPr>
      </w:pPr>
      <w:r>
        <w:rPr>
          <w:noProof/>
        </w:rPr>
        <w:lastRenderedPageBreak/>
        <w:t>OBRAZLOŽITVENI MEMORANDUM</w:t>
      </w:r>
    </w:p>
    <w:p w:rsidR="00BF2E49" w:rsidRDefault="002542A5">
      <w:pPr>
        <w:pStyle w:val="ManualHeading1"/>
        <w:rPr>
          <w:noProof/>
        </w:rPr>
      </w:pPr>
      <w:r>
        <w:rPr>
          <w:noProof/>
        </w:rPr>
        <w:t>1.</w:t>
      </w:r>
      <w:r>
        <w:rPr>
          <w:noProof/>
        </w:rPr>
        <w:tab/>
        <w:t>OZADJE PREDLOGA</w:t>
      </w:r>
    </w:p>
    <w:p w:rsidR="00BF2E49" w:rsidRDefault="002542A5">
      <w:pPr>
        <w:pStyle w:val="ManualHeading2"/>
        <w:rPr>
          <w:noProof/>
        </w:rPr>
      </w:pPr>
      <w:r>
        <w:rPr>
          <w:noProof/>
        </w:rPr>
        <w:t>1.1</w:t>
      </w:r>
      <w:r>
        <w:rPr>
          <w:noProof/>
        </w:rPr>
        <w:tab/>
        <w:t>Splošno ozadje</w:t>
      </w:r>
    </w:p>
    <w:p w:rsidR="00BF2E49" w:rsidRDefault="002542A5">
      <w:pPr>
        <w:spacing w:after="0"/>
        <w:rPr>
          <w:noProof/>
        </w:rPr>
      </w:pPr>
      <w:r>
        <w:rPr>
          <w:noProof/>
        </w:rPr>
        <w:t xml:space="preserve">Podjetja imajo davčno načrtovanje </w:t>
      </w:r>
      <w:r>
        <w:rPr>
          <w:noProof/>
        </w:rPr>
        <w:t xml:space="preserve">običajno za nekaj legitimnega, saj uporabljajo zakonite postopke za zmanjšanje davčnih obveznosti. V zadnjih letih pa davčno načrtovanje postaja vse bolj izpopolnjeno in prestopa državne meje, pri čemer se obdavčljivi dobički prenašajo v države z ugodnimi </w:t>
      </w:r>
      <w:r>
        <w:rPr>
          <w:noProof/>
        </w:rPr>
        <w:t>davčnimi režimi. To agresivno davčno načrtovanje se pojavlja v najrazličnejših oblikah, pri tem pa se na primer izkoriščajo tehnične podrobnosti davčnega sistema ali neskladja med dvema ali več davčnimi sistemi z namenom zmanjšanja davčnih obveznosti ali i</w:t>
      </w:r>
      <w:r>
        <w:rPr>
          <w:noProof/>
        </w:rPr>
        <w:t>zogibanja takim obveznostim. Med posledicami takega načrtovanja so dvojni odbitki (npr. isti strošek se odbije tako v državi vira kot tudi v državi rezidentstva) in dvojno neobdavčenje (npr. dohodek se ne obdavči niti v državi vira niti v državi rezidentst</w:t>
      </w:r>
      <w:r>
        <w:rPr>
          <w:noProof/>
        </w:rPr>
        <w:t>va)</w:t>
      </w:r>
      <w:r>
        <w:rPr>
          <w:rStyle w:val="FootnoteReference"/>
          <w:noProof/>
        </w:rPr>
        <w:footnoteReference w:id="1"/>
      </w:r>
      <w:r>
        <w:rPr>
          <w:noProof/>
        </w:rPr>
        <w:t xml:space="preserve">. Takim praksam so v številnih primerih v pomoč davčna stališča, ki jih izdajo nacionalni organi in družbi potrjujejo, kako bo posamezna transakcija obdavčena v skladu z veljavno zakonodajo, in tako zagotavljajo pravno varnost vzpostavljeni strukturi. </w:t>
      </w:r>
      <w:r>
        <w:rPr>
          <w:noProof/>
        </w:rPr>
        <w:t>Čeprav so države članice dolžne izdajati davčna stališča v skladu z veljavnim pravom EU in nacionalnim pravom, pomanjkanje preglednosti v zvezi s takšnimi davčnimi stališči lahko vpliva na druge države, ki so povezane s podjetji, ki uživajo ugodnosti davčn</w:t>
      </w:r>
      <w:r>
        <w:rPr>
          <w:noProof/>
        </w:rPr>
        <w:t xml:space="preserve">ih stališč. </w:t>
      </w:r>
    </w:p>
    <w:p w:rsidR="00BF2E49" w:rsidRDefault="002542A5">
      <w:pPr>
        <w:rPr>
          <w:noProof/>
        </w:rPr>
      </w:pPr>
      <w:r>
        <w:rPr>
          <w:noProof/>
        </w:rPr>
        <w:t>Izogibanje davkom, davčne goljufije in davčne utaje imajo pomembno čezmejno razsežnost. Globalizacija in vse večja mobilnost davčnih zavezancev lahko državam članicam otežita pravilno oceno davčne osnove.  To lahko vpliva na delovanje sistemov</w:t>
      </w:r>
      <w:r>
        <w:rPr>
          <w:noProof/>
        </w:rPr>
        <w:t xml:space="preserve"> obdavčitve, ima za posledico izogibanje davkom in davčne utaje ter tako ogrozi delovanje notranjega trga. </w:t>
      </w:r>
    </w:p>
    <w:p w:rsidR="00BF2E49" w:rsidRDefault="002542A5">
      <w:pPr>
        <w:rPr>
          <w:noProof/>
        </w:rPr>
      </w:pPr>
      <w:r>
        <w:rPr>
          <w:noProof/>
        </w:rPr>
        <w:t>Države članice lahko ta problem uspešno rešijo le, če se dogovorijo o skupnih ukrepih. Zato je izboljšanje upravnega sodelovanja med davčnimi uprava</w:t>
      </w:r>
      <w:r>
        <w:rPr>
          <w:noProof/>
        </w:rPr>
        <w:t>mi držav članic ključni cilj strategije Komisije.</w:t>
      </w:r>
    </w:p>
    <w:p w:rsidR="00BF2E49" w:rsidRDefault="002542A5">
      <w:pPr>
        <w:rPr>
          <w:noProof/>
          <w:szCs w:val="24"/>
        </w:rPr>
      </w:pPr>
      <w:r>
        <w:rPr>
          <w:noProof/>
        </w:rPr>
        <w:t>Direktiva Sveta 2011/16/EU je bila sprejeta za nadomestitev prejšnje direktive o medsebojni pomoči med državami članicami (Direktive Sveta 77/799/EGS) in v odgovor na potrebe držav članic po izboljšanem upr</w:t>
      </w:r>
      <w:r>
        <w:rPr>
          <w:noProof/>
        </w:rPr>
        <w:t>avnem sodelovanju na področju obdavčitve.</w:t>
      </w:r>
    </w:p>
    <w:p w:rsidR="00BF2E49" w:rsidRDefault="002542A5">
      <w:pPr>
        <w:rPr>
          <w:noProof/>
        </w:rPr>
      </w:pPr>
      <w:r>
        <w:rPr>
          <w:noProof/>
        </w:rPr>
        <w:t>Namen tega predloga je zagotoviti, da bo Direktiva 2011/16/EU zagotavljala celovito in učinkovito upravno sodelovanje med davčnimi upravami, in sicer z določitvijo obvezne avtomatične izmenjave podatkov o vnaprejšn</w:t>
      </w:r>
      <w:r>
        <w:rPr>
          <w:noProof/>
        </w:rPr>
        <w:t>jih davčnih stališčih s čezmejnim učinkom in vnaprejšnjih cenovnih sporazumih (pri teh gre za vnaprejšnja davčna stališča s čezmejnim učinkom, ki se uporabljajo na področju transfernih cen). Zaradi struktur, ki izhajajo iz davčnega načrtovanja in omogočajo</w:t>
      </w:r>
      <w:r>
        <w:rPr>
          <w:noProof/>
        </w:rPr>
        <w:t xml:space="preserve"> nizko obdavčitev dohodka v državi članici, ki je izdala stališče, lahko v drugih državah članicah ostane le manjša količina obdavčljivega dohodka, s čimer se zmanjšajo njihove davčne osnove. </w:t>
      </w:r>
    </w:p>
    <w:p w:rsidR="00BF2E49" w:rsidRDefault="002542A5">
      <w:pPr>
        <w:rPr>
          <w:noProof/>
        </w:rPr>
      </w:pPr>
      <w:r>
        <w:rPr>
          <w:noProof/>
        </w:rPr>
        <w:t>Predlog od držav članic zahteva, da avtomatično izmenjujejo osn</w:t>
      </w:r>
      <w:r>
        <w:rPr>
          <w:noProof/>
        </w:rPr>
        <w:t>ovne podatke o vnaprejšnjih davčnih stališčih s čezmejnim učinkom in vnaprejšnjih cenovnih sporazumih z vsemi drugimi državami članicami. Ta zahteva temelji na načelu, da lahko druge države članice bolje presodijo morebiten učinek in relevantnost nekega st</w:t>
      </w:r>
      <w:r>
        <w:rPr>
          <w:noProof/>
        </w:rPr>
        <w:t xml:space="preserve">ališča kot država članica, ki ga je izdala. Po potrebi lahko država članica, ki prejme podatke, zahteva nadaljnje, podrobnejše informacije. </w:t>
      </w:r>
    </w:p>
    <w:p w:rsidR="00BF2E49" w:rsidRDefault="002542A5">
      <w:pPr>
        <w:rPr>
          <w:noProof/>
        </w:rPr>
      </w:pPr>
      <w:r>
        <w:rPr>
          <w:noProof/>
        </w:rPr>
        <w:t>Predlog je zasnovan tako, da lahko avtomatična izmenjava podatkov o davčnih stališčih temelji na veljavnih pravilih</w:t>
      </w:r>
      <w:r>
        <w:rPr>
          <w:noProof/>
        </w:rPr>
        <w:t xml:space="preserve"> Direktive 2011/16/EU v zvezi s praktičnimi postopki za </w:t>
      </w:r>
      <w:r>
        <w:rPr>
          <w:noProof/>
        </w:rPr>
        <w:lastRenderedPageBreak/>
        <w:t>izmenjavo podatkov, tudi prek standardnih obrazcev. Predlog je tudi v skladu z mednarodnim razvojem na ravni OECD in prizadevanji OECD za preprečevanje erozije davčne osnove in preusmeritve dobička.</w:t>
      </w:r>
    </w:p>
    <w:p w:rsidR="00BF2E49" w:rsidRDefault="002542A5">
      <w:pPr>
        <w:rPr>
          <w:noProof/>
        </w:rPr>
      </w:pPr>
      <w:r>
        <w:rPr>
          <w:noProof/>
        </w:rPr>
        <w:t>L</w:t>
      </w:r>
      <w:r>
        <w:rPr>
          <w:noProof/>
        </w:rPr>
        <w:t>eta 2012 je skupina za kodeks ravnanja za obdavčitev podjetij</w:t>
      </w:r>
      <w:r>
        <w:rPr>
          <w:rStyle w:val="FootnoteReference"/>
          <w:noProof/>
        </w:rPr>
        <w:footnoteReference w:id="2"/>
      </w:r>
      <w:r>
        <w:rPr>
          <w:noProof/>
        </w:rPr>
        <w:t xml:space="preserve"> opravila pregled postopkov držav članic na področju izdaje davčnih stališč. Skupina je opredelila vrste davčnih stališč s čezmejnim učinkom, o katerih bi se podatki morali izmenjevati na lastno</w:t>
      </w:r>
      <w:r>
        <w:rPr>
          <w:noProof/>
        </w:rPr>
        <w:t xml:space="preserve"> pobudo, in priporočila pripravo vzorčnih navodil, na katere bi se države članice lahko opirale pri interni uporabi</w:t>
      </w:r>
      <w:r>
        <w:rPr>
          <w:rStyle w:val="FootnoteReference"/>
          <w:noProof/>
        </w:rPr>
        <w:footnoteReference w:id="3"/>
      </w:r>
      <w:r>
        <w:rPr>
          <w:noProof/>
        </w:rPr>
        <w:t>. V skladu z vzorčnimi navodili bi bilo treba podatke o davčnih stališčih s čezmejnim učinkom v skladu s členom 9 Direktive 2011/16/EU pošil</w:t>
      </w:r>
      <w:r>
        <w:rPr>
          <w:noProof/>
        </w:rPr>
        <w:t>jati na lastno pobudo, in sicer s standardnimi elektronskimi obrazci in elektronskimi sredstvi, kot določa Direktiva, najpozneje en mesec po izdaji davčnega stališča v skladu z rokom iz člena 10 Direktive. Poleg tega bi morale države članice zagotoviti ust</w:t>
      </w:r>
      <w:r>
        <w:rPr>
          <w:noProof/>
        </w:rPr>
        <w:t>rezne kanale za komunikacijo o tej temi med državami članicami ter kakovostno usposabljanje in smernice za uslužbence, ki izdajajo davčna stališča. Navedena navodila vsebujejo tudi smernice glede vsebine podatkov, ki jih je treba predložiti na lastno pobud</w:t>
      </w:r>
      <w:r>
        <w:rPr>
          <w:noProof/>
        </w:rPr>
        <w:t xml:space="preserve">o. Vendar ta vzorčna navodila niso pravno zavezujoča. V praksi si države članice izmenjajo le malo podatkov o vnaprejšnjih davčnih stališčih ali sporazumih o transfernih cenah, tudi kadar ti vplivajo na druge države. </w:t>
      </w:r>
    </w:p>
    <w:p w:rsidR="00BF2E49" w:rsidRDefault="002542A5">
      <w:pPr>
        <w:rPr>
          <w:noProof/>
        </w:rPr>
      </w:pPr>
      <w:r>
        <w:rPr>
          <w:noProof/>
        </w:rPr>
        <w:t xml:space="preserve">Zato se zdi, da je v EU potreben bolj </w:t>
      </w:r>
      <w:r>
        <w:rPr>
          <w:noProof/>
        </w:rPr>
        <w:t xml:space="preserve">sistematičen in zavezujoč pristop k izmenjavi podatkov o davčnih stališčih, da lahko prizadete države članice sprejmejo vse potrebne ukrepe, kadar ena od držav članic izda vnaprejšnje davčno stališče ali sklene sporazum o transfernih cenah. </w:t>
      </w:r>
    </w:p>
    <w:p w:rsidR="00BF2E49" w:rsidRDefault="002542A5">
      <w:pPr>
        <w:rPr>
          <w:noProof/>
        </w:rPr>
      </w:pPr>
      <w:r>
        <w:rPr>
          <w:noProof/>
        </w:rPr>
        <w:t>Komisija se je</w:t>
      </w:r>
      <w:r>
        <w:rPr>
          <w:noProof/>
        </w:rPr>
        <w:t xml:space="preserve"> tako 16. decembra 2014 zavezala, da bo predstavila predlog za avtomatično izmenjavo podatkov o davčnih stališčih s čezmejnim učinkom, in to vključila v svoj delovni program za leto 2015</w:t>
      </w:r>
      <w:r>
        <w:rPr>
          <w:rStyle w:val="FootnoteReference"/>
          <w:noProof/>
        </w:rPr>
        <w:footnoteReference w:id="4"/>
      </w:r>
      <w:r>
        <w:rPr>
          <w:noProof/>
        </w:rPr>
        <w:t>.</w:t>
      </w:r>
    </w:p>
    <w:p w:rsidR="00BF2E49" w:rsidRDefault="002542A5">
      <w:pPr>
        <w:pStyle w:val="ManualHeading1"/>
        <w:rPr>
          <w:noProof/>
        </w:rPr>
      </w:pPr>
      <w:r>
        <w:rPr>
          <w:noProof/>
        </w:rPr>
        <w:t>2.</w:t>
      </w:r>
      <w:r>
        <w:rPr>
          <w:noProof/>
        </w:rPr>
        <w:tab/>
        <w:t>REZULTATI POSVETOVANJ Z ZAINTERESIRANIMI STRANMI IN OCEN UČINKA</w:t>
      </w:r>
    </w:p>
    <w:p w:rsidR="00BF2E49" w:rsidRDefault="002542A5">
      <w:pPr>
        <w:pStyle w:val="ManualHeading2"/>
        <w:rPr>
          <w:noProof/>
        </w:rPr>
      </w:pPr>
      <w:r>
        <w:rPr>
          <w:noProof/>
        </w:rPr>
        <w:t>2.1</w:t>
      </w:r>
      <w:r>
        <w:rPr>
          <w:noProof/>
        </w:rPr>
        <w:tab/>
        <w:t>Posvetovanje v okviru akcijskega načrta proti davčnim goljufijam in davčnim utajam ter njegovih priporočil (COM(2012) 722 final) in v okviru drugih forumov</w:t>
      </w:r>
    </w:p>
    <w:p w:rsidR="00BF2E49" w:rsidRDefault="002542A5">
      <w:pPr>
        <w:rPr>
          <w:noProof/>
        </w:rPr>
      </w:pPr>
      <w:r>
        <w:rPr>
          <w:noProof/>
        </w:rPr>
        <w:t>Evropski parlament je 21. maja 2013 sprejel resolucijo</w:t>
      </w:r>
      <w:r>
        <w:rPr>
          <w:rStyle w:val="FootnoteReference"/>
          <w:noProof/>
        </w:rPr>
        <w:footnoteReference w:id="5"/>
      </w:r>
      <w:r>
        <w:rPr>
          <w:noProof/>
        </w:rPr>
        <w:t>, v kateri je pozdravil akcijski načrt Ko</w:t>
      </w:r>
      <w:r>
        <w:rPr>
          <w:noProof/>
        </w:rPr>
        <w:t xml:space="preserve">misije in njegova priporočila, pozval države članice, naj uresničujejo svoje zaveze in akcijski načrt vzamejo za svojega, ter poudaril, da bi morala EU prevzeti vodilno vlogo v razpravah na svetovni ravni o boju proti davčnim goljufijam, davčnim utajam in </w:t>
      </w:r>
      <w:r>
        <w:rPr>
          <w:noProof/>
        </w:rPr>
        <w:t>davčnim oazam, zlasti v zvezi s spodbujanjem izmenjave podatkov.</w:t>
      </w:r>
    </w:p>
    <w:p w:rsidR="00BF2E49" w:rsidRDefault="002542A5">
      <w:pPr>
        <w:rPr>
          <w:noProof/>
        </w:rPr>
      </w:pPr>
      <w:r>
        <w:rPr>
          <w:noProof/>
        </w:rPr>
        <w:t>Evropski ekonomsko-socialni odbor je 17. marca 2013 sprejel mnenje</w:t>
      </w:r>
      <w:r>
        <w:rPr>
          <w:rStyle w:val="FootnoteReference"/>
          <w:noProof/>
        </w:rPr>
        <w:footnoteReference w:id="6"/>
      </w:r>
      <w:r>
        <w:rPr>
          <w:noProof/>
        </w:rPr>
        <w:t xml:space="preserve">.  V njem je izrazil podporo akcijskemu načrtu Komisije in njenim prizadevanjem, da bi našla konkretne rešitve za zmanjšanje davčnih goljufij in utaj. </w:t>
      </w:r>
    </w:p>
    <w:p w:rsidR="00BF2E49" w:rsidRDefault="002542A5">
      <w:pPr>
        <w:rPr>
          <w:noProof/>
        </w:rPr>
      </w:pPr>
      <w:r>
        <w:rPr>
          <w:noProof/>
        </w:rPr>
        <w:t>V zadnjih letih so si države članice v okviru skupine za kodeks ravnanja prizadevale za izboljšanje izme</w:t>
      </w:r>
      <w:r>
        <w:rPr>
          <w:noProof/>
        </w:rPr>
        <w:t>njave podatkov v zvezi s čezmejnimi davčnimi stališči na področju transfernih cen. Skupina za kodeks ravnanja je s poročili</w:t>
      </w:r>
      <w:r>
        <w:rPr>
          <w:rStyle w:val="FootnoteReference"/>
          <w:noProof/>
        </w:rPr>
        <w:footnoteReference w:id="7"/>
      </w:r>
      <w:r>
        <w:rPr>
          <w:noProof/>
        </w:rPr>
        <w:t xml:space="preserve"> redno obveščala Svet o svojih ugotovitvah. </w:t>
      </w:r>
    </w:p>
    <w:p w:rsidR="00BF2E49" w:rsidRDefault="002542A5">
      <w:pPr>
        <w:pStyle w:val="ManualHeading2"/>
        <w:rPr>
          <w:noProof/>
        </w:rPr>
      </w:pPr>
      <w:r>
        <w:rPr>
          <w:noProof/>
        </w:rPr>
        <w:t>2.2</w:t>
      </w:r>
      <w:r>
        <w:rPr>
          <w:noProof/>
        </w:rPr>
        <w:tab/>
        <w:t>Države članice</w:t>
      </w:r>
    </w:p>
    <w:p w:rsidR="00BF2E49" w:rsidRDefault="002542A5">
      <w:pPr>
        <w:rPr>
          <w:noProof/>
        </w:rPr>
      </w:pPr>
      <w:r>
        <w:rPr>
          <w:noProof/>
        </w:rPr>
        <w:t>Ta direktiva temelji na vzorčnih navodilih, o katerih so se države č</w:t>
      </w:r>
      <w:r>
        <w:rPr>
          <w:noProof/>
        </w:rPr>
        <w:t>lanice dogovorile leta 2014, zato odraža že opravljeno delo delegatov držav članic v več evropskih forumih. Države članice že nekaj časa razpravljajo o načelu izmenjave podatkov o davčnih stališčih, vendar to zaenkrat ni privedlo do vzpostavitve učinkovite</w:t>
      </w:r>
      <w:r>
        <w:rPr>
          <w:noProof/>
        </w:rPr>
        <w:t xml:space="preserve">ga okvira v ta namen. </w:t>
      </w:r>
    </w:p>
    <w:p w:rsidR="00BF2E49" w:rsidRDefault="002542A5">
      <w:pPr>
        <w:pStyle w:val="ManualHeading2"/>
        <w:rPr>
          <w:noProof/>
        </w:rPr>
      </w:pPr>
      <w:r>
        <w:rPr>
          <w:noProof/>
        </w:rPr>
        <w:t>2.3</w:t>
      </w:r>
      <w:r>
        <w:rPr>
          <w:noProof/>
        </w:rPr>
        <w:tab/>
        <w:t>Subsidiarnost in sorazmernost</w:t>
      </w:r>
    </w:p>
    <w:p w:rsidR="00BF2E49" w:rsidRDefault="002542A5">
      <w:pPr>
        <w:rPr>
          <w:noProof/>
        </w:rPr>
      </w:pPr>
      <w:r>
        <w:rPr>
          <w:noProof/>
        </w:rPr>
        <w:t>Ta predlog je v skladu z načeloma subsidiarnosti in sorazmernosti, kot sta določena v členu 5(3) in (4) Pogodbe o Evropski uniji.</w:t>
      </w:r>
    </w:p>
    <w:p w:rsidR="00BF2E49" w:rsidRDefault="002542A5">
      <w:pPr>
        <w:rPr>
          <w:noProof/>
        </w:rPr>
      </w:pPr>
      <w:r>
        <w:rPr>
          <w:noProof/>
        </w:rPr>
        <w:t>Člen 115 PDEU določa približevanje tistih zakonov in drugih predpisov</w:t>
      </w:r>
      <w:r>
        <w:rPr>
          <w:noProof/>
        </w:rPr>
        <w:t xml:space="preserve"> držav članic, ki neposredno vplivajo na vzpostavitev ali delovanje notranjega trga ter zaradi katerih je potrebno približevanje zakonodaje. </w:t>
      </w:r>
    </w:p>
    <w:p w:rsidR="00BF2E49" w:rsidRDefault="002542A5">
      <w:pPr>
        <w:rPr>
          <w:noProof/>
        </w:rPr>
      </w:pPr>
      <w:r>
        <w:rPr>
          <w:noProof/>
        </w:rPr>
        <w:t>Cilj predloga je zagotoviti, da imajo vse države članice dovolj podatkov o vnaprejšnjih davčnih stališčih s čezmej</w:t>
      </w:r>
      <w:r>
        <w:rPr>
          <w:noProof/>
        </w:rPr>
        <w:t>nim učinkom in vnaprejšnjih cenovnih sporazumih, česar ni mogoče zadovoljivo doseči z neusklajenim ukrepanjem posameznih držav članic. Zato je za izmenjavo podatkov o davčnih stališčih, ki lahko potencialno vplivajo na davčne osnove več kot ene države član</w:t>
      </w:r>
      <w:r>
        <w:rPr>
          <w:noProof/>
        </w:rPr>
        <w:t>ice, potrebno skupno in obvezno ravnanje. Poleg tega je čezmejna razsežnost bistvena sestavina predlaganega ukrepa. Učinkovito obveščanje o vnaprejšnjih davčnih stališčih s čezmejnim učinkom in vnaprejšnjih cenovnih sporazumih se zato lahko doseže le z ukr</w:t>
      </w:r>
      <w:r>
        <w:rPr>
          <w:noProof/>
        </w:rPr>
        <w:t>epanjem na ravni Unije.</w:t>
      </w:r>
    </w:p>
    <w:p w:rsidR="00BF2E49" w:rsidRDefault="002542A5">
      <w:pPr>
        <w:autoSpaceDE w:val="0"/>
        <w:autoSpaceDN w:val="0"/>
        <w:adjustRightInd w:val="0"/>
        <w:rPr>
          <w:noProof/>
        </w:rPr>
      </w:pPr>
      <w:r>
        <w:rPr>
          <w:noProof/>
        </w:rPr>
        <w:t xml:space="preserve">Z vzorčnimi navodili se je položaj morda sicer izboljšal, vendar se pravna podlaga šteje za bolj učinkovito. Poleg tega ni mogoče zagotoviti popolne preglednosti, če o relevantnosti posameznega stališča za druge države članice na </w:t>
      </w:r>
      <w:r>
        <w:rPr>
          <w:noProof/>
        </w:rPr>
        <w:t>podlagi lastnega pravnega okvira presoja država članica, ki je davčno stališče izdala. Davčni zavezanci lahko zaradi neobstoja skupnih pravil o izmenjavi podatkov vzpostavijo strukture, s katerimi se dobiček preusmerja v države z nizko obdavčitvijo, ki nis</w:t>
      </w:r>
      <w:r>
        <w:rPr>
          <w:noProof/>
        </w:rPr>
        <w:t>o nujno države, v katerih se izvaja dobičkonosna gospodarska dejavnost in v katerih se ustvarja vrednost.</w:t>
      </w:r>
      <w:r>
        <w:rPr>
          <w:rStyle w:val="FootnoteReference"/>
          <w:noProof/>
        </w:rPr>
        <w:t xml:space="preserve"> </w:t>
      </w:r>
      <w:r>
        <w:rPr>
          <w:rStyle w:val="FootnoteReference"/>
          <w:noProof/>
        </w:rPr>
        <w:footnoteReference w:id="8"/>
      </w:r>
      <w:r>
        <w:rPr>
          <w:noProof/>
        </w:rPr>
        <w:t xml:space="preserve"> Ker se davčna stališča pogosto izdajo za čezmejne strukture, so države članice za pridobitev celovite slike odvisne od drugih držav članic. Za zagot</w:t>
      </w:r>
      <w:r>
        <w:rPr>
          <w:noProof/>
        </w:rPr>
        <w:t>ovitev učinkovitosti in celovitosti sistema izmenjave podatkov o davčnih stališčih je za države članice bolje, da sodelujejo, kot pa da vsaka država članica deluje zase. Za zagotovitev davčne preglednosti in sodelovanja med davčnimi upravami v boju proti i</w:t>
      </w:r>
      <w:r>
        <w:rPr>
          <w:noProof/>
        </w:rPr>
        <w:t xml:space="preserve">zogibanju davkom bi bil bolj učinkovit usklajen pristop na ravni EU. </w:t>
      </w:r>
    </w:p>
    <w:p w:rsidR="00BF2E49" w:rsidRDefault="002542A5">
      <w:pPr>
        <w:rPr>
          <w:noProof/>
        </w:rPr>
      </w:pPr>
      <w:r>
        <w:rPr>
          <w:noProof/>
        </w:rPr>
        <w:t>Pomanjkanje preglednosti o davčnih stališčih čezmejnega pomena ima negativne učinke, zlasti na pravilno delovanje notranjega trga, in predstavlja specifičen problem, ki zahteva politično</w:t>
      </w:r>
      <w:r>
        <w:rPr>
          <w:noProof/>
        </w:rPr>
        <w:t xml:space="preserve"> ukrepanje. Politično ukrepanje je omejeno na davčna stališča s čezmejno razsežnostjo. Pri tem gre za dvostopenjski pristop, v skladu s katerim bi bilo treba vsem državam članicam EU zagotoviti osnovni sklop podatkov, določen v direktivi. Podatki morajo bi</w:t>
      </w:r>
      <w:r>
        <w:rPr>
          <w:noProof/>
        </w:rPr>
        <w:t>ti po eni strani čim bolj jedrnati, po drugi strani pa državi članici prejemnici zagotoviti dovolj informacij za presojo, ali naj zaprosi za dodatne podatke. V drugem koraku lahko države članice, ki lahko dokažejo, da so podatki zanje predvidoma relevantni</w:t>
      </w:r>
      <w:r>
        <w:rPr>
          <w:noProof/>
        </w:rPr>
        <w:t>, zaprosijo za podrobnejše podatke v okviru veljavnih določb direktive. Predlog je tako najbolj sorazmerna rešitev za opredeljene težave, ker se omejuje samo na vnaprejšnja davčna stališča in vnaprejšnje cenovne sporazume s čezmejno razsežnostjo.  Poleg te</w:t>
      </w:r>
      <w:r>
        <w:rPr>
          <w:noProof/>
        </w:rPr>
        <w:t>ga temelji na avtomatični izmenjavi osnovnih podatkov, na podlagi katerih lahko vsaka država članica presodi, ali bi bilo treba zahtevati dodatne, podrobnejše podatke. Predlagane spremembe ne presegajo tistega, kar je potrebno za rešitev perečih vprašanj t</w:t>
      </w:r>
      <w:r>
        <w:rPr>
          <w:noProof/>
        </w:rPr>
        <w:t xml:space="preserve">er doseganje cilja Pogodb, tj. pravilnega in učinkovitega delovanja notranjega trga. </w:t>
      </w:r>
    </w:p>
    <w:p w:rsidR="00BF2E49" w:rsidRDefault="002542A5">
      <w:pPr>
        <w:pStyle w:val="ManualHeading2"/>
        <w:rPr>
          <w:noProof/>
        </w:rPr>
      </w:pPr>
      <w:r>
        <w:rPr>
          <w:noProof/>
        </w:rPr>
        <w:t>2.4</w:t>
      </w:r>
      <w:r>
        <w:rPr>
          <w:noProof/>
        </w:rPr>
        <w:tab/>
        <w:t>Delovni dokument služb Komisije</w:t>
      </w:r>
    </w:p>
    <w:p w:rsidR="00BF2E49" w:rsidRDefault="002542A5">
      <w:pPr>
        <w:rPr>
          <w:noProof/>
        </w:rPr>
      </w:pPr>
      <w:r>
        <w:rPr>
          <w:noProof/>
        </w:rPr>
        <w:t>Priloženi delovni dokument služb Komisije vsebuje oceno možnosti politike na podlagi naslednjih meril: uspešnost, učinkovitost, skladn</w:t>
      </w:r>
      <w:r>
        <w:rPr>
          <w:noProof/>
        </w:rPr>
        <w:t xml:space="preserve">ost, družbene posledice in temeljne pravice. Analizo možnosti je pripravila Komisija v podporo nazadnje izbrani možnosti. </w:t>
      </w:r>
    </w:p>
    <w:p w:rsidR="00BF2E49" w:rsidRDefault="002542A5">
      <w:pPr>
        <w:pStyle w:val="ManualHeading1"/>
        <w:rPr>
          <w:noProof/>
        </w:rPr>
      </w:pPr>
      <w:r>
        <w:rPr>
          <w:noProof/>
        </w:rPr>
        <w:t>3.</w:t>
      </w:r>
      <w:r>
        <w:rPr>
          <w:noProof/>
        </w:rPr>
        <w:tab/>
        <w:t>PRAVNI ELEMENTI PREDLOGA</w:t>
      </w:r>
    </w:p>
    <w:p w:rsidR="00BF2E49" w:rsidRDefault="002542A5">
      <w:pPr>
        <w:rPr>
          <w:noProof/>
        </w:rPr>
      </w:pPr>
      <w:r>
        <w:rPr>
          <w:noProof/>
        </w:rPr>
        <w:t>Cilj tega predloga je zagotoviti avtomatično izmenjavo podatkov o vnaprejšnjih davčnih stališčih s čezmej</w:t>
      </w:r>
      <w:r>
        <w:rPr>
          <w:noProof/>
        </w:rPr>
        <w:t xml:space="preserve">nim učinkom in vnaprejšnjih cenovnih sporazumih med državami članicami, kadar so izpolnjeni pogoji iz novega člena 8a. </w:t>
      </w:r>
    </w:p>
    <w:p w:rsidR="00BF2E49" w:rsidRDefault="002542A5">
      <w:pPr>
        <w:rPr>
          <w:noProof/>
        </w:rPr>
      </w:pPr>
      <w:r>
        <w:rPr>
          <w:noProof/>
        </w:rPr>
        <w:t>V ta namen ta predlog spreminja Direktivo 2011/16/EU, kakor je bila spremenjena z Direktivo 2014/107/EU</w:t>
      </w:r>
      <w:r>
        <w:rPr>
          <w:rStyle w:val="FootnoteReference"/>
          <w:noProof/>
        </w:rPr>
        <w:footnoteReference w:id="9"/>
      </w:r>
      <w:r>
        <w:rPr>
          <w:noProof/>
        </w:rPr>
        <w:t>, in sicer z uvedbo posebne zaht</w:t>
      </w:r>
      <w:r>
        <w:rPr>
          <w:noProof/>
        </w:rPr>
        <w:t xml:space="preserve">eve v zvezi z avtomatično izmenjavo podatkov o vnaprejšnjih davčnih stališčih s čezmejnim učinkom in vnaprejšnjih cenovnih sporazumih.  </w:t>
      </w:r>
    </w:p>
    <w:p w:rsidR="00BF2E49" w:rsidRDefault="002542A5">
      <w:pPr>
        <w:rPr>
          <w:noProof/>
        </w:rPr>
      </w:pPr>
      <w:r>
        <w:rPr>
          <w:noProof/>
        </w:rPr>
        <w:t>Tako se s členom 1(3) predlagane direktive v veljavno direktivo vstavi novi člen 8a, ki določa področje uporabe in pogo</w:t>
      </w:r>
      <w:r>
        <w:rPr>
          <w:noProof/>
        </w:rPr>
        <w:t>je za obvezno avtomatično izmenjavo podatkov o davčnih stališčih in sporazumih o transfernih cenah, kakor so opredeljeni v členu 1(1) predloga. Člen 8a(1) določa, da pristojni organi države članice z avtomatično izmenjavo pristojnim organom vseh drugih drž</w:t>
      </w:r>
      <w:r>
        <w:rPr>
          <w:noProof/>
        </w:rPr>
        <w:t>av članic sporočijo podatke o določenih davčnih stališčih, ki jih izdajo ali spremenijo. Ta obveznost velja tudi za davčna stališča, ki so bila izdana v desetih letih pred datumom začetka veljavnosti predlagane direktive in so še vedno v veljavi na dan zač</w:t>
      </w:r>
      <w:r>
        <w:rPr>
          <w:noProof/>
        </w:rPr>
        <w:t>etka veljavnosti direktive (člen 8a(2)).</w:t>
      </w:r>
    </w:p>
    <w:p w:rsidR="00BF2E49" w:rsidRDefault="002542A5">
      <w:pPr>
        <w:rPr>
          <w:noProof/>
        </w:rPr>
      </w:pPr>
      <w:r>
        <w:rPr>
          <w:noProof/>
        </w:rPr>
        <w:t>Člen 1(6) predlagane direktive Komisiji omogoča, da vzpostavi varno osrednjo podatkovno zbirko za podatke, sporočene v okviru tega predloga. Ta osrednja podatkovna zbirka bi olajšala izmenjavo podatkov ter državam č</w:t>
      </w:r>
      <w:r>
        <w:rPr>
          <w:noProof/>
        </w:rPr>
        <w:t xml:space="preserve">lanicam pomagala pri preučevanju podatkov o davčnih stališčih, izmenjanih med državami članicami, in pri odzivanju nanje. </w:t>
      </w:r>
    </w:p>
    <w:p w:rsidR="00BF2E49" w:rsidRDefault="002542A5">
      <w:pPr>
        <w:rPr>
          <w:noProof/>
        </w:rPr>
      </w:pPr>
      <w:r>
        <w:rPr>
          <w:noProof/>
        </w:rPr>
        <w:t>S predlagano direktivo se tudi posodabljajo pravila v direktivi iz leta 2011 v zvezi z zagotavljanjem povratnih informacij, praktični</w:t>
      </w:r>
      <w:r>
        <w:rPr>
          <w:noProof/>
        </w:rPr>
        <w:t>mi postopki za izmenjavo podatkov ter oceno upravnega sodelovanja, in sicer z razširitvijo uporabe teh pravil na avtomatično izmenjavo podatkov o vnaprejšnjih davčnih stališčih s čezmejnim učinkom in vnaprejšnjih cenovnih sporazumih.</w:t>
      </w:r>
    </w:p>
    <w:p w:rsidR="00BF2E49" w:rsidRDefault="002542A5">
      <w:pPr>
        <w:rPr>
          <w:noProof/>
        </w:rPr>
      </w:pPr>
      <w:r>
        <w:rPr>
          <w:noProof/>
        </w:rPr>
        <w:t>Za predmet teh spremem</w:t>
      </w:r>
      <w:r>
        <w:rPr>
          <w:noProof/>
        </w:rPr>
        <w:t>b se uporablja ista pravna podlaga kot za Direktivo 2011/16/EU, to je člen 115 Pogodbe o delovanju Evropske unije (PDEU), katerega cilj je zagotoviti pravilno delovanje notranjega trga.</w:t>
      </w:r>
    </w:p>
    <w:p w:rsidR="00BF2E49" w:rsidRDefault="002542A5">
      <w:pPr>
        <w:pStyle w:val="ManualHeading1"/>
        <w:rPr>
          <w:noProof/>
        </w:rPr>
      </w:pPr>
      <w:r>
        <w:rPr>
          <w:noProof/>
        </w:rPr>
        <w:t>4.</w:t>
      </w:r>
      <w:r>
        <w:rPr>
          <w:noProof/>
        </w:rPr>
        <w:tab/>
        <w:t>PRORAČUNSKE POSLEDICE</w:t>
      </w:r>
    </w:p>
    <w:p w:rsidR="00BF2E49" w:rsidRDefault="002542A5">
      <w:pPr>
        <w:rPr>
          <w:noProof/>
        </w:rPr>
      </w:pPr>
      <w:r>
        <w:rPr>
          <w:noProof/>
        </w:rPr>
        <w:t>Vpliv predloga na proračun EU je prikazan v o</w:t>
      </w:r>
      <w:r>
        <w:rPr>
          <w:noProof/>
        </w:rPr>
        <w:t>ceni finančnih posledic, ki je priložena predlogu, in bo krit v okviru razpoložljivih sredstev. Stroški dodatnih informacijskih orodij in morebitne osrednje podatkovne zbirke, ki jo Komisija lahko vzpostavi v prihodnosti za olajšanje izmenjave podatkov med</w:t>
      </w:r>
      <w:r>
        <w:rPr>
          <w:noProof/>
        </w:rPr>
        <w:t xml:space="preserve"> državami članicami in njihovo hrambo, bi se financirali iz programa Fiscalis 2020 iz Uredbe (EU) št. 1286/2013, ki finančno podpira dejavnosti za izboljšanje upravnega sodelovanja med davčnimi organi v EU.</w:t>
      </w:r>
    </w:p>
    <w:p w:rsidR="00BF2E49" w:rsidRDefault="00BF2E49">
      <w:pPr>
        <w:rPr>
          <w:noProof/>
        </w:rPr>
        <w:sectPr w:rsidR="00BF2E49">
          <w:footerReference w:type="default" r:id="rId14"/>
          <w:footerReference w:type="first" r:id="rId15"/>
          <w:pgSz w:w="11907" w:h="16839"/>
          <w:pgMar w:top="1134" w:right="1417" w:bottom="1134" w:left="1417" w:header="709" w:footer="709" w:gutter="0"/>
          <w:cols w:space="708"/>
          <w:docGrid w:linePitch="360"/>
        </w:sectPr>
      </w:pPr>
    </w:p>
    <w:p w:rsidR="00BF2E49" w:rsidRDefault="002542A5">
      <w:pPr>
        <w:pStyle w:val="Rfrenceinterinstitutionnelle"/>
        <w:rPr>
          <w:noProof/>
        </w:rPr>
      </w:pPr>
      <w:r>
        <w:rPr>
          <w:noProof/>
        </w:rPr>
        <w:t>2015/0068 (CNS)</w:t>
      </w:r>
    </w:p>
    <w:p w:rsidR="00BF2E49" w:rsidRDefault="002542A5">
      <w:pPr>
        <w:pStyle w:val="Statut"/>
        <w:rPr>
          <w:noProof/>
        </w:rPr>
      </w:pPr>
      <w:r>
        <w:rPr>
          <w:noProof/>
        </w:rPr>
        <w:t>Predlog</w:t>
      </w:r>
    </w:p>
    <w:p w:rsidR="00BF2E49" w:rsidRDefault="002542A5">
      <w:pPr>
        <w:pStyle w:val="Typedudocument"/>
        <w:rPr>
          <w:noProof/>
        </w:rPr>
      </w:pPr>
      <w:r>
        <w:rPr>
          <w:noProof/>
        </w:rPr>
        <w:t>DIREKTIVA SVETA</w:t>
      </w:r>
    </w:p>
    <w:p w:rsidR="00BF2E49" w:rsidRDefault="002542A5">
      <w:pPr>
        <w:pStyle w:val="Titreobjet"/>
        <w:rPr>
          <w:noProof/>
        </w:rPr>
      </w:pPr>
      <w:r>
        <w:rPr>
          <w:noProof/>
        </w:rPr>
        <w:t>o spremembi Direktive 2011/16/EU glede obvezne avtomatične izmenjave podatkov na področju obdavčenja</w:t>
      </w:r>
    </w:p>
    <w:p w:rsidR="00BF2E49" w:rsidRDefault="002542A5">
      <w:pPr>
        <w:pStyle w:val="Institutionquiagit"/>
        <w:rPr>
          <w:noProof/>
        </w:rPr>
      </w:pPr>
      <w:r>
        <w:rPr>
          <w:noProof/>
        </w:rPr>
        <w:t>SVET EVROPSKE UNIJE JE –</w:t>
      </w:r>
    </w:p>
    <w:p w:rsidR="00BF2E49" w:rsidRDefault="002542A5">
      <w:pPr>
        <w:rPr>
          <w:noProof/>
        </w:rPr>
      </w:pPr>
      <w:r>
        <w:rPr>
          <w:noProof/>
        </w:rPr>
        <w:t xml:space="preserve">ob upoštevanju Pogodbe o delovanju </w:t>
      </w:r>
      <w:r>
        <w:rPr>
          <w:noProof/>
        </w:rPr>
        <w:t>Evropske unije, zlasti člena 115 Pogodbe,</w:t>
      </w:r>
    </w:p>
    <w:p w:rsidR="00BF2E49" w:rsidRDefault="002542A5">
      <w:pPr>
        <w:rPr>
          <w:noProof/>
        </w:rPr>
      </w:pPr>
      <w:r>
        <w:rPr>
          <w:noProof/>
        </w:rPr>
        <w:t>ob upoštevanju predloga Evropske komisije,</w:t>
      </w:r>
    </w:p>
    <w:p w:rsidR="00BF2E49" w:rsidRDefault="002542A5">
      <w:pPr>
        <w:rPr>
          <w:noProof/>
        </w:rPr>
      </w:pPr>
      <w:r>
        <w:rPr>
          <w:noProof/>
        </w:rPr>
        <w:t>po posredovanju osnutka zakonodajnega akta nacionalnim parlamentom,</w:t>
      </w:r>
    </w:p>
    <w:p w:rsidR="00BF2E49" w:rsidRDefault="002542A5">
      <w:pPr>
        <w:rPr>
          <w:noProof/>
        </w:rPr>
      </w:pPr>
      <w:r>
        <w:rPr>
          <w:noProof/>
        </w:rPr>
        <w:t>ob upoštevanju mnenja Evropskega parlamenta</w:t>
      </w:r>
      <w:r>
        <w:rPr>
          <w:rStyle w:val="FootnoteReference"/>
          <w:noProof/>
        </w:rPr>
        <w:footnoteReference w:id="10"/>
      </w:r>
      <w:r>
        <w:rPr>
          <w:noProof/>
        </w:rPr>
        <w:t xml:space="preserve">, </w:t>
      </w:r>
    </w:p>
    <w:p w:rsidR="00BF2E49" w:rsidRDefault="002542A5">
      <w:pPr>
        <w:rPr>
          <w:noProof/>
        </w:rPr>
      </w:pPr>
      <w:r>
        <w:rPr>
          <w:noProof/>
        </w:rPr>
        <w:t>ob upoštevanju mnenja Evropskega ekonomsko-socialnega od</w:t>
      </w:r>
      <w:r>
        <w:rPr>
          <w:noProof/>
        </w:rPr>
        <w:t>bora</w:t>
      </w:r>
      <w:r>
        <w:rPr>
          <w:rStyle w:val="FootnoteReference"/>
          <w:noProof/>
        </w:rPr>
        <w:footnoteReference w:id="11"/>
      </w:r>
      <w:r>
        <w:rPr>
          <w:noProof/>
        </w:rPr>
        <w:t xml:space="preserve">, </w:t>
      </w:r>
    </w:p>
    <w:p w:rsidR="00BF2E49" w:rsidRDefault="002542A5">
      <w:pPr>
        <w:rPr>
          <w:noProof/>
        </w:rPr>
      </w:pPr>
      <w:r>
        <w:rPr>
          <w:noProof/>
        </w:rPr>
        <w:t>ob upoštevanju mnenja Odbora regij</w:t>
      </w:r>
      <w:r>
        <w:rPr>
          <w:rStyle w:val="FootnoteReference"/>
          <w:noProof/>
        </w:rPr>
        <w:footnoteReference w:id="12"/>
      </w:r>
      <w:r>
        <w:rPr>
          <w:noProof/>
        </w:rPr>
        <w:t xml:space="preserve">, </w:t>
      </w:r>
    </w:p>
    <w:p w:rsidR="00BF2E49" w:rsidRDefault="002542A5">
      <w:pPr>
        <w:rPr>
          <w:noProof/>
        </w:rPr>
      </w:pPr>
      <w:r>
        <w:rPr>
          <w:noProof/>
        </w:rPr>
        <w:t>v skladu s posebnim zakonodajnim postopkom,</w:t>
      </w:r>
    </w:p>
    <w:p w:rsidR="00BF2E49" w:rsidRDefault="002542A5">
      <w:pPr>
        <w:rPr>
          <w:noProof/>
        </w:rPr>
      </w:pPr>
      <w:r>
        <w:rPr>
          <w:noProof/>
        </w:rPr>
        <w:t>ob upoštevanju naslednjega:</w:t>
      </w:r>
    </w:p>
    <w:p w:rsidR="00BF2E49" w:rsidRDefault="002542A5">
      <w:pPr>
        <w:pStyle w:val="ManualConsidrant"/>
        <w:rPr>
          <w:noProof/>
        </w:rPr>
      </w:pPr>
      <w:r>
        <w:t>(1)</w:t>
      </w:r>
      <w:r>
        <w:tab/>
      </w:r>
      <w:r>
        <w:rPr>
          <w:noProof/>
        </w:rPr>
        <w:t>Čezmejno izogibanje davkom, agresivno davčno načrtovanje in škodljiva davčna konkurenca predstavljajo vedno večji izziv in veliko teža</w:t>
      </w:r>
      <w:r>
        <w:rPr>
          <w:noProof/>
        </w:rPr>
        <w:t>vo znotraj Unije in na svetovni ravni. Erozija davčne osnove znatno zmanjšuje nacionalne davčne prihodke, kar države članice ovira pri izvajanju davčnih politik, ki so prijazne rasti. Zaradi davčnih stališč, izdanim v podporo strukturam davčnega načrtovanj</w:t>
      </w:r>
      <w:r>
        <w:rPr>
          <w:noProof/>
        </w:rPr>
        <w:t>a, prihaja do nizke obdavčitve umetno visokih zneskov dohodka v državi, ki je izdala vnaprejšnje davčno stališče, in do umetno nizkih zneskov obdavčljivega dohodka v drugih vpletenih državah. Zato je nujno potrebno povečanje preglednosti. V ta namen je tre</w:t>
      </w:r>
      <w:r>
        <w:rPr>
          <w:noProof/>
        </w:rPr>
        <w:t>ba izboljšati orodja in mehanizme, vzpostavljene z Direktivo Sveta 2011/16/EU</w:t>
      </w:r>
      <w:r>
        <w:rPr>
          <w:rStyle w:val="FootnoteReference"/>
          <w:noProof/>
        </w:rPr>
        <w:footnoteReference w:id="13"/>
      </w:r>
      <w:r>
        <w:rPr>
          <w:noProof/>
        </w:rPr>
        <w:t xml:space="preserve">. </w:t>
      </w:r>
    </w:p>
    <w:p w:rsidR="00BF2E49" w:rsidRDefault="002542A5">
      <w:pPr>
        <w:pStyle w:val="ManualConsidrant"/>
        <w:rPr>
          <w:noProof/>
        </w:rPr>
      </w:pPr>
      <w:r>
        <w:t>(2)</w:t>
      </w:r>
      <w:r>
        <w:tab/>
      </w:r>
      <w:r>
        <w:rPr>
          <w:noProof/>
        </w:rPr>
        <w:t>Evropski svet je v sklepih z dne 18. decembra 2014 poudaril, da se je treba nujno prizadevneje boriti proti izogibanju davkom in agresivnemu davčnemu načrtovanju, tako na svetovni ravni kot na ravni Unije. Poudaril je tudi pomen preglednosti in navedel, da</w:t>
      </w:r>
      <w:r>
        <w:rPr>
          <w:noProof/>
        </w:rPr>
        <w:t xml:space="preserve"> z zanimanjem pričakuje predlog Komisije o avtomatični izmenjavi podatkov o davčnih stališčih v Uniji. </w:t>
      </w:r>
    </w:p>
    <w:p w:rsidR="00BF2E49" w:rsidRDefault="002542A5">
      <w:pPr>
        <w:pStyle w:val="ManualConsidrant"/>
        <w:rPr>
          <w:noProof/>
        </w:rPr>
      </w:pPr>
      <w:r>
        <w:t>(3)</w:t>
      </w:r>
      <w:r>
        <w:tab/>
      </w:r>
      <w:r>
        <w:rPr>
          <w:noProof/>
        </w:rPr>
        <w:t>Direktiva 2011/16/EU določa obvezno izmenjavo podatkov na lastno pobudo med državami članicami v petih specifičnih primerih in v določenih rokih. Iz</w:t>
      </w:r>
      <w:r>
        <w:rPr>
          <w:noProof/>
        </w:rPr>
        <w:t>menjava podatkov na lastno pobudo v primerih, ko ima pristojni organ ene države članice razloge za domnevo, da gre morda za izgubo davka v drugi državi članici, že zdaj velja za davčna stališča s čezmejno razsežnostjo, ki jih država članica izda določenemu</w:t>
      </w:r>
      <w:r>
        <w:rPr>
          <w:noProof/>
        </w:rPr>
        <w:t xml:space="preserve"> davčnemu zavezancu v zvezi z razlago ali uporabo davčnih predpisov v prihodnosti.</w:t>
      </w:r>
    </w:p>
    <w:p w:rsidR="00BF2E49" w:rsidRDefault="002542A5">
      <w:pPr>
        <w:pStyle w:val="ManualConsidrant"/>
        <w:rPr>
          <w:noProof/>
        </w:rPr>
      </w:pPr>
      <w:r>
        <w:t>(4)</w:t>
      </w:r>
      <w:r>
        <w:tab/>
      </w:r>
      <w:r>
        <w:rPr>
          <w:noProof/>
        </w:rPr>
        <w:t>Vendar učinkovito izmenjavo podatkov na lastno pobudo v zvezi z vnaprejšnjimi davčnimi stališči s čezmejnim učinkom in vnaprejšnjimi cenovnimi sporazumi ovira več pomemb</w:t>
      </w:r>
      <w:r>
        <w:rPr>
          <w:noProof/>
        </w:rPr>
        <w:t xml:space="preserve">nih praktičnih težav, kot je diskrecijska pravica države članice, ki je tak dokument izdala, da odloči o tem, katere druge države članice bi morale biti o tem obveščene.   </w:t>
      </w:r>
    </w:p>
    <w:p w:rsidR="00BF2E49" w:rsidRDefault="002542A5">
      <w:pPr>
        <w:pStyle w:val="ManualConsidrant"/>
        <w:rPr>
          <w:noProof/>
        </w:rPr>
      </w:pPr>
      <w:r>
        <w:t>(5)</w:t>
      </w:r>
      <w:r>
        <w:tab/>
      </w:r>
      <w:r>
        <w:rPr>
          <w:noProof/>
        </w:rPr>
        <w:t>V določbe o obvezni avtomatični izmenjavi podatkov o vnaprejšnjih davčnih stali</w:t>
      </w:r>
      <w:r>
        <w:rPr>
          <w:noProof/>
        </w:rPr>
        <w:t>ščih s čezmejnim učinkom in vnaprejšnjih cenovnih sporazumih se ne bi smela vključiti možnost, da se predložitev podatkov zavrne, kadar bi z njo prišlo do razkritja poslovnih, industrijskih ali poklicnih skrivnosti ali poslovnega procesa ali če bi bilo raz</w:t>
      </w:r>
      <w:r>
        <w:rPr>
          <w:noProof/>
        </w:rPr>
        <w:t>kritje teh podatkov v nasprotju z javnim redom; v takem primeru bi se namreč zmanjšala učinkovitost teh izmenjav. Omejen obseg podatkov, ki se sporočijo vsem državam članicam, bi moral zagotoviti zadostno zaščito teh poslovnih interesov.</w:t>
      </w:r>
    </w:p>
    <w:p w:rsidR="00BF2E49" w:rsidRDefault="002542A5">
      <w:pPr>
        <w:pStyle w:val="ManualConsidrant"/>
        <w:rPr>
          <w:noProof/>
        </w:rPr>
      </w:pPr>
      <w:r>
        <w:t>(6)</w:t>
      </w:r>
      <w:r>
        <w:tab/>
      </w:r>
      <w:r>
        <w:rPr>
          <w:noProof/>
        </w:rPr>
        <w:t>Da se zagotovi</w:t>
      </w:r>
      <w:r>
        <w:rPr>
          <w:noProof/>
        </w:rPr>
        <w:t>jo koristi obvezne avtomatične izmenjave podatkov o vnaprejšnjih davčnih stališčih s čezmejnim učinkom in vnaprejšnjih cenovnih sporazumih, bi bilo treba podatke sporočiti takoj po izdaji takih dokumentov; v ta namen bi bilo treba določiti redne časovne pr</w:t>
      </w:r>
      <w:r>
        <w:rPr>
          <w:noProof/>
        </w:rPr>
        <w:t xml:space="preserve">esledke za sporočanje informacij. </w:t>
      </w:r>
    </w:p>
    <w:p w:rsidR="00BF2E49" w:rsidRDefault="002542A5">
      <w:pPr>
        <w:pStyle w:val="ManualConsidrant"/>
        <w:rPr>
          <w:noProof/>
        </w:rPr>
      </w:pPr>
      <w:r>
        <w:t>(7)</w:t>
      </w:r>
      <w:r>
        <w:tab/>
      </w:r>
      <w:r>
        <w:rPr>
          <w:noProof/>
        </w:rPr>
        <w:t>Obvezna avtomatična izmenjava podatkov o vnaprejšnjih davčnih stališčih s čezmejnim učinkom in vnaprejšnjih cenovnih sporazumih bi morala v vsakem primeru vključevati predložitev določenih osnovnih podatkov vsem držav</w:t>
      </w:r>
      <w:r>
        <w:rPr>
          <w:noProof/>
        </w:rPr>
        <w:t>am članicam. Komisija bi morala sprejeti vse potrebne ukrepe za standardizacijo sporočanja takih podatkov po postopku iz Direktive 2011/16/EU za določitev standardnega obrazca, ki se bo uporabljal za izmenjavo podatkov. Navedeni postopek bi bilo treba upor</w:t>
      </w:r>
      <w:r>
        <w:rPr>
          <w:noProof/>
        </w:rPr>
        <w:t xml:space="preserve">abiti tudi za sprejetje vseh potrebnih ukrepov in praktičnih postopkov v zvezi z izmenjavo podatkov. </w:t>
      </w:r>
    </w:p>
    <w:p w:rsidR="00BF2E49" w:rsidRDefault="002542A5">
      <w:pPr>
        <w:pStyle w:val="ManualConsidrant"/>
        <w:rPr>
          <w:noProof/>
        </w:rPr>
      </w:pPr>
      <w:r>
        <w:t>(8)</w:t>
      </w:r>
      <w:r>
        <w:tab/>
      </w:r>
      <w:r>
        <w:rPr>
          <w:noProof/>
        </w:rPr>
        <w:t xml:space="preserve">Države članice bi navedene osnovne podatke morale sporočati tudi Komisiji. To bi Komisiji omogočilo redno spremljanje in oceno učinkovitega izvajanja </w:t>
      </w:r>
      <w:r>
        <w:rPr>
          <w:noProof/>
        </w:rPr>
        <w:t xml:space="preserve">avtomatične izmenjave podatkov o vnaprejšnjih davčnih stališčih s čezmejnim učinkom in vnaprejšnjih cenovnih sporazumih. Predložitev takih podatkov pa države članice ne razreši obveznosti priglasitve kakršne koli državne pomoči Komisiji. </w:t>
      </w:r>
    </w:p>
    <w:p w:rsidR="00BF2E49" w:rsidRDefault="002542A5">
      <w:pPr>
        <w:pStyle w:val="ManualConsidrant"/>
        <w:rPr>
          <w:noProof/>
        </w:rPr>
      </w:pPr>
      <w:r>
        <w:t>(9)</w:t>
      </w:r>
      <w:r>
        <w:tab/>
      </w:r>
      <w:r>
        <w:rPr>
          <w:noProof/>
        </w:rPr>
        <w:t>Povratne info</w:t>
      </w:r>
      <w:r>
        <w:rPr>
          <w:noProof/>
        </w:rPr>
        <w:t>rmacije, ki jih država članica prejemnica predloži državi članici pošiljateljici podatkov, so nujne za delovanje učinkovitega sistema avtomatične izmenjave podatkov. Zato je primerno določiti ukrepe, ki omogočajo zagotavljanje povratnih informacij v primer</w:t>
      </w:r>
      <w:r>
        <w:rPr>
          <w:noProof/>
        </w:rPr>
        <w:t>ih, ko so bili podatki uporabljeni in ni mogoče poslati povratnih informacij po drugih določbah Direktive 2011/16/EU.</w:t>
      </w:r>
    </w:p>
    <w:p w:rsidR="00BF2E49" w:rsidRDefault="002542A5">
      <w:pPr>
        <w:pStyle w:val="ManualConsidrant"/>
        <w:rPr>
          <w:noProof/>
        </w:rPr>
      </w:pPr>
      <w:r>
        <w:t>(10)</w:t>
      </w:r>
      <w:r>
        <w:tab/>
      </w:r>
      <w:r>
        <w:rPr>
          <w:noProof/>
        </w:rPr>
        <w:t>Država članica bi morala imeti možnost, da se za pridobitev dodatnih informacij od države članice, ki je izdala vnaprejšnje davčne st</w:t>
      </w:r>
      <w:r>
        <w:rPr>
          <w:noProof/>
        </w:rPr>
        <w:t>ališče s čezmejnim učinkom ali vnaprejšnji cenovni sporazum, vključno s celotnim besedilom takega stališča ali sporazuma, opre na člen 5 Direktive 2011/16/EU o izmenjavi informacij na zaprosilo.</w:t>
      </w:r>
    </w:p>
    <w:p w:rsidR="00BF2E49" w:rsidRDefault="002542A5">
      <w:pPr>
        <w:pStyle w:val="ManualConsidrant"/>
        <w:rPr>
          <w:noProof/>
        </w:rPr>
      </w:pPr>
      <w:r>
        <w:t>(11)</w:t>
      </w:r>
      <w:r>
        <w:tab/>
      </w:r>
      <w:r>
        <w:rPr>
          <w:noProof/>
        </w:rPr>
        <w:t>Države članice bi morale sprejeti vse potrebne ukrepe za</w:t>
      </w:r>
      <w:r>
        <w:rPr>
          <w:noProof/>
        </w:rPr>
        <w:t xml:space="preserve"> odpravo morebitnih ovir, ki bi lahko preprečile učinkovito in kar najširšo obvezno avtomatično izmenjavo podatkov o vnaprejšnjih davčnih stališčih s čezmejnim učinkom in vnaprejšnjih cenovnih sporazumih. </w:t>
      </w:r>
    </w:p>
    <w:p w:rsidR="00BF2E49" w:rsidRDefault="002542A5">
      <w:pPr>
        <w:pStyle w:val="ManualConsidrant"/>
        <w:rPr>
          <w:noProof/>
        </w:rPr>
      </w:pPr>
      <w:r>
        <w:t>(12)</w:t>
      </w:r>
      <w:r>
        <w:tab/>
      </w:r>
      <w:r>
        <w:rPr>
          <w:noProof/>
        </w:rPr>
        <w:t xml:space="preserve">Za učinkovitejšo rabo virov, lažjo izmenjavo </w:t>
      </w:r>
      <w:r>
        <w:rPr>
          <w:noProof/>
        </w:rPr>
        <w:t>podatkov ter da vsaki državi članici ne bi bilo treba razvijati lastnih sistemov za hrambo podatkov, bi bilo treba predvideti vzpostavitev osrednje podatkovne zbirke, ki bi bila na voljo vsem državam članicam in Komisiji ter v katero bi države članice nalo</w:t>
      </w:r>
      <w:r>
        <w:rPr>
          <w:noProof/>
        </w:rPr>
        <w:t>žile in shranile podatke, namesto da bi jih pošiljale po elektronski pošti. Komisija bi morala določiti praktične postopke za vzpostavitev take podatkovne zbirke v skladu s postopkom iz člena 26(2) Direktive 2011/16/EU.</w:t>
      </w:r>
    </w:p>
    <w:p w:rsidR="00BF2E49" w:rsidRDefault="002542A5">
      <w:pPr>
        <w:pStyle w:val="ManualConsidrant"/>
        <w:rPr>
          <w:noProof/>
        </w:rPr>
      </w:pPr>
      <w:r>
        <w:t>(13)</w:t>
      </w:r>
      <w:r>
        <w:tab/>
      </w:r>
      <w:r>
        <w:rPr>
          <w:noProof/>
        </w:rPr>
        <w:t>Glede na naravo in obseg spreme</w:t>
      </w:r>
      <w:r>
        <w:rPr>
          <w:noProof/>
        </w:rPr>
        <w:t>mb, uvedenih z Direktivo 2014/107/EU in to direktivo, bi bilo treba podaljšati rok za predložitev statističnih in drugih podatkov ter poročil iz Direktive 2011/16/EU. Tako podaljšanje bi moralo omogočati, da se pri predloženih podatkih upoštevajo izkušnje,</w:t>
      </w:r>
      <w:r>
        <w:rPr>
          <w:noProof/>
        </w:rPr>
        <w:t xml:space="preserve"> ki izhajajo iz navedenih sprememb. Podaljšati bi bilo treba rok, do katerega morajo države članice predložiti statistične in druge podatke (pred 1. julijem 2016), ter rok, do katerega mora Komisija predložiti poročilo in po potrebi predlog (pred 1. julije</w:t>
      </w:r>
      <w:r>
        <w:rPr>
          <w:noProof/>
        </w:rPr>
        <w:t>m 2017).</w:t>
      </w:r>
    </w:p>
    <w:p w:rsidR="00BF2E49" w:rsidRDefault="002542A5">
      <w:pPr>
        <w:pStyle w:val="ManualConsidrant"/>
        <w:rPr>
          <w:noProof/>
        </w:rPr>
      </w:pPr>
      <w:r>
        <w:t>(14)</w:t>
      </w:r>
      <w:r>
        <w:tab/>
      </w:r>
      <w:r>
        <w:rPr>
          <w:noProof/>
        </w:rPr>
        <w:t>V skladu s postopnim pristopom iz Direktive 2011/16/EU je primerno prilagoditi roke za veljavno obvezno avtomatično izmenjavo podatkov iz člena 8(1) Direktive 2011/16/EU, da se zagotovi, da bodo razpoložljive informacije o različnih kategorij</w:t>
      </w:r>
      <w:r>
        <w:rPr>
          <w:noProof/>
        </w:rPr>
        <w:t xml:space="preserve">ah predložene v devetih mesecih po koncu davčnega leta, na katero se nanašajo. </w:t>
      </w:r>
    </w:p>
    <w:p w:rsidR="00BF2E49" w:rsidRDefault="002542A5">
      <w:pPr>
        <w:pStyle w:val="ManualConsidrant"/>
        <w:rPr>
          <w:noProof/>
        </w:rPr>
      </w:pPr>
      <w:r>
        <w:t>(15)</w:t>
      </w:r>
      <w:r>
        <w:tab/>
      </w:r>
      <w:r>
        <w:rPr>
          <w:noProof/>
        </w:rPr>
        <w:t>Veljavne določbe glede zaupnosti bi bilo treba spremeniti, da se upošteva razširitev obvezne avtomatične izmenjave podatkov na vnaprejšnja davčna stališča s čezmejnim učin</w:t>
      </w:r>
      <w:r>
        <w:rPr>
          <w:noProof/>
        </w:rPr>
        <w:t xml:space="preserve">kom in vnaprejšnje cenovne sporazume.  </w:t>
      </w:r>
    </w:p>
    <w:p w:rsidR="00BF2E49" w:rsidRDefault="002542A5">
      <w:pPr>
        <w:pStyle w:val="ManualConsidrant"/>
        <w:rPr>
          <w:noProof/>
        </w:rPr>
      </w:pPr>
      <w:r>
        <w:t>(16)</w:t>
      </w:r>
      <w:r>
        <w:tab/>
      </w:r>
      <w:r>
        <w:rPr>
          <w:noProof/>
        </w:rPr>
        <w:t>Ta direktiva spoštuje temeljne pravice in upošteva načela, ki jih priznava zlasti Listina Evropske unije o temeljnih pravicah. Še zlasti si prizadeva za dosledno spoštovanje pravice do varstva osebnih podatkov i</w:t>
      </w:r>
      <w:r>
        <w:rPr>
          <w:noProof/>
        </w:rPr>
        <w:t xml:space="preserve">n svobode gospodarske pobude. </w:t>
      </w:r>
    </w:p>
    <w:p w:rsidR="00BF2E49" w:rsidRDefault="002542A5">
      <w:pPr>
        <w:pStyle w:val="ManualConsidrant"/>
        <w:rPr>
          <w:noProof/>
        </w:rPr>
      </w:pPr>
      <w:r>
        <w:t>(17)</w:t>
      </w:r>
      <w:r>
        <w:tab/>
      </w:r>
      <w:r>
        <w:rPr>
          <w:noProof/>
        </w:rPr>
        <w:t>Ker cilja te direktive, to je učinkovitega upravnega sodelovanja med državami članicami pod pogoji, ki so skladni s pravilnim delovanjem notranjega trga, države članice ne morejo zadovoljivo doseči, temveč se zaradi potr</w:t>
      </w:r>
      <w:r>
        <w:rPr>
          <w:noProof/>
        </w:rPr>
        <w:t>ebne enotnosti in učinkovitosti ta lažje doseže na ravni Unije, lahko Unija sprejme ukrepe v skladu z načelom subsidiarnosti iz člena 5 Pogodbe o Evropski uniji. V skladu z načelom sorazmernosti iz navedenega člena ta direktiva ne presega tistega, kar je p</w:t>
      </w:r>
      <w:r>
        <w:rPr>
          <w:noProof/>
        </w:rPr>
        <w:t xml:space="preserve">otrebno za doseganje navedenega cilja. </w:t>
      </w:r>
    </w:p>
    <w:p w:rsidR="00BF2E49" w:rsidRDefault="002542A5">
      <w:pPr>
        <w:pStyle w:val="ManualConsidrant"/>
        <w:rPr>
          <w:noProof/>
        </w:rPr>
      </w:pPr>
      <w:r>
        <w:t>(18)</w:t>
      </w:r>
      <w:r>
        <w:tab/>
      </w:r>
      <w:r>
        <w:rPr>
          <w:noProof/>
        </w:rPr>
        <w:t>Države članice so se v skladu s skupno politično izjavo držav članic in Komisije o obrazložitvenih dokumentih z dne 28. septembra 2011</w:t>
      </w:r>
      <w:r>
        <w:rPr>
          <w:rStyle w:val="FootnoteReference"/>
          <w:noProof/>
        </w:rPr>
        <w:footnoteReference w:id="14"/>
      </w:r>
      <w:r>
        <w:rPr>
          <w:noProof/>
        </w:rPr>
        <w:t xml:space="preserve"> zavezale, da bodo v utemeljenih primerih obvestilu o svojih ukrepih za pren</w:t>
      </w:r>
      <w:r>
        <w:rPr>
          <w:noProof/>
        </w:rPr>
        <w:t>os priložile enega ali več dokumentov, ki bodo pojasnjevali razmerje med sestavnimi deli direktive in ustreznimi deli nacionalnih instrumentov za prenos. Zakonodajalec meni, da je predložitev takšnih dokumentov v primeru te direktive upravičena.</w:t>
      </w:r>
    </w:p>
    <w:p w:rsidR="00BF2E49" w:rsidRDefault="002542A5">
      <w:pPr>
        <w:pStyle w:val="ManualConsidrant"/>
        <w:rPr>
          <w:noProof/>
        </w:rPr>
      </w:pPr>
      <w:r>
        <w:t>(19)</w:t>
      </w:r>
      <w:r>
        <w:tab/>
      </w:r>
      <w:r>
        <w:rPr>
          <w:noProof/>
        </w:rPr>
        <w:t>Direktivo 2011/16/EU bi bilo zato treba ustrezno spremeniti –</w:t>
      </w:r>
    </w:p>
    <w:p w:rsidR="00BF2E49" w:rsidRDefault="002542A5">
      <w:pPr>
        <w:pStyle w:val="Formuledadoption"/>
        <w:rPr>
          <w:noProof/>
        </w:rPr>
      </w:pPr>
      <w:r>
        <w:rPr>
          <w:noProof/>
        </w:rPr>
        <w:t>SPREJEL NASLEDNJO DIREKTIVO:</w:t>
      </w:r>
    </w:p>
    <w:p w:rsidR="00BF2E49" w:rsidRDefault="002542A5">
      <w:pPr>
        <w:pStyle w:val="Titrearticle"/>
        <w:rPr>
          <w:noProof/>
        </w:rPr>
      </w:pPr>
      <w:r>
        <w:rPr>
          <w:noProof/>
        </w:rPr>
        <w:t>Člen 1</w:t>
      </w:r>
    </w:p>
    <w:p w:rsidR="00BF2E49" w:rsidRDefault="002542A5">
      <w:pPr>
        <w:rPr>
          <w:noProof/>
        </w:rPr>
      </w:pPr>
      <w:r>
        <w:rPr>
          <w:noProof/>
        </w:rPr>
        <w:t>Direktiva 2011/16/EU se spremeni:</w:t>
      </w:r>
    </w:p>
    <w:p w:rsidR="00BF2E49" w:rsidRDefault="002542A5">
      <w:pPr>
        <w:rPr>
          <w:b/>
          <w:noProof/>
        </w:rPr>
      </w:pPr>
      <w:r>
        <w:rPr>
          <w:noProof/>
        </w:rPr>
        <w:t>(1)</w:t>
      </w:r>
      <w:r>
        <w:rPr>
          <w:noProof/>
        </w:rPr>
        <w:tab/>
        <w:t>Člen 3 se spremeni:</w:t>
      </w:r>
    </w:p>
    <w:p w:rsidR="00BF2E49" w:rsidRDefault="002542A5">
      <w:pPr>
        <w:rPr>
          <w:b/>
          <w:noProof/>
        </w:rPr>
      </w:pPr>
      <w:r>
        <w:rPr>
          <w:noProof/>
        </w:rPr>
        <w:tab/>
        <w:t>(a) točka 9 se nadomesti z naslednjim:</w:t>
      </w:r>
    </w:p>
    <w:p w:rsidR="00BF2E49" w:rsidRDefault="002542A5">
      <w:pPr>
        <w:ind w:left="720"/>
        <w:rPr>
          <w:noProof/>
        </w:rPr>
      </w:pPr>
      <w:r>
        <w:rPr>
          <w:noProof/>
        </w:rPr>
        <w:t xml:space="preserve">„9.  ,avtomatična izmenjava‘ </w:t>
      </w:r>
    </w:p>
    <w:p w:rsidR="00BF2E49" w:rsidRDefault="002542A5">
      <w:pPr>
        <w:ind w:left="720"/>
        <w:rPr>
          <w:noProof/>
        </w:rPr>
      </w:pPr>
      <w:r>
        <w:rPr>
          <w:noProof/>
        </w:rPr>
        <w:t>(a) v členu 8(1) in členu 8a p</w:t>
      </w:r>
      <w:r>
        <w:rPr>
          <w:noProof/>
        </w:rPr>
        <w:t>omeni sistematično sporočanje vnaprej opredeljenih podatkov drugi državi članici brez predhodnega zaprosila in v vnaprej določenih rednih časovnih presledkih. V členu 8(1) se izraz ,podatki, ki so na voljo‘ nanaša na podatke, ki so v davčnih dosjejih držav</w:t>
      </w:r>
      <w:r>
        <w:rPr>
          <w:noProof/>
        </w:rPr>
        <w:t>e članice, ki sporoča podatke, in so dostopni v skladu s postopki za zbiranje in obdelavo podatkov v navedeni državi članici;</w:t>
      </w:r>
    </w:p>
    <w:p w:rsidR="00BF2E49" w:rsidRDefault="002542A5">
      <w:pPr>
        <w:ind w:left="720"/>
        <w:rPr>
          <w:noProof/>
        </w:rPr>
      </w:pPr>
      <w:r>
        <w:rPr>
          <w:noProof/>
        </w:rPr>
        <w:t>(b) v členu 8(3a) pomeni sistematično sporočanje vnaprej opredeljenih podatkov o rezidentih v drugih državah članicah zadevni drža</w:t>
      </w:r>
      <w:r>
        <w:rPr>
          <w:noProof/>
        </w:rPr>
        <w:t>vi članici rezidentstva brez predhodnega zaprosila v vnaprej določenih rednih časovnih presledkih. V členu 8(3a), členu 8(7a), členu 21(2) in členu 25(2) in (3) ima vsak izraz z veliko začetnico tak pomen, kot ga ima v ustrezni opredelitvi iz Priloge I;</w:t>
      </w:r>
    </w:p>
    <w:p w:rsidR="00BF2E49" w:rsidRDefault="002542A5">
      <w:pPr>
        <w:ind w:left="720"/>
        <w:rPr>
          <w:noProof/>
        </w:rPr>
      </w:pPr>
      <w:r>
        <w:rPr>
          <w:noProof/>
        </w:rPr>
        <w:t>(c</w:t>
      </w:r>
      <w:r>
        <w:rPr>
          <w:noProof/>
        </w:rPr>
        <w:t>) v vseh drugih določbah, razen člena 8(1), člena 8(3a) in člena 8a, pomeni sistematično sporočanje vnaprej opredeljenih podatkov, zagotovljenih v skladu s točkama (a) in (b) tega odstavka.“;</w:t>
      </w:r>
    </w:p>
    <w:p w:rsidR="00BF2E49" w:rsidRDefault="002542A5">
      <w:pPr>
        <w:ind w:left="720"/>
        <w:rPr>
          <w:b/>
          <w:noProof/>
        </w:rPr>
      </w:pPr>
      <w:r>
        <w:rPr>
          <w:noProof/>
        </w:rPr>
        <w:t>(b)</w:t>
      </w:r>
      <w:r>
        <w:rPr>
          <w:b/>
          <w:noProof/>
        </w:rPr>
        <w:t xml:space="preserve"> </w:t>
      </w:r>
      <w:r>
        <w:rPr>
          <w:noProof/>
        </w:rPr>
        <w:t>dodajo se točke 14, 15 in 16:</w:t>
      </w:r>
    </w:p>
    <w:p w:rsidR="00BF2E49" w:rsidRDefault="002542A5">
      <w:pPr>
        <w:ind w:left="720"/>
        <w:rPr>
          <w:noProof/>
        </w:rPr>
      </w:pPr>
      <w:r>
        <w:rPr>
          <w:noProof/>
        </w:rPr>
        <w:t>„14. ,vnaprejšnje davčno stali</w:t>
      </w:r>
      <w:r>
        <w:rPr>
          <w:noProof/>
        </w:rPr>
        <w:t>šče s čezmejnim učinkom‘ pomeni vsak dogovor, sporočilo ali drug instrument ali ukrep s podobnim učinkom, vključno s takim, ki se izda v okviru davčnega nadzora, in:</w:t>
      </w:r>
    </w:p>
    <w:p w:rsidR="00BF2E49" w:rsidRDefault="002542A5">
      <w:pPr>
        <w:ind w:left="720"/>
        <w:rPr>
          <w:noProof/>
        </w:rPr>
      </w:pPr>
      <w:r>
        <w:rPr>
          <w:noProof/>
        </w:rPr>
        <w:t>(a) ga kateri koli osebi izda vlada ali davčni organ države članice ali se ta izda v njene</w:t>
      </w:r>
      <w:r>
        <w:rPr>
          <w:noProof/>
        </w:rPr>
        <w:t xml:space="preserve">m/njegovem imenu ali ga izda ozemeljska ali upravna podenota države članice; </w:t>
      </w:r>
    </w:p>
    <w:p w:rsidR="00BF2E49" w:rsidRDefault="002542A5">
      <w:pPr>
        <w:ind w:left="720"/>
        <w:rPr>
          <w:noProof/>
        </w:rPr>
      </w:pPr>
      <w:r>
        <w:rPr>
          <w:noProof/>
        </w:rPr>
        <w:t>(b) zadeva razlago ali uporabo zakona ali drugega predpisa, ki se nanaša na uporabo ali izvrševanje nacionalne zakonodaje v zvezi z davki države članice ali njenih ozemeljskih al</w:t>
      </w:r>
      <w:r>
        <w:rPr>
          <w:noProof/>
        </w:rPr>
        <w:t>i upravnih podenot;</w:t>
      </w:r>
    </w:p>
    <w:p w:rsidR="00BF2E49" w:rsidRDefault="002542A5">
      <w:pPr>
        <w:ind w:left="720"/>
        <w:rPr>
          <w:noProof/>
        </w:rPr>
      </w:pPr>
      <w:r>
        <w:rPr>
          <w:noProof/>
        </w:rPr>
        <w:t xml:space="preserve">(c) se nanaša na čezmejno transakcijo ali na vprašanje, ali gre pri dejavnostih, ki jih pravna oseba opravlja v drugi državi članici, za stalno poslovno enoto, ter </w:t>
      </w:r>
    </w:p>
    <w:p w:rsidR="00BF2E49" w:rsidRDefault="002542A5">
      <w:pPr>
        <w:ind w:left="720"/>
        <w:rPr>
          <w:noProof/>
        </w:rPr>
      </w:pPr>
      <w:r>
        <w:rPr>
          <w:noProof/>
        </w:rPr>
        <w:t>(d) se izda pred izvedbo transakcij ali dejavnosti v drugi državi člani</w:t>
      </w:r>
      <w:r>
        <w:rPr>
          <w:noProof/>
        </w:rPr>
        <w:t xml:space="preserve">ci, pri katerih bi lahko šlo za stalno poslovno enoto, ali pred vložitvijo davčne napovedi za obdobje, v katerem je bila izvedena transakcija ali niz transakcij ali dejavnosti. </w:t>
      </w:r>
    </w:p>
    <w:p w:rsidR="00BF2E49" w:rsidRDefault="002542A5">
      <w:pPr>
        <w:ind w:left="720"/>
        <w:rPr>
          <w:noProof/>
        </w:rPr>
      </w:pPr>
      <w:r>
        <w:rPr>
          <w:noProof/>
        </w:rPr>
        <w:t>Čezmejna transakcija lahko med drugim vključuje naložbe, dobavo blaga ali stor</w:t>
      </w:r>
      <w:r>
        <w:rPr>
          <w:noProof/>
        </w:rPr>
        <w:t>itev, financiranje ali uporabo opredmetenih ali neopredmetenih sredstev, pri čemer ni nujno, da je vanjo neposredno vključena oseba, ki ji je bilo izdano vnaprejšnje davčno stališče;</w:t>
      </w:r>
    </w:p>
    <w:p w:rsidR="00BF2E49" w:rsidRDefault="002542A5">
      <w:pPr>
        <w:ind w:left="720"/>
        <w:rPr>
          <w:noProof/>
        </w:rPr>
      </w:pPr>
      <w:r>
        <w:rPr>
          <w:noProof/>
        </w:rPr>
        <w:t xml:space="preserve">15. ,vnaprejšnji cenovni sporazum‘ pomeni vsak dogovor, sporočilo ali </w:t>
      </w:r>
      <w:r>
        <w:rPr>
          <w:noProof/>
        </w:rPr>
        <w:t>drug instrument ali ukrep s podobnim učinkom, vključno s takim, ki se izda v okviru davčnega nadzora, ki ga kateri koli osebi izda vlada ali davčni organ ene ali več držav članic ali se ta izda v njenem/njegovem imenu ali ga izda ozemeljska ali upravna pod</w:t>
      </w:r>
      <w:r>
        <w:rPr>
          <w:noProof/>
        </w:rPr>
        <w:t>enota države članice, v katerem se še pred izvedbo čezmejnih transakcij med povezanimi podjetji določi ustrezen sklop meril za določanje transfernih cen za navedene transakcije ali določi pripis dobička stalni poslovni enoti.</w:t>
      </w:r>
    </w:p>
    <w:p w:rsidR="00BF2E49" w:rsidRDefault="002542A5">
      <w:pPr>
        <w:ind w:left="720"/>
        <w:rPr>
          <w:noProof/>
        </w:rPr>
      </w:pPr>
      <w:r>
        <w:rPr>
          <w:noProof/>
        </w:rPr>
        <w:t>Podjetji sta povezani podjetji</w:t>
      </w:r>
      <w:r>
        <w:rPr>
          <w:noProof/>
        </w:rPr>
        <w:t xml:space="preserve">, kadar je eno od njiju neposredno ali posredno udeleženo pri upravljanju, nadzoru ali v kapitalu drugega podjetja ali kadar so iste osebe neposredno ali posredno udeležene pri upravljanju, nadzoru ali v kapitalu podjetij. </w:t>
      </w:r>
    </w:p>
    <w:p w:rsidR="00BF2E49" w:rsidRDefault="002542A5">
      <w:pPr>
        <w:ind w:left="720"/>
        <w:rPr>
          <w:noProof/>
        </w:rPr>
      </w:pPr>
      <w:r>
        <w:rPr>
          <w:noProof/>
        </w:rPr>
        <w:t>Transferne cene so cene, po kate</w:t>
      </w:r>
      <w:r>
        <w:rPr>
          <w:noProof/>
        </w:rPr>
        <w:t>rih podjetje prenese fizično blago in neopredmeteno premoženje na povezana podjetja ali zanje opravlja storitve; skladno s tem je treba razlagati tudi izraz ,določanje transfernih cen‘;</w:t>
      </w:r>
    </w:p>
    <w:p w:rsidR="00BF2E49" w:rsidRDefault="002542A5">
      <w:pPr>
        <w:ind w:left="720"/>
        <w:rPr>
          <w:noProof/>
        </w:rPr>
      </w:pPr>
      <w:r>
        <w:rPr>
          <w:noProof/>
        </w:rPr>
        <w:t>16. V točki 14 ,čezmejna transakcija‘ pomeni transakcijo ali niz trans</w:t>
      </w:r>
      <w:r>
        <w:rPr>
          <w:noProof/>
        </w:rPr>
        <w:t xml:space="preserve">akcij, pri katerih: </w:t>
      </w:r>
    </w:p>
    <w:p w:rsidR="00BF2E49" w:rsidRDefault="002542A5">
      <w:pPr>
        <w:ind w:left="720"/>
        <w:rPr>
          <w:noProof/>
        </w:rPr>
      </w:pPr>
      <w:r>
        <w:rPr>
          <w:noProof/>
        </w:rPr>
        <w:t>(a) vse udeležene strani v transakciji ali nizu transakcij niso rezidenti za davčne namene v državi članici, ki je izdala vnaprejšnje davčno stališče s čezmejnim učinkom, ali</w:t>
      </w:r>
    </w:p>
    <w:p w:rsidR="00BF2E49" w:rsidRDefault="002542A5">
      <w:pPr>
        <w:ind w:left="720"/>
        <w:rPr>
          <w:noProof/>
        </w:rPr>
      </w:pPr>
      <w:r>
        <w:rPr>
          <w:noProof/>
        </w:rPr>
        <w:t>(b) je katera koli od udeleženih strani v transakciji ali ni</w:t>
      </w:r>
      <w:r>
        <w:rPr>
          <w:noProof/>
        </w:rPr>
        <w:t xml:space="preserve">zu transakcij hkrati rezident za davčne namene v več kot eni državi članici ali </w:t>
      </w:r>
    </w:p>
    <w:p w:rsidR="00BF2E49" w:rsidRDefault="002542A5">
      <w:pPr>
        <w:ind w:left="720"/>
        <w:rPr>
          <w:noProof/>
        </w:rPr>
      </w:pPr>
      <w:r>
        <w:rPr>
          <w:noProof/>
        </w:rPr>
        <w:t>(c) ena od udeleženih strani v transakciji ali nizu transakcij izvaja posle v drugi državi članici prek stalne poslovne enote ter transakcija ali niz transakcij predstavlja ce</w:t>
      </w:r>
      <w:r>
        <w:rPr>
          <w:noProof/>
        </w:rPr>
        <w:t>lotno poslovanje stalne poslovne enote ali njegov del. Čezmejna transakcija ali niz transakcij vključuje tudi ureditve posamezne pravne osebe v zvezi s poslovnimi dejavnostmi v drugi državi članici, ki jih navedena oseba opravlja prek stalne poslovne enote</w:t>
      </w:r>
      <w:r>
        <w:rPr>
          <w:noProof/>
        </w:rPr>
        <w:t xml:space="preserve">.  </w:t>
      </w:r>
    </w:p>
    <w:p w:rsidR="00BF2E49" w:rsidRDefault="002542A5">
      <w:pPr>
        <w:ind w:left="720"/>
        <w:rPr>
          <w:noProof/>
        </w:rPr>
      </w:pPr>
      <w:r>
        <w:rPr>
          <w:noProof/>
        </w:rPr>
        <w:t xml:space="preserve">V točki 15 ,čezmejna transakcija‘ pomeni transakcijo ali niz transakcij, ki vključujejo povezana podjetja, ki vsa niso rezidenti za davčne namene na ozemlju posamezne države članice.“. </w:t>
      </w:r>
    </w:p>
    <w:p w:rsidR="00BF2E49" w:rsidRDefault="002542A5">
      <w:pPr>
        <w:ind w:left="720" w:hanging="720"/>
        <w:rPr>
          <w:b/>
          <w:noProof/>
        </w:rPr>
      </w:pPr>
      <w:r>
        <w:rPr>
          <w:noProof/>
        </w:rPr>
        <w:t>(2)</w:t>
      </w:r>
      <w:r>
        <w:rPr>
          <w:noProof/>
        </w:rPr>
        <w:tab/>
        <w:t>Člen 8 se spremeni:</w:t>
      </w:r>
      <w:r>
        <w:rPr>
          <w:b/>
          <w:noProof/>
        </w:rPr>
        <w:t xml:space="preserve"> </w:t>
      </w:r>
    </w:p>
    <w:p w:rsidR="00BF2E49" w:rsidRDefault="002542A5">
      <w:pPr>
        <w:ind w:left="720" w:hanging="720"/>
        <w:rPr>
          <w:noProof/>
        </w:rPr>
      </w:pPr>
      <w:r>
        <w:rPr>
          <w:noProof/>
        </w:rPr>
        <w:tab/>
        <w:t>(a) odstavka 4 in 5 se črtata;</w:t>
      </w:r>
    </w:p>
    <w:p w:rsidR="00BF2E49" w:rsidRDefault="002542A5">
      <w:pPr>
        <w:ind w:left="720"/>
        <w:rPr>
          <w:noProof/>
        </w:rPr>
      </w:pPr>
      <w:r>
        <w:rPr>
          <w:noProof/>
        </w:rPr>
        <w:t xml:space="preserve">(b) </w:t>
      </w:r>
      <w:r>
        <w:rPr>
          <w:noProof/>
        </w:rPr>
        <w:t>odstavek 6 se nadomesti z naslednjim:</w:t>
      </w:r>
    </w:p>
    <w:p w:rsidR="00BF2E49" w:rsidRDefault="002542A5">
      <w:pPr>
        <w:ind w:left="720"/>
        <w:rPr>
          <w:noProof/>
        </w:rPr>
      </w:pPr>
      <w:r>
        <w:rPr>
          <w:noProof/>
        </w:rPr>
        <w:t xml:space="preserve">„6. Sporočanje podatkov poteka na naslednji način: </w:t>
      </w:r>
    </w:p>
    <w:p w:rsidR="00BF2E49" w:rsidRDefault="002542A5">
      <w:pPr>
        <w:ind w:left="720"/>
        <w:rPr>
          <w:noProof/>
        </w:rPr>
      </w:pPr>
      <w:r>
        <w:rPr>
          <w:noProof/>
        </w:rPr>
        <w:t xml:space="preserve">(a) za kategorije iz odstavka 1: vsaj enkrat letno, in sicer v devetih mesecih po koncu davčnega leta države članice, na katero se podatki nanašajo;  </w:t>
      </w:r>
    </w:p>
    <w:p w:rsidR="00BF2E49" w:rsidRDefault="002542A5">
      <w:pPr>
        <w:ind w:left="720"/>
        <w:rPr>
          <w:noProof/>
        </w:rPr>
      </w:pPr>
      <w:r>
        <w:rPr>
          <w:noProof/>
        </w:rPr>
        <w:t xml:space="preserve">(b) za podatke </w:t>
      </w:r>
      <w:r>
        <w:rPr>
          <w:noProof/>
        </w:rPr>
        <w:t>iz odstavka 3a: vsako leto, in sicer v devetih mesecih po koncu koledarskega leta ali drugega ustreznega poročevalnega obdobja, na katero se nanašajo podatki.“.</w:t>
      </w:r>
    </w:p>
    <w:p w:rsidR="00BF2E49" w:rsidRDefault="002542A5">
      <w:pPr>
        <w:tabs>
          <w:tab w:val="left" w:pos="709"/>
        </w:tabs>
        <w:ind w:left="709" w:hanging="709"/>
        <w:rPr>
          <w:b/>
          <w:noProof/>
        </w:rPr>
      </w:pPr>
      <w:r>
        <w:rPr>
          <w:b/>
          <w:noProof/>
        </w:rPr>
        <w:t xml:space="preserve"> </w:t>
      </w:r>
      <w:r>
        <w:rPr>
          <w:noProof/>
        </w:rPr>
        <w:t>(3)</w:t>
      </w:r>
      <w:r>
        <w:rPr>
          <w:noProof/>
        </w:rPr>
        <w:tab/>
        <w:t>Vstavita se naslednja člena 8a in 8b:</w:t>
      </w:r>
    </w:p>
    <w:p w:rsidR="00BF2E49" w:rsidRDefault="002542A5">
      <w:pPr>
        <w:ind w:left="720"/>
        <w:rPr>
          <w:noProof/>
        </w:rPr>
      </w:pPr>
      <w:r>
        <w:rPr>
          <w:noProof/>
        </w:rPr>
        <w:t>„Člen 8a</w:t>
      </w:r>
    </w:p>
    <w:p w:rsidR="00BF2E49" w:rsidRDefault="002542A5">
      <w:pPr>
        <w:ind w:left="720"/>
        <w:rPr>
          <w:b/>
          <w:noProof/>
        </w:rPr>
      </w:pPr>
      <w:r>
        <w:rPr>
          <w:b/>
          <w:noProof/>
        </w:rPr>
        <w:t>Področje uporabe in pogoji obvezne avtomati</w:t>
      </w:r>
      <w:r>
        <w:rPr>
          <w:b/>
          <w:noProof/>
        </w:rPr>
        <w:t>čne izmenjave podatkov o vnaprejšnjih davčnih stališčih s čezmejnim učinkom in vnaprejšnjih cenovnih sporazumih</w:t>
      </w:r>
    </w:p>
    <w:p w:rsidR="00BF2E49" w:rsidRDefault="002542A5">
      <w:pPr>
        <w:ind w:left="720"/>
        <w:rPr>
          <w:noProof/>
        </w:rPr>
      </w:pPr>
      <w:r>
        <w:rPr>
          <w:noProof/>
        </w:rPr>
        <w:t>1. Pristojni organ države članice, ki izda ali spremeni vnaprejšnje davčno stališče s čezmejnim učinkom ali vnaprejšnji cenovni sporazum po zače</w:t>
      </w:r>
      <w:r>
        <w:rPr>
          <w:noProof/>
        </w:rPr>
        <w:t xml:space="preserve">tku veljavnosti te direktive, z avtomatično izmenjavo sporoči podatke o takem dokumentu pristojnim organom vseh drugih držav članic in Evropski komisiji. </w:t>
      </w:r>
    </w:p>
    <w:p w:rsidR="00BF2E49" w:rsidRDefault="002542A5">
      <w:pPr>
        <w:ind w:left="720"/>
        <w:rPr>
          <w:noProof/>
        </w:rPr>
      </w:pPr>
      <w:r>
        <w:rPr>
          <w:noProof/>
        </w:rPr>
        <w:t>2. Pristojni organ države članice pristojnim organom vseh drugih držav članic in Evropski komisiji sp</w:t>
      </w:r>
      <w:r>
        <w:rPr>
          <w:noProof/>
        </w:rPr>
        <w:t xml:space="preserve">oroči tudi podatke o vnaprejšnjih davčnih stališčih s čezmejnim učinkom in vnaprejšnjih cenovnih sporazumih, ki so bili izdani v obdobju desetih let pred začetkom veljavnosti te direktive in so ob začetku veljavnosti direktive še vedno v veljavi. </w:t>
      </w:r>
    </w:p>
    <w:p w:rsidR="00BF2E49" w:rsidRDefault="002542A5">
      <w:pPr>
        <w:ind w:left="720"/>
        <w:rPr>
          <w:noProof/>
        </w:rPr>
      </w:pPr>
      <w:r>
        <w:rPr>
          <w:noProof/>
        </w:rPr>
        <w:t>3. Odsta</w:t>
      </w:r>
      <w:r>
        <w:rPr>
          <w:noProof/>
        </w:rPr>
        <w:t>vek 1 se ne uporablja v primeru, ko vnaprejšnje davčno stališče s čezmejnim učinkom zadeva in vključuje izključno davčne zadeve ene ali več fizičnih oseb.</w:t>
      </w:r>
    </w:p>
    <w:p w:rsidR="00BF2E49" w:rsidRDefault="002542A5">
      <w:pPr>
        <w:ind w:left="720"/>
        <w:rPr>
          <w:noProof/>
        </w:rPr>
      </w:pPr>
      <w:r>
        <w:rPr>
          <w:noProof/>
        </w:rPr>
        <w:t xml:space="preserve">4. Izmenjava podatkov poteka na naslednji način: </w:t>
      </w:r>
    </w:p>
    <w:p w:rsidR="00BF2E49" w:rsidRDefault="002542A5">
      <w:pPr>
        <w:ind w:left="720"/>
        <w:rPr>
          <w:noProof/>
        </w:rPr>
      </w:pPr>
      <w:r>
        <w:rPr>
          <w:noProof/>
        </w:rPr>
        <w:t>(a) za podatke, ki se sporočajo v skladu z odstavko</w:t>
      </w:r>
      <w:r>
        <w:rPr>
          <w:noProof/>
        </w:rPr>
        <w:t>m 1: v enem mesecu po koncu četrtletja, v katerem je bilo izdano ali spremenjeno vnaprejšnje davčno stališče s čezmejnim učinkom ali vnaprejšnji cenovni sporazum;</w:t>
      </w:r>
    </w:p>
    <w:p w:rsidR="00BF2E49" w:rsidRDefault="002542A5">
      <w:pPr>
        <w:ind w:left="720"/>
        <w:rPr>
          <w:noProof/>
        </w:rPr>
      </w:pPr>
      <w:r>
        <w:rPr>
          <w:noProof/>
        </w:rPr>
        <w:t>(b) za podatke, ki se sporočajo v skladu z odstavkom 2: pred 31. decembrom 2016.</w:t>
      </w:r>
    </w:p>
    <w:p w:rsidR="00BF2E49" w:rsidRDefault="002542A5">
      <w:pPr>
        <w:ind w:left="720"/>
        <w:rPr>
          <w:noProof/>
        </w:rPr>
      </w:pPr>
      <w:r>
        <w:rPr>
          <w:noProof/>
        </w:rPr>
        <w:t xml:space="preserve">5. Podatki, </w:t>
      </w:r>
      <w:r>
        <w:rPr>
          <w:noProof/>
        </w:rPr>
        <w:t xml:space="preserve">ki jih sporočijo države članice v skladu s tem členom, zajemajo vsaj naslednje: </w:t>
      </w:r>
    </w:p>
    <w:p w:rsidR="00BF2E49" w:rsidRDefault="002542A5">
      <w:pPr>
        <w:ind w:left="720"/>
        <w:rPr>
          <w:noProof/>
        </w:rPr>
      </w:pPr>
      <w:r>
        <w:rPr>
          <w:noProof/>
        </w:rPr>
        <w:t>(a) identifikacijo davčnega zavezanca in, kadar je to primerno, skupino podjetij, kateri pripada;</w:t>
      </w:r>
    </w:p>
    <w:p w:rsidR="00BF2E49" w:rsidRDefault="002542A5">
      <w:pPr>
        <w:ind w:left="720"/>
        <w:rPr>
          <w:noProof/>
        </w:rPr>
      </w:pPr>
      <w:r>
        <w:rPr>
          <w:noProof/>
        </w:rPr>
        <w:t>(b) vsebino vnaprejšnjega davčnega stališča s čezmejnim učinkom ali vnaprejšn</w:t>
      </w:r>
      <w:r>
        <w:rPr>
          <w:noProof/>
        </w:rPr>
        <w:t xml:space="preserve">jega cenovnega sporazuma, vključno z opisom ustreznih poslovnih dejavnosti ali transakcij ali niza transakcij; </w:t>
      </w:r>
    </w:p>
    <w:p w:rsidR="00BF2E49" w:rsidRDefault="002542A5">
      <w:pPr>
        <w:ind w:left="720"/>
        <w:rPr>
          <w:noProof/>
        </w:rPr>
      </w:pPr>
      <w:r>
        <w:rPr>
          <w:noProof/>
        </w:rPr>
        <w:t xml:space="preserve">(c) opis meril, ki se uporabljajo za določanje transfernih cen, ali transferno ceno v primeru vnaprejšnjega cenovnega sporazuma; </w:t>
      </w:r>
    </w:p>
    <w:p w:rsidR="00BF2E49" w:rsidRDefault="002542A5">
      <w:pPr>
        <w:ind w:left="720"/>
        <w:rPr>
          <w:noProof/>
        </w:rPr>
      </w:pPr>
      <w:r>
        <w:rPr>
          <w:noProof/>
        </w:rPr>
        <w:t>(d) navedbo dr</w:t>
      </w:r>
      <w:r>
        <w:rPr>
          <w:noProof/>
        </w:rPr>
        <w:t xml:space="preserve">ugih držav članic, ki bi jih lahko neposredno ali posredno zadevalo vnaprejšnje davčno stališče s čezmejnim učinkom ali vnaprejšnji cenovni sporazum; </w:t>
      </w:r>
    </w:p>
    <w:p w:rsidR="00BF2E49" w:rsidRDefault="002542A5">
      <w:pPr>
        <w:ind w:left="720"/>
        <w:rPr>
          <w:noProof/>
        </w:rPr>
      </w:pPr>
      <w:r>
        <w:rPr>
          <w:noProof/>
        </w:rPr>
        <w:t>(e) navedbo vseh oseb, ki niso fizične osebe, v drugih državah članicah, na katere bi lahko neposredno al</w:t>
      </w:r>
      <w:r>
        <w:rPr>
          <w:noProof/>
        </w:rPr>
        <w:t>i posredno vplivalo vnaprejšnje davčno stališče s čezmejnim učinkom ali vnaprejšnji cenovni sporazum (z navedbo države članice, s katero so povezane te osebe).</w:t>
      </w:r>
    </w:p>
    <w:p w:rsidR="00BF2E49" w:rsidRDefault="002542A5">
      <w:pPr>
        <w:ind w:left="720"/>
        <w:rPr>
          <w:noProof/>
        </w:rPr>
      </w:pPr>
      <w:r>
        <w:rPr>
          <w:noProof/>
        </w:rPr>
        <w:t>6. Za olajšanje izmenjave Komisija v okviru postopka za določitev standardnega obrazca iz člena </w:t>
      </w:r>
      <w:r>
        <w:rPr>
          <w:noProof/>
        </w:rPr>
        <w:t xml:space="preserve">20(5) sprejme vse potrebne ukrepe in praktične postopke za izvajanje tega člena, vključno z ukrepi za standardizacijo sporočanja podatkov iz odstavka 5 tega člena. </w:t>
      </w:r>
    </w:p>
    <w:p w:rsidR="00BF2E49" w:rsidRDefault="002542A5">
      <w:pPr>
        <w:ind w:left="720"/>
        <w:rPr>
          <w:noProof/>
        </w:rPr>
      </w:pPr>
      <w:r>
        <w:rPr>
          <w:noProof/>
        </w:rPr>
        <w:t>7. Pristojni organ, ki so mu bili podatki sporočeni v skladu z odstavkom 1, pristojnemu org</w:t>
      </w:r>
      <w:r>
        <w:rPr>
          <w:noProof/>
        </w:rPr>
        <w:t xml:space="preserve">anu, ki je podatke poslal, potrdi prejem teh podatkov takoj oziroma najpozneje v sedmih delovnih dneh po njihovem prejemu, po možnosti po elektronski poti. </w:t>
      </w:r>
    </w:p>
    <w:p w:rsidR="00BF2E49" w:rsidRDefault="002542A5">
      <w:pPr>
        <w:ind w:left="720"/>
        <w:rPr>
          <w:noProof/>
        </w:rPr>
      </w:pPr>
      <w:r>
        <w:rPr>
          <w:noProof/>
        </w:rPr>
        <w:t>8. Države članice lahko v skladu s členom 5 od države članice, ki je izdala vnaprejšnje davčno stal</w:t>
      </w:r>
      <w:r>
        <w:rPr>
          <w:noProof/>
        </w:rPr>
        <w:t>išče s čezmejnim učinkom ali vnaprejšnji cenovni sporazum, zahtevajo dodatne podatke, vključno s celotnim besedilom takega stališča ali sporazuma.</w:t>
      </w:r>
    </w:p>
    <w:p w:rsidR="00BF2E49" w:rsidRDefault="002542A5">
      <w:pPr>
        <w:ind w:left="720"/>
        <w:rPr>
          <w:noProof/>
        </w:rPr>
      </w:pPr>
      <w:r>
        <w:rPr>
          <w:noProof/>
        </w:rPr>
        <w:t>9. Člen 17(4) se ne uporablja za podatke, ki se izmenjajo v skladu z odstavkoma 1 in 2 tega člena.</w:t>
      </w:r>
    </w:p>
    <w:p w:rsidR="00BF2E49" w:rsidRDefault="002542A5">
      <w:pPr>
        <w:ind w:left="720"/>
        <w:rPr>
          <w:noProof/>
        </w:rPr>
      </w:pPr>
      <w:r>
        <w:rPr>
          <w:noProof/>
        </w:rPr>
        <w:t>Člen 8b</w:t>
      </w:r>
    </w:p>
    <w:p w:rsidR="00BF2E49" w:rsidRDefault="002542A5">
      <w:pPr>
        <w:ind w:left="720"/>
        <w:rPr>
          <w:b/>
          <w:noProof/>
        </w:rPr>
      </w:pPr>
      <w:r>
        <w:rPr>
          <w:b/>
          <w:noProof/>
        </w:rPr>
        <w:t>St</w:t>
      </w:r>
      <w:r>
        <w:rPr>
          <w:b/>
          <w:noProof/>
        </w:rPr>
        <w:t>atistični podatki o avtomatičnih izmenjavah</w:t>
      </w:r>
    </w:p>
    <w:p w:rsidR="00BF2E49" w:rsidRDefault="002542A5">
      <w:pPr>
        <w:ind w:left="720"/>
        <w:rPr>
          <w:noProof/>
        </w:rPr>
      </w:pPr>
      <w:r>
        <w:rPr>
          <w:noProof/>
        </w:rPr>
        <w:t xml:space="preserve">1. Države članice pred 1. oktobrom 2017 Komisiji za vsako leto pošljejo statistične podatke o obsegu avtomatičnih izmenjav v skladu s členom 8 in členom 8a ter po možnosti podatke o upravnih in drugih zadevnih </w:t>
      </w:r>
      <w:r>
        <w:rPr>
          <w:noProof/>
        </w:rPr>
        <w:t>stroških in koristih, povezanih z opravljenimi izmenjavami ter morebitnimi spremembami, za davčne uprave in za tretje strani.</w:t>
      </w:r>
    </w:p>
    <w:p w:rsidR="00BF2E49" w:rsidRDefault="002542A5">
      <w:pPr>
        <w:ind w:left="720"/>
        <w:rPr>
          <w:noProof/>
        </w:rPr>
      </w:pPr>
      <w:r>
        <w:rPr>
          <w:noProof/>
        </w:rPr>
        <w:t>2. Komisija pred 1. oktobrom 2018 predloži poročilo s pregledom in oceno statističnih in drugih podatkov, prejetih v skladu z odst</w:t>
      </w:r>
      <w:r>
        <w:rPr>
          <w:noProof/>
        </w:rPr>
        <w:t>avkom 1 tega člena, v zvezi z zadevami, kot so upravni in drugi zadevni stroški ter koristi avtomatične izmenjave podatkov, in s tem povezanimi praktičnimi vidiki. Komisija po potrebi Svetu predloži predlog glede kategorij prihodkov in kapitala in/ali pogo</w:t>
      </w:r>
      <w:r>
        <w:rPr>
          <w:noProof/>
        </w:rPr>
        <w:t>jev iz člena 8(1), vključno s pogojem, da morajo biti na voljo podatki o rezidentih v drugih državah članicah.“</w:t>
      </w:r>
    </w:p>
    <w:p w:rsidR="00BF2E49" w:rsidRDefault="002542A5">
      <w:pPr>
        <w:rPr>
          <w:b/>
          <w:noProof/>
        </w:rPr>
      </w:pPr>
      <w:r>
        <w:rPr>
          <w:noProof/>
        </w:rPr>
        <w:t>(4)</w:t>
      </w:r>
      <w:r>
        <w:rPr>
          <w:noProof/>
        </w:rPr>
        <w:tab/>
        <w:t>V členu 14 se doda naslednji odstavek 3:</w:t>
      </w:r>
    </w:p>
    <w:p w:rsidR="00BF2E49" w:rsidRDefault="002542A5">
      <w:pPr>
        <w:ind w:left="720"/>
        <w:rPr>
          <w:noProof/>
        </w:rPr>
      </w:pPr>
      <w:r>
        <w:rPr>
          <w:noProof/>
        </w:rPr>
        <w:t>„3. Kadar država članica uporabi kakršne koli podatke, ki jih sporoči druga država članica v skladu</w:t>
      </w:r>
      <w:r>
        <w:rPr>
          <w:noProof/>
        </w:rPr>
        <w:t xml:space="preserve"> s členom 8a, o tem pošlje povratne informacije pristojnemu organu, ki je te podatke predložil, čim prej in najpozneje tri mesece po znanih rezultatih uporabe zaprošenih podatkov, razen če so bile povratne informacije že poslane v skladu z odstavkom 1 tega</w:t>
      </w:r>
      <w:r>
        <w:rPr>
          <w:noProof/>
        </w:rPr>
        <w:t xml:space="preserve"> člena. Komisija določi praktične postopke v skladu s postopkom iz člena 26(2).“</w:t>
      </w:r>
    </w:p>
    <w:p w:rsidR="00BF2E49" w:rsidRDefault="002542A5">
      <w:pPr>
        <w:rPr>
          <w:b/>
          <w:noProof/>
        </w:rPr>
      </w:pPr>
      <w:r>
        <w:rPr>
          <w:noProof/>
        </w:rPr>
        <w:t>(5)</w:t>
      </w:r>
      <w:r>
        <w:rPr>
          <w:noProof/>
        </w:rPr>
        <w:tab/>
        <w:t>V členu 20 se doda naslednji odstavek 5:</w:t>
      </w:r>
    </w:p>
    <w:p w:rsidR="00BF2E49" w:rsidRDefault="002542A5">
      <w:pPr>
        <w:ind w:left="720"/>
        <w:rPr>
          <w:noProof/>
        </w:rPr>
      </w:pPr>
      <w:r>
        <w:rPr>
          <w:noProof/>
        </w:rPr>
        <w:t>„5. Avtomatična izmenjava podatkov o vnaprejšnjih davčnih stališčih s čezmejnim učinkom in vnaprejšnjih cenovnih sporazumih v skla</w:t>
      </w:r>
      <w:r>
        <w:rPr>
          <w:noProof/>
        </w:rPr>
        <w:t>du s členom 8a se izvede z uporabo standardnega obrazca, takoj ko ga sprejme Komisija v skladu s postopkom iz člena 26(2).“</w:t>
      </w:r>
    </w:p>
    <w:p w:rsidR="00BF2E49" w:rsidRDefault="002542A5">
      <w:pPr>
        <w:rPr>
          <w:b/>
          <w:noProof/>
        </w:rPr>
      </w:pPr>
      <w:r>
        <w:rPr>
          <w:noProof/>
        </w:rPr>
        <w:t>(6)</w:t>
      </w:r>
      <w:r>
        <w:rPr>
          <w:noProof/>
        </w:rPr>
        <w:tab/>
        <w:t>V členu 21 se doda naslednji odstavek 5:</w:t>
      </w:r>
    </w:p>
    <w:p w:rsidR="00BF2E49" w:rsidRDefault="002542A5">
      <w:pPr>
        <w:ind w:left="720"/>
        <w:rPr>
          <w:noProof/>
        </w:rPr>
      </w:pPr>
      <w:r>
        <w:rPr>
          <w:noProof/>
        </w:rPr>
        <w:t>„5. Komisija razvije varno osrednjo podatkovno zbirko, v kateri se za izpolnitev obvezn</w:t>
      </w:r>
      <w:r>
        <w:rPr>
          <w:noProof/>
        </w:rPr>
        <w:t>osti glede avtomatične izmenjave podatkov iz odstavkov 1 in 2 člena 8a lahko beležijo podatki, ki jih je treba sporočiti v okviru člena 8a te direktive. Komisija ima dostop do podatkov, shranjenih v tej podatkovni zbirki. Komisija potrebne praktične postop</w:t>
      </w:r>
      <w:r>
        <w:rPr>
          <w:noProof/>
        </w:rPr>
        <w:t>ke sprejme v skladu s postopkom iz člena 26(2).“</w:t>
      </w:r>
    </w:p>
    <w:p w:rsidR="00BF2E49" w:rsidRDefault="002542A5">
      <w:pPr>
        <w:rPr>
          <w:noProof/>
        </w:rPr>
      </w:pPr>
      <w:r>
        <w:rPr>
          <w:noProof/>
        </w:rPr>
        <w:t>(7)</w:t>
      </w:r>
      <w:r>
        <w:rPr>
          <w:noProof/>
        </w:rPr>
        <w:tab/>
        <w:t>Člen 23 se spremeni:</w:t>
      </w:r>
    </w:p>
    <w:p w:rsidR="00BF2E49" w:rsidRDefault="002542A5">
      <w:pPr>
        <w:ind w:firstLine="720"/>
        <w:rPr>
          <w:noProof/>
        </w:rPr>
      </w:pPr>
      <w:r>
        <w:rPr>
          <w:noProof/>
        </w:rPr>
        <w:t>(a) odstavek 3 se nadomesti z naslednjim:</w:t>
      </w:r>
    </w:p>
    <w:p w:rsidR="00BF2E49" w:rsidRDefault="002542A5">
      <w:pPr>
        <w:ind w:left="720"/>
        <w:rPr>
          <w:noProof/>
        </w:rPr>
      </w:pPr>
      <w:r>
        <w:rPr>
          <w:noProof/>
        </w:rPr>
        <w:t>„3. Države članice Komisiji sporočijo letno oceno učinkovitosti avtomatične izmenjave podatkov iz člena 8 in člena 8a ter dosežene praktične</w:t>
      </w:r>
      <w:r>
        <w:rPr>
          <w:noProof/>
        </w:rPr>
        <w:t xml:space="preserve"> rezultate. Komisija določi obliko in pogoje sporočanja te letne ocene v skladu s postopkom iz člena 26(2).“</w:t>
      </w:r>
    </w:p>
    <w:p w:rsidR="00BF2E49" w:rsidRDefault="002542A5">
      <w:pPr>
        <w:rPr>
          <w:b/>
          <w:noProof/>
        </w:rPr>
      </w:pPr>
      <w:r>
        <w:rPr>
          <w:noProof/>
        </w:rPr>
        <w:t>(b) odstavka 5 in 6 se črtata.</w:t>
      </w:r>
    </w:p>
    <w:p w:rsidR="00BF2E49" w:rsidRDefault="002542A5">
      <w:pPr>
        <w:rPr>
          <w:b/>
          <w:noProof/>
        </w:rPr>
      </w:pPr>
      <w:r>
        <w:rPr>
          <w:b/>
          <w:noProof/>
        </w:rPr>
        <w:t>(</w:t>
      </w:r>
      <w:r>
        <w:rPr>
          <w:noProof/>
        </w:rPr>
        <w:t>8</w:t>
      </w:r>
      <w:r>
        <w:rPr>
          <w:b/>
          <w:noProof/>
        </w:rPr>
        <w:t>)</w:t>
      </w:r>
      <w:r>
        <w:rPr>
          <w:noProof/>
        </w:rPr>
        <w:tab/>
        <w:t>Vstavi se naslednji člen 23a:</w:t>
      </w:r>
    </w:p>
    <w:p w:rsidR="00BF2E49" w:rsidRDefault="002542A5">
      <w:pPr>
        <w:ind w:left="720"/>
        <w:rPr>
          <w:noProof/>
        </w:rPr>
      </w:pPr>
      <w:r>
        <w:rPr>
          <w:noProof/>
        </w:rPr>
        <w:t>„Člen 23a</w:t>
      </w:r>
    </w:p>
    <w:p w:rsidR="00BF2E49" w:rsidRDefault="002542A5">
      <w:pPr>
        <w:ind w:left="720"/>
        <w:rPr>
          <w:noProof/>
        </w:rPr>
      </w:pPr>
      <w:r>
        <w:rPr>
          <w:noProof/>
        </w:rPr>
        <w:t>Zaupnost podatkov</w:t>
      </w:r>
    </w:p>
    <w:p w:rsidR="00BF2E49" w:rsidRDefault="002542A5">
      <w:pPr>
        <w:ind w:left="720"/>
        <w:rPr>
          <w:noProof/>
        </w:rPr>
      </w:pPr>
      <w:r>
        <w:rPr>
          <w:noProof/>
        </w:rPr>
        <w:t xml:space="preserve">1. Komisija podatke, ki so ji sporočeni v skladu s to </w:t>
      </w:r>
      <w:r>
        <w:rPr>
          <w:noProof/>
        </w:rPr>
        <w:t>direktivo, obravnava kot zaupne v skladu z določbami, ki se uporabljajo za organe Unije.</w:t>
      </w:r>
    </w:p>
    <w:p w:rsidR="00BF2E49" w:rsidRDefault="002542A5">
      <w:pPr>
        <w:ind w:left="720"/>
        <w:rPr>
          <w:noProof/>
        </w:rPr>
      </w:pPr>
      <w:r>
        <w:rPr>
          <w:noProof/>
        </w:rPr>
        <w:t>2. Podatki, ki jih država članica sporoči Komisiji v skladu s členom 23, in kakršno koli poročilo ali dokument, ki ga pripravi Komisija s pomočjo teh podatkov, se lahk</w:t>
      </w:r>
      <w:r>
        <w:rPr>
          <w:noProof/>
        </w:rPr>
        <w:t>o pošljejo drugim državam članicam. Za te poslane podatke velja obveznost varovanja uradne tajnosti in morajo biti varovani, kot so varovani podobni podatki v nacionalnem pravu države članice, ki je podatke prejela.</w:t>
      </w:r>
    </w:p>
    <w:p w:rsidR="00BF2E49" w:rsidRDefault="002542A5">
      <w:pPr>
        <w:ind w:left="720"/>
        <w:rPr>
          <w:noProof/>
        </w:rPr>
      </w:pPr>
      <w:r>
        <w:rPr>
          <w:noProof/>
        </w:rPr>
        <w:t>Države članice lahko poročila in dokumen</w:t>
      </w:r>
      <w:r>
        <w:rPr>
          <w:noProof/>
        </w:rPr>
        <w:t>te iz prvega pododstavka, ki jih pripravi Komisija, uporabijo le v analitične namene, ne smejo pa se objaviti ali dati na voljo kateri koli drugi osebi ali organu brez izrecne privolitve Komisije.“</w:t>
      </w:r>
    </w:p>
    <w:p w:rsidR="00BF2E49" w:rsidRDefault="002542A5">
      <w:pPr>
        <w:rPr>
          <w:b/>
          <w:noProof/>
        </w:rPr>
      </w:pPr>
      <w:r>
        <w:rPr>
          <w:b/>
          <w:noProof/>
        </w:rPr>
        <w:t>(</w:t>
      </w:r>
      <w:r>
        <w:rPr>
          <w:noProof/>
        </w:rPr>
        <w:t>9</w:t>
      </w:r>
      <w:r>
        <w:rPr>
          <w:b/>
          <w:noProof/>
        </w:rPr>
        <w:t>)</w:t>
      </w:r>
      <w:r>
        <w:rPr>
          <w:noProof/>
        </w:rPr>
        <w:tab/>
        <w:t>V členu 25 se vstavi odstavek 1a:</w:t>
      </w:r>
    </w:p>
    <w:p w:rsidR="00BF2E49" w:rsidRDefault="002542A5">
      <w:pPr>
        <w:ind w:left="720"/>
        <w:rPr>
          <w:noProof/>
        </w:rPr>
      </w:pPr>
      <w:r>
        <w:rPr>
          <w:noProof/>
        </w:rPr>
        <w:t>„1a. Uredba (ES) št.</w:t>
      </w:r>
      <w:r>
        <w:rPr>
          <w:noProof/>
        </w:rPr>
        <w:t> 45/2001 se uporablja za kakršno koli obdelavo osebnih podatkov v okviru te direktive s strani institucij in organov Unije. Vendar se za namene pravilne uporabe te direktive obseg obveznosti in pravic iz člena 11, člena 12(1) ter členov 13 do 17 Uredbe (ES</w:t>
      </w:r>
      <w:r>
        <w:rPr>
          <w:noProof/>
        </w:rPr>
        <w:t>) št. 45/2001 omeji na obseg, ki je potreben zaradi zaščite interesov, navedenih v členu 20(1)(b) navedene uredbe.“</w:t>
      </w:r>
    </w:p>
    <w:p w:rsidR="00BF2E49" w:rsidRDefault="002542A5">
      <w:pPr>
        <w:pStyle w:val="Titrearticle"/>
        <w:rPr>
          <w:noProof/>
        </w:rPr>
      </w:pPr>
      <w:r>
        <w:rPr>
          <w:noProof/>
        </w:rPr>
        <w:t>Člen 2</w:t>
      </w:r>
    </w:p>
    <w:p w:rsidR="00BF2E49" w:rsidRDefault="002542A5">
      <w:pPr>
        <w:pStyle w:val="ManualNumPar1"/>
        <w:ind w:left="709" w:hanging="709"/>
        <w:rPr>
          <w:noProof/>
        </w:rPr>
      </w:pPr>
      <w:r>
        <w:rPr>
          <w:noProof/>
        </w:rPr>
        <w:t>1.</w:t>
      </w:r>
      <w:r>
        <w:rPr>
          <w:noProof/>
        </w:rPr>
        <w:tab/>
        <w:t>Države članice najpozneje do 31. decembra 2015 sprejmejo in objavijo zakone in druge predpise, potrebne za uskladitev s to direkti</w:t>
      </w:r>
      <w:r>
        <w:rPr>
          <w:noProof/>
        </w:rPr>
        <w:t>vo. Komisiji takoj sporočijo besedila navedenih predpisov.</w:t>
      </w:r>
    </w:p>
    <w:p w:rsidR="00BF2E49" w:rsidRDefault="002542A5">
      <w:pPr>
        <w:pStyle w:val="Text1"/>
        <w:ind w:left="709"/>
        <w:rPr>
          <w:noProof/>
        </w:rPr>
      </w:pPr>
      <w:r>
        <w:rPr>
          <w:noProof/>
        </w:rPr>
        <w:t>Navedeni predpisi se začnejo uporabljati od 1. januarja 2016.</w:t>
      </w:r>
    </w:p>
    <w:p w:rsidR="00BF2E49" w:rsidRDefault="002542A5">
      <w:pPr>
        <w:pStyle w:val="Text1"/>
        <w:ind w:left="709"/>
        <w:rPr>
          <w:noProof/>
        </w:rPr>
      </w:pPr>
      <w:r>
        <w:rPr>
          <w:noProof/>
        </w:rPr>
        <w:t>Države članice se v sprejetih predpisih sklicujejo na to direktivo ali pa sklic nanjo navedejo ob njihovi uradni objavi. Način skliceva</w:t>
      </w:r>
      <w:r>
        <w:rPr>
          <w:noProof/>
        </w:rPr>
        <w:t>nja določijo države članice.</w:t>
      </w:r>
    </w:p>
    <w:p w:rsidR="00BF2E49" w:rsidRDefault="002542A5">
      <w:pPr>
        <w:pStyle w:val="ManualNumPar1"/>
        <w:ind w:left="709" w:hanging="709"/>
        <w:rPr>
          <w:noProof/>
        </w:rPr>
      </w:pPr>
      <w:r>
        <w:rPr>
          <w:noProof/>
        </w:rPr>
        <w:t>2.</w:t>
      </w:r>
      <w:r>
        <w:rPr>
          <w:noProof/>
        </w:rPr>
        <w:tab/>
        <w:t>Države članice sporočijo Komisiji besedila temeljnih določb nacionalnega prava, sprejetih na področju, ki ga ureja ta direktiva.</w:t>
      </w:r>
    </w:p>
    <w:p w:rsidR="00BF2E49" w:rsidRDefault="002542A5">
      <w:pPr>
        <w:pStyle w:val="Titrearticle"/>
        <w:rPr>
          <w:noProof/>
        </w:rPr>
      </w:pPr>
      <w:r>
        <w:rPr>
          <w:noProof/>
        </w:rPr>
        <w:t>Člen 3</w:t>
      </w:r>
    </w:p>
    <w:p w:rsidR="00BF2E49" w:rsidRDefault="002542A5">
      <w:pPr>
        <w:rPr>
          <w:noProof/>
        </w:rPr>
      </w:pPr>
      <w:r>
        <w:rPr>
          <w:noProof/>
        </w:rPr>
        <w:t xml:space="preserve">Ta direktiva začne veljati dvajseti dan po objavi v </w:t>
      </w:r>
      <w:r>
        <w:rPr>
          <w:i/>
          <w:noProof/>
        </w:rPr>
        <w:t>Uradnem listu Evropske unije</w:t>
      </w:r>
      <w:r>
        <w:rPr>
          <w:noProof/>
        </w:rPr>
        <w:t>.</w:t>
      </w:r>
    </w:p>
    <w:p w:rsidR="00BF2E49" w:rsidRDefault="002542A5">
      <w:pPr>
        <w:pStyle w:val="Titrearticle"/>
        <w:rPr>
          <w:noProof/>
        </w:rPr>
      </w:pPr>
      <w:r>
        <w:rPr>
          <w:noProof/>
        </w:rPr>
        <w:t>Člen 4</w:t>
      </w:r>
    </w:p>
    <w:p w:rsidR="00BF2E49" w:rsidRDefault="002542A5">
      <w:pPr>
        <w:rPr>
          <w:noProof/>
        </w:rPr>
      </w:pPr>
      <w:r>
        <w:rPr>
          <w:noProof/>
        </w:rPr>
        <w:t>Ta direktiva je naslovljena na države članice.</w:t>
      </w:r>
    </w:p>
    <w:p w:rsidR="00BF2E49" w:rsidRDefault="002542A5">
      <w:pPr>
        <w:pStyle w:val="Fait"/>
        <w:rPr>
          <w:noProof/>
        </w:rPr>
      </w:pPr>
      <w:r>
        <w:rPr>
          <w:noProof/>
        </w:rPr>
        <w:t>V Bruslju,</w:t>
      </w:r>
    </w:p>
    <w:p w:rsidR="00BF2E49" w:rsidRDefault="002542A5">
      <w:pPr>
        <w:pStyle w:val="Institutionquisigne"/>
        <w:rPr>
          <w:noProof/>
        </w:rPr>
      </w:pPr>
      <w:r>
        <w:rPr>
          <w:noProof/>
        </w:rPr>
        <w:tab/>
        <w:t>Za Svet</w:t>
      </w:r>
    </w:p>
    <w:p w:rsidR="00BF2E49" w:rsidRDefault="002542A5">
      <w:pPr>
        <w:pStyle w:val="Personnequisigne"/>
        <w:rPr>
          <w:noProof/>
        </w:rPr>
      </w:pPr>
      <w:r>
        <w:rPr>
          <w:noProof/>
        </w:rPr>
        <w:tab/>
        <w:t>Predsednik</w:t>
      </w:r>
    </w:p>
    <w:p w:rsidR="00BF2E49" w:rsidRDefault="00BF2E49">
      <w:pPr>
        <w:rPr>
          <w:noProof/>
        </w:rPr>
        <w:sectPr w:rsidR="00BF2E49">
          <w:pgSz w:w="11907" w:h="16839"/>
          <w:pgMar w:top="1134" w:right="1417" w:bottom="1134" w:left="1417" w:header="709" w:footer="709" w:gutter="0"/>
          <w:cols w:space="708"/>
          <w:docGrid w:linePitch="360"/>
        </w:sectPr>
      </w:pPr>
    </w:p>
    <w:p w:rsidR="00BF2E49" w:rsidRDefault="002542A5">
      <w:pPr>
        <w:pStyle w:val="Fichefinanciretitre"/>
        <w:rPr>
          <w:noProof/>
        </w:rPr>
      </w:pPr>
      <w:r>
        <w:rPr>
          <w:noProof/>
        </w:rPr>
        <w:t>OCENA FINANČNIH POSLEDIC ZAKONODAJNEGA PREDLOGA</w:t>
      </w:r>
    </w:p>
    <w:p w:rsidR="00BF2E49" w:rsidRDefault="002542A5">
      <w:pPr>
        <w:pStyle w:val="ManualHeading1"/>
        <w:rPr>
          <w:noProof/>
        </w:rPr>
      </w:pPr>
      <w:r>
        <w:rPr>
          <w:noProof/>
        </w:rPr>
        <w:t>1.</w:t>
      </w:r>
      <w:r>
        <w:rPr>
          <w:noProof/>
        </w:rPr>
        <w:tab/>
        <w:t xml:space="preserve">OKVIR PREDLOGA/POBUDE </w:t>
      </w:r>
    </w:p>
    <w:p w:rsidR="00BF2E49" w:rsidRDefault="002542A5">
      <w:pPr>
        <w:pStyle w:val="ManualHeading2"/>
        <w:rPr>
          <w:b w:val="0"/>
          <w:noProof/>
        </w:rPr>
      </w:pPr>
      <w:r>
        <w:rPr>
          <w:noProof/>
        </w:rPr>
        <w:tab/>
      </w:r>
      <w:r>
        <w:rPr>
          <w:b w:val="0"/>
          <w:noProof/>
        </w:rPr>
        <w:t>1.1.</w:t>
      </w:r>
      <w:r>
        <w:rPr>
          <w:b w:val="0"/>
          <w:noProof/>
        </w:rPr>
        <w:tab/>
        <w:t xml:space="preserve">Naslov predloga/pobude </w:t>
      </w:r>
    </w:p>
    <w:p w:rsidR="00BF2E49" w:rsidRDefault="002542A5">
      <w:pPr>
        <w:pStyle w:val="ManualHeading2"/>
        <w:rPr>
          <w:b w:val="0"/>
          <w:noProof/>
        </w:rPr>
      </w:pPr>
      <w:r>
        <w:rPr>
          <w:b w:val="0"/>
          <w:noProof/>
        </w:rPr>
        <w:tab/>
        <w:t>1.2.</w:t>
      </w:r>
      <w:r>
        <w:rPr>
          <w:b w:val="0"/>
          <w:noProof/>
        </w:rPr>
        <w:tab/>
        <w:t>Zadevna področja v strukturi ABM/ABB</w:t>
      </w:r>
    </w:p>
    <w:p w:rsidR="00BF2E49" w:rsidRDefault="002542A5">
      <w:pPr>
        <w:pStyle w:val="ManualHeading2"/>
        <w:rPr>
          <w:b w:val="0"/>
          <w:noProof/>
        </w:rPr>
      </w:pPr>
      <w:r>
        <w:rPr>
          <w:b w:val="0"/>
          <w:noProof/>
        </w:rPr>
        <w:tab/>
        <w:t>1.3.</w:t>
      </w:r>
      <w:r>
        <w:rPr>
          <w:b w:val="0"/>
          <w:noProof/>
        </w:rPr>
        <w:tab/>
        <w:t>Vrsta</w:t>
      </w:r>
      <w:r>
        <w:rPr>
          <w:b w:val="0"/>
          <w:noProof/>
        </w:rPr>
        <w:t xml:space="preserve"> predloga/pobude </w:t>
      </w:r>
    </w:p>
    <w:p w:rsidR="00BF2E49" w:rsidRDefault="002542A5">
      <w:pPr>
        <w:pStyle w:val="ManualHeading2"/>
        <w:rPr>
          <w:b w:val="0"/>
          <w:noProof/>
        </w:rPr>
      </w:pPr>
      <w:r>
        <w:rPr>
          <w:b w:val="0"/>
          <w:noProof/>
        </w:rPr>
        <w:tab/>
        <w:t>1.4.</w:t>
      </w:r>
      <w:r>
        <w:rPr>
          <w:b w:val="0"/>
          <w:noProof/>
        </w:rPr>
        <w:tab/>
        <w:t xml:space="preserve">Cilji </w:t>
      </w:r>
    </w:p>
    <w:p w:rsidR="00BF2E49" w:rsidRDefault="002542A5">
      <w:pPr>
        <w:pStyle w:val="ManualHeading2"/>
        <w:rPr>
          <w:b w:val="0"/>
          <w:noProof/>
        </w:rPr>
      </w:pPr>
      <w:r>
        <w:rPr>
          <w:b w:val="0"/>
          <w:noProof/>
        </w:rPr>
        <w:tab/>
        <w:t>1.5.</w:t>
      </w:r>
      <w:r>
        <w:rPr>
          <w:b w:val="0"/>
          <w:noProof/>
        </w:rPr>
        <w:tab/>
        <w:t xml:space="preserve">Utemeljitev predloga/pobude </w:t>
      </w:r>
    </w:p>
    <w:p w:rsidR="00BF2E49" w:rsidRDefault="002542A5">
      <w:pPr>
        <w:pStyle w:val="ManualHeading2"/>
        <w:rPr>
          <w:b w:val="0"/>
          <w:noProof/>
        </w:rPr>
      </w:pPr>
      <w:r>
        <w:rPr>
          <w:b w:val="0"/>
          <w:noProof/>
        </w:rPr>
        <w:tab/>
        <w:t>1.6.</w:t>
      </w:r>
      <w:r>
        <w:rPr>
          <w:b w:val="0"/>
          <w:noProof/>
        </w:rPr>
        <w:tab/>
        <w:t xml:space="preserve">Trajanje ukrepa in finančnih posledic </w:t>
      </w:r>
    </w:p>
    <w:p w:rsidR="00BF2E49" w:rsidRDefault="002542A5">
      <w:pPr>
        <w:pStyle w:val="ManualHeading2"/>
        <w:rPr>
          <w:b w:val="0"/>
          <w:noProof/>
        </w:rPr>
      </w:pPr>
      <w:r>
        <w:rPr>
          <w:b w:val="0"/>
          <w:noProof/>
        </w:rPr>
        <w:tab/>
        <w:t>1.7.</w:t>
      </w:r>
      <w:r>
        <w:rPr>
          <w:b w:val="0"/>
          <w:noProof/>
        </w:rPr>
        <w:tab/>
        <w:t xml:space="preserve">Načrtovani načini upravljanja </w:t>
      </w:r>
    </w:p>
    <w:p w:rsidR="00BF2E49" w:rsidRDefault="002542A5">
      <w:pPr>
        <w:pStyle w:val="ManualHeading1"/>
        <w:rPr>
          <w:noProof/>
        </w:rPr>
      </w:pPr>
      <w:r>
        <w:rPr>
          <w:noProof/>
        </w:rPr>
        <w:t>2.</w:t>
      </w:r>
      <w:r>
        <w:rPr>
          <w:noProof/>
        </w:rPr>
        <w:tab/>
        <w:t xml:space="preserve">UKREPI UPRAVLJANJA </w:t>
      </w:r>
    </w:p>
    <w:p w:rsidR="00BF2E49" w:rsidRDefault="002542A5">
      <w:pPr>
        <w:pStyle w:val="ManualHeading2"/>
        <w:rPr>
          <w:b w:val="0"/>
          <w:noProof/>
        </w:rPr>
      </w:pPr>
      <w:r>
        <w:rPr>
          <w:b w:val="0"/>
          <w:noProof/>
        </w:rPr>
        <w:tab/>
        <w:t>2.1.</w:t>
      </w:r>
      <w:r>
        <w:rPr>
          <w:b w:val="0"/>
          <w:noProof/>
        </w:rPr>
        <w:tab/>
        <w:t xml:space="preserve">Pravila o spremljanju in poročanju </w:t>
      </w:r>
    </w:p>
    <w:p w:rsidR="00BF2E49" w:rsidRDefault="002542A5">
      <w:pPr>
        <w:pStyle w:val="ManualHeading2"/>
        <w:rPr>
          <w:b w:val="0"/>
          <w:noProof/>
        </w:rPr>
      </w:pPr>
      <w:r>
        <w:rPr>
          <w:b w:val="0"/>
          <w:noProof/>
        </w:rPr>
        <w:tab/>
        <w:t>2.2.</w:t>
      </w:r>
      <w:r>
        <w:rPr>
          <w:b w:val="0"/>
          <w:noProof/>
        </w:rPr>
        <w:tab/>
        <w:t xml:space="preserve">Upravljavski in kontrolni sistem </w:t>
      </w:r>
    </w:p>
    <w:p w:rsidR="00BF2E49" w:rsidRDefault="002542A5">
      <w:pPr>
        <w:pStyle w:val="ManualHeading2"/>
        <w:rPr>
          <w:b w:val="0"/>
          <w:noProof/>
        </w:rPr>
      </w:pPr>
      <w:r>
        <w:rPr>
          <w:b w:val="0"/>
          <w:noProof/>
        </w:rPr>
        <w:tab/>
        <w:t>2.</w:t>
      </w:r>
      <w:r>
        <w:rPr>
          <w:b w:val="0"/>
          <w:noProof/>
        </w:rPr>
        <w:t>3.</w:t>
      </w:r>
      <w:r>
        <w:rPr>
          <w:b w:val="0"/>
          <w:noProof/>
        </w:rPr>
        <w:tab/>
        <w:t xml:space="preserve">Ukrepi za preprečevanje goljufij in nepravilnosti </w:t>
      </w:r>
    </w:p>
    <w:p w:rsidR="00BF2E49" w:rsidRDefault="002542A5">
      <w:pPr>
        <w:pStyle w:val="ManualHeading1"/>
        <w:rPr>
          <w:noProof/>
        </w:rPr>
      </w:pPr>
      <w:r>
        <w:rPr>
          <w:noProof/>
        </w:rPr>
        <w:t>3.</w:t>
      </w:r>
      <w:r>
        <w:rPr>
          <w:noProof/>
        </w:rPr>
        <w:tab/>
        <w:t xml:space="preserve">OCENA FINANČNIH POSLEDIC PREDLOGA/POBUDE </w:t>
      </w:r>
    </w:p>
    <w:p w:rsidR="00BF2E49" w:rsidRDefault="002542A5">
      <w:pPr>
        <w:pStyle w:val="ManualHeading2"/>
        <w:rPr>
          <w:b w:val="0"/>
          <w:noProof/>
        </w:rPr>
      </w:pPr>
      <w:r>
        <w:rPr>
          <w:b w:val="0"/>
          <w:noProof/>
        </w:rPr>
        <w:tab/>
        <w:t>3.1.</w:t>
      </w:r>
      <w:r>
        <w:rPr>
          <w:b w:val="0"/>
          <w:noProof/>
        </w:rPr>
        <w:tab/>
        <w:t xml:space="preserve">Zadevni razdelki večletnega finančnega okvira in odhodkovne proračunske vrstice </w:t>
      </w:r>
    </w:p>
    <w:p w:rsidR="00BF2E49" w:rsidRDefault="002542A5">
      <w:pPr>
        <w:pStyle w:val="ManualHeading2"/>
        <w:rPr>
          <w:noProof/>
        </w:rPr>
      </w:pPr>
      <w:r>
        <w:rPr>
          <w:b w:val="0"/>
          <w:noProof/>
        </w:rPr>
        <w:tab/>
        <w:t>3.2.</w:t>
      </w:r>
      <w:r>
        <w:rPr>
          <w:b w:val="0"/>
          <w:noProof/>
        </w:rPr>
        <w:tab/>
        <w:t>Ocenjene posledice za odhodke</w:t>
      </w:r>
      <w:r>
        <w:rPr>
          <w:noProof/>
        </w:rPr>
        <w:t xml:space="preserve"> </w:t>
      </w:r>
    </w:p>
    <w:p w:rsidR="00BF2E49" w:rsidRDefault="002542A5">
      <w:pPr>
        <w:pStyle w:val="ManualHeading3"/>
        <w:rPr>
          <w:noProof/>
        </w:rPr>
      </w:pPr>
      <w:r>
        <w:rPr>
          <w:noProof/>
        </w:rPr>
        <w:tab/>
        <w:t>3.2.1.</w:t>
      </w:r>
      <w:r>
        <w:rPr>
          <w:noProof/>
        </w:rPr>
        <w:tab/>
      </w:r>
      <w:r>
        <w:rPr>
          <w:noProof/>
        </w:rPr>
        <w:t xml:space="preserve">Povzetek ocenjenih posledic za odhodke </w:t>
      </w:r>
    </w:p>
    <w:p w:rsidR="00BF2E49" w:rsidRDefault="002542A5">
      <w:pPr>
        <w:pStyle w:val="ManualHeading3"/>
        <w:rPr>
          <w:noProof/>
        </w:rPr>
      </w:pPr>
      <w:r>
        <w:rPr>
          <w:noProof/>
        </w:rPr>
        <w:tab/>
        <w:t>3.2.2.</w:t>
      </w:r>
      <w:r>
        <w:rPr>
          <w:noProof/>
        </w:rPr>
        <w:tab/>
        <w:t xml:space="preserve">Ocenjene posledice za odobritve za poslovanje </w:t>
      </w:r>
    </w:p>
    <w:p w:rsidR="00BF2E49" w:rsidRDefault="002542A5">
      <w:pPr>
        <w:pStyle w:val="ManualHeading3"/>
        <w:rPr>
          <w:noProof/>
        </w:rPr>
      </w:pPr>
      <w:r>
        <w:rPr>
          <w:noProof/>
        </w:rPr>
        <w:tab/>
        <w:t>3.2.3.</w:t>
      </w:r>
      <w:r>
        <w:rPr>
          <w:noProof/>
        </w:rPr>
        <w:tab/>
        <w:t>Ocenjene posledice za odobritve za upravne zadeve</w:t>
      </w:r>
    </w:p>
    <w:p w:rsidR="00BF2E49" w:rsidRDefault="002542A5">
      <w:pPr>
        <w:pStyle w:val="ManualHeading3"/>
        <w:rPr>
          <w:noProof/>
        </w:rPr>
      </w:pPr>
      <w:r>
        <w:rPr>
          <w:noProof/>
        </w:rPr>
        <w:tab/>
        <w:t>3.2.4.</w:t>
      </w:r>
      <w:r>
        <w:rPr>
          <w:noProof/>
        </w:rPr>
        <w:tab/>
        <w:t>Skladnost z veljavnim večletnim finančnim okvirom</w:t>
      </w:r>
    </w:p>
    <w:p w:rsidR="00BF2E49" w:rsidRDefault="002542A5">
      <w:pPr>
        <w:pStyle w:val="ManualHeading3"/>
        <w:rPr>
          <w:noProof/>
        </w:rPr>
      </w:pPr>
      <w:r>
        <w:rPr>
          <w:noProof/>
        </w:rPr>
        <w:tab/>
        <w:t>3.2.5.</w:t>
      </w:r>
      <w:r>
        <w:rPr>
          <w:noProof/>
        </w:rPr>
        <w:tab/>
      </w:r>
      <w:r>
        <w:rPr>
          <w:noProof/>
        </w:rPr>
        <w:t xml:space="preserve">Udeležba tretjih oseb pri financiranju </w:t>
      </w:r>
    </w:p>
    <w:p w:rsidR="00BF2E49" w:rsidRDefault="002542A5">
      <w:pPr>
        <w:pStyle w:val="ManualHeading2"/>
        <w:jc w:val="left"/>
        <w:rPr>
          <w:b w:val="0"/>
          <w:noProof/>
        </w:rPr>
        <w:sectPr w:rsidR="00BF2E49">
          <w:pgSz w:w="11907" w:h="16840" w:code="9"/>
          <w:pgMar w:top="1134" w:right="1418" w:bottom="1134" w:left="1418" w:header="709" w:footer="709" w:gutter="0"/>
          <w:cols w:space="708"/>
          <w:docGrid w:linePitch="360"/>
        </w:sectPr>
      </w:pPr>
      <w:r>
        <w:rPr>
          <w:b w:val="0"/>
          <w:noProof/>
        </w:rPr>
        <w:tab/>
        <w:t>3.3.</w:t>
      </w:r>
      <w:r>
        <w:rPr>
          <w:b w:val="0"/>
          <w:noProof/>
        </w:rPr>
        <w:tab/>
        <w:t>Ocenjene posledice za prihodke</w:t>
      </w:r>
    </w:p>
    <w:p w:rsidR="00BF2E49" w:rsidRDefault="002542A5">
      <w:pPr>
        <w:jc w:val="center"/>
        <w:rPr>
          <w:noProof/>
        </w:rPr>
      </w:pPr>
      <w:r>
        <w:rPr>
          <w:b/>
          <w:noProof/>
          <w:u w:val="single"/>
        </w:rPr>
        <w:t>OCENA FINANČNIH POSLEDIC ZAKONODAJNEGA PREDLOGA</w:t>
      </w:r>
    </w:p>
    <w:p w:rsidR="00BF2E49" w:rsidRDefault="002542A5">
      <w:pPr>
        <w:pStyle w:val="ManualHeading1"/>
        <w:rPr>
          <w:noProof/>
        </w:rPr>
      </w:pPr>
      <w:r>
        <w:t>1.</w:t>
      </w:r>
      <w:r>
        <w:tab/>
      </w:r>
      <w:r>
        <w:rPr>
          <w:noProof/>
        </w:rPr>
        <w:t xml:space="preserve">OKVIR PREDLOGA/POBUDE </w:t>
      </w:r>
    </w:p>
    <w:p w:rsidR="00BF2E49" w:rsidRDefault="002542A5">
      <w:pPr>
        <w:pStyle w:val="ManualHeading2"/>
        <w:rPr>
          <w:noProof/>
        </w:rPr>
      </w:pPr>
      <w:r>
        <w:t>1.1.</w:t>
      </w:r>
      <w:r>
        <w:tab/>
      </w:r>
      <w:r>
        <w:rPr>
          <w:noProof/>
        </w:rPr>
        <w:t xml:space="preserve">Naslov predloga/pobude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Predlog direktive Sveta o spremembi Direktive 2011/16</w:t>
      </w:r>
      <w:r>
        <w:rPr>
          <w:noProof/>
        </w:rPr>
        <w:t xml:space="preserve">/EU </w:t>
      </w:r>
      <w:r>
        <w:rPr>
          <w:noProof/>
        </w:rPr>
        <w:tab/>
      </w:r>
      <w:r>
        <w:rPr>
          <w:noProof/>
        </w:rPr>
        <w:br/>
        <w:t>glede izmenjave podatkov na področju obdavčevanja</w:t>
      </w:r>
    </w:p>
    <w:p w:rsidR="00BF2E49" w:rsidRDefault="002542A5">
      <w:pPr>
        <w:pStyle w:val="ManualHeading2"/>
        <w:rPr>
          <w:noProof/>
          <w:szCs w:val="24"/>
        </w:rPr>
      </w:pPr>
      <w:r>
        <w:t>1.2.</w:t>
      </w:r>
      <w:r>
        <w:tab/>
      </w:r>
      <w:r>
        <w:rPr>
          <w:noProof/>
        </w:rPr>
        <w:t>Zadevna področja v strukturi ABM/ABB</w:t>
      </w:r>
      <w:r>
        <w:rPr>
          <w:rStyle w:val="FootnoteReference"/>
          <w:noProof/>
        </w:rPr>
        <w:footnoteReference w:id="15"/>
      </w:r>
      <w:r>
        <w:rPr>
          <w:i/>
          <w:noProof/>
        </w:rPr>
        <w:t xml:space="preserve">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14</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14.03</w:t>
      </w:r>
    </w:p>
    <w:p w:rsidR="00BF2E49" w:rsidRDefault="002542A5">
      <w:pPr>
        <w:pStyle w:val="ManualHeading2"/>
        <w:rPr>
          <w:bCs/>
          <w:noProof/>
          <w:szCs w:val="24"/>
        </w:rPr>
      </w:pPr>
      <w:r>
        <w:t>1.3.</w:t>
      </w:r>
      <w:r>
        <w:tab/>
      </w:r>
      <w:r>
        <w:rPr>
          <w:noProof/>
        </w:rPr>
        <w:t xml:space="preserve">Vrsta predloga/pobude </w:t>
      </w:r>
    </w:p>
    <w:p w:rsidR="00BF2E49" w:rsidRDefault="002542A5">
      <w:pPr>
        <w:pStyle w:val="Text1"/>
        <w:rPr>
          <w:b/>
          <w:noProof/>
          <w:sz w:val="22"/>
        </w:rPr>
      </w:pPr>
      <w:r>
        <w:rPr>
          <w:noProof/>
          <w:sz w:val="22"/>
        </w:rPr>
        <w:sym w:font="Wingdings" w:char="F0FD"/>
      </w:r>
      <w:r>
        <w:rPr>
          <w:noProof/>
        </w:rPr>
        <w:t xml:space="preserve"> Predlog/pobuda se nanaša na </w:t>
      </w:r>
      <w:r>
        <w:rPr>
          <w:b/>
          <w:noProof/>
        </w:rPr>
        <w:t>nov ukrep</w:t>
      </w:r>
      <w:r>
        <w:rPr>
          <w:noProof/>
        </w:rPr>
        <w:t>.</w:t>
      </w:r>
      <w:r>
        <w:rPr>
          <w:b/>
          <w:noProof/>
          <w:sz w:val="22"/>
        </w:rPr>
        <w:t xml:space="preserve"> </w:t>
      </w:r>
    </w:p>
    <w:p w:rsidR="00BF2E49" w:rsidRDefault="002542A5">
      <w:pPr>
        <w:pStyle w:val="Text1"/>
        <w:rPr>
          <w:noProof/>
          <w:sz w:val="22"/>
        </w:rPr>
      </w:pPr>
      <w:r>
        <w:rPr>
          <w:noProof/>
          <w:sz w:val="22"/>
        </w:rPr>
        <w:sym w:font="Wingdings" w:char="F0A8"/>
      </w:r>
      <w:r>
        <w:rPr>
          <w:noProof/>
        </w:rPr>
        <w:t xml:space="preserve"> Predlog/pobuda se nanaša na </w:t>
      </w:r>
      <w:r>
        <w:rPr>
          <w:b/>
          <w:noProof/>
        </w:rPr>
        <w:t>nov ukrep na podlagi pilotnega projekta / pripr</w:t>
      </w:r>
      <w:r>
        <w:rPr>
          <w:b/>
          <w:noProof/>
        </w:rPr>
        <w:t>avljalnega ukrepa</w:t>
      </w:r>
      <w:r>
        <w:rPr>
          <w:rStyle w:val="FootnoteReference"/>
          <w:b/>
          <w:noProof/>
        </w:rPr>
        <w:footnoteReference w:id="16"/>
      </w:r>
      <w:r>
        <w:rPr>
          <w:noProof/>
        </w:rPr>
        <w:t>.</w:t>
      </w:r>
      <w:r>
        <w:rPr>
          <w:noProof/>
          <w:sz w:val="22"/>
        </w:rPr>
        <w:t xml:space="preserve"> </w:t>
      </w:r>
    </w:p>
    <w:p w:rsidR="00BF2E49" w:rsidRDefault="002542A5">
      <w:pPr>
        <w:pStyle w:val="Text1"/>
        <w:rPr>
          <w:noProof/>
          <w:sz w:val="22"/>
        </w:rPr>
      </w:pPr>
      <w:r>
        <w:rPr>
          <w:noProof/>
          <w:sz w:val="22"/>
        </w:rPr>
        <w:sym w:font="Wingdings" w:char="F0A8"/>
      </w:r>
      <w:r>
        <w:rPr>
          <w:noProof/>
        </w:rPr>
        <w:t xml:space="preserve"> Predlog/pobuda se nanaša na </w:t>
      </w:r>
      <w:r>
        <w:rPr>
          <w:b/>
          <w:noProof/>
        </w:rPr>
        <w:t>podaljšanje obstoječega ukrepa</w:t>
      </w:r>
      <w:r>
        <w:rPr>
          <w:noProof/>
        </w:rPr>
        <w:t>.</w:t>
      </w:r>
      <w:r>
        <w:rPr>
          <w:noProof/>
          <w:sz w:val="22"/>
        </w:rPr>
        <w:t xml:space="preserve"> </w:t>
      </w:r>
    </w:p>
    <w:p w:rsidR="00BF2E49" w:rsidRDefault="002542A5">
      <w:pPr>
        <w:pStyle w:val="Text1"/>
        <w:rPr>
          <w:noProof/>
        </w:rPr>
      </w:pPr>
      <w:r>
        <w:rPr>
          <w:noProof/>
          <w:sz w:val="22"/>
        </w:rPr>
        <w:sym w:font="Wingdings" w:char="F0A8"/>
      </w:r>
      <w:r>
        <w:rPr>
          <w:noProof/>
        </w:rPr>
        <w:t xml:space="preserve"> Predlog/pobuda se nanaša na </w:t>
      </w:r>
      <w:r>
        <w:rPr>
          <w:b/>
          <w:noProof/>
        </w:rPr>
        <w:t>obstoječ ukrep, preusmerjen v nov ukrep</w:t>
      </w:r>
      <w:r>
        <w:rPr>
          <w:noProof/>
        </w:rPr>
        <w:t xml:space="preserve">. </w:t>
      </w:r>
    </w:p>
    <w:p w:rsidR="00BF2E49" w:rsidRDefault="002542A5">
      <w:pPr>
        <w:pStyle w:val="ManualHeading2"/>
        <w:rPr>
          <w:bCs/>
          <w:noProof/>
          <w:szCs w:val="24"/>
        </w:rPr>
      </w:pPr>
      <w:r>
        <w:t>1.4.</w:t>
      </w:r>
      <w:r>
        <w:tab/>
      </w:r>
      <w:r>
        <w:rPr>
          <w:noProof/>
        </w:rPr>
        <w:t>Cilji</w:t>
      </w:r>
    </w:p>
    <w:p w:rsidR="00BF2E49" w:rsidRDefault="002542A5">
      <w:pPr>
        <w:pStyle w:val="ManualHeading3"/>
        <w:rPr>
          <w:noProof/>
        </w:rPr>
      </w:pPr>
      <w:r>
        <w:t>1.4.1.</w:t>
      </w:r>
      <w:r>
        <w:tab/>
      </w:r>
      <w:r>
        <w:rPr>
          <w:noProof/>
        </w:rPr>
        <w:t xml:space="preserve">Večletni strateški cilji Komisije, ki naj bi bili doseženi s predlogom/pobudo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Delovni program Komisije za leto 2015 kot eno od prednostnih nalog navaja pravičnejši pristop k obdavčevanju, vključno z zagotavljanjem „avtomatične izmenjave podatkov o davčnih stališčih“, kar popolnoma ustreza namenu tega predloga.</w:t>
      </w:r>
    </w:p>
    <w:p w:rsidR="00BF2E49" w:rsidRDefault="002542A5">
      <w:pPr>
        <w:pStyle w:val="ManualHeading3"/>
        <w:rPr>
          <w:bCs/>
          <w:noProof/>
          <w:szCs w:val="24"/>
        </w:rPr>
      </w:pPr>
      <w:r>
        <w:t>1.4.2.</w:t>
      </w:r>
      <w:r>
        <w:tab/>
      </w:r>
      <w:r>
        <w:rPr>
          <w:noProof/>
        </w:rPr>
        <w:t>Posamezni cilji</w:t>
      </w:r>
      <w:r>
        <w:rPr>
          <w:noProof/>
        </w:rPr>
        <w:t xml:space="preserve"> in zadevne dejavnosti v strukturi ABM/ABB </w:t>
      </w:r>
    </w:p>
    <w:p w:rsidR="00BF2E49" w:rsidRDefault="002542A5">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Posamezni cilj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Posamezni cilj programa Fiscalis je podpora boju proti davčnim goljufijam, utaji davkov in agresivnemu davčnemu načrtovanju ter izvajanju prava Unije s področja obdavčitve z zagotavljanjem izmenja</w:t>
      </w:r>
      <w:r>
        <w:rPr>
          <w:noProof/>
        </w:rPr>
        <w:t xml:space="preserve">ve podatkov, s spodbujanjem upravnega sodelovanja ter, kadar je to potrebno in primerno, s krepitvijo upravne zmogljivosti sodelujočih držav, z namenom prispevanja k zmanjševanju upravnega bremena davčnih organov in stroškov ravnanja v skladu z zakonodajo </w:t>
      </w:r>
      <w:r>
        <w:rPr>
          <w:noProof/>
        </w:rPr>
        <w:t>za davčne zavezance.</w:t>
      </w:r>
    </w:p>
    <w:p w:rsidR="00BF2E49" w:rsidRDefault="002542A5">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ABB 3</w:t>
      </w:r>
    </w:p>
    <w:p w:rsidR="00BF2E49" w:rsidRDefault="002542A5">
      <w:pPr>
        <w:pStyle w:val="ManualHeading3"/>
        <w:rPr>
          <w:bCs/>
          <w:noProof/>
          <w:szCs w:val="24"/>
        </w:rPr>
      </w:pPr>
      <w:r>
        <w:rPr>
          <w:noProof/>
        </w:rPr>
        <w:br w:type="page"/>
      </w:r>
      <w:r>
        <w:t>1.4.3.</w:t>
      </w:r>
      <w:r>
        <w:tab/>
      </w:r>
      <w:r>
        <w:rPr>
          <w:noProof/>
        </w:rPr>
        <w:t>Pričakovani rezultati in posledice</w:t>
      </w:r>
    </w:p>
    <w:p w:rsidR="00BF2E49" w:rsidRDefault="002542A5">
      <w:pPr>
        <w:pStyle w:val="Text1"/>
        <w:rPr>
          <w:i/>
          <w:noProof/>
          <w:sz w:val="20"/>
        </w:rPr>
      </w:pPr>
      <w:r>
        <w:rPr>
          <w:i/>
          <w:noProof/>
          <w:sz w:val="20"/>
        </w:rPr>
        <w:t>Navedite, kakšne posledice naj bi imel(-a) predlog/pobuda za upravičence/ciljne skupine.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Prvič, avtomatična izmenjava podatkov o davčnih stališčih med državami članicami bo pomenila, da bo lahko vsaka država članica ustrezno ocenila, ali davčna stališča druge države članice vplivajo nanjo (čeprav nenamerno), in se temu primerno odzvala.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Drugi</w:t>
      </w:r>
      <w:r>
        <w:rPr>
          <w:noProof/>
        </w:rPr>
        <w:t>č, večja preglednost davčnih stališč bi morala bolj spodbujati pravičnejšo davčno konkurenco. Prav tako lahko avtomatična izmenjava podatkov o davčnih stališčih odvrne družbe od agresivnega davčnega načrtovanja na podlagi davčnih stališč, saj bodo drugim d</w:t>
      </w:r>
      <w:r>
        <w:rPr>
          <w:noProof/>
        </w:rPr>
        <w:t xml:space="preserve">ržavam članicam na voljo podatki, potrebni za odkrivanje umetnih ureditev in preusmerjanja dobička ter odzivanje nanje.  </w:t>
      </w:r>
    </w:p>
    <w:p w:rsidR="00BF2E49" w:rsidRDefault="002542A5">
      <w:pPr>
        <w:pStyle w:val="ManualHeading3"/>
        <w:rPr>
          <w:bCs/>
          <w:noProof/>
          <w:szCs w:val="24"/>
        </w:rPr>
      </w:pPr>
      <w:r>
        <w:t>1.4.4.</w:t>
      </w:r>
      <w:r>
        <w:tab/>
      </w:r>
      <w:r>
        <w:rPr>
          <w:noProof/>
        </w:rPr>
        <w:t xml:space="preserve">Kazalniki rezultatov in posledic </w:t>
      </w:r>
    </w:p>
    <w:p w:rsidR="00BF2E49" w:rsidRDefault="002542A5">
      <w:pPr>
        <w:pStyle w:val="Text1"/>
        <w:rPr>
          <w:i/>
          <w:noProof/>
          <w:sz w:val="20"/>
        </w:rPr>
      </w:pPr>
      <w:r>
        <w:rPr>
          <w:i/>
          <w:noProof/>
          <w:sz w:val="20"/>
        </w:rPr>
        <w:t>Navedite, s katerimi kazalniki se bo spremljalo izvajanje predloga/pobude.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Predlog urejajo za</w:t>
      </w:r>
      <w:r>
        <w:rPr>
          <w:noProof/>
        </w:rPr>
        <w:t>hteve iz direktive, ki jo spreminja (tj. Direktive 2011/16/EU), za i) statistične podatke o izmenjavi podatkov, ki jih države članice posredujejo za vsako leto, ii) poročilo, ki ga predloži Komisija na podlagi teh statističnih podatkov, in iii) oceno učink</w:t>
      </w:r>
      <w:r>
        <w:rPr>
          <w:noProof/>
        </w:rPr>
        <w:t xml:space="preserve">ovitosti avtomatične izmenjave podatkov, ki jo države članice posredujejo za vsako leto. </w:t>
      </w:r>
    </w:p>
    <w:p w:rsidR="00BF2E49" w:rsidRDefault="002542A5">
      <w:pPr>
        <w:pStyle w:val="ManualHeading2"/>
        <w:rPr>
          <w:bCs/>
          <w:noProof/>
          <w:szCs w:val="24"/>
        </w:rPr>
      </w:pPr>
      <w:r>
        <w:t>1.5.</w:t>
      </w:r>
      <w:r>
        <w:tab/>
      </w:r>
      <w:r>
        <w:rPr>
          <w:noProof/>
        </w:rPr>
        <w:t xml:space="preserve">Utemeljitev predloga/pobude </w:t>
      </w:r>
    </w:p>
    <w:p w:rsidR="00BF2E49" w:rsidRDefault="002542A5">
      <w:pPr>
        <w:pStyle w:val="ManualHeading3"/>
        <w:rPr>
          <w:noProof/>
        </w:rPr>
      </w:pPr>
      <w:r>
        <w:t>1.5.1.</w:t>
      </w:r>
      <w:r>
        <w:tab/>
      </w:r>
      <w:r>
        <w:rPr>
          <w:noProof/>
        </w:rPr>
        <w:t xml:space="preserve">Potrebe, ki jih je treba zadovoljiti kratkoročno ali dolgoročno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Čeprav mora država članica, ki izda davčno stališče, v sklad</w:t>
      </w:r>
      <w:r>
        <w:rPr>
          <w:noProof/>
        </w:rPr>
        <w:t xml:space="preserve">u z Direktivo o upravnem sodelovanju (2011/16/EU) razkriti podatke katerim koli drugim zadevnim državam članicam, se lahko država članica, ki izda stališče, sama odloči, za katere druge države članice so lahko ti podatki relevantni. Vendar država članica, </w:t>
      </w:r>
      <w:r>
        <w:rPr>
          <w:noProof/>
        </w:rPr>
        <w:t>ki izda stališče, ne ve vedno, na katere druge države članice vplivajo ti podatki. Poleg tega ima zahteva po razkritju nekaj izjem. S tem predlogom se zahteva, da država članica, ki izda stališče, podatke avtomatično posreduje vsem drugim državam članicam,</w:t>
      </w:r>
      <w:r>
        <w:rPr>
          <w:noProof/>
        </w:rPr>
        <w:t xml:space="preserve"> kar pomeni, da se o relevantnosti odloči država članica, ki je podatke prejela, in ne država članica, ki je podatke izdala, ter da se odpravijo trenutne izjeme iz zahteve po razkritju.</w:t>
      </w:r>
    </w:p>
    <w:p w:rsidR="00BF2E49" w:rsidRDefault="002542A5">
      <w:pPr>
        <w:pStyle w:val="ManualHeading3"/>
        <w:rPr>
          <w:bCs/>
          <w:noProof/>
          <w:szCs w:val="24"/>
        </w:rPr>
      </w:pPr>
      <w:r>
        <w:t>1.5.2.</w:t>
      </w:r>
      <w:r>
        <w:tab/>
      </w:r>
      <w:r>
        <w:rPr>
          <w:noProof/>
        </w:rPr>
        <w:t>Dodana vrednost ukrepanja EU</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Države članice, ki delujejo posame</w:t>
      </w:r>
      <w:r>
        <w:rPr>
          <w:noProof/>
        </w:rPr>
        <w:t>zno, morebiti ne bi mogle pridobiti vseh podatkov glede stališč, ki jih izdajo druge države članice, četudi ta stališča zadevajo njihove davčne osnove. Zavezujoč pristop na ravni EU je edini način, da se zagotovita popolna preglednost in sodelovanje na tem</w:t>
      </w:r>
      <w:r>
        <w:rPr>
          <w:noProof/>
        </w:rPr>
        <w:t xml:space="preserve"> področju.</w:t>
      </w:r>
    </w:p>
    <w:p w:rsidR="00BF2E49" w:rsidRDefault="002542A5">
      <w:pPr>
        <w:pStyle w:val="ManualHeading3"/>
        <w:rPr>
          <w:bCs/>
          <w:noProof/>
          <w:szCs w:val="24"/>
        </w:rPr>
      </w:pPr>
      <w:r>
        <w:t>1.5.3.</w:t>
      </w:r>
      <w:r>
        <w:tab/>
      </w:r>
      <w:r>
        <w:rPr>
          <w:noProof/>
        </w:rPr>
        <w:t>Spoznanja iz podobnih izkušenj v preteklosti</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Trenutni pristop k izmenjavi podatkov o stališčih, ki ni avtomatična, zaenkrat še ni privedel do preglednosti na tem področju. Trenutno nekateri davčni zavezanci izrabljajo pomanjkanje pregledn</w:t>
      </w:r>
      <w:r>
        <w:rPr>
          <w:noProof/>
        </w:rPr>
        <w:t>osti za vzpostavitev struktur, ki dobiček preusmerjajo v države z nizkimi davki, ki niso nujno države, v katerih se opravlja dobičkonosna gospodarska dejavnost in v katerih se ustvarja vrednost. Z avtomatično izmenjavo podatkov med davčnimi upravami, ki se</w:t>
      </w:r>
      <w:r>
        <w:rPr>
          <w:noProof/>
        </w:rPr>
        <w:t xml:space="preserve"> uporablja na drugih davčnih področjih, kot je dohodek od prihrankov, so bili doseženi dobri rezultati. Avtomatična izmenjava se na svetovni ravni šteje kot najboljše sredstvo, ki je davčnim upravam na voljo za preprečevanje izogibanja davkom in davčne uta</w:t>
      </w:r>
      <w:r>
        <w:rPr>
          <w:noProof/>
        </w:rPr>
        <w:t>je.</w:t>
      </w:r>
    </w:p>
    <w:p w:rsidR="00BF2E49" w:rsidRDefault="002542A5">
      <w:pPr>
        <w:pStyle w:val="ManualHeading3"/>
        <w:rPr>
          <w:bCs/>
          <w:noProof/>
          <w:szCs w:val="24"/>
        </w:rPr>
      </w:pPr>
      <w:r>
        <w:t>1.5.4.</w:t>
      </w:r>
      <w:r>
        <w:tab/>
      </w:r>
      <w:r>
        <w:rPr>
          <w:noProof/>
        </w:rPr>
        <w:t>Skladnost in možnosti sinergij z drugimi ustreznimi instrumenti</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Ker predlog spreminja direktivo o upravnem sodelovanju (2011/16/EU), bodo za namene tega predloga na voljo postopki in orodja informacijske tehnologije, ki so že uveljavljeni ali v </w:t>
      </w:r>
      <w:r>
        <w:rPr>
          <w:noProof/>
        </w:rPr>
        <w:t xml:space="preserve">pripravi v skladu z navedeno direktivo. </w:t>
      </w:r>
    </w:p>
    <w:p w:rsidR="00BF2E49" w:rsidRDefault="002542A5">
      <w:pPr>
        <w:pStyle w:val="ManualHeading2"/>
        <w:rPr>
          <w:bCs/>
          <w:noProof/>
          <w:szCs w:val="24"/>
        </w:rPr>
      </w:pPr>
      <w:r>
        <w:rPr>
          <w:noProof/>
        </w:rPr>
        <w:br w:type="page"/>
      </w:r>
      <w:r>
        <w:t>1.6.</w:t>
      </w:r>
      <w:r>
        <w:tab/>
      </w:r>
      <w:r>
        <w:rPr>
          <w:noProof/>
        </w:rPr>
        <w:t xml:space="preserve">Trajanje ukrepa in finančnih posledic </w:t>
      </w:r>
    </w:p>
    <w:p w:rsidR="00BF2E49" w:rsidRDefault="002542A5">
      <w:pPr>
        <w:pStyle w:val="Text1"/>
        <w:rPr>
          <w:noProof/>
        </w:rPr>
      </w:pPr>
      <w:r>
        <w:rPr>
          <w:noProof/>
        </w:rPr>
        <w:sym w:font="Wingdings" w:char="F0A8"/>
      </w:r>
      <w:r>
        <w:rPr>
          <w:noProof/>
        </w:rPr>
        <w:t xml:space="preserve"> </w:t>
      </w:r>
      <w:r>
        <w:rPr>
          <w:b/>
          <w:noProof/>
        </w:rPr>
        <w:t>Časovno omejen(-a)</w:t>
      </w:r>
      <w:r>
        <w:rPr>
          <w:noProof/>
        </w:rPr>
        <w:t xml:space="preserve"> predlog/pobuda:</w:t>
      </w:r>
      <w:r>
        <w:rPr>
          <w:b/>
          <w:noProof/>
        </w:rPr>
        <w:t xml:space="preserve"> </w:t>
      </w:r>
    </w:p>
    <w:p w:rsidR="00BF2E49" w:rsidRDefault="002542A5">
      <w:pPr>
        <w:pStyle w:val="ListDash2"/>
        <w:rPr>
          <w:noProof/>
        </w:rPr>
      </w:pPr>
      <w:r>
        <w:rPr>
          <w:noProof/>
        </w:rPr>
        <w:sym w:font="Wingdings" w:char="F0A8"/>
      </w:r>
      <w:r>
        <w:rPr>
          <w:noProof/>
        </w:rPr>
        <w:t xml:space="preserve"> trajanje predloga/pobude od [D. MMMM] LLLL do [D. MMMM] LLLL, </w:t>
      </w:r>
    </w:p>
    <w:p w:rsidR="00BF2E49" w:rsidRDefault="002542A5">
      <w:pPr>
        <w:pStyle w:val="ListDash2"/>
        <w:rPr>
          <w:noProof/>
        </w:rPr>
      </w:pPr>
      <w:r>
        <w:rPr>
          <w:noProof/>
        </w:rPr>
        <w:sym w:font="Wingdings" w:char="F0A8"/>
      </w:r>
      <w:r>
        <w:rPr>
          <w:noProof/>
        </w:rPr>
        <w:t xml:space="preserve"> finančne posledice med letoma LLLL in LLLL. </w:t>
      </w:r>
    </w:p>
    <w:p w:rsidR="00BF2E49" w:rsidRDefault="002542A5">
      <w:pPr>
        <w:pStyle w:val="Text1"/>
        <w:rPr>
          <w:noProof/>
        </w:rPr>
      </w:pPr>
      <w:r>
        <w:rPr>
          <w:noProof/>
        </w:rPr>
        <w:sym w:font="Wingdings" w:char="F0FD"/>
      </w:r>
      <w:r>
        <w:rPr>
          <w:noProof/>
        </w:rPr>
        <w:t xml:space="preserve"> </w:t>
      </w:r>
      <w:r>
        <w:rPr>
          <w:b/>
          <w:noProof/>
        </w:rPr>
        <w:t xml:space="preserve">Časovno </w:t>
      </w:r>
      <w:r>
        <w:rPr>
          <w:b/>
          <w:noProof/>
        </w:rPr>
        <w:t>neomejen(-a)</w:t>
      </w:r>
      <w:r>
        <w:rPr>
          <w:noProof/>
        </w:rPr>
        <w:t xml:space="preserve"> predlog/pobuda:</w:t>
      </w:r>
    </w:p>
    <w:p w:rsidR="00BF2E49" w:rsidRDefault="002542A5">
      <w:pPr>
        <w:pStyle w:val="ListDash1"/>
        <w:rPr>
          <w:rFonts w:eastAsia="Calibri"/>
          <w:noProof/>
        </w:rPr>
      </w:pPr>
      <w:r>
        <w:rPr>
          <w:noProof/>
        </w:rPr>
        <w:t>izvajanje z obdobjem uvajanja med letoma LLLL in LLLL,</w:t>
      </w:r>
    </w:p>
    <w:p w:rsidR="00BF2E49" w:rsidRDefault="002542A5">
      <w:pPr>
        <w:pStyle w:val="ListDash1"/>
        <w:rPr>
          <w:rFonts w:eastAsia="Calibri"/>
          <w:noProof/>
        </w:rPr>
      </w:pPr>
      <w:r>
        <w:rPr>
          <w:noProof/>
        </w:rPr>
        <w:t>predlog bo začel veljati 1. januarja 2016,</w:t>
      </w:r>
    </w:p>
    <w:p w:rsidR="00BF2E49" w:rsidRDefault="002542A5">
      <w:pPr>
        <w:pStyle w:val="ListDash1"/>
        <w:rPr>
          <w:noProof/>
        </w:rPr>
      </w:pPr>
      <w:r>
        <w:rPr>
          <w:noProof/>
        </w:rPr>
        <w:t>ki mu sledi izvajanje predloga/pobude v celoti.</w:t>
      </w:r>
    </w:p>
    <w:p w:rsidR="00BF2E49" w:rsidRDefault="002542A5">
      <w:pPr>
        <w:pStyle w:val="ManualHeading2"/>
        <w:rPr>
          <w:bCs/>
          <w:noProof/>
          <w:szCs w:val="24"/>
        </w:rPr>
      </w:pPr>
      <w:r>
        <w:t>1.7.</w:t>
      </w:r>
      <w:r>
        <w:tab/>
      </w:r>
      <w:r>
        <w:rPr>
          <w:noProof/>
        </w:rPr>
        <w:t>Načrtovani načini upravljanja</w:t>
      </w:r>
      <w:r>
        <w:rPr>
          <w:rStyle w:val="FootnoteReference"/>
          <w:noProof/>
        </w:rPr>
        <w:footnoteReference w:id="17"/>
      </w:r>
      <w:r>
        <w:rPr>
          <w:rStyle w:val="FootnoteReference"/>
          <w:noProof/>
        </w:rPr>
        <w:t xml:space="preserve"> </w:t>
      </w:r>
    </w:p>
    <w:p w:rsidR="00BF2E49" w:rsidRDefault="002542A5">
      <w:pPr>
        <w:pStyle w:val="Text1"/>
        <w:rPr>
          <w:noProof/>
        </w:rPr>
      </w:pPr>
      <w:r>
        <w:rPr>
          <w:noProof/>
        </w:rPr>
        <w:sym w:font="Wingdings" w:char="F0FD"/>
      </w:r>
      <w:r>
        <w:rPr>
          <w:noProof/>
        </w:rPr>
        <w:t xml:space="preserve"> </w:t>
      </w:r>
      <w:r>
        <w:rPr>
          <w:b/>
          <w:noProof/>
        </w:rPr>
        <w:t>Neposredno upravljanje</w:t>
      </w:r>
      <w:r>
        <w:rPr>
          <w:noProof/>
        </w:rPr>
        <w:t xml:space="preserve"> – Komisija</w:t>
      </w:r>
    </w:p>
    <w:p w:rsidR="00BF2E49" w:rsidRDefault="002542A5">
      <w:pPr>
        <w:pStyle w:val="ListDash2"/>
        <w:rPr>
          <w:rFonts w:cs="EUAlbertina"/>
          <w:noProof/>
        </w:rPr>
      </w:pPr>
      <w:r>
        <w:rPr>
          <w:noProof/>
        </w:rPr>
        <w:sym w:font="Wingdings" w:char="F0FD"/>
      </w:r>
      <w:r>
        <w:rPr>
          <w:noProof/>
        </w:rPr>
        <w:t xml:space="preserve"> z lastnimi službami, vključno z zaposlenimi v delegacijah Unije; </w:t>
      </w:r>
      <w:r>
        <w:rPr>
          <w:noProof/>
        </w:rPr>
        <w:tab/>
      </w:r>
      <w:r>
        <w:rPr>
          <w:noProof/>
        </w:rPr>
        <w:br/>
        <w:t xml:space="preserve"> </w:t>
      </w:r>
      <w:r>
        <w:rPr>
          <w:noProof/>
        </w:rPr>
        <w:tab/>
        <w:t>program Fiscalis 2020 se upravlja neposredno,</w:t>
      </w:r>
    </w:p>
    <w:p w:rsidR="00BF2E49" w:rsidRDefault="002542A5">
      <w:pPr>
        <w:pStyle w:val="ListDash2"/>
        <w:rPr>
          <w:noProof/>
        </w:rPr>
      </w:pPr>
      <w:r>
        <w:rPr>
          <w:noProof/>
        </w:rPr>
        <w:sym w:font="Wingdings" w:char="F0A8"/>
      </w:r>
      <w:r>
        <w:rPr>
          <w:noProof/>
        </w:rPr>
        <w:t xml:space="preserve"> prek izvajalskih agencij. </w:t>
      </w:r>
    </w:p>
    <w:p w:rsidR="00BF2E49" w:rsidRDefault="002542A5">
      <w:pPr>
        <w:pStyle w:val="Text1"/>
        <w:rPr>
          <w:noProof/>
        </w:rPr>
      </w:pPr>
      <w:r>
        <w:rPr>
          <w:noProof/>
        </w:rPr>
        <w:sym w:font="Wingdings" w:char="F0A8"/>
      </w:r>
      <w:r>
        <w:rPr>
          <w:noProof/>
        </w:rPr>
        <w:t xml:space="preserve"> </w:t>
      </w:r>
      <w:r>
        <w:rPr>
          <w:b/>
          <w:noProof/>
        </w:rPr>
        <w:t>Deljeno upravljanje</w:t>
      </w:r>
      <w:r>
        <w:rPr>
          <w:noProof/>
        </w:rPr>
        <w:t xml:space="preserve"> z državami članicami. </w:t>
      </w:r>
    </w:p>
    <w:p w:rsidR="00BF2E49" w:rsidRDefault="002542A5">
      <w:pPr>
        <w:pStyle w:val="Text1"/>
        <w:rPr>
          <w:noProof/>
        </w:rPr>
      </w:pPr>
      <w:r>
        <w:rPr>
          <w:noProof/>
        </w:rPr>
        <w:sym w:font="Wingdings" w:char="F0A8"/>
      </w:r>
      <w:r>
        <w:rPr>
          <w:noProof/>
        </w:rPr>
        <w:t xml:space="preserve"> </w:t>
      </w:r>
      <w:r>
        <w:rPr>
          <w:b/>
          <w:noProof/>
        </w:rPr>
        <w:t>Posredno upravljanje</w:t>
      </w:r>
      <w:r>
        <w:rPr>
          <w:noProof/>
        </w:rPr>
        <w:t xml:space="preserve"> s poverjanjem nalog izvrševanja proračuna:</w:t>
      </w:r>
    </w:p>
    <w:p w:rsidR="00BF2E49" w:rsidRDefault="002542A5">
      <w:pPr>
        <w:pStyle w:val="ListDash2"/>
        <w:rPr>
          <w:noProof/>
        </w:rPr>
      </w:pPr>
      <w:r>
        <w:rPr>
          <w:noProof/>
        </w:rPr>
        <w:sym w:font="Wingdings" w:char="F0A8"/>
      </w:r>
      <w:r>
        <w:rPr>
          <w:noProof/>
        </w:rPr>
        <w:t xml:space="preserve"> tretjim državam ali organom, ki jih te imenujejo,</w:t>
      </w:r>
    </w:p>
    <w:p w:rsidR="00BF2E49" w:rsidRDefault="002542A5">
      <w:pPr>
        <w:pStyle w:val="ListDash2"/>
        <w:rPr>
          <w:noProof/>
        </w:rPr>
      </w:pPr>
      <w:r>
        <w:rPr>
          <w:noProof/>
        </w:rPr>
        <w:sym w:font="Wingdings" w:char="F0A8"/>
      </w:r>
      <w:r>
        <w:rPr>
          <w:noProof/>
        </w:rPr>
        <w:t xml:space="preserve"> mednarodnim organizacijam in njihovim agencijam (navedite),</w:t>
      </w:r>
    </w:p>
    <w:p w:rsidR="00BF2E49" w:rsidRDefault="002542A5">
      <w:pPr>
        <w:pStyle w:val="ListDash2"/>
        <w:rPr>
          <w:noProof/>
        </w:rPr>
      </w:pPr>
      <w:r>
        <w:rPr>
          <w:noProof/>
        </w:rPr>
        <w:sym w:font="Wingdings" w:char="F0A8"/>
      </w:r>
      <w:r>
        <w:rPr>
          <w:noProof/>
        </w:rPr>
        <w:t xml:space="preserve"> EIB in Evropskemu investicijskemu skladu,</w:t>
      </w:r>
    </w:p>
    <w:p w:rsidR="00BF2E49" w:rsidRDefault="002542A5">
      <w:pPr>
        <w:pStyle w:val="ListDash2"/>
        <w:rPr>
          <w:noProof/>
        </w:rPr>
      </w:pPr>
      <w:r>
        <w:rPr>
          <w:noProof/>
        </w:rPr>
        <w:sym w:font="Wingdings" w:char="F0A8"/>
      </w:r>
      <w:r>
        <w:rPr>
          <w:noProof/>
        </w:rPr>
        <w:t xml:space="preserve"> organom iz členov 208 in 209 finančne uredbe,</w:t>
      </w:r>
    </w:p>
    <w:p w:rsidR="00BF2E49" w:rsidRDefault="002542A5">
      <w:pPr>
        <w:pStyle w:val="ListDash2"/>
        <w:rPr>
          <w:noProof/>
        </w:rPr>
      </w:pPr>
      <w:r>
        <w:rPr>
          <w:noProof/>
        </w:rPr>
        <w:sym w:font="Wingdings" w:char="F0A8"/>
      </w:r>
      <w:r>
        <w:rPr>
          <w:noProof/>
        </w:rPr>
        <w:t xml:space="preserve"> subjektom javnega prava,</w:t>
      </w:r>
    </w:p>
    <w:p w:rsidR="00BF2E49" w:rsidRDefault="002542A5">
      <w:pPr>
        <w:pStyle w:val="ListDash2"/>
        <w:rPr>
          <w:noProof/>
        </w:rPr>
      </w:pPr>
      <w:r>
        <w:rPr>
          <w:noProof/>
        </w:rPr>
        <w:sym w:font="Wingdings" w:char="F0A8"/>
      </w:r>
      <w:r>
        <w:rPr>
          <w:noProof/>
        </w:rPr>
        <w:t xml:space="preserve"> subjektom zasebnega p</w:t>
      </w:r>
      <w:r>
        <w:rPr>
          <w:noProof/>
        </w:rPr>
        <w:t>rava, ki opravljajo javne storitve, kolikor ti subjekti zagotavljajo ustrezna finančna jamstva,</w:t>
      </w:r>
    </w:p>
    <w:p w:rsidR="00BF2E49" w:rsidRDefault="002542A5">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BF2E49" w:rsidRDefault="002542A5">
      <w:pPr>
        <w:pStyle w:val="ListDash2"/>
        <w:rPr>
          <w:noProof/>
        </w:rPr>
      </w:pPr>
      <w:r>
        <w:rPr>
          <w:noProof/>
        </w:rPr>
        <w:sym w:font="Wingdings" w:char="F0A8"/>
      </w:r>
      <w:r>
        <w:rPr>
          <w:noProof/>
        </w:rPr>
        <w:t xml:space="preserve"> osebam, po</w:t>
      </w:r>
      <w:r>
        <w:rPr>
          <w:noProof/>
        </w:rPr>
        <w:t>oblaščenim za izvajanje določenih ukrepov SZVP v skladu z naslovom V PEU in opredeljenim v zadevnem temeljnem aktu.</w:t>
      </w:r>
    </w:p>
    <w:p w:rsidR="00BF2E49" w:rsidRDefault="002542A5">
      <w:pPr>
        <w:pStyle w:val="ListDash2"/>
        <w:rPr>
          <w:i/>
          <w:noProof/>
          <w:sz w:val="18"/>
          <w:u w:val="single"/>
        </w:rPr>
      </w:pPr>
      <w:r>
        <w:rPr>
          <w:i/>
          <w:noProof/>
          <w:sz w:val="18"/>
        </w:rPr>
        <w:t>Pri navedbi več kot enega načina upravljanja je treba to natančneje obrazložiti v oddelku „opombe“.</w:t>
      </w:r>
    </w:p>
    <w:p w:rsidR="00BF2E49" w:rsidRDefault="002542A5">
      <w:pPr>
        <w:rPr>
          <w:noProof/>
        </w:rPr>
      </w:pPr>
      <w:r>
        <w:rPr>
          <w:noProof/>
        </w:rPr>
        <w:t xml:space="preserve">Opombe </w:t>
      </w:r>
    </w:p>
    <w:p w:rsidR="00BF2E49" w:rsidRDefault="002542A5">
      <w:pPr>
        <w:pBdr>
          <w:top w:val="single" w:sz="4" w:space="1" w:color="auto"/>
          <w:left w:val="single" w:sz="4" w:space="4" w:color="auto"/>
          <w:bottom w:val="single" w:sz="4" w:space="1" w:color="auto"/>
          <w:right w:val="single" w:sz="4" w:space="4" w:color="auto"/>
        </w:pBdr>
        <w:rPr>
          <w:noProof/>
        </w:rPr>
      </w:pPr>
      <w:r>
        <w:rPr>
          <w:noProof/>
        </w:rPr>
        <w:t xml:space="preserve">Ta predlog ne spreminja nobene </w:t>
      </w:r>
      <w:r>
        <w:rPr>
          <w:noProof/>
        </w:rPr>
        <w:t>določbe glede upravljanja. V skladu s členom 21 Direktive 2011/16/EU Komisija v postopku v odboru in v sodelovanju z državami članicami razvije standardizirane obrazce in oblike za izmenjavo podatkov. Glede omrežja CCN, ki je potrebno, da se omogoči izmenj</w:t>
      </w:r>
      <w:r>
        <w:rPr>
          <w:noProof/>
        </w:rPr>
        <w:t>ava podatkov med državami članicami, je Komisija odgovorna za kakršen koli nadaljnji razvoj omrežja CCN, ki je potreben, da se omogoči izmenjava navedenih podatkov, države članice pa so odgovorne za kakršen koli nadaljnji razvoj svojih sistemov, ki je potr</w:t>
      </w:r>
      <w:r>
        <w:rPr>
          <w:noProof/>
        </w:rPr>
        <w:t>eben za izmenjavo zadevnih podatkov z uporabo omrežja CCN.</w:t>
      </w:r>
    </w:p>
    <w:p w:rsidR="00BF2E49" w:rsidRDefault="00BF2E49">
      <w:pPr>
        <w:rPr>
          <w:noProof/>
        </w:rPr>
        <w:sectPr w:rsidR="00BF2E49">
          <w:pgSz w:w="11907" w:h="16840" w:code="9"/>
          <w:pgMar w:top="1134" w:right="1418" w:bottom="1134" w:left="1418" w:header="709" w:footer="709" w:gutter="0"/>
          <w:cols w:space="708"/>
          <w:docGrid w:linePitch="360"/>
        </w:sectPr>
      </w:pPr>
    </w:p>
    <w:p w:rsidR="00BF2E49" w:rsidRDefault="002542A5">
      <w:pPr>
        <w:pStyle w:val="ManualHeading1"/>
        <w:rPr>
          <w:bCs/>
          <w:noProof/>
          <w:szCs w:val="24"/>
        </w:rPr>
      </w:pPr>
      <w:r>
        <w:t>2.</w:t>
      </w:r>
      <w:r>
        <w:tab/>
      </w:r>
      <w:r>
        <w:rPr>
          <w:noProof/>
        </w:rPr>
        <w:t xml:space="preserve">UKREPI UPRAVLJANJA </w:t>
      </w:r>
    </w:p>
    <w:p w:rsidR="00BF2E49" w:rsidRDefault="002542A5">
      <w:pPr>
        <w:pStyle w:val="ManualHeading2"/>
        <w:rPr>
          <w:noProof/>
        </w:rPr>
      </w:pPr>
      <w:r>
        <w:t>2.1.</w:t>
      </w:r>
      <w:r>
        <w:tab/>
      </w:r>
      <w:r>
        <w:rPr>
          <w:noProof/>
        </w:rPr>
        <w:t xml:space="preserve">Pravila o spremljanju in poročanju </w:t>
      </w:r>
    </w:p>
    <w:p w:rsidR="00BF2E49" w:rsidRDefault="002542A5">
      <w:pPr>
        <w:pStyle w:val="Text1"/>
        <w:rPr>
          <w:i/>
          <w:noProof/>
          <w:sz w:val="20"/>
          <w:u w:val="single"/>
        </w:rPr>
      </w:pPr>
      <w:r>
        <w:rPr>
          <w:i/>
          <w:noProof/>
          <w:sz w:val="20"/>
        </w:rPr>
        <w:t>Navedite pogostost in pogoje.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 okviru programa Fiscalis se spremljanje in poročanje obravnavata na naslednji</w:t>
      </w:r>
      <w:r>
        <w:rPr>
          <w:noProof/>
        </w:rPr>
        <w:t xml:space="preserve"> način...</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S prispevki udeležencev in vodij ukrepov se redno spremljajo pripravljalne dejavnosti, ki so potrebne za to pobudo, ter drugi skupni ukrepi in skupna usposabljanja. Prispevki se zbirajo prek standardiziranih obrazcev in kazalnikov, določenih v ok</w:t>
      </w:r>
      <w:r>
        <w:rPr>
          <w:noProof/>
        </w:rPr>
        <w:t>viru za merjenje uspešnosti programa Fiscalis 2020. Drugi odhodki, povezani z izmenjavo podatkov, se spremljajo v skladu z mehanizmom iz oddelka 1.4.4, prav tako pa so konsolidirani v okviru za merjenje uspešnosti.</w:t>
      </w:r>
    </w:p>
    <w:p w:rsidR="00BF2E49" w:rsidRDefault="002542A5">
      <w:pPr>
        <w:pStyle w:val="ManualHeading2"/>
        <w:rPr>
          <w:bCs/>
          <w:noProof/>
          <w:szCs w:val="24"/>
        </w:rPr>
      </w:pPr>
      <w:r>
        <w:t>2.2.</w:t>
      </w:r>
      <w:r>
        <w:tab/>
      </w:r>
      <w:r>
        <w:rPr>
          <w:noProof/>
        </w:rPr>
        <w:t xml:space="preserve">Upravljavski in kontrolni sistem </w:t>
      </w:r>
    </w:p>
    <w:p w:rsidR="00BF2E49" w:rsidRDefault="002542A5">
      <w:pPr>
        <w:pStyle w:val="ManualHeading3"/>
        <w:rPr>
          <w:noProof/>
        </w:rPr>
      </w:pPr>
      <w:r>
        <w:t>2.</w:t>
      </w:r>
      <w:r>
        <w:t>2.1.</w:t>
      </w:r>
      <w:r>
        <w:tab/>
      </w:r>
      <w:r>
        <w:rPr>
          <w:noProof/>
        </w:rPr>
        <w:t xml:space="preserve">Ugotovljena tveganja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Morebitna tveganja pri izvajanju pobude s podporo programa Fiscalis 2020 so povezana z izvajanjem:</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sporazuma o dodelitvi nepovratnih sredstev, podpisanega s konzorcijem držav članic in držav kandidatk,</w:t>
      </w:r>
    </w:p>
    <w:p w:rsidR="00BF2E49" w:rsidRDefault="002542A5">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 pogodb javnih naročil, </w:t>
      </w:r>
      <w:r>
        <w:rPr>
          <w:noProof/>
        </w:rPr>
        <w:t xml:space="preserve">sklenjenih v okviru programa. </w:t>
      </w:r>
    </w:p>
    <w:p w:rsidR="00BF2E49" w:rsidRDefault="002542A5">
      <w:pPr>
        <w:pStyle w:val="ManualHeading3"/>
        <w:rPr>
          <w:bCs/>
          <w:noProof/>
          <w:szCs w:val="24"/>
        </w:rPr>
      </w:pPr>
      <w:r>
        <w:t>2.2.2.</w:t>
      </w:r>
      <w:r>
        <w:tab/>
      </w:r>
      <w:r>
        <w:rPr>
          <w:noProof/>
        </w:rPr>
        <w:t>Podatki o vzpostavljenem sistemu notranje kontrole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Vzpostavljen sistem notranje kontrole je identičen programu Fiscalis 2020, ki bo zajemal vse operativne odhodke pobude.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Glavni elementi uporabljene kontrolne strategij</w:t>
      </w:r>
      <w:r>
        <w:rPr>
          <w:noProof/>
        </w:rPr>
        <w:t>e so:</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Za pogodbe javnih naročil: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Uporabljajo se kontrolni postopki za javna naročila iz finančne uredbe. Vsako javno naročilo se podeli po uveljavljenem postopku preverjanja s strani služb Komisije za plačilo, pri čemer se upoštevajo pogodbene obveznosti </w:t>
      </w:r>
      <w:r>
        <w:rPr>
          <w:noProof/>
        </w:rPr>
        <w:t xml:space="preserve">ter trdno finančno in splošno poslovodenje. </w:t>
      </w:r>
      <w:r>
        <w:rPr>
          <w:noProof/>
        </w:rPr>
        <w:br/>
        <w:t xml:space="preserve"> Ukrepi proti goljufijam (kontrole, poročila itd.) so predvideni v vseh pogodbah, sklenjenih med Komisijo in upravičenci. Pripravijo se natančni razpisni pogoji, ki tvorijo podlago za vsako posamezno pogodbo. Pr</w:t>
      </w:r>
      <w:r>
        <w:rPr>
          <w:noProof/>
        </w:rPr>
        <w:t xml:space="preserve">i postopku sprejemanja se strogo upošteva metodologija TAXUD TEMPO: produkti se pregledajo, po potrebi spremenijo in dokončno sprejmejo (ali zavrnejo). Računa ni mogoče plačati brez „pisma o sprejemu“.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Tehnično potrjevanje za javna naročila</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GD TAXUD izvaj</w:t>
      </w:r>
      <w:r>
        <w:rPr>
          <w:noProof/>
        </w:rPr>
        <w:t>a kontrole nad produkti ter nadzira dejavnosti in storitve, ki jih opravljajo izvajalci. Prav tako redno izvaja presoje kakovosti in varnosti izvajalcev. Presoje kakovosti preverjajo skladnost dejanskih procesov izvajalca s pravili in postopki, ki so opred</w:t>
      </w:r>
      <w:r>
        <w:rPr>
          <w:noProof/>
        </w:rPr>
        <w:t xml:space="preserve">eljeni v njihovem načrtu kakovosti. Presoje varnosti se osredotočajo na specifične procese, postopke in ureditve.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Poleg navedenih kontrol GD TAXUD izvaja tradicionalne finančne kontrole: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Predhodno preverjanje prevzetih obveznosti: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Vse prevzete obveznost</w:t>
      </w:r>
      <w:r>
        <w:rPr>
          <w:noProof/>
        </w:rPr>
        <w:t>i v GD TAXUD preveri in potrdi vodja enote za človeške vire in finance. Zato se vsa odobrena proračunska sredstva predhodno preverijo. Ta postopek zagotavlja visoko stopnjo jamstva glede zakonitosti in pravilnosti transakcij.</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Predhodno preverjanje plačil: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Vsa plačila se predhodno preverijo. Poleg tega se vsaj eno plačilo (iz vseh kategorij odhodkov) na teden naključno izbere za dodatno predhodno preverjanje, ki ga opravi vodja enote za človeške vire in finance. Določen ni noben cilj glede obsega preverjanj</w:t>
      </w:r>
      <w:r>
        <w:rPr>
          <w:noProof/>
        </w:rPr>
        <w:t>a, saj je njegov namen „naključno“ preverjanje plačil, da bi se ugotovilo, ali so bila vsa plačila pripravljena v skladu z zahtevami. Preostala plačila se vsakodnevno obdelujejo po veljavnih pravilih.</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Izjave AOSD: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Vsi odredbodajalci na podlagi nadaljnjega</w:t>
      </w:r>
      <w:r>
        <w:rPr>
          <w:noProof/>
        </w:rPr>
        <w:t xml:space="preserve"> prenosa (AOSD) podpišejo izjave, ki podpirajo letno poročilo o dejavnostih za zadevno leto. Te izjave pokrivajo dejavnosti v okviru programa. AOSD izjavijo, da so bile dejavnosti, povezane z izvajanjem proračuna, opravljene v skladu z načeli dobrega finan</w:t>
      </w:r>
      <w:r>
        <w:rPr>
          <w:noProof/>
        </w:rPr>
        <w:t>čnega poslovodenja, da so uporabljeni sistemi upravljanja in nadzora zagotovili ustrezno jamstvo zakonitosti in pravilnosti transakcij ter da so bila tveganja, povezana s temi dejavnostmi, ustrezno ugotovljena, se je o njih poročalo ter so bili izvedeni bl</w:t>
      </w:r>
      <w:r>
        <w:rPr>
          <w:noProof/>
        </w:rPr>
        <w:t xml:space="preserve">ažilni ukrepi. </w:t>
      </w:r>
    </w:p>
    <w:p w:rsidR="00BF2E49" w:rsidRDefault="002542A5">
      <w:pPr>
        <w:pStyle w:val="ManualHeading3"/>
        <w:rPr>
          <w:noProof/>
        </w:rPr>
      </w:pPr>
      <w:r>
        <w:t>2.2.3.</w:t>
      </w:r>
      <w:r>
        <w:tab/>
      </w:r>
      <w:r>
        <w:rPr>
          <w:noProof/>
        </w:rPr>
        <w:t xml:space="preserve">Ocena stroškov in koristi kontrol ter ocena pričakovane stopnje tveganja napak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Vzpostavljene kontrole zagotavljajo GD TAXUD zadostno jamstvo o kakovosti in pravilnosti odhodkov ter zmanjšujejo tveganje neskladnosti. Zgornji ukrepi k</w:t>
      </w:r>
      <w:r>
        <w:rPr>
          <w:noProof/>
        </w:rPr>
        <w:t xml:space="preserve">ontrolne strategije zmanjšujejo potencialna tveganja pod 2-odstotnim ciljem ter zajemajo vse upravičence. Dodatni ukrepi za nadaljnje zmanjšanje tveganja bi povzročili nesorazmerno visoke stroške in zato se ne načrtujejo. </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Skupni stroški, povezani z izvaja</w:t>
      </w:r>
      <w:r>
        <w:rPr>
          <w:noProof/>
        </w:rPr>
        <w:t>njem zgornje kontrolne strategije za vse odhodke v okviru programa Fiscalis 2020, so omejeni na 1,6 % vseh opravljenih plačil. Pričakuje se, da bodo za to pobudo ostali na enaki ravni.</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Kontrolna strategija programa se šteje za učinkovito pri omejevanju tve</w:t>
      </w:r>
      <w:r>
        <w:rPr>
          <w:noProof/>
        </w:rPr>
        <w:t>ganja neskladnosti na skoraj nično raven in je sorazmerna s povezanimi tveganji.</w:t>
      </w:r>
    </w:p>
    <w:p w:rsidR="00BF2E49" w:rsidRDefault="002542A5">
      <w:pPr>
        <w:pStyle w:val="ManualHeading2"/>
        <w:rPr>
          <w:bCs/>
          <w:noProof/>
          <w:szCs w:val="24"/>
        </w:rPr>
      </w:pPr>
      <w:r>
        <w:t>2.3.</w:t>
      </w:r>
      <w:r>
        <w:tab/>
      </w:r>
      <w:r>
        <w:rPr>
          <w:noProof/>
        </w:rPr>
        <w:t xml:space="preserve">Ukrepi za preprečevanje goljufij in nepravilnosti </w:t>
      </w:r>
    </w:p>
    <w:p w:rsidR="00BF2E49" w:rsidRDefault="002542A5">
      <w:pPr>
        <w:pStyle w:val="Text1"/>
        <w:rPr>
          <w:i/>
          <w:noProof/>
          <w:sz w:val="20"/>
        </w:rPr>
      </w:pPr>
      <w:r>
        <w:rPr>
          <w:i/>
          <w:noProof/>
          <w:sz w:val="20"/>
        </w:rPr>
        <w:t>Navedite obstoječe ali načrtovane preprečevalne in zaščitne ukrepe.</w:t>
      </w:r>
    </w:p>
    <w:p w:rsidR="00BF2E49" w:rsidRDefault="002542A5">
      <w:pPr>
        <w:pStyle w:val="Text1"/>
        <w:pBdr>
          <w:top w:val="single" w:sz="4" w:space="1" w:color="auto"/>
          <w:left w:val="single" w:sz="4" w:space="4" w:color="auto"/>
          <w:bottom w:val="single" w:sz="4" w:space="1" w:color="auto"/>
          <w:right w:val="single" w:sz="4" w:space="4" w:color="auto"/>
        </w:pBdr>
        <w:rPr>
          <w:noProof/>
        </w:rPr>
      </w:pPr>
      <w:r>
        <w:rPr>
          <w:noProof/>
        </w:rPr>
        <w:t xml:space="preserve">Evropski urad za boj proti goljufijam (OLAF) lahko </w:t>
      </w:r>
      <w:r>
        <w:rPr>
          <w:noProof/>
        </w:rPr>
        <w:t>izvaja preiskave, vključno s pregledi na kraju samem in inšpekcijami v skladu z določbami in postopki iz Uredbe (ES) št. 1073/1999 Evropskega parlamenta in Sveta (1) ter Uredbe Sveta (Euratom, ES) št. 2185/96 (2), da bi ugotovil, ali je prišlo do goljufije</w:t>
      </w:r>
      <w:r>
        <w:rPr>
          <w:noProof/>
        </w:rPr>
        <w:t>, korupcije ali katerega koli drugega protipravnega ravnanja, ki vpliva na finančne interese Unije, v povezavi s sporazumom ali sklepom o dodelitvi nepovratnih sredstev ali pogodbo, ki se financira v skladu s to uredbo.</w:t>
      </w:r>
    </w:p>
    <w:p w:rsidR="00BF2E49" w:rsidRDefault="00BF2E49">
      <w:pPr>
        <w:rPr>
          <w:noProof/>
        </w:rPr>
        <w:sectPr w:rsidR="00BF2E49">
          <w:pgSz w:w="11907" w:h="16840" w:code="9"/>
          <w:pgMar w:top="1134" w:right="1418" w:bottom="1134" w:left="1418" w:header="709" w:footer="709" w:gutter="0"/>
          <w:cols w:space="708"/>
          <w:docGrid w:linePitch="360"/>
        </w:sectPr>
      </w:pPr>
    </w:p>
    <w:p w:rsidR="00BF2E49" w:rsidRDefault="002542A5">
      <w:pPr>
        <w:pStyle w:val="ManualHeading1"/>
        <w:rPr>
          <w:bCs/>
          <w:noProof/>
          <w:szCs w:val="24"/>
        </w:rPr>
      </w:pPr>
      <w:r>
        <w:t>3.</w:t>
      </w:r>
      <w:r>
        <w:tab/>
      </w:r>
      <w:r>
        <w:rPr>
          <w:noProof/>
        </w:rPr>
        <w:t>OCENA FIN</w:t>
      </w:r>
      <w:r>
        <w:rPr>
          <w:noProof/>
        </w:rPr>
        <w:t xml:space="preserve">ANČNIH POSLEDIC PREDLOGA/POBUDE </w:t>
      </w:r>
    </w:p>
    <w:p w:rsidR="00BF2E49" w:rsidRDefault="002542A5">
      <w:pPr>
        <w:pStyle w:val="ManualHeading2"/>
        <w:rPr>
          <w:noProof/>
        </w:rPr>
      </w:pPr>
      <w:r>
        <w:t>3.1.</w:t>
      </w:r>
      <w:r>
        <w:tab/>
      </w:r>
      <w:r>
        <w:rPr>
          <w:noProof/>
        </w:rPr>
        <w:t xml:space="preserve">Zadevni razdelki večletnega finančnega okvira in odhodkovne proračunske vrstice </w:t>
      </w:r>
    </w:p>
    <w:p w:rsidR="00BF2E49" w:rsidRDefault="002542A5">
      <w:pPr>
        <w:pStyle w:val="ListBullet1"/>
        <w:rPr>
          <w:noProof/>
        </w:rPr>
      </w:pPr>
      <w:r>
        <w:rPr>
          <w:noProof/>
        </w:rPr>
        <w:t xml:space="preserve">Obstoječe proračunske vrstice </w:t>
      </w:r>
      <w:r>
        <w:rPr>
          <w:noProof/>
          <w:color w:val="0000FF"/>
        </w:rPr>
        <w:t xml:space="preserve">– </w:t>
      </w:r>
      <w:r>
        <w:rPr>
          <w:noProof/>
        </w:rPr>
        <w:t>v celoti zajete s programom Fiscalis 2020</w:t>
      </w:r>
    </w:p>
    <w:p w:rsidR="00BF2E49" w:rsidRDefault="002542A5">
      <w:pPr>
        <w:pStyle w:val="Text1"/>
        <w:rPr>
          <w:noProof/>
        </w:rPr>
      </w:pPr>
      <w:r>
        <w:rPr>
          <w:noProof/>
          <w:u w:val="single"/>
        </w:rPr>
        <w:t>Po vrstnem redu</w:t>
      </w:r>
      <w:r>
        <w:rPr>
          <w:noProof/>
        </w:rPr>
        <w:t xml:space="preserve"> razdelkov večletnega finančnega okvira in prora</w:t>
      </w:r>
      <w:r>
        <w:rPr>
          <w:noProof/>
        </w:rPr>
        <w:t>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F2E49">
        <w:tc>
          <w:tcPr>
            <w:tcW w:w="1080" w:type="dxa"/>
            <w:vMerge w:val="restart"/>
            <w:vAlign w:val="center"/>
          </w:tcPr>
          <w:p w:rsidR="00BF2E49" w:rsidRDefault="002542A5">
            <w:pPr>
              <w:spacing w:before="60" w:after="60"/>
              <w:jc w:val="center"/>
              <w:rPr>
                <w:noProof/>
              </w:rPr>
            </w:pPr>
            <w:r>
              <w:rPr>
                <w:noProof/>
                <w:sz w:val="18"/>
              </w:rPr>
              <w:t>Razdelek večletnega finančnega okvira</w:t>
            </w:r>
          </w:p>
        </w:tc>
        <w:tc>
          <w:tcPr>
            <w:tcW w:w="3960" w:type="dxa"/>
            <w:vAlign w:val="center"/>
          </w:tcPr>
          <w:p w:rsidR="00BF2E49" w:rsidRDefault="002542A5">
            <w:pPr>
              <w:spacing w:before="60" w:after="60"/>
              <w:jc w:val="center"/>
              <w:rPr>
                <w:noProof/>
              </w:rPr>
            </w:pPr>
            <w:r>
              <w:rPr>
                <w:noProof/>
                <w:sz w:val="20"/>
              </w:rPr>
              <w:t>Proračunska vrstica</w:t>
            </w:r>
          </w:p>
        </w:tc>
        <w:tc>
          <w:tcPr>
            <w:tcW w:w="1080" w:type="dxa"/>
            <w:vAlign w:val="center"/>
          </w:tcPr>
          <w:p w:rsidR="00BF2E49" w:rsidRDefault="002542A5">
            <w:pPr>
              <w:spacing w:before="60" w:after="60"/>
              <w:jc w:val="center"/>
              <w:rPr>
                <w:noProof/>
                <w:sz w:val="18"/>
                <w:szCs w:val="18"/>
              </w:rPr>
            </w:pPr>
            <w:r>
              <w:rPr>
                <w:noProof/>
                <w:sz w:val="18"/>
                <w:szCs w:val="18"/>
              </w:rPr>
              <w:t xml:space="preserve">Vrsta </w:t>
            </w:r>
            <w:r>
              <w:rPr>
                <w:noProof/>
                <w:sz w:val="18"/>
                <w:szCs w:val="18"/>
              </w:rPr>
              <w:br/>
              <w:t>odhodkov</w:t>
            </w:r>
          </w:p>
        </w:tc>
        <w:tc>
          <w:tcPr>
            <w:tcW w:w="4440" w:type="dxa"/>
            <w:gridSpan w:val="4"/>
            <w:vAlign w:val="center"/>
          </w:tcPr>
          <w:p w:rsidR="00BF2E49" w:rsidRDefault="002542A5">
            <w:pPr>
              <w:spacing w:before="60" w:after="60"/>
              <w:jc w:val="center"/>
              <w:rPr>
                <w:noProof/>
              </w:rPr>
            </w:pPr>
            <w:r>
              <w:rPr>
                <w:noProof/>
                <w:sz w:val="20"/>
              </w:rPr>
              <w:t xml:space="preserve">Prispevek </w:t>
            </w:r>
          </w:p>
        </w:tc>
      </w:tr>
      <w:tr w:rsidR="00BF2E49">
        <w:tc>
          <w:tcPr>
            <w:tcW w:w="1080" w:type="dxa"/>
            <w:vMerge/>
            <w:vAlign w:val="center"/>
          </w:tcPr>
          <w:p w:rsidR="00BF2E49" w:rsidRDefault="00BF2E49">
            <w:pPr>
              <w:jc w:val="center"/>
              <w:rPr>
                <w:noProof/>
              </w:rPr>
            </w:pPr>
          </w:p>
        </w:tc>
        <w:tc>
          <w:tcPr>
            <w:tcW w:w="3960" w:type="dxa"/>
            <w:vAlign w:val="center"/>
          </w:tcPr>
          <w:p w:rsidR="00BF2E49" w:rsidRDefault="002542A5">
            <w:pPr>
              <w:rPr>
                <w:noProof/>
              </w:rPr>
            </w:pPr>
            <w:r>
              <w:rPr>
                <w:noProof/>
              </w:rPr>
              <w:t>številka</w:t>
            </w:r>
            <w:r>
              <w:rPr>
                <w:noProof/>
                <w:sz w:val="20"/>
              </w:rPr>
              <w:t xml:space="preserve"> </w:t>
            </w:r>
            <w:r>
              <w:rPr>
                <w:noProof/>
                <w:sz w:val="22"/>
              </w:rPr>
              <w:br/>
            </w:r>
            <w:r>
              <w:rPr>
                <w:noProof/>
              </w:rPr>
              <w:t>1A Konkurenčnost za rast in delovna mesta</w:t>
            </w:r>
          </w:p>
        </w:tc>
        <w:tc>
          <w:tcPr>
            <w:tcW w:w="1080" w:type="dxa"/>
            <w:vAlign w:val="center"/>
          </w:tcPr>
          <w:p w:rsidR="00BF2E49" w:rsidRDefault="002542A5">
            <w:pPr>
              <w:jc w:val="center"/>
              <w:rPr>
                <w:noProof/>
              </w:rPr>
            </w:pPr>
            <w:r>
              <w:rPr>
                <w:noProof/>
                <w:sz w:val="18"/>
                <w:szCs w:val="18"/>
              </w:rPr>
              <w:t>dif./nedif.</w:t>
            </w:r>
            <w:r>
              <w:rPr>
                <w:rStyle w:val="FootnoteReference"/>
                <w:noProof/>
                <w:sz w:val="18"/>
                <w:szCs w:val="18"/>
              </w:rPr>
              <w:footnoteReference w:id="18"/>
            </w:r>
          </w:p>
        </w:tc>
        <w:tc>
          <w:tcPr>
            <w:tcW w:w="956" w:type="dxa"/>
            <w:vAlign w:val="center"/>
          </w:tcPr>
          <w:p w:rsidR="00BF2E49" w:rsidRDefault="002542A5">
            <w:pPr>
              <w:jc w:val="center"/>
              <w:rPr>
                <w:noProof/>
              </w:rPr>
            </w:pPr>
            <w:r>
              <w:rPr>
                <w:noProof/>
                <w:sz w:val="18"/>
              </w:rPr>
              <w:t>držav Efte</w:t>
            </w:r>
            <w:r>
              <w:rPr>
                <w:rStyle w:val="FootnoteReference"/>
                <w:noProof/>
                <w:sz w:val="18"/>
              </w:rPr>
              <w:footnoteReference w:id="19"/>
            </w:r>
          </w:p>
          <w:p w:rsidR="00BF2E49" w:rsidRDefault="00BF2E49">
            <w:pPr>
              <w:spacing w:before="0" w:after="0"/>
              <w:jc w:val="center"/>
              <w:rPr>
                <w:b/>
                <w:noProof/>
                <w:sz w:val="18"/>
              </w:rPr>
            </w:pPr>
          </w:p>
        </w:tc>
        <w:tc>
          <w:tcPr>
            <w:tcW w:w="1080" w:type="dxa"/>
            <w:vAlign w:val="center"/>
          </w:tcPr>
          <w:p w:rsidR="00BF2E49" w:rsidRDefault="002542A5">
            <w:pPr>
              <w:jc w:val="center"/>
              <w:rPr>
                <w:noProof/>
              </w:rPr>
            </w:pPr>
            <w:r>
              <w:rPr>
                <w:noProof/>
                <w:sz w:val="18"/>
              </w:rPr>
              <w:t>držav kandidatk</w:t>
            </w:r>
            <w:r>
              <w:rPr>
                <w:rStyle w:val="FootnoteReference"/>
                <w:noProof/>
                <w:sz w:val="18"/>
              </w:rPr>
              <w:footnoteReference w:id="20"/>
            </w:r>
          </w:p>
          <w:p w:rsidR="00BF2E49" w:rsidRDefault="00BF2E49">
            <w:pPr>
              <w:spacing w:before="0" w:after="0"/>
              <w:jc w:val="center"/>
              <w:rPr>
                <w:noProof/>
                <w:sz w:val="18"/>
              </w:rPr>
            </w:pPr>
          </w:p>
        </w:tc>
        <w:tc>
          <w:tcPr>
            <w:tcW w:w="956" w:type="dxa"/>
            <w:vAlign w:val="center"/>
          </w:tcPr>
          <w:p w:rsidR="00BF2E49" w:rsidRDefault="002542A5">
            <w:pPr>
              <w:jc w:val="center"/>
              <w:rPr>
                <w:noProof/>
                <w:sz w:val="18"/>
              </w:rPr>
            </w:pPr>
            <w:r>
              <w:rPr>
                <w:noProof/>
                <w:sz w:val="18"/>
              </w:rPr>
              <w:t>tretjih držav</w:t>
            </w:r>
          </w:p>
        </w:tc>
        <w:tc>
          <w:tcPr>
            <w:tcW w:w="1448" w:type="dxa"/>
            <w:vAlign w:val="center"/>
          </w:tcPr>
          <w:p w:rsidR="00BF2E49" w:rsidRDefault="002542A5">
            <w:pPr>
              <w:jc w:val="center"/>
              <w:rPr>
                <w:noProof/>
              </w:rPr>
            </w:pPr>
            <w:r>
              <w:rPr>
                <w:noProof/>
                <w:sz w:val="16"/>
              </w:rPr>
              <w:t xml:space="preserve">po členu 21(2)(b) finančne uredbe </w:t>
            </w:r>
          </w:p>
        </w:tc>
      </w:tr>
      <w:tr w:rsidR="00BF2E49">
        <w:tc>
          <w:tcPr>
            <w:tcW w:w="1080" w:type="dxa"/>
            <w:vAlign w:val="center"/>
          </w:tcPr>
          <w:p w:rsidR="00BF2E49" w:rsidRDefault="00BF2E49">
            <w:pPr>
              <w:jc w:val="center"/>
              <w:rPr>
                <w:noProof/>
                <w:color w:val="0000FF"/>
              </w:rPr>
            </w:pPr>
          </w:p>
        </w:tc>
        <w:tc>
          <w:tcPr>
            <w:tcW w:w="3960" w:type="dxa"/>
            <w:vAlign w:val="center"/>
          </w:tcPr>
          <w:p w:rsidR="00BF2E49" w:rsidRDefault="002542A5">
            <w:pPr>
              <w:spacing w:before="60"/>
              <w:rPr>
                <w:noProof/>
              </w:rPr>
            </w:pPr>
            <w:r>
              <w:rPr>
                <w:noProof/>
              </w:rPr>
              <w:t>14.0301 (Izboljševanje delovanja sistemov obdavčitve)</w:t>
            </w:r>
          </w:p>
        </w:tc>
        <w:tc>
          <w:tcPr>
            <w:tcW w:w="1080" w:type="dxa"/>
            <w:vAlign w:val="center"/>
          </w:tcPr>
          <w:p w:rsidR="00BF2E49" w:rsidRDefault="002542A5">
            <w:pPr>
              <w:jc w:val="center"/>
              <w:rPr>
                <w:noProof/>
                <w:color w:val="0000FF"/>
              </w:rPr>
            </w:pPr>
            <w:r>
              <w:rPr>
                <w:noProof/>
              </w:rPr>
              <w:t>dif.</w:t>
            </w:r>
          </w:p>
        </w:tc>
        <w:tc>
          <w:tcPr>
            <w:tcW w:w="956" w:type="dxa"/>
          </w:tcPr>
          <w:p w:rsidR="00BF2E49" w:rsidRDefault="002542A5">
            <w:pPr>
              <w:jc w:val="center"/>
              <w:rPr>
                <w:noProof/>
                <w:color w:val="0000FF"/>
              </w:rPr>
            </w:pPr>
            <w:r>
              <w:rPr>
                <w:noProof/>
              </w:rPr>
              <w:t>NE</w:t>
            </w:r>
          </w:p>
        </w:tc>
        <w:tc>
          <w:tcPr>
            <w:tcW w:w="1080" w:type="dxa"/>
          </w:tcPr>
          <w:p w:rsidR="00BF2E49" w:rsidRDefault="002542A5">
            <w:pPr>
              <w:jc w:val="center"/>
              <w:rPr>
                <w:noProof/>
                <w:color w:val="0000FF"/>
              </w:rPr>
            </w:pPr>
            <w:r>
              <w:rPr>
                <w:noProof/>
              </w:rPr>
              <w:t>NE</w:t>
            </w:r>
          </w:p>
        </w:tc>
        <w:tc>
          <w:tcPr>
            <w:tcW w:w="956" w:type="dxa"/>
          </w:tcPr>
          <w:p w:rsidR="00BF2E49" w:rsidRDefault="002542A5">
            <w:pPr>
              <w:jc w:val="center"/>
              <w:rPr>
                <w:noProof/>
                <w:color w:val="0000FF"/>
              </w:rPr>
            </w:pPr>
            <w:r>
              <w:rPr>
                <w:noProof/>
              </w:rPr>
              <w:t>NE</w:t>
            </w:r>
          </w:p>
        </w:tc>
        <w:tc>
          <w:tcPr>
            <w:tcW w:w="1448" w:type="dxa"/>
          </w:tcPr>
          <w:p w:rsidR="00BF2E49" w:rsidRDefault="002542A5">
            <w:pPr>
              <w:jc w:val="center"/>
              <w:rPr>
                <w:noProof/>
                <w:color w:val="0000FF"/>
              </w:rPr>
            </w:pPr>
            <w:r>
              <w:rPr>
                <w:noProof/>
              </w:rPr>
              <w:t>NE</w:t>
            </w:r>
          </w:p>
        </w:tc>
      </w:tr>
    </w:tbl>
    <w:p w:rsidR="00BF2E49" w:rsidRDefault="002542A5">
      <w:pPr>
        <w:pStyle w:val="ListBullet1"/>
        <w:rPr>
          <w:noProof/>
        </w:rPr>
      </w:pPr>
      <w:r>
        <w:rPr>
          <w:noProof/>
        </w:rPr>
        <w:t xml:space="preserve">Zahtevane nove proračunske vrstice </w:t>
      </w:r>
    </w:p>
    <w:p w:rsidR="00BF2E49" w:rsidRDefault="002542A5">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F2E49">
        <w:tc>
          <w:tcPr>
            <w:tcW w:w="1080" w:type="dxa"/>
            <w:vMerge w:val="restart"/>
            <w:vAlign w:val="center"/>
          </w:tcPr>
          <w:p w:rsidR="00BF2E49" w:rsidRDefault="002542A5">
            <w:pPr>
              <w:spacing w:before="60" w:after="60"/>
              <w:jc w:val="center"/>
              <w:rPr>
                <w:noProof/>
                <w:sz w:val="18"/>
                <w:szCs w:val="18"/>
              </w:rPr>
            </w:pPr>
            <w:r>
              <w:rPr>
                <w:noProof/>
                <w:sz w:val="18"/>
              </w:rPr>
              <w:t>Razdelek večletnega finančnega okvira</w:t>
            </w:r>
          </w:p>
        </w:tc>
        <w:tc>
          <w:tcPr>
            <w:tcW w:w="3960" w:type="dxa"/>
            <w:vAlign w:val="center"/>
          </w:tcPr>
          <w:p w:rsidR="00BF2E49" w:rsidRDefault="002542A5">
            <w:pPr>
              <w:spacing w:before="60" w:after="60"/>
              <w:jc w:val="center"/>
              <w:rPr>
                <w:noProof/>
              </w:rPr>
            </w:pPr>
            <w:r>
              <w:rPr>
                <w:noProof/>
                <w:sz w:val="20"/>
              </w:rPr>
              <w:t>Proračunska vrstica</w:t>
            </w:r>
          </w:p>
        </w:tc>
        <w:tc>
          <w:tcPr>
            <w:tcW w:w="1080" w:type="dxa"/>
            <w:vAlign w:val="center"/>
          </w:tcPr>
          <w:p w:rsidR="00BF2E49" w:rsidRDefault="002542A5">
            <w:pPr>
              <w:spacing w:before="60" w:after="60"/>
              <w:jc w:val="center"/>
              <w:rPr>
                <w:noProof/>
                <w:sz w:val="18"/>
                <w:szCs w:val="18"/>
              </w:rPr>
            </w:pPr>
            <w:r>
              <w:rPr>
                <w:noProof/>
                <w:sz w:val="18"/>
                <w:szCs w:val="18"/>
              </w:rPr>
              <w:t>Vrsta</w:t>
            </w:r>
            <w:r>
              <w:rPr>
                <w:noProof/>
                <w:sz w:val="18"/>
                <w:szCs w:val="18"/>
              </w:rPr>
              <w:br/>
            </w:r>
            <w:r>
              <w:rPr>
                <w:noProof/>
                <w:sz w:val="18"/>
                <w:szCs w:val="18"/>
              </w:rPr>
              <w:t>odhodkov</w:t>
            </w:r>
          </w:p>
        </w:tc>
        <w:tc>
          <w:tcPr>
            <w:tcW w:w="4440" w:type="dxa"/>
            <w:gridSpan w:val="4"/>
            <w:vAlign w:val="center"/>
          </w:tcPr>
          <w:p w:rsidR="00BF2E49" w:rsidRDefault="002542A5">
            <w:pPr>
              <w:spacing w:before="60" w:after="60"/>
              <w:jc w:val="center"/>
              <w:rPr>
                <w:noProof/>
              </w:rPr>
            </w:pPr>
            <w:r>
              <w:rPr>
                <w:noProof/>
                <w:sz w:val="20"/>
              </w:rPr>
              <w:t xml:space="preserve">Prispevek </w:t>
            </w:r>
          </w:p>
        </w:tc>
      </w:tr>
      <w:tr w:rsidR="00BF2E49">
        <w:tc>
          <w:tcPr>
            <w:tcW w:w="1080" w:type="dxa"/>
            <w:vMerge/>
            <w:vAlign w:val="center"/>
          </w:tcPr>
          <w:p w:rsidR="00BF2E49" w:rsidRDefault="00BF2E49">
            <w:pPr>
              <w:jc w:val="center"/>
              <w:rPr>
                <w:noProof/>
              </w:rPr>
            </w:pPr>
          </w:p>
        </w:tc>
        <w:tc>
          <w:tcPr>
            <w:tcW w:w="3960" w:type="dxa"/>
            <w:vAlign w:val="center"/>
          </w:tcPr>
          <w:p w:rsidR="00BF2E49" w:rsidRDefault="002542A5">
            <w:pPr>
              <w:rPr>
                <w:noProof/>
              </w:rPr>
            </w:pPr>
            <w:r>
              <w:rPr>
                <w:noProof/>
              </w:rPr>
              <w:t>številka</w:t>
            </w:r>
            <w:r>
              <w:rPr>
                <w:noProof/>
                <w:sz w:val="20"/>
              </w:rPr>
              <w:t xml:space="preserve"> </w:t>
            </w:r>
            <w:r>
              <w:rPr>
                <w:noProof/>
                <w:sz w:val="22"/>
              </w:rPr>
              <w:br/>
            </w:r>
            <w:r>
              <w:rPr>
                <w:noProof/>
                <w:sz w:val="20"/>
              </w:rPr>
              <w:t>[poimenovanje………………………………………...……….]</w:t>
            </w:r>
          </w:p>
        </w:tc>
        <w:tc>
          <w:tcPr>
            <w:tcW w:w="1080" w:type="dxa"/>
            <w:vAlign w:val="center"/>
          </w:tcPr>
          <w:p w:rsidR="00BF2E49" w:rsidRDefault="002542A5">
            <w:pPr>
              <w:jc w:val="center"/>
              <w:rPr>
                <w:noProof/>
              </w:rPr>
            </w:pPr>
            <w:r>
              <w:rPr>
                <w:noProof/>
                <w:sz w:val="18"/>
              </w:rPr>
              <w:t>dif./nedif.</w:t>
            </w:r>
          </w:p>
        </w:tc>
        <w:tc>
          <w:tcPr>
            <w:tcW w:w="956" w:type="dxa"/>
            <w:vAlign w:val="center"/>
          </w:tcPr>
          <w:p w:rsidR="00BF2E49" w:rsidRDefault="002542A5">
            <w:pPr>
              <w:jc w:val="center"/>
              <w:rPr>
                <w:noProof/>
                <w:sz w:val="18"/>
              </w:rPr>
            </w:pPr>
            <w:r>
              <w:rPr>
                <w:noProof/>
                <w:sz w:val="18"/>
              </w:rPr>
              <w:t>držav Efte</w:t>
            </w:r>
          </w:p>
        </w:tc>
        <w:tc>
          <w:tcPr>
            <w:tcW w:w="1080" w:type="dxa"/>
            <w:vAlign w:val="center"/>
          </w:tcPr>
          <w:p w:rsidR="00BF2E49" w:rsidRDefault="002542A5">
            <w:pPr>
              <w:jc w:val="center"/>
              <w:rPr>
                <w:noProof/>
                <w:sz w:val="18"/>
              </w:rPr>
            </w:pPr>
            <w:r>
              <w:rPr>
                <w:noProof/>
                <w:sz w:val="18"/>
              </w:rPr>
              <w:t>držav kandidatk</w:t>
            </w:r>
          </w:p>
        </w:tc>
        <w:tc>
          <w:tcPr>
            <w:tcW w:w="956" w:type="dxa"/>
            <w:vAlign w:val="center"/>
          </w:tcPr>
          <w:p w:rsidR="00BF2E49" w:rsidRDefault="002542A5">
            <w:pPr>
              <w:jc w:val="center"/>
              <w:rPr>
                <w:noProof/>
                <w:sz w:val="18"/>
              </w:rPr>
            </w:pPr>
            <w:r>
              <w:rPr>
                <w:noProof/>
                <w:sz w:val="18"/>
              </w:rPr>
              <w:t>tretjih držav</w:t>
            </w:r>
          </w:p>
        </w:tc>
        <w:tc>
          <w:tcPr>
            <w:tcW w:w="1448" w:type="dxa"/>
            <w:vAlign w:val="center"/>
          </w:tcPr>
          <w:p w:rsidR="00BF2E49" w:rsidRDefault="002542A5">
            <w:pPr>
              <w:jc w:val="center"/>
              <w:rPr>
                <w:noProof/>
              </w:rPr>
            </w:pPr>
            <w:r>
              <w:rPr>
                <w:noProof/>
                <w:sz w:val="16"/>
              </w:rPr>
              <w:t xml:space="preserve">po členu 21(2)(b) finančne uredbe </w:t>
            </w:r>
          </w:p>
        </w:tc>
      </w:tr>
      <w:tr w:rsidR="00BF2E49">
        <w:tc>
          <w:tcPr>
            <w:tcW w:w="1080" w:type="dxa"/>
            <w:vAlign w:val="center"/>
          </w:tcPr>
          <w:p w:rsidR="00BF2E49" w:rsidRDefault="00BF2E49">
            <w:pPr>
              <w:jc w:val="center"/>
              <w:rPr>
                <w:noProof/>
                <w:color w:val="0000FF"/>
              </w:rPr>
            </w:pPr>
          </w:p>
        </w:tc>
        <w:tc>
          <w:tcPr>
            <w:tcW w:w="3960" w:type="dxa"/>
            <w:vAlign w:val="center"/>
          </w:tcPr>
          <w:p w:rsidR="00BF2E49" w:rsidRDefault="002542A5">
            <w:pPr>
              <w:spacing w:before="60"/>
              <w:rPr>
                <w:noProof/>
              </w:rPr>
            </w:pPr>
            <w:r>
              <w:rPr>
                <w:noProof/>
                <w:sz w:val="22"/>
              </w:rPr>
              <w:t>[XX YY YY YY]</w:t>
            </w:r>
          </w:p>
          <w:p w:rsidR="00BF2E49" w:rsidRDefault="00BF2E49">
            <w:pPr>
              <w:spacing w:after="60"/>
              <w:rPr>
                <w:noProof/>
                <w:color w:val="0000FF"/>
              </w:rPr>
            </w:pPr>
          </w:p>
        </w:tc>
        <w:tc>
          <w:tcPr>
            <w:tcW w:w="1080" w:type="dxa"/>
            <w:vAlign w:val="center"/>
          </w:tcPr>
          <w:p w:rsidR="00BF2E49" w:rsidRDefault="00BF2E49">
            <w:pPr>
              <w:jc w:val="center"/>
              <w:rPr>
                <w:noProof/>
                <w:color w:val="0000FF"/>
              </w:rPr>
            </w:pPr>
          </w:p>
        </w:tc>
        <w:tc>
          <w:tcPr>
            <w:tcW w:w="956" w:type="dxa"/>
            <w:vAlign w:val="center"/>
          </w:tcPr>
          <w:p w:rsidR="00BF2E49" w:rsidRDefault="002542A5">
            <w:pPr>
              <w:jc w:val="center"/>
              <w:rPr>
                <w:noProof/>
              </w:rPr>
            </w:pPr>
            <w:r>
              <w:rPr>
                <w:noProof/>
                <w:sz w:val="22"/>
              </w:rPr>
              <w:t>DA/NE</w:t>
            </w:r>
          </w:p>
        </w:tc>
        <w:tc>
          <w:tcPr>
            <w:tcW w:w="1080" w:type="dxa"/>
            <w:vAlign w:val="center"/>
          </w:tcPr>
          <w:p w:rsidR="00BF2E49" w:rsidRDefault="002542A5">
            <w:pPr>
              <w:jc w:val="center"/>
              <w:rPr>
                <w:noProof/>
                <w:color w:val="0000FF"/>
                <w:sz w:val="18"/>
              </w:rPr>
            </w:pPr>
            <w:r>
              <w:rPr>
                <w:noProof/>
                <w:sz w:val="22"/>
              </w:rPr>
              <w:t>DA/NE</w:t>
            </w:r>
          </w:p>
        </w:tc>
        <w:tc>
          <w:tcPr>
            <w:tcW w:w="956" w:type="dxa"/>
            <w:vAlign w:val="center"/>
          </w:tcPr>
          <w:p w:rsidR="00BF2E49" w:rsidRDefault="002542A5">
            <w:pPr>
              <w:jc w:val="center"/>
              <w:rPr>
                <w:noProof/>
                <w:color w:val="0000FF"/>
                <w:sz w:val="18"/>
              </w:rPr>
            </w:pPr>
            <w:r>
              <w:rPr>
                <w:noProof/>
                <w:sz w:val="22"/>
              </w:rPr>
              <w:t>DA/NE</w:t>
            </w:r>
          </w:p>
        </w:tc>
        <w:tc>
          <w:tcPr>
            <w:tcW w:w="1448" w:type="dxa"/>
            <w:vAlign w:val="center"/>
          </w:tcPr>
          <w:p w:rsidR="00BF2E49" w:rsidRDefault="002542A5">
            <w:pPr>
              <w:jc w:val="center"/>
              <w:rPr>
                <w:noProof/>
              </w:rPr>
            </w:pPr>
            <w:r>
              <w:rPr>
                <w:noProof/>
                <w:sz w:val="22"/>
              </w:rPr>
              <w:t>DA/NE</w:t>
            </w:r>
          </w:p>
        </w:tc>
      </w:tr>
    </w:tbl>
    <w:p w:rsidR="00BF2E49" w:rsidRDefault="00BF2E49">
      <w:pPr>
        <w:rPr>
          <w:noProof/>
        </w:rPr>
        <w:sectPr w:rsidR="00BF2E49">
          <w:pgSz w:w="11907" w:h="16840" w:code="1"/>
          <w:pgMar w:top="1134" w:right="1418" w:bottom="1134" w:left="1418" w:header="709" w:footer="709" w:gutter="0"/>
          <w:cols w:space="708"/>
          <w:docGrid w:linePitch="360"/>
        </w:sectPr>
      </w:pPr>
    </w:p>
    <w:p w:rsidR="00BF2E49" w:rsidRDefault="002542A5">
      <w:pPr>
        <w:pStyle w:val="ManualHeading2"/>
        <w:rPr>
          <w:bCs/>
          <w:noProof/>
          <w:szCs w:val="24"/>
        </w:rPr>
      </w:pPr>
      <w:r>
        <w:t>3.2.</w:t>
      </w:r>
      <w:r>
        <w:tab/>
      </w:r>
      <w:r>
        <w:rPr>
          <w:noProof/>
        </w:rPr>
        <w:t xml:space="preserve">Ocenjene posledice za odhodke </w:t>
      </w:r>
    </w:p>
    <w:p w:rsidR="00BF2E49" w:rsidRDefault="002542A5">
      <w:pPr>
        <w:pStyle w:val="Text1"/>
        <w:rPr>
          <w:noProof/>
        </w:rPr>
      </w:pPr>
      <w:r>
        <w:rPr>
          <w:noProof/>
          <w:highlight w:val="lightGray"/>
        </w:rPr>
        <w:t xml:space="preserve">[This section should be filled in using the </w:t>
      </w:r>
      <w:hyperlink r:id="rId16">
        <w:r>
          <w:rPr>
            <w:rStyle w:val="Hyperlink"/>
            <w:b/>
            <w:noProof/>
            <w:color w:val="auto"/>
          </w:rPr>
          <w:t>spreadsheet on budget data of an administrative nature</w:t>
        </w:r>
      </w:hyperlink>
      <w:r>
        <w:rPr>
          <w:noProof/>
          <w:highlight w:val="lightGray"/>
        </w:rPr>
        <w:t xml:space="preserve"> (second document in annex to this financial st</w:t>
      </w:r>
      <w:r>
        <w:rPr>
          <w:noProof/>
          <w:highlight w:val="lightGray"/>
        </w:rPr>
        <w:t>atement) and uploaded to CISNET for interservice consultation purposes.]</w:t>
      </w:r>
    </w:p>
    <w:p w:rsidR="00BF2E49" w:rsidRDefault="002542A5">
      <w:pPr>
        <w:pStyle w:val="ManualHeading3"/>
        <w:rPr>
          <w:noProof/>
        </w:rPr>
      </w:pPr>
      <w:r>
        <w:t>3.2.1.</w:t>
      </w:r>
      <w:r>
        <w:tab/>
      </w:r>
      <w:r>
        <w:rPr>
          <w:noProof/>
        </w:rPr>
        <w:t xml:space="preserve">Povzetek ocenjenih posledic za odhodke </w:t>
      </w:r>
    </w:p>
    <w:p w:rsidR="00BF2E49" w:rsidRDefault="002542A5">
      <w:pPr>
        <w:pStyle w:val="Text1"/>
        <w:rPr>
          <w:i/>
          <w:noProof/>
        </w:rPr>
      </w:pPr>
      <w:r>
        <w:rPr>
          <w:i/>
          <w:noProof/>
        </w:rPr>
        <w:t>Spodaj navedeni zahtevki so vključeni v finančni okvir programa Fiscalis 2020. Potrebne ne bodo nobene dodatne odobritve.</w:t>
      </w:r>
    </w:p>
    <w:p w:rsidR="00BF2E49" w:rsidRDefault="002542A5">
      <w:pPr>
        <w:jc w:val="right"/>
        <w:rPr>
          <w:noProof/>
          <w:sz w:val="20"/>
        </w:rPr>
      </w:pPr>
      <w:r>
        <w:rPr>
          <w:noProof/>
          <w:sz w:val="20"/>
        </w:rPr>
        <w:t>v mio. EUR (na</w:t>
      </w:r>
      <w:r>
        <w:rPr>
          <w:noProof/>
          <w:sz w:val="20"/>
        </w:rPr>
        <w:t xml:space="preserve">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F2E49">
        <w:trPr>
          <w:jc w:val="center"/>
        </w:trPr>
        <w:tc>
          <w:tcPr>
            <w:tcW w:w="4744" w:type="dxa"/>
            <w:shd w:val="thinDiagStripe" w:color="C0C0C0" w:fill="auto"/>
            <w:vAlign w:val="center"/>
          </w:tcPr>
          <w:p w:rsidR="00BF2E49" w:rsidRDefault="002542A5">
            <w:pPr>
              <w:spacing w:before="60" w:after="60"/>
              <w:jc w:val="center"/>
              <w:rPr>
                <w:b/>
                <w:noProof/>
              </w:rPr>
            </w:pPr>
            <w:r>
              <w:rPr>
                <w:b/>
                <w:noProof/>
              </w:rPr>
              <w:t>Razdelek večletnega finančnega</w:t>
            </w:r>
            <w:r>
              <w:rPr>
                <w:noProof/>
                <w:sz w:val="22"/>
              </w:rPr>
              <w:br/>
            </w:r>
            <w:r>
              <w:rPr>
                <w:b/>
                <w:noProof/>
                <w:sz w:val="22"/>
              </w:rPr>
              <w:t xml:space="preserve">okvira </w:t>
            </w:r>
          </w:p>
        </w:tc>
        <w:tc>
          <w:tcPr>
            <w:tcW w:w="1080" w:type="dxa"/>
            <w:vAlign w:val="center"/>
          </w:tcPr>
          <w:p w:rsidR="00BF2E49" w:rsidRDefault="002542A5">
            <w:pPr>
              <w:spacing w:before="60" w:after="60"/>
              <w:jc w:val="center"/>
              <w:rPr>
                <w:noProof/>
              </w:rPr>
            </w:pPr>
            <w:r>
              <w:rPr>
                <w:noProof/>
                <w:sz w:val="22"/>
              </w:rPr>
              <w:t>Številka</w:t>
            </w:r>
          </w:p>
        </w:tc>
        <w:tc>
          <w:tcPr>
            <w:tcW w:w="7817" w:type="dxa"/>
            <w:vAlign w:val="center"/>
          </w:tcPr>
          <w:p w:rsidR="00BF2E49" w:rsidRDefault="002542A5">
            <w:pPr>
              <w:spacing w:before="60" w:after="60"/>
              <w:rPr>
                <w:noProof/>
              </w:rPr>
            </w:pPr>
            <w:r>
              <w:rPr>
                <w:noProof/>
              </w:rPr>
              <w:t>1A Konkurenčnost za rast in delovna mesta</w:t>
            </w:r>
          </w:p>
        </w:tc>
      </w:tr>
    </w:tbl>
    <w:p w:rsidR="00BF2E49" w:rsidRDefault="00BF2E4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BF2E49">
        <w:tc>
          <w:tcPr>
            <w:tcW w:w="3960" w:type="dxa"/>
            <w:vAlign w:val="center"/>
          </w:tcPr>
          <w:p w:rsidR="00BF2E49" w:rsidRDefault="002542A5">
            <w:pPr>
              <w:jc w:val="center"/>
              <w:rPr>
                <w:noProof/>
              </w:rPr>
            </w:pPr>
            <w:r>
              <w:rPr>
                <w:noProof/>
                <w:sz w:val="22"/>
              </w:rPr>
              <w:t xml:space="preserve">GD </w:t>
            </w:r>
            <w:r>
              <w:rPr>
                <w:noProof/>
              </w:rPr>
              <w:t>TAXUD</w:t>
            </w:r>
          </w:p>
        </w:tc>
        <w:tc>
          <w:tcPr>
            <w:tcW w:w="1560" w:type="dxa"/>
            <w:gridSpan w:val="2"/>
          </w:tcPr>
          <w:p w:rsidR="00BF2E49" w:rsidRDefault="00BF2E49">
            <w:pPr>
              <w:rPr>
                <w:noProof/>
                <w:sz w:val="20"/>
              </w:rPr>
            </w:pPr>
          </w:p>
        </w:tc>
        <w:tc>
          <w:tcPr>
            <w:tcW w:w="534" w:type="dxa"/>
          </w:tcPr>
          <w:p w:rsidR="00BF2E49" w:rsidRDefault="00BF2E49">
            <w:pPr>
              <w:jc w:val="center"/>
              <w:rPr>
                <w:noProof/>
                <w:sz w:val="20"/>
              </w:rPr>
            </w:pP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t>2016</w:t>
            </w:r>
            <w:r>
              <w:rPr>
                <w:rStyle w:val="FootnoteReference"/>
                <w:noProof/>
                <w:sz w:val="20"/>
                <w:szCs w:val="20"/>
              </w:rPr>
              <w:footnoteReference w:id="21"/>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2017</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2018</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2019</w:t>
            </w:r>
          </w:p>
        </w:tc>
        <w:tc>
          <w:tcPr>
            <w:tcW w:w="2604" w:type="dxa"/>
            <w:gridSpan w:val="3"/>
            <w:vAlign w:val="center"/>
          </w:tcPr>
          <w:p w:rsidR="00BF2E49" w:rsidRDefault="002542A5">
            <w:pPr>
              <w:jc w:val="center"/>
              <w:rPr>
                <w:b/>
                <w:noProof/>
                <w:sz w:val="18"/>
              </w:rPr>
            </w:pPr>
            <w:r>
              <w:rPr>
                <w:b/>
                <w:noProof/>
                <w:sz w:val="20"/>
              </w:rPr>
              <w:t xml:space="preserve">2020 </w:t>
            </w:r>
          </w:p>
        </w:tc>
        <w:tc>
          <w:tcPr>
            <w:tcW w:w="1777" w:type="dxa"/>
            <w:vAlign w:val="center"/>
          </w:tcPr>
          <w:p w:rsidR="00BF2E49" w:rsidRDefault="002542A5">
            <w:pPr>
              <w:jc w:val="center"/>
              <w:rPr>
                <w:b/>
                <w:noProof/>
                <w:sz w:val="20"/>
              </w:rPr>
            </w:pPr>
            <w:r>
              <w:rPr>
                <w:b/>
                <w:noProof/>
                <w:sz w:val="20"/>
              </w:rPr>
              <w:t>SKUPAJ</w:t>
            </w:r>
          </w:p>
        </w:tc>
      </w:tr>
      <w:tr w:rsidR="00BF2E49">
        <w:trPr>
          <w:trHeight w:val="213"/>
        </w:trPr>
        <w:tc>
          <w:tcPr>
            <w:tcW w:w="6054" w:type="dxa"/>
            <w:gridSpan w:val="4"/>
            <w:vAlign w:val="center"/>
          </w:tcPr>
          <w:p w:rsidR="00BF2E49" w:rsidRDefault="002542A5">
            <w:pPr>
              <w:spacing w:before="20" w:after="20"/>
              <w:rPr>
                <w:noProof/>
                <w:sz w:val="21"/>
              </w:rPr>
            </w:pPr>
            <w:r>
              <w:rPr>
                <w:noProof/>
                <w:sz w:val="21"/>
              </w:rPr>
              <w:sym w:font="Wingdings" w:char="F09F"/>
            </w:r>
            <w:r>
              <w:rPr>
                <w:noProof/>
              </w:rPr>
              <w:t xml:space="preserve"> </w:t>
            </w:r>
            <w:r>
              <w:rPr>
                <w:noProof/>
                <w:sz w:val="21"/>
                <w:szCs w:val="21"/>
              </w:rPr>
              <w:t>Odobritve za poslovanje</w:t>
            </w:r>
          </w:p>
        </w:tc>
        <w:tc>
          <w:tcPr>
            <w:tcW w:w="868" w:type="dxa"/>
            <w:vAlign w:val="center"/>
          </w:tcPr>
          <w:p w:rsidR="00BF2E49" w:rsidRDefault="00BF2E49">
            <w:pPr>
              <w:rPr>
                <w:noProof/>
                <w:sz w:val="20"/>
              </w:rPr>
            </w:pPr>
          </w:p>
        </w:tc>
        <w:tc>
          <w:tcPr>
            <w:tcW w:w="868" w:type="dxa"/>
            <w:vAlign w:val="center"/>
          </w:tcPr>
          <w:p w:rsidR="00BF2E49" w:rsidRDefault="00BF2E49">
            <w:pPr>
              <w:rPr>
                <w:noProof/>
                <w:sz w:val="20"/>
              </w:rPr>
            </w:pPr>
          </w:p>
        </w:tc>
        <w:tc>
          <w:tcPr>
            <w:tcW w:w="868" w:type="dxa"/>
            <w:vAlign w:val="center"/>
          </w:tcPr>
          <w:p w:rsidR="00BF2E49" w:rsidRDefault="00BF2E49">
            <w:pPr>
              <w:rPr>
                <w:noProof/>
                <w:sz w:val="20"/>
              </w:rPr>
            </w:pPr>
          </w:p>
        </w:tc>
        <w:tc>
          <w:tcPr>
            <w:tcW w:w="868" w:type="dxa"/>
            <w:vAlign w:val="center"/>
          </w:tcPr>
          <w:p w:rsidR="00BF2E49" w:rsidRDefault="00BF2E49">
            <w:pPr>
              <w:rPr>
                <w:noProof/>
                <w:sz w:val="20"/>
              </w:rPr>
            </w:pPr>
          </w:p>
        </w:tc>
        <w:tc>
          <w:tcPr>
            <w:tcW w:w="868" w:type="dxa"/>
            <w:vAlign w:val="center"/>
          </w:tcPr>
          <w:p w:rsidR="00BF2E49" w:rsidRDefault="00BF2E49">
            <w:pPr>
              <w:rPr>
                <w:noProof/>
                <w:sz w:val="20"/>
              </w:rPr>
            </w:pPr>
          </w:p>
        </w:tc>
        <w:tc>
          <w:tcPr>
            <w:tcW w:w="868" w:type="dxa"/>
            <w:vAlign w:val="center"/>
          </w:tcPr>
          <w:p w:rsidR="00BF2E49" w:rsidRDefault="00BF2E49">
            <w:pPr>
              <w:rPr>
                <w:noProof/>
                <w:sz w:val="20"/>
              </w:rPr>
            </w:pPr>
          </w:p>
        </w:tc>
        <w:tc>
          <w:tcPr>
            <w:tcW w:w="868" w:type="dxa"/>
            <w:vAlign w:val="center"/>
          </w:tcPr>
          <w:p w:rsidR="00BF2E49" w:rsidRDefault="00BF2E49">
            <w:pPr>
              <w:rPr>
                <w:b/>
                <w:noProof/>
                <w:sz w:val="20"/>
              </w:rPr>
            </w:pPr>
          </w:p>
        </w:tc>
        <w:tc>
          <w:tcPr>
            <w:tcW w:w="1777" w:type="dxa"/>
            <w:vAlign w:val="center"/>
          </w:tcPr>
          <w:p w:rsidR="00BF2E49" w:rsidRDefault="00BF2E49">
            <w:pPr>
              <w:rPr>
                <w:b/>
                <w:noProof/>
                <w:sz w:val="20"/>
              </w:rPr>
            </w:pPr>
          </w:p>
        </w:tc>
      </w:tr>
      <w:tr w:rsidR="00BF2E49">
        <w:trPr>
          <w:trHeight w:val="277"/>
        </w:trPr>
        <w:tc>
          <w:tcPr>
            <w:tcW w:w="3960" w:type="dxa"/>
            <w:vMerge w:val="restart"/>
            <w:vAlign w:val="center"/>
          </w:tcPr>
          <w:p w:rsidR="00BF2E49" w:rsidRDefault="002542A5">
            <w:pPr>
              <w:rPr>
                <w:noProof/>
                <w:sz w:val="20"/>
                <w:szCs w:val="20"/>
              </w:rPr>
            </w:pPr>
            <w:r>
              <w:rPr>
                <w:noProof/>
                <w:sz w:val="20"/>
                <w:szCs w:val="20"/>
              </w:rPr>
              <w:t xml:space="preserve">Številka proračunske vrstice </w:t>
            </w:r>
            <w:r>
              <w:rPr>
                <w:noProof/>
                <w:sz w:val="20"/>
                <w:szCs w:val="20"/>
              </w:rPr>
              <w:t>14.0301</w:t>
            </w:r>
          </w:p>
        </w:tc>
        <w:tc>
          <w:tcPr>
            <w:tcW w:w="1440" w:type="dxa"/>
            <w:vAlign w:val="center"/>
          </w:tcPr>
          <w:p w:rsidR="00BF2E49" w:rsidRDefault="002542A5">
            <w:pPr>
              <w:spacing w:before="20" w:after="20"/>
              <w:rPr>
                <w:noProof/>
                <w:sz w:val="18"/>
              </w:rPr>
            </w:pPr>
            <w:r>
              <w:rPr>
                <w:noProof/>
                <w:sz w:val="18"/>
              </w:rPr>
              <w:t>obveznosti</w:t>
            </w:r>
          </w:p>
        </w:tc>
        <w:tc>
          <w:tcPr>
            <w:tcW w:w="654" w:type="dxa"/>
            <w:gridSpan w:val="2"/>
            <w:vAlign w:val="center"/>
          </w:tcPr>
          <w:p w:rsidR="00BF2E49" w:rsidRDefault="002542A5">
            <w:pPr>
              <w:spacing w:before="20" w:after="20"/>
              <w:jc w:val="center"/>
              <w:rPr>
                <w:noProof/>
                <w:sz w:val="14"/>
              </w:rPr>
            </w:pPr>
            <w:r>
              <w:rPr>
                <w:noProof/>
                <w:sz w:val="14"/>
              </w:rPr>
              <w:t>(1)</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c>
          <w:tcPr>
            <w:tcW w:w="3960" w:type="dxa"/>
            <w:vMerge/>
          </w:tcPr>
          <w:p w:rsidR="00BF2E49" w:rsidRDefault="00BF2E49">
            <w:pPr>
              <w:jc w:val="center"/>
              <w:rPr>
                <w:noProof/>
                <w:sz w:val="20"/>
              </w:rPr>
            </w:pPr>
          </w:p>
        </w:tc>
        <w:tc>
          <w:tcPr>
            <w:tcW w:w="1440" w:type="dxa"/>
            <w:vAlign w:val="center"/>
          </w:tcPr>
          <w:p w:rsidR="00BF2E49" w:rsidRDefault="002542A5">
            <w:pPr>
              <w:spacing w:before="20" w:after="20"/>
              <w:rPr>
                <w:noProof/>
                <w:sz w:val="18"/>
              </w:rPr>
            </w:pPr>
            <w:r>
              <w:rPr>
                <w:noProof/>
                <w:sz w:val="18"/>
              </w:rPr>
              <w:t>plačila</w:t>
            </w:r>
          </w:p>
        </w:tc>
        <w:tc>
          <w:tcPr>
            <w:tcW w:w="654" w:type="dxa"/>
            <w:gridSpan w:val="2"/>
            <w:vAlign w:val="center"/>
          </w:tcPr>
          <w:p w:rsidR="00BF2E49" w:rsidRDefault="002542A5">
            <w:pPr>
              <w:spacing w:before="20" w:after="20"/>
              <w:jc w:val="center"/>
              <w:rPr>
                <w:noProof/>
                <w:sz w:val="14"/>
              </w:rPr>
            </w:pPr>
            <w:r>
              <w:rPr>
                <w:noProof/>
                <w:sz w:val="14"/>
              </w:rPr>
              <w:t>(2)</w:t>
            </w:r>
          </w:p>
        </w:tc>
        <w:tc>
          <w:tcPr>
            <w:tcW w:w="868" w:type="dxa"/>
            <w:vAlign w:val="center"/>
          </w:tcPr>
          <w:p w:rsidR="00BF2E49" w:rsidRDefault="002542A5">
            <w:pPr>
              <w:spacing w:before="20" w:after="20"/>
              <w:jc w:val="right"/>
              <w:rPr>
                <w:noProof/>
              </w:rPr>
            </w:pPr>
            <w:r>
              <w:rPr>
                <w:noProof/>
              </w:rPr>
              <w:t>0,000</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c>
          <w:tcPr>
            <w:tcW w:w="3960" w:type="dxa"/>
            <w:vMerge w:val="restart"/>
            <w:vAlign w:val="center"/>
          </w:tcPr>
          <w:p w:rsidR="00BF2E49" w:rsidRDefault="002542A5">
            <w:pPr>
              <w:rPr>
                <w:noProof/>
              </w:rPr>
            </w:pPr>
            <w:r>
              <w:rPr>
                <w:noProof/>
                <w:sz w:val="20"/>
              </w:rPr>
              <w:t>Številka proračunske vrstice</w:t>
            </w:r>
          </w:p>
        </w:tc>
        <w:tc>
          <w:tcPr>
            <w:tcW w:w="1440" w:type="dxa"/>
            <w:vAlign w:val="center"/>
          </w:tcPr>
          <w:p w:rsidR="00BF2E49" w:rsidRDefault="002542A5">
            <w:pPr>
              <w:spacing w:before="20" w:after="20"/>
              <w:rPr>
                <w:noProof/>
                <w:sz w:val="18"/>
              </w:rPr>
            </w:pPr>
            <w:r>
              <w:rPr>
                <w:noProof/>
                <w:sz w:val="18"/>
              </w:rPr>
              <w:t>obveznosti</w:t>
            </w:r>
          </w:p>
        </w:tc>
        <w:tc>
          <w:tcPr>
            <w:tcW w:w="654" w:type="dxa"/>
            <w:gridSpan w:val="2"/>
            <w:vAlign w:val="center"/>
          </w:tcPr>
          <w:p w:rsidR="00BF2E49" w:rsidRDefault="002542A5">
            <w:pPr>
              <w:spacing w:before="20" w:after="20"/>
              <w:jc w:val="center"/>
              <w:rPr>
                <w:noProof/>
                <w:sz w:val="14"/>
              </w:rPr>
            </w:pPr>
            <w:r>
              <w:rPr>
                <w:noProof/>
                <w:sz w:val="14"/>
              </w:rPr>
              <w:t>(1a)</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spacing w:before="20" w:after="20"/>
              <w:jc w:val="right"/>
              <w:rPr>
                <w:noProof/>
              </w:rPr>
            </w:pPr>
          </w:p>
        </w:tc>
      </w:tr>
      <w:tr w:rsidR="00BF2E49">
        <w:tc>
          <w:tcPr>
            <w:tcW w:w="3960" w:type="dxa"/>
            <w:vMerge/>
          </w:tcPr>
          <w:p w:rsidR="00BF2E49" w:rsidRDefault="00BF2E49">
            <w:pPr>
              <w:jc w:val="center"/>
              <w:rPr>
                <w:noProof/>
                <w:sz w:val="20"/>
              </w:rPr>
            </w:pPr>
          </w:p>
        </w:tc>
        <w:tc>
          <w:tcPr>
            <w:tcW w:w="1440" w:type="dxa"/>
            <w:vAlign w:val="center"/>
          </w:tcPr>
          <w:p w:rsidR="00BF2E49" w:rsidRDefault="002542A5">
            <w:pPr>
              <w:spacing w:before="20" w:after="20"/>
              <w:rPr>
                <w:noProof/>
                <w:sz w:val="18"/>
              </w:rPr>
            </w:pPr>
            <w:r>
              <w:rPr>
                <w:noProof/>
                <w:sz w:val="18"/>
              </w:rPr>
              <w:t>plačila</w:t>
            </w:r>
          </w:p>
        </w:tc>
        <w:tc>
          <w:tcPr>
            <w:tcW w:w="654" w:type="dxa"/>
            <w:gridSpan w:val="2"/>
            <w:vAlign w:val="center"/>
          </w:tcPr>
          <w:p w:rsidR="00BF2E49" w:rsidRDefault="002542A5">
            <w:pPr>
              <w:spacing w:before="20" w:after="20"/>
              <w:jc w:val="center"/>
              <w:rPr>
                <w:noProof/>
                <w:sz w:val="14"/>
              </w:rPr>
            </w:pPr>
            <w:r>
              <w:rPr>
                <w:noProof/>
                <w:sz w:val="14"/>
              </w:rPr>
              <w:t>(2 a)</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spacing w:before="20" w:after="20"/>
              <w:jc w:val="right"/>
              <w:rPr>
                <w:noProof/>
              </w:rPr>
            </w:pPr>
          </w:p>
        </w:tc>
      </w:tr>
      <w:tr w:rsidR="00BF2E49">
        <w:trPr>
          <w:trHeight w:val="231"/>
        </w:trPr>
        <w:tc>
          <w:tcPr>
            <w:tcW w:w="6054" w:type="dxa"/>
            <w:gridSpan w:val="4"/>
            <w:vAlign w:val="center"/>
          </w:tcPr>
          <w:p w:rsidR="00BF2E49" w:rsidRDefault="002542A5">
            <w:pPr>
              <w:spacing w:before="20" w:after="20"/>
              <w:rPr>
                <w:noProof/>
              </w:rPr>
            </w:pPr>
            <w:r>
              <w:rPr>
                <w:noProof/>
                <w:sz w:val="21"/>
              </w:rPr>
              <w:t>Odobritve za upravne zadeve, ki se financirajo iz sredstev določenih programov</w:t>
            </w:r>
            <w:r>
              <w:rPr>
                <w:rStyle w:val="FootnoteReference"/>
                <w:noProof/>
                <w:sz w:val="21"/>
              </w:rPr>
              <w:footnoteReference w:id="22"/>
            </w:r>
            <w:r>
              <w:rPr>
                <w:noProof/>
                <w:sz w:val="21"/>
              </w:rPr>
              <w:t xml:space="preserve"> </w:t>
            </w:r>
          </w:p>
          <w:p w:rsidR="00BF2E49" w:rsidRDefault="00BF2E49">
            <w:pPr>
              <w:spacing w:before="0" w:after="0"/>
              <w:rPr>
                <w:noProof/>
              </w:rPr>
            </w:pP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rPr>
                <w:noProof/>
              </w:rPr>
            </w:pPr>
          </w:p>
        </w:tc>
      </w:tr>
      <w:tr w:rsidR="00BF2E49">
        <w:trPr>
          <w:trHeight w:val="319"/>
        </w:trPr>
        <w:tc>
          <w:tcPr>
            <w:tcW w:w="3960" w:type="dxa"/>
            <w:vAlign w:val="center"/>
          </w:tcPr>
          <w:p w:rsidR="00BF2E49" w:rsidRDefault="002542A5">
            <w:pPr>
              <w:spacing w:before="60" w:after="60"/>
              <w:rPr>
                <w:noProof/>
              </w:rPr>
            </w:pPr>
            <w:r>
              <w:rPr>
                <w:noProof/>
                <w:sz w:val="20"/>
              </w:rPr>
              <w:t>Številka proračunske vrstice</w:t>
            </w:r>
          </w:p>
        </w:tc>
        <w:tc>
          <w:tcPr>
            <w:tcW w:w="1440" w:type="dxa"/>
            <w:vAlign w:val="center"/>
          </w:tcPr>
          <w:p w:rsidR="00BF2E49" w:rsidRDefault="00BF2E49">
            <w:pPr>
              <w:spacing w:before="40" w:after="40"/>
              <w:jc w:val="right"/>
              <w:rPr>
                <w:noProof/>
                <w:sz w:val="18"/>
              </w:rPr>
            </w:pPr>
          </w:p>
        </w:tc>
        <w:tc>
          <w:tcPr>
            <w:tcW w:w="654" w:type="dxa"/>
            <w:gridSpan w:val="2"/>
            <w:vAlign w:val="center"/>
          </w:tcPr>
          <w:p w:rsidR="00BF2E49" w:rsidRDefault="002542A5">
            <w:pPr>
              <w:spacing w:before="40" w:after="40"/>
              <w:jc w:val="center"/>
              <w:rPr>
                <w:noProof/>
                <w:sz w:val="14"/>
              </w:rPr>
            </w:pPr>
            <w:r>
              <w:rPr>
                <w:noProof/>
                <w:sz w:val="14"/>
              </w:rPr>
              <w:t>(3)</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spacing w:before="40" w:after="40"/>
              <w:jc w:val="right"/>
              <w:rPr>
                <w:noProof/>
              </w:rPr>
            </w:pPr>
          </w:p>
        </w:tc>
      </w:tr>
      <w:tr w:rsidR="00BF2E49">
        <w:tc>
          <w:tcPr>
            <w:tcW w:w="3960" w:type="dxa"/>
            <w:vMerge w:val="restart"/>
            <w:vAlign w:val="center"/>
          </w:tcPr>
          <w:p w:rsidR="00BF2E49" w:rsidRDefault="002542A5">
            <w:pPr>
              <w:jc w:val="center"/>
              <w:rPr>
                <w:b/>
                <w:noProof/>
              </w:rPr>
            </w:pPr>
            <w:r>
              <w:rPr>
                <w:b/>
                <w:noProof/>
              </w:rPr>
              <w:t>Odobritve za</w:t>
            </w:r>
            <w:r>
              <w:rPr>
                <w:noProof/>
              </w:rPr>
              <w:br/>
            </w:r>
            <w:r>
              <w:rPr>
                <w:b/>
                <w:noProof/>
              </w:rPr>
              <w:t xml:space="preserve">GD </w:t>
            </w:r>
            <w:r>
              <w:rPr>
                <w:noProof/>
              </w:rPr>
              <w:t>TAXUD</w:t>
            </w:r>
            <w:r>
              <w:rPr>
                <w:b/>
                <w:noProof/>
              </w:rPr>
              <w:t xml:space="preserve"> SKUPAJ</w:t>
            </w:r>
          </w:p>
        </w:tc>
        <w:tc>
          <w:tcPr>
            <w:tcW w:w="1440" w:type="dxa"/>
            <w:vAlign w:val="center"/>
          </w:tcPr>
          <w:p w:rsidR="00BF2E49" w:rsidRDefault="002542A5">
            <w:pPr>
              <w:rPr>
                <w:noProof/>
                <w:sz w:val="18"/>
              </w:rPr>
            </w:pPr>
            <w:r>
              <w:rPr>
                <w:noProof/>
                <w:sz w:val="18"/>
              </w:rPr>
              <w:t>obveznosti</w:t>
            </w:r>
          </w:p>
        </w:tc>
        <w:tc>
          <w:tcPr>
            <w:tcW w:w="654" w:type="dxa"/>
            <w:gridSpan w:val="2"/>
            <w:vAlign w:val="center"/>
          </w:tcPr>
          <w:p w:rsidR="00BF2E49" w:rsidRDefault="002542A5">
            <w:pPr>
              <w:jc w:val="center"/>
              <w:rPr>
                <w:noProof/>
                <w:sz w:val="14"/>
              </w:rPr>
            </w:pPr>
            <w:r>
              <w:rPr>
                <w:noProof/>
                <w:sz w:val="14"/>
              </w:rPr>
              <w:t>=1+1a +3</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c>
          <w:tcPr>
            <w:tcW w:w="3960" w:type="dxa"/>
            <w:vMerge/>
          </w:tcPr>
          <w:p w:rsidR="00BF2E49" w:rsidRDefault="00BF2E49">
            <w:pPr>
              <w:rPr>
                <w:noProof/>
                <w:sz w:val="20"/>
              </w:rPr>
            </w:pPr>
          </w:p>
        </w:tc>
        <w:tc>
          <w:tcPr>
            <w:tcW w:w="1440" w:type="dxa"/>
            <w:vAlign w:val="center"/>
          </w:tcPr>
          <w:p w:rsidR="00BF2E49" w:rsidRDefault="002542A5">
            <w:pPr>
              <w:rPr>
                <w:noProof/>
                <w:sz w:val="18"/>
              </w:rPr>
            </w:pPr>
            <w:r>
              <w:rPr>
                <w:noProof/>
                <w:sz w:val="18"/>
              </w:rPr>
              <w:t>plačila</w:t>
            </w:r>
          </w:p>
        </w:tc>
        <w:tc>
          <w:tcPr>
            <w:tcW w:w="654" w:type="dxa"/>
            <w:gridSpan w:val="2"/>
            <w:vAlign w:val="center"/>
          </w:tcPr>
          <w:p w:rsidR="00BF2E49" w:rsidRDefault="002542A5">
            <w:pPr>
              <w:jc w:val="center"/>
              <w:rPr>
                <w:noProof/>
                <w:sz w:val="14"/>
              </w:rPr>
            </w:pPr>
            <w:r>
              <w:rPr>
                <w:noProof/>
                <w:sz w:val="14"/>
              </w:rPr>
              <w:t>=2+2a</w:t>
            </w:r>
          </w:p>
          <w:p w:rsidR="00BF2E49" w:rsidRDefault="002542A5">
            <w:pPr>
              <w:jc w:val="center"/>
              <w:rPr>
                <w:noProof/>
                <w:sz w:val="14"/>
              </w:rPr>
            </w:pPr>
            <w:r>
              <w:rPr>
                <w:noProof/>
                <w:sz w:val="14"/>
              </w:rPr>
              <w:t>+3</w:t>
            </w:r>
          </w:p>
        </w:tc>
        <w:tc>
          <w:tcPr>
            <w:tcW w:w="868" w:type="dxa"/>
            <w:vAlign w:val="center"/>
          </w:tcPr>
          <w:p w:rsidR="00BF2E49" w:rsidRDefault="002542A5">
            <w:pPr>
              <w:spacing w:before="20" w:after="20"/>
              <w:jc w:val="right"/>
              <w:rPr>
                <w:noProof/>
              </w:rPr>
            </w:pPr>
            <w:r>
              <w:rPr>
                <w:noProof/>
              </w:rPr>
              <w:t>0,000</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bl>
    <w:p w:rsidR="00BF2E49" w:rsidRDefault="002542A5">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F2E49">
        <w:trPr>
          <w:trHeight w:val="277"/>
        </w:trPr>
        <w:tc>
          <w:tcPr>
            <w:tcW w:w="3960" w:type="dxa"/>
            <w:vMerge w:val="restart"/>
            <w:vAlign w:val="center"/>
          </w:tcPr>
          <w:p w:rsidR="00BF2E49" w:rsidRDefault="002542A5">
            <w:pPr>
              <w:spacing w:before="20" w:after="20"/>
              <w:rPr>
                <w:noProof/>
              </w:rPr>
            </w:pPr>
            <w:r>
              <w:rPr>
                <w:noProof/>
              </w:rPr>
              <w:br w:type="page"/>
            </w:r>
            <w:r>
              <w:rPr>
                <w:noProof/>
                <w:sz w:val="21"/>
              </w:rPr>
              <w:sym w:font="Wingdings" w:char="F09F"/>
            </w:r>
            <w:r>
              <w:rPr>
                <w:noProof/>
              </w:rPr>
              <w:t xml:space="preserve"> </w:t>
            </w:r>
            <w:r>
              <w:rPr>
                <w:noProof/>
                <w:sz w:val="21"/>
                <w:szCs w:val="21"/>
              </w:rPr>
              <w:t>Odobritve za poslovanje SKUPAJ</w:t>
            </w:r>
          </w:p>
        </w:tc>
        <w:tc>
          <w:tcPr>
            <w:tcW w:w="1440" w:type="dxa"/>
            <w:vAlign w:val="center"/>
          </w:tcPr>
          <w:p w:rsidR="00BF2E49" w:rsidRDefault="002542A5">
            <w:pPr>
              <w:spacing w:beforeLines="20" w:before="48" w:afterLines="20" w:after="48"/>
              <w:rPr>
                <w:noProof/>
                <w:sz w:val="18"/>
              </w:rPr>
            </w:pPr>
            <w:r>
              <w:rPr>
                <w:noProof/>
                <w:sz w:val="18"/>
              </w:rPr>
              <w:t>obveznosti</w:t>
            </w:r>
          </w:p>
        </w:tc>
        <w:tc>
          <w:tcPr>
            <w:tcW w:w="654" w:type="dxa"/>
            <w:vAlign w:val="center"/>
          </w:tcPr>
          <w:p w:rsidR="00BF2E49" w:rsidRDefault="002542A5">
            <w:pPr>
              <w:spacing w:beforeLines="20" w:before="48" w:afterLines="20" w:after="48"/>
              <w:jc w:val="center"/>
              <w:rPr>
                <w:noProof/>
                <w:sz w:val="14"/>
              </w:rPr>
            </w:pPr>
            <w:r>
              <w:rPr>
                <w:noProof/>
                <w:sz w:val="14"/>
              </w:rPr>
              <w:t>(4)</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c>
          <w:tcPr>
            <w:tcW w:w="3960" w:type="dxa"/>
            <w:vMerge/>
          </w:tcPr>
          <w:p w:rsidR="00BF2E49" w:rsidRDefault="00BF2E49">
            <w:pPr>
              <w:jc w:val="center"/>
              <w:rPr>
                <w:noProof/>
                <w:sz w:val="20"/>
              </w:rPr>
            </w:pPr>
          </w:p>
        </w:tc>
        <w:tc>
          <w:tcPr>
            <w:tcW w:w="1440" w:type="dxa"/>
            <w:vAlign w:val="center"/>
          </w:tcPr>
          <w:p w:rsidR="00BF2E49" w:rsidRDefault="002542A5">
            <w:pPr>
              <w:spacing w:beforeLines="20" w:before="48" w:afterLines="20" w:after="48"/>
              <w:rPr>
                <w:noProof/>
                <w:sz w:val="18"/>
              </w:rPr>
            </w:pPr>
            <w:r>
              <w:rPr>
                <w:noProof/>
                <w:sz w:val="18"/>
              </w:rPr>
              <w:t>plačila</w:t>
            </w:r>
          </w:p>
        </w:tc>
        <w:tc>
          <w:tcPr>
            <w:tcW w:w="654" w:type="dxa"/>
            <w:vAlign w:val="center"/>
          </w:tcPr>
          <w:p w:rsidR="00BF2E49" w:rsidRDefault="002542A5">
            <w:pPr>
              <w:spacing w:beforeLines="20" w:before="48" w:afterLines="20" w:after="48"/>
              <w:jc w:val="center"/>
              <w:rPr>
                <w:noProof/>
                <w:sz w:val="14"/>
              </w:rPr>
            </w:pPr>
            <w:r>
              <w:rPr>
                <w:noProof/>
                <w:sz w:val="14"/>
              </w:rPr>
              <w:t>(5)</w:t>
            </w:r>
          </w:p>
        </w:tc>
        <w:tc>
          <w:tcPr>
            <w:tcW w:w="868" w:type="dxa"/>
            <w:vAlign w:val="center"/>
          </w:tcPr>
          <w:p w:rsidR="00BF2E49" w:rsidRDefault="002542A5">
            <w:pPr>
              <w:spacing w:before="20" w:after="20"/>
              <w:jc w:val="right"/>
              <w:rPr>
                <w:noProof/>
              </w:rPr>
            </w:pPr>
            <w:r>
              <w:rPr>
                <w:noProof/>
              </w:rPr>
              <w:t>0,000</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rPr>
          <w:trHeight w:val="533"/>
        </w:trPr>
        <w:tc>
          <w:tcPr>
            <w:tcW w:w="5400" w:type="dxa"/>
            <w:gridSpan w:val="2"/>
            <w:vAlign w:val="center"/>
          </w:tcPr>
          <w:p w:rsidR="00BF2E49" w:rsidRDefault="002542A5">
            <w:pPr>
              <w:spacing w:beforeLines="20" w:before="48" w:afterLines="20" w:after="48"/>
              <w:rPr>
                <w:noProof/>
              </w:rPr>
            </w:pPr>
            <w:r>
              <w:rPr>
                <w:noProof/>
                <w:sz w:val="21"/>
              </w:rPr>
              <w:sym w:font="Wingdings" w:char="F09F"/>
            </w:r>
            <w:r>
              <w:rPr>
                <w:noProof/>
              </w:rPr>
              <w:t xml:space="preserve"> </w:t>
            </w:r>
            <w:r>
              <w:rPr>
                <w:noProof/>
                <w:sz w:val="21"/>
                <w:szCs w:val="21"/>
              </w:rPr>
              <w:t xml:space="preserve">Odobritve za upravne </w:t>
            </w:r>
            <w:r>
              <w:rPr>
                <w:noProof/>
                <w:sz w:val="21"/>
                <w:szCs w:val="21"/>
              </w:rPr>
              <w:t>zadeve, ki se financirajo iz sredstev določenih programov, SKUPAJ</w:t>
            </w:r>
          </w:p>
        </w:tc>
        <w:tc>
          <w:tcPr>
            <w:tcW w:w="654" w:type="dxa"/>
            <w:vAlign w:val="center"/>
          </w:tcPr>
          <w:p w:rsidR="00BF2E49" w:rsidRDefault="002542A5">
            <w:pPr>
              <w:spacing w:beforeLines="20" w:before="48" w:afterLines="20" w:after="48"/>
              <w:jc w:val="center"/>
              <w:rPr>
                <w:noProof/>
                <w:sz w:val="14"/>
              </w:rPr>
            </w:pPr>
            <w:r>
              <w:rPr>
                <w:noProof/>
                <w:sz w:val="14"/>
              </w:rPr>
              <w:t>(6)</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spacing w:before="20" w:after="20"/>
              <w:jc w:val="right"/>
              <w:rPr>
                <w:b/>
                <w:noProof/>
                <w:sz w:val="20"/>
              </w:rPr>
            </w:pPr>
          </w:p>
        </w:tc>
      </w:tr>
      <w:tr w:rsidR="00BF2E49">
        <w:tc>
          <w:tcPr>
            <w:tcW w:w="3960" w:type="dxa"/>
            <w:vMerge w:val="restart"/>
            <w:shd w:val="thinDiagStripe" w:color="C0C0C0" w:fill="auto"/>
            <w:vAlign w:val="center"/>
          </w:tcPr>
          <w:p w:rsidR="00BF2E49" w:rsidRDefault="002542A5">
            <w:pPr>
              <w:jc w:val="center"/>
              <w:rPr>
                <w:b/>
                <w:noProof/>
                <w:sz w:val="22"/>
              </w:rPr>
            </w:pPr>
            <w:r>
              <w:rPr>
                <w:b/>
                <w:noProof/>
                <w:sz w:val="22"/>
              </w:rPr>
              <w:t>Odobritve iz</w:t>
            </w:r>
            <w:r>
              <w:rPr>
                <w:noProof/>
                <w:sz w:val="22"/>
              </w:rPr>
              <w:br/>
            </w:r>
            <w:r>
              <w:rPr>
                <w:b/>
                <w:noProof/>
                <w:sz w:val="22"/>
              </w:rPr>
              <w:t xml:space="preserve">RAZDELKA </w:t>
            </w:r>
            <w:r>
              <w:rPr>
                <w:noProof/>
                <w:sz w:val="22"/>
              </w:rPr>
              <w:t>1A</w:t>
            </w:r>
            <w:r>
              <w:rPr>
                <w:noProof/>
                <w:sz w:val="22"/>
              </w:rPr>
              <w:br/>
              <w:t xml:space="preserve">večletnega finančnega okvira </w:t>
            </w:r>
            <w:r>
              <w:rPr>
                <w:b/>
                <w:noProof/>
                <w:sz w:val="22"/>
              </w:rPr>
              <w:t>SKUPAJ</w:t>
            </w:r>
          </w:p>
        </w:tc>
        <w:tc>
          <w:tcPr>
            <w:tcW w:w="1440" w:type="dxa"/>
            <w:vAlign w:val="center"/>
          </w:tcPr>
          <w:p w:rsidR="00BF2E49" w:rsidRDefault="002542A5">
            <w:pPr>
              <w:rPr>
                <w:noProof/>
                <w:sz w:val="18"/>
              </w:rPr>
            </w:pPr>
            <w:r>
              <w:rPr>
                <w:noProof/>
                <w:sz w:val="18"/>
              </w:rPr>
              <w:t>obveznosti</w:t>
            </w:r>
          </w:p>
        </w:tc>
        <w:tc>
          <w:tcPr>
            <w:tcW w:w="654" w:type="dxa"/>
            <w:vAlign w:val="center"/>
          </w:tcPr>
          <w:p w:rsidR="00BF2E49" w:rsidRDefault="002542A5">
            <w:pPr>
              <w:jc w:val="center"/>
              <w:rPr>
                <w:noProof/>
                <w:sz w:val="14"/>
              </w:rPr>
            </w:pPr>
            <w:r>
              <w:rPr>
                <w:noProof/>
                <w:sz w:val="14"/>
              </w:rPr>
              <w:t>=4+ 6</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r w:rsidR="00BF2E49">
        <w:tc>
          <w:tcPr>
            <w:tcW w:w="3960" w:type="dxa"/>
            <w:vMerge/>
            <w:shd w:val="thinDiagStripe" w:color="C0C0C0" w:fill="auto"/>
          </w:tcPr>
          <w:p w:rsidR="00BF2E49" w:rsidRDefault="00BF2E49">
            <w:pPr>
              <w:rPr>
                <w:noProof/>
                <w:sz w:val="20"/>
              </w:rPr>
            </w:pPr>
          </w:p>
        </w:tc>
        <w:tc>
          <w:tcPr>
            <w:tcW w:w="1440" w:type="dxa"/>
            <w:vAlign w:val="center"/>
          </w:tcPr>
          <w:p w:rsidR="00BF2E49" w:rsidRDefault="002542A5">
            <w:pPr>
              <w:rPr>
                <w:noProof/>
                <w:sz w:val="18"/>
              </w:rPr>
            </w:pPr>
            <w:r>
              <w:rPr>
                <w:noProof/>
                <w:sz w:val="18"/>
              </w:rPr>
              <w:t>plačila</w:t>
            </w:r>
          </w:p>
        </w:tc>
        <w:tc>
          <w:tcPr>
            <w:tcW w:w="654" w:type="dxa"/>
            <w:vAlign w:val="center"/>
          </w:tcPr>
          <w:p w:rsidR="00BF2E49" w:rsidRDefault="002542A5">
            <w:pPr>
              <w:jc w:val="center"/>
              <w:rPr>
                <w:noProof/>
                <w:sz w:val="14"/>
              </w:rPr>
            </w:pPr>
            <w:r>
              <w:rPr>
                <w:noProof/>
                <w:sz w:val="14"/>
              </w:rPr>
              <w:t>=5+ 6</w:t>
            </w:r>
          </w:p>
        </w:tc>
        <w:tc>
          <w:tcPr>
            <w:tcW w:w="868" w:type="dxa"/>
            <w:vAlign w:val="center"/>
          </w:tcPr>
          <w:p w:rsidR="00BF2E49" w:rsidRDefault="002542A5">
            <w:pPr>
              <w:spacing w:before="20" w:after="20"/>
              <w:jc w:val="right"/>
              <w:rPr>
                <w:noProof/>
              </w:rPr>
            </w:pPr>
            <w:r>
              <w:rPr>
                <w:noProof/>
              </w:rPr>
              <w:t>0,000</w:t>
            </w:r>
          </w:p>
        </w:tc>
        <w:tc>
          <w:tcPr>
            <w:tcW w:w="868" w:type="dxa"/>
            <w:vAlign w:val="center"/>
          </w:tcPr>
          <w:p w:rsidR="00BF2E49" w:rsidRDefault="002542A5">
            <w:pPr>
              <w:spacing w:before="20" w:after="20"/>
              <w:jc w:val="right"/>
              <w:rPr>
                <w:noProof/>
              </w:rPr>
            </w:pPr>
            <w:r>
              <w:rPr>
                <w:noProof/>
              </w:rPr>
              <w:t>0,300</w:t>
            </w:r>
          </w:p>
        </w:tc>
        <w:tc>
          <w:tcPr>
            <w:tcW w:w="868" w:type="dxa"/>
            <w:vAlign w:val="center"/>
          </w:tcPr>
          <w:p w:rsidR="00BF2E49" w:rsidRDefault="002542A5">
            <w:pPr>
              <w:spacing w:before="20" w:after="20"/>
              <w:jc w:val="right"/>
              <w:rPr>
                <w:noProof/>
              </w:rPr>
            </w:pPr>
            <w:r>
              <w:rPr>
                <w:noProof/>
              </w:rPr>
              <w:t>1,000</w:t>
            </w:r>
          </w:p>
        </w:tc>
        <w:tc>
          <w:tcPr>
            <w:tcW w:w="868" w:type="dxa"/>
            <w:vAlign w:val="center"/>
          </w:tcPr>
          <w:p w:rsidR="00BF2E49" w:rsidRDefault="002542A5">
            <w:pPr>
              <w:spacing w:before="20" w:after="20"/>
              <w:jc w:val="right"/>
              <w:rPr>
                <w:noProof/>
              </w:rPr>
            </w:pPr>
            <w:r>
              <w:rPr>
                <w:noProof/>
              </w:rPr>
              <w:t>0,400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2542A5">
            <w:pPr>
              <w:spacing w:before="20" w:after="20"/>
              <w:jc w:val="right"/>
              <w:rPr>
                <w:noProof/>
              </w:rPr>
            </w:pPr>
            <w:r>
              <w:rPr>
                <w:noProof/>
              </w:rPr>
              <w:t>0,200</w:t>
            </w:r>
          </w:p>
        </w:tc>
        <w:tc>
          <w:tcPr>
            <w:tcW w:w="868" w:type="dxa"/>
            <w:vAlign w:val="center"/>
          </w:tcPr>
          <w:p w:rsidR="00BF2E49" w:rsidRDefault="00BF2E49">
            <w:pPr>
              <w:spacing w:before="20" w:after="20"/>
              <w:jc w:val="right"/>
              <w:rPr>
                <w:noProof/>
              </w:rPr>
            </w:pPr>
          </w:p>
        </w:tc>
        <w:tc>
          <w:tcPr>
            <w:tcW w:w="1777" w:type="dxa"/>
            <w:vAlign w:val="center"/>
          </w:tcPr>
          <w:p w:rsidR="00BF2E49" w:rsidRDefault="002542A5">
            <w:pPr>
              <w:spacing w:before="20" w:after="20"/>
              <w:jc w:val="right"/>
              <w:rPr>
                <w:noProof/>
              </w:rPr>
            </w:pPr>
            <w:r>
              <w:rPr>
                <w:noProof/>
              </w:rPr>
              <w:t>2 100</w:t>
            </w:r>
          </w:p>
        </w:tc>
      </w:tr>
    </w:tbl>
    <w:p w:rsidR="00BF2E49" w:rsidRDefault="002542A5">
      <w:pPr>
        <w:spacing w:after="40"/>
        <w:rPr>
          <w:b/>
          <w:noProof/>
          <w:sz w:val="22"/>
          <w:u w:val="single"/>
        </w:rPr>
      </w:pPr>
      <w:r>
        <w:rPr>
          <w:b/>
          <w:noProof/>
          <w:sz w:val="22"/>
          <w:u w:val="single"/>
        </w:rPr>
        <w:t>Če ima 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BF2E49">
        <w:trPr>
          <w:trHeight w:val="277"/>
        </w:trPr>
        <w:tc>
          <w:tcPr>
            <w:tcW w:w="3960" w:type="dxa"/>
            <w:vMerge w:val="restart"/>
            <w:tcBorders>
              <w:top w:val="single" w:sz="4" w:space="0" w:color="FF0000"/>
              <w:left w:val="single" w:sz="4" w:space="0" w:color="auto"/>
              <w:bottom w:val="single" w:sz="4" w:space="0" w:color="FF0000"/>
            </w:tcBorders>
            <w:vAlign w:val="center"/>
          </w:tcPr>
          <w:p w:rsidR="00BF2E49" w:rsidRDefault="002542A5">
            <w:pPr>
              <w:spacing w:before="20" w:after="20"/>
              <w:rPr>
                <w:noProof/>
              </w:rPr>
            </w:pPr>
            <w:r>
              <w:rPr>
                <w:noProof/>
                <w:sz w:val="21"/>
              </w:rPr>
              <w:sym w:font="Wingdings" w:char="F09F"/>
            </w:r>
            <w:r>
              <w:rPr>
                <w:noProof/>
              </w:rPr>
              <w:t xml:space="preserve"> </w:t>
            </w:r>
            <w:r>
              <w:rPr>
                <w:noProof/>
                <w:sz w:val="21"/>
                <w:szCs w:val="21"/>
              </w:rPr>
              <w:t>Odobritve za poslovanje SKUPAJ</w:t>
            </w:r>
          </w:p>
        </w:tc>
        <w:tc>
          <w:tcPr>
            <w:tcW w:w="1440" w:type="dxa"/>
            <w:tcBorders>
              <w:top w:val="single" w:sz="4" w:space="0" w:color="FF0000"/>
            </w:tcBorders>
            <w:vAlign w:val="center"/>
          </w:tcPr>
          <w:p w:rsidR="00BF2E49" w:rsidRDefault="002542A5">
            <w:pPr>
              <w:spacing w:beforeLines="20" w:before="48" w:afterLines="20" w:after="48"/>
              <w:rPr>
                <w:noProof/>
                <w:sz w:val="18"/>
              </w:rPr>
            </w:pPr>
            <w:r>
              <w:rPr>
                <w:noProof/>
                <w:sz w:val="18"/>
              </w:rPr>
              <w:t>obveznosti</w:t>
            </w:r>
          </w:p>
        </w:tc>
        <w:tc>
          <w:tcPr>
            <w:tcW w:w="654" w:type="dxa"/>
            <w:tcBorders>
              <w:top w:val="single" w:sz="4" w:space="0" w:color="FF0000"/>
            </w:tcBorders>
            <w:vAlign w:val="center"/>
          </w:tcPr>
          <w:p w:rsidR="00BF2E49" w:rsidRDefault="002542A5">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868" w:type="dxa"/>
            <w:tcBorders>
              <w:top w:val="single" w:sz="4" w:space="0" w:color="FF0000"/>
            </w:tcBorders>
            <w:vAlign w:val="center"/>
          </w:tcPr>
          <w:p w:rsidR="00BF2E49" w:rsidRDefault="002542A5">
            <w:pPr>
              <w:spacing w:before="20" w:after="20"/>
              <w:jc w:val="right"/>
              <w:rPr>
                <w:noProof/>
              </w:rPr>
            </w:pPr>
            <w:r>
              <w:rPr>
                <w:noProof/>
              </w:rPr>
              <w:t>p.m.</w:t>
            </w:r>
          </w:p>
        </w:tc>
        <w:tc>
          <w:tcPr>
            <w:tcW w:w="1777" w:type="dxa"/>
            <w:tcBorders>
              <w:top w:val="single" w:sz="4" w:space="0" w:color="FF0000"/>
              <w:right w:val="single" w:sz="4" w:space="0" w:color="auto"/>
            </w:tcBorders>
            <w:vAlign w:val="center"/>
          </w:tcPr>
          <w:p w:rsidR="00BF2E49" w:rsidRDefault="00BF2E49">
            <w:pPr>
              <w:spacing w:before="20" w:after="20"/>
              <w:jc w:val="right"/>
              <w:rPr>
                <w:b/>
                <w:noProof/>
                <w:sz w:val="20"/>
              </w:rPr>
            </w:pPr>
          </w:p>
        </w:tc>
      </w:tr>
      <w:tr w:rsidR="00BF2E49">
        <w:tc>
          <w:tcPr>
            <w:tcW w:w="3960" w:type="dxa"/>
            <w:vMerge/>
            <w:tcBorders>
              <w:top w:val="single" w:sz="4" w:space="0" w:color="FF0000"/>
              <w:left w:val="single" w:sz="4" w:space="0" w:color="auto"/>
              <w:bottom w:val="single" w:sz="4" w:space="0" w:color="FF0000"/>
            </w:tcBorders>
          </w:tcPr>
          <w:p w:rsidR="00BF2E49" w:rsidRDefault="00BF2E49">
            <w:pPr>
              <w:jc w:val="center"/>
              <w:rPr>
                <w:noProof/>
                <w:sz w:val="20"/>
              </w:rPr>
            </w:pPr>
          </w:p>
        </w:tc>
        <w:tc>
          <w:tcPr>
            <w:tcW w:w="1440" w:type="dxa"/>
            <w:vAlign w:val="center"/>
          </w:tcPr>
          <w:p w:rsidR="00BF2E49" w:rsidRDefault="002542A5">
            <w:pPr>
              <w:spacing w:beforeLines="20" w:before="48" w:afterLines="20" w:after="48"/>
              <w:rPr>
                <w:noProof/>
                <w:sz w:val="18"/>
              </w:rPr>
            </w:pPr>
            <w:r>
              <w:rPr>
                <w:noProof/>
                <w:sz w:val="18"/>
              </w:rPr>
              <w:t>plačila</w:t>
            </w:r>
          </w:p>
        </w:tc>
        <w:tc>
          <w:tcPr>
            <w:tcW w:w="654" w:type="dxa"/>
            <w:vAlign w:val="center"/>
          </w:tcPr>
          <w:p w:rsidR="00BF2E49" w:rsidRDefault="002542A5">
            <w:pPr>
              <w:spacing w:beforeLines="20" w:before="48" w:afterLines="20" w:after="48"/>
              <w:jc w:val="center"/>
              <w:rPr>
                <w:noProof/>
                <w:sz w:val="14"/>
              </w:rPr>
            </w:pPr>
            <w:r>
              <w:rPr>
                <w:noProof/>
                <w:sz w:val="14"/>
              </w:rPr>
              <w:t>(5)</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tcBorders>
              <w:right w:val="single" w:sz="4" w:space="0" w:color="auto"/>
            </w:tcBorders>
            <w:vAlign w:val="center"/>
          </w:tcPr>
          <w:p w:rsidR="00BF2E49" w:rsidRDefault="00BF2E49">
            <w:pPr>
              <w:spacing w:before="20" w:after="20"/>
              <w:jc w:val="right"/>
              <w:rPr>
                <w:b/>
                <w:noProof/>
                <w:sz w:val="20"/>
              </w:rPr>
            </w:pPr>
          </w:p>
        </w:tc>
      </w:tr>
      <w:tr w:rsidR="00BF2E49">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F2E49" w:rsidRDefault="002542A5">
            <w:pPr>
              <w:spacing w:beforeLines="20" w:before="48" w:afterLines="20" w:after="48"/>
              <w:rPr>
                <w:noProof/>
              </w:rPr>
            </w:pPr>
            <w:r>
              <w:rPr>
                <w:noProof/>
                <w:sz w:val="21"/>
              </w:rPr>
              <w:sym w:font="Wingdings" w:char="F09F"/>
            </w:r>
            <w:r>
              <w:rPr>
                <w:noProof/>
              </w:rPr>
              <w:t xml:space="preserve"> </w:t>
            </w:r>
            <w:r>
              <w:rPr>
                <w:noProof/>
                <w:sz w:val="21"/>
                <w:szCs w:val="21"/>
              </w:rPr>
              <w:t xml:space="preserve">Odobritve za upravne zadeve, ki se </w:t>
            </w:r>
            <w:r>
              <w:rPr>
                <w:noProof/>
                <w:sz w:val="21"/>
                <w:szCs w:val="21"/>
              </w:rPr>
              <w:t>financirajo iz sredstev določenih programov, SKUPAJ</w:t>
            </w:r>
          </w:p>
        </w:tc>
        <w:tc>
          <w:tcPr>
            <w:tcW w:w="654" w:type="dxa"/>
            <w:vAlign w:val="center"/>
          </w:tcPr>
          <w:p w:rsidR="00BF2E49" w:rsidRDefault="002542A5">
            <w:pPr>
              <w:spacing w:beforeLines="20" w:before="48" w:afterLines="20" w:after="48"/>
              <w:jc w:val="center"/>
              <w:rPr>
                <w:noProof/>
                <w:sz w:val="14"/>
              </w:rPr>
            </w:pPr>
            <w:r>
              <w:rPr>
                <w:noProof/>
                <w:sz w:val="14"/>
              </w:rPr>
              <w:t>(6)</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vAlign w:val="center"/>
          </w:tcPr>
          <w:p w:rsidR="00BF2E49" w:rsidRDefault="00BF2E49">
            <w:pPr>
              <w:spacing w:before="20" w:after="20"/>
              <w:jc w:val="right"/>
              <w:rPr>
                <w:b/>
                <w:noProof/>
                <w:sz w:val="20"/>
              </w:rPr>
            </w:pPr>
          </w:p>
        </w:tc>
      </w:tr>
      <w:tr w:rsidR="00BF2E49">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F2E49" w:rsidRDefault="002542A5">
            <w:pPr>
              <w:jc w:val="center"/>
              <w:rPr>
                <w:b/>
                <w:noProof/>
                <w:sz w:val="22"/>
              </w:rPr>
            </w:pPr>
            <w:r>
              <w:rPr>
                <w:b/>
                <w:noProof/>
                <w:sz w:val="22"/>
              </w:rPr>
              <w:t>Odobritve iz</w:t>
            </w:r>
            <w:r>
              <w:rPr>
                <w:noProof/>
                <w:sz w:val="22"/>
              </w:rPr>
              <w:br/>
            </w:r>
            <w:r>
              <w:rPr>
                <w:b/>
                <w:noProof/>
                <w:sz w:val="22"/>
              </w:rPr>
              <w:t>RAZDELKOV od 1 do 4</w:t>
            </w:r>
            <w:r>
              <w:rPr>
                <w:noProof/>
                <w:sz w:val="22"/>
              </w:rPr>
              <w:t xml:space="preserve"> </w:t>
            </w:r>
            <w:r>
              <w:rPr>
                <w:noProof/>
                <w:sz w:val="22"/>
              </w:rPr>
              <w:br/>
              <w:t xml:space="preserve">večletnega finančnega okvira </w:t>
            </w:r>
            <w:r>
              <w:rPr>
                <w:b/>
                <w:noProof/>
                <w:sz w:val="22"/>
              </w:rPr>
              <w:t>SKUPAJ</w:t>
            </w:r>
            <w:r>
              <w:rPr>
                <w:noProof/>
                <w:sz w:val="22"/>
              </w:rPr>
              <w:br/>
              <w:t>(referenčni znesek)</w:t>
            </w:r>
          </w:p>
        </w:tc>
        <w:tc>
          <w:tcPr>
            <w:tcW w:w="1440" w:type="dxa"/>
            <w:vAlign w:val="center"/>
          </w:tcPr>
          <w:p w:rsidR="00BF2E49" w:rsidRDefault="002542A5">
            <w:pPr>
              <w:rPr>
                <w:noProof/>
                <w:sz w:val="18"/>
              </w:rPr>
            </w:pPr>
            <w:r>
              <w:rPr>
                <w:noProof/>
                <w:sz w:val="18"/>
              </w:rPr>
              <w:t>obveznosti</w:t>
            </w:r>
          </w:p>
        </w:tc>
        <w:tc>
          <w:tcPr>
            <w:tcW w:w="654" w:type="dxa"/>
            <w:vAlign w:val="center"/>
          </w:tcPr>
          <w:p w:rsidR="00BF2E49" w:rsidRDefault="002542A5">
            <w:pPr>
              <w:jc w:val="center"/>
              <w:rPr>
                <w:noProof/>
                <w:sz w:val="14"/>
              </w:rPr>
            </w:pPr>
            <w:r>
              <w:rPr>
                <w:noProof/>
                <w:sz w:val="14"/>
              </w:rPr>
              <w:t>=4+ 6</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868" w:type="dxa"/>
            <w:vAlign w:val="center"/>
          </w:tcPr>
          <w:p w:rsidR="00BF2E49" w:rsidRDefault="002542A5">
            <w:pPr>
              <w:spacing w:before="20" w:after="20"/>
              <w:jc w:val="right"/>
              <w:rPr>
                <w:noProof/>
              </w:rPr>
            </w:pPr>
            <w:r>
              <w:rPr>
                <w:noProof/>
              </w:rPr>
              <w:t>p.m.</w:t>
            </w:r>
          </w:p>
        </w:tc>
        <w:tc>
          <w:tcPr>
            <w:tcW w:w="1777" w:type="dxa"/>
            <w:tcBorders>
              <w:right w:val="single" w:sz="4" w:space="0" w:color="auto"/>
            </w:tcBorders>
            <w:vAlign w:val="center"/>
          </w:tcPr>
          <w:p w:rsidR="00BF2E49" w:rsidRDefault="00BF2E49">
            <w:pPr>
              <w:spacing w:before="20" w:after="20"/>
              <w:jc w:val="right"/>
              <w:rPr>
                <w:b/>
                <w:noProof/>
                <w:sz w:val="20"/>
              </w:rPr>
            </w:pPr>
          </w:p>
        </w:tc>
      </w:tr>
      <w:tr w:rsidR="00BF2E49">
        <w:tc>
          <w:tcPr>
            <w:tcW w:w="3960" w:type="dxa"/>
            <w:vMerge/>
            <w:tcBorders>
              <w:top w:val="single" w:sz="4" w:space="0" w:color="FF0000"/>
              <w:left w:val="single" w:sz="4" w:space="0" w:color="auto"/>
              <w:bottom w:val="single" w:sz="4" w:space="0" w:color="FF0000"/>
            </w:tcBorders>
            <w:shd w:val="thinDiagStripe" w:color="C0C0C0" w:fill="auto"/>
          </w:tcPr>
          <w:p w:rsidR="00BF2E49" w:rsidRDefault="00BF2E49">
            <w:pPr>
              <w:rPr>
                <w:noProof/>
                <w:sz w:val="20"/>
              </w:rPr>
            </w:pPr>
          </w:p>
        </w:tc>
        <w:tc>
          <w:tcPr>
            <w:tcW w:w="1440" w:type="dxa"/>
            <w:tcBorders>
              <w:bottom w:val="single" w:sz="4" w:space="0" w:color="FF0000"/>
            </w:tcBorders>
            <w:vAlign w:val="center"/>
          </w:tcPr>
          <w:p w:rsidR="00BF2E49" w:rsidRDefault="002542A5">
            <w:pPr>
              <w:rPr>
                <w:noProof/>
                <w:sz w:val="18"/>
              </w:rPr>
            </w:pPr>
            <w:r>
              <w:rPr>
                <w:noProof/>
                <w:sz w:val="18"/>
              </w:rPr>
              <w:t>plačila</w:t>
            </w:r>
          </w:p>
        </w:tc>
        <w:tc>
          <w:tcPr>
            <w:tcW w:w="654" w:type="dxa"/>
            <w:tcBorders>
              <w:bottom w:val="single" w:sz="4" w:space="0" w:color="FF0000"/>
            </w:tcBorders>
            <w:vAlign w:val="center"/>
          </w:tcPr>
          <w:p w:rsidR="00BF2E49" w:rsidRDefault="002542A5">
            <w:pPr>
              <w:jc w:val="center"/>
              <w:rPr>
                <w:noProof/>
                <w:sz w:val="14"/>
              </w:rPr>
            </w:pPr>
            <w:r>
              <w:rPr>
                <w:noProof/>
                <w:sz w:val="14"/>
              </w:rPr>
              <w:t>=5+ 6</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868" w:type="dxa"/>
            <w:tcBorders>
              <w:bottom w:val="single" w:sz="4" w:space="0" w:color="FF0000"/>
            </w:tcBorders>
            <w:vAlign w:val="center"/>
          </w:tcPr>
          <w:p w:rsidR="00BF2E49" w:rsidRDefault="002542A5">
            <w:pPr>
              <w:spacing w:before="20" w:after="20"/>
              <w:jc w:val="right"/>
              <w:rPr>
                <w:noProof/>
              </w:rPr>
            </w:pPr>
            <w:r>
              <w:rPr>
                <w:noProof/>
              </w:rPr>
              <w:t>p.m.</w:t>
            </w:r>
          </w:p>
        </w:tc>
        <w:tc>
          <w:tcPr>
            <w:tcW w:w="1777" w:type="dxa"/>
            <w:tcBorders>
              <w:bottom w:val="single" w:sz="4" w:space="0" w:color="FF0000"/>
              <w:right w:val="single" w:sz="4" w:space="0" w:color="auto"/>
            </w:tcBorders>
            <w:vAlign w:val="center"/>
          </w:tcPr>
          <w:p w:rsidR="00BF2E49" w:rsidRDefault="00BF2E49">
            <w:pPr>
              <w:spacing w:before="20" w:after="20"/>
              <w:jc w:val="right"/>
              <w:rPr>
                <w:b/>
                <w:noProof/>
                <w:sz w:val="20"/>
              </w:rPr>
            </w:pPr>
          </w:p>
        </w:tc>
      </w:tr>
    </w:tbl>
    <w:p w:rsidR="00BF2E49" w:rsidRDefault="00BF2E49">
      <w:pPr>
        <w:rPr>
          <w:noProof/>
        </w:rPr>
      </w:pPr>
    </w:p>
    <w:p w:rsidR="00BF2E49" w:rsidRDefault="002542A5">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F2E49">
        <w:trPr>
          <w:jc w:val="center"/>
        </w:trPr>
        <w:tc>
          <w:tcPr>
            <w:tcW w:w="4744" w:type="dxa"/>
            <w:shd w:val="thinDiagStripe" w:color="C0C0C0" w:fill="auto"/>
            <w:vAlign w:val="center"/>
          </w:tcPr>
          <w:p w:rsidR="00BF2E49" w:rsidRDefault="002542A5">
            <w:pPr>
              <w:spacing w:before="60" w:after="60"/>
              <w:jc w:val="center"/>
              <w:rPr>
                <w:b/>
                <w:noProof/>
              </w:rPr>
            </w:pPr>
            <w:r>
              <w:rPr>
                <w:noProof/>
              </w:rPr>
              <w:br w:type="page"/>
            </w:r>
            <w:r>
              <w:rPr>
                <w:b/>
                <w:noProof/>
              </w:rPr>
              <w:t>Razdelek večletnega finančnega</w:t>
            </w:r>
            <w:r>
              <w:rPr>
                <w:noProof/>
                <w:sz w:val="22"/>
              </w:rPr>
              <w:br/>
            </w:r>
            <w:r>
              <w:rPr>
                <w:b/>
                <w:noProof/>
                <w:sz w:val="22"/>
              </w:rPr>
              <w:t xml:space="preserve">okvira </w:t>
            </w:r>
          </w:p>
        </w:tc>
        <w:tc>
          <w:tcPr>
            <w:tcW w:w="1080" w:type="dxa"/>
            <w:shd w:val="thinDiagStripe" w:color="C0C0C0" w:fill="auto"/>
            <w:vAlign w:val="center"/>
          </w:tcPr>
          <w:p w:rsidR="00BF2E49" w:rsidRDefault="002542A5">
            <w:pPr>
              <w:spacing w:before="60" w:after="60"/>
              <w:jc w:val="center"/>
              <w:rPr>
                <w:noProof/>
              </w:rPr>
            </w:pPr>
            <w:r>
              <w:rPr>
                <w:b/>
                <w:noProof/>
                <w:sz w:val="22"/>
              </w:rPr>
              <w:t>5</w:t>
            </w:r>
          </w:p>
        </w:tc>
        <w:tc>
          <w:tcPr>
            <w:tcW w:w="7817" w:type="dxa"/>
            <w:vAlign w:val="center"/>
          </w:tcPr>
          <w:p w:rsidR="00BF2E49" w:rsidRDefault="002542A5">
            <w:pPr>
              <w:spacing w:before="60" w:after="60"/>
              <w:rPr>
                <w:noProof/>
              </w:rPr>
            </w:pPr>
            <w:r>
              <w:rPr>
                <w:noProof/>
                <w:sz w:val="22"/>
              </w:rPr>
              <w:t>„Upravni odhodki“</w:t>
            </w:r>
          </w:p>
        </w:tc>
      </w:tr>
    </w:tbl>
    <w:p w:rsidR="00BF2E49" w:rsidRDefault="002542A5">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F2E49">
        <w:tc>
          <w:tcPr>
            <w:tcW w:w="3960" w:type="dxa"/>
            <w:tcBorders>
              <w:top w:val="nil"/>
              <w:left w:val="nil"/>
              <w:right w:val="nil"/>
            </w:tcBorders>
            <w:vAlign w:val="center"/>
          </w:tcPr>
          <w:p w:rsidR="00BF2E49" w:rsidRDefault="00BF2E49">
            <w:pPr>
              <w:jc w:val="center"/>
              <w:rPr>
                <w:noProof/>
              </w:rPr>
            </w:pPr>
          </w:p>
        </w:tc>
        <w:tc>
          <w:tcPr>
            <w:tcW w:w="1560" w:type="dxa"/>
            <w:tcBorders>
              <w:top w:val="nil"/>
              <w:left w:val="nil"/>
              <w:right w:val="nil"/>
            </w:tcBorders>
          </w:tcPr>
          <w:p w:rsidR="00BF2E49" w:rsidRDefault="00BF2E49">
            <w:pPr>
              <w:rPr>
                <w:noProof/>
                <w:sz w:val="20"/>
              </w:rPr>
            </w:pPr>
          </w:p>
        </w:tc>
        <w:tc>
          <w:tcPr>
            <w:tcW w:w="534" w:type="dxa"/>
            <w:tcBorders>
              <w:top w:val="nil"/>
              <w:left w:val="nil"/>
            </w:tcBorders>
          </w:tcPr>
          <w:p w:rsidR="00BF2E49" w:rsidRDefault="00BF2E49">
            <w:pPr>
              <w:jc w:val="center"/>
              <w:rPr>
                <w:noProof/>
                <w:sz w:val="20"/>
              </w:rPr>
            </w:pP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2016</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2017</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2018</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2019</w:t>
            </w:r>
          </w:p>
        </w:tc>
        <w:tc>
          <w:tcPr>
            <w:tcW w:w="2604" w:type="dxa"/>
            <w:gridSpan w:val="3"/>
            <w:vAlign w:val="center"/>
          </w:tcPr>
          <w:p w:rsidR="00BF2E49" w:rsidRDefault="002542A5">
            <w:pPr>
              <w:jc w:val="center"/>
              <w:rPr>
                <w:b/>
                <w:noProof/>
                <w:sz w:val="20"/>
                <w:szCs w:val="20"/>
              </w:rPr>
            </w:pPr>
            <w:r>
              <w:rPr>
                <w:noProof/>
                <w:sz w:val="20"/>
                <w:szCs w:val="20"/>
              </w:rPr>
              <w:t xml:space="preserve">Leto </w:t>
            </w:r>
            <w:r>
              <w:rPr>
                <w:b/>
                <w:noProof/>
                <w:sz w:val="20"/>
                <w:szCs w:val="20"/>
              </w:rPr>
              <w:t>2020</w:t>
            </w:r>
          </w:p>
        </w:tc>
        <w:tc>
          <w:tcPr>
            <w:tcW w:w="1777" w:type="dxa"/>
            <w:vAlign w:val="center"/>
          </w:tcPr>
          <w:p w:rsidR="00BF2E49" w:rsidRDefault="002542A5">
            <w:pPr>
              <w:jc w:val="center"/>
              <w:rPr>
                <w:b/>
                <w:noProof/>
                <w:sz w:val="20"/>
              </w:rPr>
            </w:pPr>
            <w:r>
              <w:rPr>
                <w:b/>
                <w:noProof/>
                <w:sz w:val="20"/>
              </w:rPr>
              <w:t>SKUPAJ</w:t>
            </w:r>
          </w:p>
        </w:tc>
      </w:tr>
      <w:tr w:rsidR="00BF2E49">
        <w:trPr>
          <w:gridAfter w:val="10"/>
          <w:wAfter w:w="9947" w:type="dxa"/>
        </w:trPr>
        <w:tc>
          <w:tcPr>
            <w:tcW w:w="3960" w:type="dxa"/>
            <w:vAlign w:val="center"/>
          </w:tcPr>
          <w:p w:rsidR="00BF2E49" w:rsidRDefault="002542A5">
            <w:pPr>
              <w:spacing w:before="60" w:after="60"/>
              <w:jc w:val="center"/>
              <w:rPr>
                <w:noProof/>
              </w:rPr>
            </w:pPr>
            <w:r>
              <w:rPr>
                <w:noProof/>
                <w:sz w:val="22"/>
              </w:rPr>
              <w:t xml:space="preserve">GD </w:t>
            </w:r>
            <w:r>
              <w:rPr>
                <w:noProof/>
              </w:rPr>
              <w:t>TAXUD</w:t>
            </w:r>
          </w:p>
        </w:tc>
      </w:tr>
      <w:tr w:rsidR="00BF2E49">
        <w:trPr>
          <w:trHeight w:val="313"/>
        </w:trPr>
        <w:tc>
          <w:tcPr>
            <w:tcW w:w="6054" w:type="dxa"/>
            <w:gridSpan w:val="3"/>
            <w:vAlign w:val="center"/>
          </w:tcPr>
          <w:p w:rsidR="00BF2E49" w:rsidRDefault="002542A5">
            <w:pPr>
              <w:spacing w:before="20" w:after="20"/>
              <w:rPr>
                <w:noProof/>
              </w:rPr>
            </w:pPr>
            <w:r>
              <w:rPr>
                <w:noProof/>
                <w:sz w:val="22"/>
              </w:rPr>
              <w:sym w:font="Wingdings" w:char="F09F"/>
            </w:r>
            <w:r>
              <w:rPr>
                <w:noProof/>
              </w:rPr>
              <w:t xml:space="preserve"> </w:t>
            </w:r>
            <w:r>
              <w:rPr>
                <w:noProof/>
                <w:sz w:val="22"/>
              </w:rPr>
              <w:t>Človeški viri</w:t>
            </w:r>
          </w:p>
        </w:tc>
        <w:tc>
          <w:tcPr>
            <w:tcW w:w="868" w:type="dxa"/>
            <w:vAlign w:val="center"/>
          </w:tcPr>
          <w:p w:rsidR="00BF2E49" w:rsidRDefault="002542A5">
            <w:pPr>
              <w:spacing w:before="20" w:after="20"/>
              <w:jc w:val="right"/>
              <w:rPr>
                <w:noProof/>
              </w:rPr>
            </w:pPr>
            <w:r>
              <w:rPr>
                <w:noProof/>
              </w:rPr>
              <w:t>0,528</w:t>
            </w:r>
          </w:p>
        </w:tc>
        <w:tc>
          <w:tcPr>
            <w:tcW w:w="868" w:type="dxa"/>
            <w:vAlign w:val="center"/>
          </w:tcPr>
          <w:p w:rsidR="00BF2E49" w:rsidRDefault="002542A5">
            <w:pPr>
              <w:spacing w:before="20" w:after="20"/>
              <w:jc w:val="right"/>
              <w:rPr>
                <w:noProof/>
              </w:rPr>
            </w:pPr>
            <w:r>
              <w:rPr>
                <w:noProof/>
              </w:rPr>
              <w:t>0,528</w:t>
            </w:r>
          </w:p>
        </w:tc>
        <w:tc>
          <w:tcPr>
            <w:tcW w:w="868" w:type="dxa"/>
            <w:vAlign w:val="center"/>
          </w:tcPr>
          <w:p w:rsidR="00BF2E49" w:rsidRDefault="002542A5">
            <w:pPr>
              <w:spacing w:before="20" w:after="20"/>
              <w:jc w:val="right"/>
              <w:rPr>
                <w:noProof/>
              </w:rPr>
            </w:pPr>
            <w:r>
              <w:rPr>
                <w:noProof/>
              </w:rPr>
              <w:t>0,528</w:t>
            </w:r>
          </w:p>
        </w:tc>
        <w:tc>
          <w:tcPr>
            <w:tcW w:w="868" w:type="dxa"/>
            <w:vAlign w:val="center"/>
          </w:tcPr>
          <w:p w:rsidR="00BF2E49" w:rsidRDefault="002542A5">
            <w:pPr>
              <w:spacing w:before="20" w:after="20"/>
              <w:jc w:val="right"/>
              <w:rPr>
                <w:noProof/>
              </w:rPr>
            </w:pPr>
            <w:r>
              <w:rPr>
                <w:noProof/>
              </w:rPr>
              <w:t>0,528</w:t>
            </w:r>
          </w:p>
        </w:tc>
        <w:tc>
          <w:tcPr>
            <w:tcW w:w="868" w:type="dxa"/>
            <w:vAlign w:val="center"/>
          </w:tcPr>
          <w:p w:rsidR="00BF2E49" w:rsidRDefault="002542A5">
            <w:pPr>
              <w:spacing w:before="20" w:after="20"/>
              <w:jc w:val="right"/>
              <w:rPr>
                <w:noProof/>
              </w:rPr>
            </w:pPr>
            <w:r>
              <w:rPr>
                <w:noProof/>
              </w:rPr>
              <w:t>0,528</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BF2E49">
            <w:pPr>
              <w:spacing w:before="20" w:after="20"/>
              <w:jc w:val="right"/>
              <w:rPr>
                <w:noProof/>
              </w:rPr>
            </w:pPr>
          </w:p>
        </w:tc>
      </w:tr>
      <w:tr w:rsidR="00BF2E49">
        <w:trPr>
          <w:trHeight w:val="351"/>
        </w:trPr>
        <w:tc>
          <w:tcPr>
            <w:tcW w:w="6054" w:type="dxa"/>
            <w:gridSpan w:val="3"/>
            <w:vAlign w:val="center"/>
          </w:tcPr>
          <w:p w:rsidR="00BF2E49" w:rsidRDefault="002542A5">
            <w:pPr>
              <w:spacing w:before="20" w:after="20"/>
              <w:rPr>
                <w:noProof/>
              </w:rPr>
            </w:pPr>
            <w:r>
              <w:rPr>
                <w:noProof/>
                <w:sz w:val="22"/>
              </w:rPr>
              <w:sym w:font="Wingdings" w:char="F09F"/>
            </w:r>
            <w:r>
              <w:rPr>
                <w:noProof/>
              </w:rPr>
              <w:t xml:space="preserve"> </w:t>
            </w:r>
            <w:r>
              <w:rPr>
                <w:noProof/>
                <w:sz w:val="22"/>
              </w:rPr>
              <w:t>Drugi upravni odhodki</w:t>
            </w:r>
          </w:p>
        </w:tc>
        <w:tc>
          <w:tcPr>
            <w:tcW w:w="868" w:type="dxa"/>
            <w:vAlign w:val="center"/>
          </w:tcPr>
          <w:p w:rsidR="00BF2E49" w:rsidRDefault="002542A5">
            <w:pPr>
              <w:spacing w:before="20" w:after="20"/>
              <w:jc w:val="right"/>
              <w:rPr>
                <w:noProof/>
              </w:rPr>
            </w:pPr>
            <w:r>
              <w:rPr>
                <w:noProof/>
              </w:rPr>
              <w:t>0,030</w:t>
            </w:r>
          </w:p>
        </w:tc>
        <w:tc>
          <w:tcPr>
            <w:tcW w:w="868" w:type="dxa"/>
            <w:vAlign w:val="center"/>
          </w:tcPr>
          <w:p w:rsidR="00BF2E49" w:rsidRDefault="002542A5">
            <w:pPr>
              <w:spacing w:before="20" w:after="20"/>
              <w:jc w:val="right"/>
              <w:rPr>
                <w:noProof/>
              </w:rPr>
            </w:pPr>
            <w:r>
              <w:rPr>
                <w:noProof/>
              </w:rPr>
              <w:t>0,030</w:t>
            </w:r>
          </w:p>
        </w:tc>
        <w:tc>
          <w:tcPr>
            <w:tcW w:w="868" w:type="dxa"/>
            <w:vAlign w:val="center"/>
          </w:tcPr>
          <w:p w:rsidR="00BF2E49" w:rsidRDefault="002542A5">
            <w:pPr>
              <w:spacing w:before="20" w:after="20"/>
              <w:jc w:val="right"/>
              <w:rPr>
                <w:noProof/>
              </w:rPr>
            </w:pPr>
            <w:r>
              <w:rPr>
                <w:noProof/>
              </w:rPr>
              <w:t>0,030</w:t>
            </w:r>
          </w:p>
        </w:tc>
        <w:tc>
          <w:tcPr>
            <w:tcW w:w="868" w:type="dxa"/>
            <w:vAlign w:val="center"/>
          </w:tcPr>
          <w:p w:rsidR="00BF2E49" w:rsidRDefault="002542A5">
            <w:pPr>
              <w:spacing w:before="20" w:after="20"/>
              <w:jc w:val="right"/>
              <w:rPr>
                <w:noProof/>
              </w:rPr>
            </w:pPr>
            <w:r>
              <w:rPr>
                <w:noProof/>
              </w:rPr>
              <w:t>0,030</w:t>
            </w:r>
          </w:p>
        </w:tc>
        <w:tc>
          <w:tcPr>
            <w:tcW w:w="868" w:type="dxa"/>
            <w:vAlign w:val="center"/>
          </w:tcPr>
          <w:p w:rsidR="00BF2E49" w:rsidRDefault="002542A5">
            <w:pPr>
              <w:spacing w:before="20" w:after="20"/>
              <w:jc w:val="right"/>
              <w:rPr>
                <w:noProof/>
              </w:rPr>
            </w:pPr>
            <w:r>
              <w:rPr>
                <w:noProof/>
              </w:rPr>
              <w:t>0,030</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BF2E49">
            <w:pPr>
              <w:spacing w:before="20" w:after="20"/>
              <w:jc w:val="right"/>
              <w:rPr>
                <w:noProof/>
              </w:rPr>
            </w:pPr>
          </w:p>
        </w:tc>
      </w:tr>
      <w:tr w:rsidR="00BF2E49">
        <w:tc>
          <w:tcPr>
            <w:tcW w:w="3960" w:type="dxa"/>
            <w:vAlign w:val="center"/>
          </w:tcPr>
          <w:p w:rsidR="00BF2E49" w:rsidRDefault="002542A5">
            <w:pPr>
              <w:jc w:val="center"/>
              <w:rPr>
                <w:b/>
                <w:noProof/>
                <w:sz w:val="22"/>
              </w:rPr>
            </w:pPr>
            <w:r>
              <w:rPr>
                <w:b/>
                <w:noProof/>
                <w:sz w:val="22"/>
              </w:rPr>
              <w:t xml:space="preserve">GD </w:t>
            </w:r>
            <w:r>
              <w:rPr>
                <w:noProof/>
                <w:sz w:val="22"/>
              </w:rPr>
              <w:t>TAXUD</w:t>
            </w:r>
            <w:r>
              <w:rPr>
                <w:b/>
                <w:noProof/>
                <w:sz w:val="22"/>
              </w:rPr>
              <w:t xml:space="preserve"> SKUPAJ</w:t>
            </w:r>
          </w:p>
        </w:tc>
        <w:tc>
          <w:tcPr>
            <w:tcW w:w="2094" w:type="dxa"/>
            <w:gridSpan w:val="2"/>
            <w:vAlign w:val="center"/>
          </w:tcPr>
          <w:p w:rsidR="00BF2E49" w:rsidRDefault="002542A5">
            <w:pPr>
              <w:rPr>
                <w:noProof/>
                <w:sz w:val="14"/>
              </w:rPr>
            </w:pPr>
            <w:r>
              <w:rPr>
                <w:noProof/>
                <w:sz w:val="18"/>
              </w:rPr>
              <w:t xml:space="preserve">odobritve </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BF2E49">
            <w:pPr>
              <w:spacing w:before="20" w:after="20"/>
              <w:jc w:val="right"/>
              <w:rPr>
                <w:noProof/>
              </w:rPr>
            </w:pPr>
          </w:p>
        </w:tc>
      </w:tr>
    </w:tbl>
    <w:p w:rsidR="00BF2E49" w:rsidRDefault="00BF2E4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F2E49">
        <w:tc>
          <w:tcPr>
            <w:tcW w:w="3960" w:type="dxa"/>
            <w:shd w:val="thinDiagStripe" w:color="C0C0C0" w:fill="auto"/>
            <w:vAlign w:val="center"/>
          </w:tcPr>
          <w:p w:rsidR="00BF2E49" w:rsidRDefault="002542A5">
            <w:pPr>
              <w:jc w:val="center"/>
              <w:rPr>
                <w:b/>
                <w:noProof/>
                <w:sz w:val="22"/>
              </w:rPr>
            </w:pPr>
            <w:r>
              <w:rPr>
                <w:b/>
                <w:noProof/>
                <w:sz w:val="22"/>
              </w:rPr>
              <w:t xml:space="preserve">Odobritve iz </w:t>
            </w:r>
            <w:r>
              <w:rPr>
                <w:noProof/>
                <w:sz w:val="22"/>
              </w:rPr>
              <w:br/>
            </w:r>
            <w:r>
              <w:rPr>
                <w:b/>
                <w:noProof/>
                <w:sz w:val="22"/>
              </w:rPr>
              <w:t>RAZDELKA 5</w:t>
            </w:r>
            <w:r>
              <w:rPr>
                <w:noProof/>
                <w:sz w:val="22"/>
              </w:rPr>
              <w:t xml:space="preserve"> </w:t>
            </w:r>
            <w:r>
              <w:rPr>
                <w:noProof/>
                <w:sz w:val="22"/>
              </w:rPr>
              <w:br/>
              <w:t xml:space="preserve">večletnega finančnega okvira </w:t>
            </w:r>
            <w:r>
              <w:rPr>
                <w:b/>
                <w:noProof/>
                <w:sz w:val="22"/>
              </w:rPr>
              <w:t xml:space="preserve">SKUPAJ </w:t>
            </w:r>
          </w:p>
        </w:tc>
        <w:tc>
          <w:tcPr>
            <w:tcW w:w="2094" w:type="dxa"/>
            <w:vAlign w:val="center"/>
          </w:tcPr>
          <w:p w:rsidR="00BF2E49" w:rsidRDefault="002542A5">
            <w:pPr>
              <w:spacing w:before="40" w:after="40"/>
              <w:rPr>
                <w:noProof/>
              </w:rPr>
            </w:pPr>
            <w:r>
              <w:rPr>
                <w:noProof/>
                <w:sz w:val="18"/>
              </w:rPr>
              <w:t>(obveznosti skupaj = plačila skupaj)</w:t>
            </w:r>
          </w:p>
        </w:tc>
        <w:tc>
          <w:tcPr>
            <w:tcW w:w="868" w:type="dxa"/>
            <w:vAlign w:val="center"/>
          </w:tcPr>
          <w:p w:rsidR="00BF2E49" w:rsidRDefault="002542A5">
            <w:pPr>
              <w:spacing w:before="20" w:after="20"/>
              <w:jc w:val="right"/>
              <w:rPr>
                <w:noProof/>
                <w:sz w:val="20"/>
              </w:rPr>
            </w:pPr>
            <w:r>
              <w:rPr>
                <w:noProof/>
              </w:rPr>
              <w:t>0,558</w:t>
            </w:r>
          </w:p>
        </w:tc>
        <w:tc>
          <w:tcPr>
            <w:tcW w:w="868" w:type="dxa"/>
            <w:vAlign w:val="center"/>
          </w:tcPr>
          <w:p w:rsidR="00BF2E49" w:rsidRDefault="002542A5">
            <w:pPr>
              <w:spacing w:before="20" w:after="20"/>
              <w:jc w:val="right"/>
              <w:rPr>
                <w:noProof/>
                <w:sz w:val="20"/>
              </w:rPr>
            </w:pPr>
            <w:r>
              <w:rPr>
                <w:noProof/>
              </w:rPr>
              <w:t>0,558</w:t>
            </w:r>
          </w:p>
        </w:tc>
        <w:tc>
          <w:tcPr>
            <w:tcW w:w="868" w:type="dxa"/>
            <w:vAlign w:val="center"/>
          </w:tcPr>
          <w:p w:rsidR="00BF2E49" w:rsidRDefault="002542A5">
            <w:pPr>
              <w:spacing w:before="20" w:after="20"/>
              <w:jc w:val="right"/>
              <w:rPr>
                <w:noProof/>
                <w:sz w:val="20"/>
              </w:rPr>
            </w:pPr>
            <w:r>
              <w:rPr>
                <w:noProof/>
              </w:rPr>
              <w:t>0,558</w:t>
            </w:r>
          </w:p>
        </w:tc>
        <w:tc>
          <w:tcPr>
            <w:tcW w:w="868" w:type="dxa"/>
            <w:vAlign w:val="center"/>
          </w:tcPr>
          <w:p w:rsidR="00BF2E49" w:rsidRDefault="002542A5">
            <w:pPr>
              <w:spacing w:before="20" w:after="20"/>
              <w:jc w:val="right"/>
              <w:rPr>
                <w:noProof/>
                <w:sz w:val="20"/>
              </w:rPr>
            </w:pPr>
            <w:r>
              <w:rPr>
                <w:noProof/>
              </w:rPr>
              <w:t>0,558</w:t>
            </w:r>
          </w:p>
        </w:tc>
        <w:tc>
          <w:tcPr>
            <w:tcW w:w="868" w:type="dxa"/>
            <w:vAlign w:val="center"/>
          </w:tcPr>
          <w:p w:rsidR="00BF2E49" w:rsidRDefault="002542A5">
            <w:pPr>
              <w:spacing w:before="20" w:after="20"/>
              <w:jc w:val="right"/>
              <w:rPr>
                <w:noProof/>
                <w:sz w:val="20"/>
              </w:rPr>
            </w:pPr>
            <w:r>
              <w:rPr>
                <w:noProof/>
              </w:rPr>
              <w:t>0,558</w:t>
            </w:r>
          </w:p>
        </w:tc>
        <w:tc>
          <w:tcPr>
            <w:tcW w:w="868" w:type="dxa"/>
            <w:vAlign w:val="center"/>
          </w:tcPr>
          <w:p w:rsidR="00BF2E49" w:rsidRDefault="00BF2E49">
            <w:pPr>
              <w:spacing w:before="20" w:after="20"/>
              <w:jc w:val="right"/>
              <w:rPr>
                <w:noProof/>
                <w:sz w:val="20"/>
              </w:rPr>
            </w:pPr>
          </w:p>
        </w:tc>
        <w:tc>
          <w:tcPr>
            <w:tcW w:w="868" w:type="dxa"/>
            <w:vAlign w:val="center"/>
          </w:tcPr>
          <w:p w:rsidR="00BF2E49" w:rsidRDefault="00BF2E49">
            <w:pPr>
              <w:spacing w:before="20" w:after="20"/>
              <w:jc w:val="right"/>
              <w:rPr>
                <w:b/>
                <w:noProof/>
                <w:sz w:val="20"/>
              </w:rPr>
            </w:pPr>
          </w:p>
        </w:tc>
        <w:tc>
          <w:tcPr>
            <w:tcW w:w="1777" w:type="dxa"/>
            <w:vAlign w:val="center"/>
          </w:tcPr>
          <w:p w:rsidR="00BF2E49" w:rsidRDefault="00BF2E49">
            <w:pPr>
              <w:spacing w:before="20" w:after="20"/>
              <w:jc w:val="right"/>
              <w:rPr>
                <w:b/>
                <w:noProof/>
                <w:sz w:val="20"/>
              </w:rPr>
            </w:pPr>
          </w:p>
        </w:tc>
      </w:tr>
    </w:tbl>
    <w:p w:rsidR="00BF2E49" w:rsidRDefault="002542A5">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F2E49">
        <w:tc>
          <w:tcPr>
            <w:tcW w:w="3960" w:type="dxa"/>
            <w:tcBorders>
              <w:top w:val="nil"/>
              <w:left w:val="nil"/>
              <w:right w:val="nil"/>
            </w:tcBorders>
            <w:vAlign w:val="center"/>
          </w:tcPr>
          <w:p w:rsidR="00BF2E49" w:rsidRDefault="00BF2E49">
            <w:pPr>
              <w:jc w:val="center"/>
              <w:rPr>
                <w:noProof/>
              </w:rPr>
            </w:pPr>
          </w:p>
        </w:tc>
        <w:tc>
          <w:tcPr>
            <w:tcW w:w="1560" w:type="dxa"/>
            <w:tcBorders>
              <w:top w:val="nil"/>
              <w:left w:val="nil"/>
              <w:right w:val="nil"/>
            </w:tcBorders>
          </w:tcPr>
          <w:p w:rsidR="00BF2E49" w:rsidRDefault="00BF2E49">
            <w:pPr>
              <w:rPr>
                <w:noProof/>
                <w:sz w:val="20"/>
              </w:rPr>
            </w:pPr>
          </w:p>
        </w:tc>
        <w:tc>
          <w:tcPr>
            <w:tcW w:w="534" w:type="dxa"/>
            <w:tcBorders>
              <w:top w:val="nil"/>
              <w:left w:val="nil"/>
            </w:tcBorders>
          </w:tcPr>
          <w:p w:rsidR="00BF2E49" w:rsidRDefault="00BF2E49">
            <w:pPr>
              <w:jc w:val="center"/>
              <w:rPr>
                <w:noProof/>
                <w:sz w:val="20"/>
              </w:rPr>
            </w:pP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2016</w:t>
            </w:r>
            <w:r>
              <w:rPr>
                <w:rStyle w:val="FootnoteReference"/>
                <w:b/>
                <w:noProof/>
                <w:sz w:val="20"/>
                <w:szCs w:val="20"/>
              </w:rPr>
              <w:footnoteReference w:id="23"/>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2017</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2018</w:t>
            </w:r>
          </w:p>
        </w:tc>
        <w:tc>
          <w:tcPr>
            <w:tcW w:w="868"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2019</w:t>
            </w:r>
          </w:p>
        </w:tc>
        <w:tc>
          <w:tcPr>
            <w:tcW w:w="2604" w:type="dxa"/>
            <w:gridSpan w:val="3"/>
            <w:vAlign w:val="center"/>
          </w:tcPr>
          <w:p w:rsidR="00BF2E49" w:rsidRDefault="002542A5">
            <w:pPr>
              <w:jc w:val="center"/>
              <w:rPr>
                <w:b/>
                <w:noProof/>
                <w:sz w:val="20"/>
                <w:szCs w:val="20"/>
              </w:rPr>
            </w:pPr>
            <w:r>
              <w:rPr>
                <w:noProof/>
                <w:sz w:val="20"/>
                <w:szCs w:val="20"/>
              </w:rPr>
              <w:t>Leto 2020</w:t>
            </w:r>
          </w:p>
        </w:tc>
        <w:tc>
          <w:tcPr>
            <w:tcW w:w="1777" w:type="dxa"/>
            <w:vAlign w:val="center"/>
          </w:tcPr>
          <w:p w:rsidR="00BF2E49" w:rsidRDefault="002542A5">
            <w:pPr>
              <w:jc w:val="center"/>
              <w:rPr>
                <w:b/>
                <w:noProof/>
                <w:sz w:val="20"/>
                <w:szCs w:val="20"/>
              </w:rPr>
            </w:pPr>
            <w:r>
              <w:rPr>
                <w:b/>
                <w:noProof/>
                <w:sz w:val="20"/>
                <w:szCs w:val="20"/>
              </w:rPr>
              <w:t>SKUPAJ</w:t>
            </w:r>
          </w:p>
        </w:tc>
      </w:tr>
      <w:tr w:rsidR="00BF2E49">
        <w:tc>
          <w:tcPr>
            <w:tcW w:w="3960" w:type="dxa"/>
            <w:vMerge w:val="restart"/>
            <w:shd w:val="clear" w:color="auto" w:fill="C0C0C0"/>
            <w:vAlign w:val="center"/>
          </w:tcPr>
          <w:p w:rsidR="00BF2E49" w:rsidRDefault="002542A5">
            <w:pPr>
              <w:jc w:val="center"/>
              <w:rPr>
                <w:b/>
                <w:noProof/>
                <w:sz w:val="22"/>
              </w:rPr>
            </w:pPr>
            <w:r>
              <w:rPr>
                <w:b/>
                <w:noProof/>
                <w:sz w:val="22"/>
              </w:rPr>
              <w:t>Odobritve iz</w:t>
            </w:r>
            <w:r>
              <w:rPr>
                <w:noProof/>
                <w:sz w:val="22"/>
              </w:rPr>
              <w:br/>
            </w:r>
            <w:r>
              <w:rPr>
                <w:b/>
                <w:noProof/>
                <w:sz w:val="22"/>
              </w:rPr>
              <w:t>RAZDELKOV od 1 do 5</w:t>
            </w:r>
            <w:r>
              <w:rPr>
                <w:noProof/>
                <w:sz w:val="22"/>
              </w:rPr>
              <w:t xml:space="preserve"> </w:t>
            </w:r>
            <w:r>
              <w:rPr>
                <w:noProof/>
                <w:sz w:val="22"/>
              </w:rPr>
              <w:br/>
              <w:t xml:space="preserve">večletnega finančnega okvira </w:t>
            </w:r>
            <w:r>
              <w:rPr>
                <w:b/>
                <w:noProof/>
                <w:sz w:val="22"/>
              </w:rPr>
              <w:t xml:space="preserve">SKUPAJ </w:t>
            </w:r>
          </w:p>
        </w:tc>
        <w:tc>
          <w:tcPr>
            <w:tcW w:w="2094" w:type="dxa"/>
            <w:gridSpan w:val="2"/>
            <w:vAlign w:val="center"/>
          </w:tcPr>
          <w:p w:rsidR="00BF2E49" w:rsidRDefault="002542A5">
            <w:pPr>
              <w:rPr>
                <w:noProof/>
                <w:sz w:val="14"/>
              </w:rPr>
            </w:pPr>
            <w:r>
              <w:rPr>
                <w:noProof/>
                <w:sz w:val="18"/>
              </w:rPr>
              <w:t>obveznosti</w:t>
            </w:r>
          </w:p>
        </w:tc>
        <w:tc>
          <w:tcPr>
            <w:tcW w:w="868" w:type="dxa"/>
            <w:vAlign w:val="center"/>
          </w:tcPr>
          <w:p w:rsidR="00BF2E49" w:rsidRDefault="002542A5">
            <w:pPr>
              <w:spacing w:before="20" w:after="20"/>
              <w:jc w:val="right"/>
              <w:rPr>
                <w:noProof/>
              </w:rPr>
            </w:pPr>
            <w:r>
              <w:rPr>
                <w:noProof/>
              </w:rPr>
              <w:t>0,858</w:t>
            </w:r>
          </w:p>
        </w:tc>
        <w:tc>
          <w:tcPr>
            <w:tcW w:w="868" w:type="dxa"/>
            <w:vAlign w:val="center"/>
          </w:tcPr>
          <w:p w:rsidR="00BF2E49" w:rsidRDefault="002542A5">
            <w:pPr>
              <w:spacing w:before="20" w:after="20"/>
              <w:jc w:val="right"/>
              <w:rPr>
                <w:noProof/>
              </w:rPr>
            </w:pPr>
            <w:r>
              <w:rPr>
                <w:noProof/>
              </w:rPr>
              <w:t>1,558</w:t>
            </w:r>
          </w:p>
        </w:tc>
        <w:tc>
          <w:tcPr>
            <w:tcW w:w="868" w:type="dxa"/>
            <w:vAlign w:val="center"/>
          </w:tcPr>
          <w:p w:rsidR="00BF2E49" w:rsidRDefault="002542A5">
            <w:pPr>
              <w:spacing w:before="20" w:after="20"/>
              <w:jc w:val="right"/>
              <w:rPr>
                <w:noProof/>
              </w:rPr>
            </w:pPr>
            <w:r>
              <w:rPr>
                <w:noProof/>
              </w:rPr>
              <w:t>0,958</w:t>
            </w:r>
          </w:p>
        </w:tc>
        <w:tc>
          <w:tcPr>
            <w:tcW w:w="868" w:type="dxa"/>
            <w:vAlign w:val="center"/>
          </w:tcPr>
          <w:p w:rsidR="00BF2E49" w:rsidRDefault="002542A5">
            <w:pPr>
              <w:spacing w:before="20" w:after="20"/>
              <w:jc w:val="right"/>
              <w:rPr>
                <w:noProof/>
              </w:rPr>
            </w:pPr>
            <w:r>
              <w:rPr>
                <w:noProof/>
              </w:rPr>
              <w:t>0,758</w:t>
            </w:r>
          </w:p>
        </w:tc>
        <w:tc>
          <w:tcPr>
            <w:tcW w:w="868" w:type="dxa"/>
            <w:vAlign w:val="center"/>
          </w:tcPr>
          <w:p w:rsidR="00BF2E49" w:rsidRDefault="002542A5">
            <w:pPr>
              <w:spacing w:before="20" w:after="20"/>
              <w:jc w:val="right"/>
              <w:rPr>
                <w:noProof/>
              </w:rPr>
            </w:pPr>
            <w:r>
              <w:rPr>
                <w:noProof/>
              </w:rPr>
              <w:t>0,758</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BF2E49">
            <w:pPr>
              <w:spacing w:before="20" w:after="20"/>
              <w:jc w:val="right"/>
              <w:rPr>
                <w:noProof/>
              </w:rPr>
            </w:pPr>
          </w:p>
        </w:tc>
      </w:tr>
      <w:tr w:rsidR="00BF2E49">
        <w:tc>
          <w:tcPr>
            <w:tcW w:w="3960" w:type="dxa"/>
            <w:vMerge/>
            <w:shd w:val="clear" w:color="auto" w:fill="C0C0C0"/>
          </w:tcPr>
          <w:p w:rsidR="00BF2E49" w:rsidRDefault="00BF2E49">
            <w:pPr>
              <w:rPr>
                <w:noProof/>
                <w:sz w:val="20"/>
              </w:rPr>
            </w:pPr>
          </w:p>
        </w:tc>
        <w:tc>
          <w:tcPr>
            <w:tcW w:w="2094" w:type="dxa"/>
            <w:gridSpan w:val="2"/>
            <w:vAlign w:val="center"/>
          </w:tcPr>
          <w:p w:rsidR="00BF2E49" w:rsidRDefault="002542A5">
            <w:pPr>
              <w:rPr>
                <w:noProof/>
                <w:sz w:val="14"/>
              </w:rPr>
            </w:pPr>
            <w:r>
              <w:rPr>
                <w:noProof/>
                <w:sz w:val="18"/>
              </w:rPr>
              <w:t>plačila</w:t>
            </w:r>
          </w:p>
        </w:tc>
        <w:tc>
          <w:tcPr>
            <w:tcW w:w="868" w:type="dxa"/>
            <w:vAlign w:val="center"/>
          </w:tcPr>
          <w:p w:rsidR="00BF2E49" w:rsidRDefault="002542A5">
            <w:pPr>
              <w:spacing w:before="20" w:after="20"/>
              <w:jc w:val="right"/>
              <w:rPr>
                <w:noProof/>
              </w:rPr>
            </w:pPr>
            <w:r>
              <w:rPr>
                <w:noProof/>
              </w:rPr>
              <w:t>0,558</w:t>
            </w:r>
          </w:p>
        </w:tc>
        <w:tc>
          <w:tcPr>
            <w:tcW w:w="868" w:type="dxa"/>
            <w:vAlign w:val="center"/>
          </w:tcPr>
          <w:p w:rsidR="00BF2E49" w:rsidRDefault="002542A5">
            <w:pPr>
              <w:spacing w:before="20" w:after="20"/>
              <w:jc w:val="right"/>
              <w:rPr>
                <w:noProof/>
              </w:rPr>
            </w:pPr>
            <w:r>
              <w:rPr>
                <w:noProof/>
              </w:rPr>
              <w:t>0,858</w:t>
            </w:r>
          </w:p>
        </w:tc>
        <w:tc>
          <w:tcPr>
            <w:tcW w:w="868" w:type="dxa"/>
            <w:vAlign w:val="center"/>
          </w:tcPr>
          <w:p w:rsidR="00BF2E49" w:rsidRDefault="002542A5">
            <w:pPr>
              <w:spacing w:before="20" w:after="20"/>
              <w:jc w:val="right"/>
              <w:rPr>
                <w:noProof/>
              </w:rPr>
            </w:pPr>
            <w:r>
              <w:rPr>
                <w:noProof/>
              </w:rPr>
              <w:t>1,558</w:t>
            </w:r>
          </w:p>
        </w:tc>
        <w:tc>
          <w:tcPr>
            <w:tcW w:w="868" w:type="dxa"/>
            <w:vAlign w:val="center"/>
          </w:tcPr>
          <w:p w:rsidR="00BF2E49" w:rsidRDefault="002542A5">
            <w:pPr>
              <w:spacing w:before="20" w:after="20"/>
              <w:jc w:val="right"/>
              <w:rPr>
                <w:noProof/>
              </w:rPr>
            </w:pPr>
            <w:r>
              <w:rPr>
                <w:noProof/>
              </w:rPr>
              <w:t>0,958</w:t>
            </w:r>
          </w:p>
        </w:tc>
        <w:tc>
          <w:tcPr>
            <w:tcW w:w="868" w:type="dxa"/>
            <w:vAlign w:val="center"/>
          </w:tcPr>
          <w:p w:rsidR="00BF2E49" w:rsidRDefault="002542A5">
            <w:pPr>
              <w:spacing w:before="20" w:after="20"/>
              <w:jc w:val="right"/>
              <w:rPr>
                <w:noProof/>
              </w:rPr>
            </w:pPr>
            <w:r>
              <w:rPr>
                <w:noProof/>
              </w:rPr>
              <w:t>0,758</w:t>
            </w:r>
          </w:p>
        </w:tc>
        <w:tc>
          <w:tcPr>
            <w:tcW w:w="868" w:type="dxa"/>
            <w:vAlign w:val="center"/>
          </w:tcPr>
          <w:p w:rsidR="00BF2E49" w:rsidRDefault="00BF2E49">
            <w:pPr>
              <w:spacing w:before="20" w:after="20"/>
              <w:jc w:val="right"/>
              <w:rPr>
                <w:noProof/>
              </w:rPr>
            </w:pPr>
          </w:p>
        </w:tc>
        <w:tc>
          <w:tcPr>
            <w:tcW w:w="868" w:type="dxa"/>
            <w:vAlign w:val="center"/>
          </w:tcPr>
          <w:p w:rsidR="00BF2E49" w:rsidRDefault="00BF2E49">
            <w:pPr>
              <w:spacing w:before="20" w:after="20"/>
              <w:jc w:val="right"/>
              <w:rPr>
                <w:noProof/>
              </w:rPr>
            </w:pPr>
          </w:p>
        </w:tc>
        <w:tc>
          <w:tcPr>
            <w:tcW w:w="1777" w:type="dxa"/>
            <w:vAlign w:val="center"/>
          </w:tcPr>
          <w:p w:rsidR="00BF2E49" w:rsidRDefault="00BF2E49">
            <w:pPr>
              <w:spacing w:before="20" w:after="20"/>
              <w:jc w:val="right"/>
              <w:rPr>
                <w:noProof/>
              </w:rPr>
            </w:pPr>
          </w:p>
        </w:tc>
      </w:tr>
    </w:tbl>
    <w:p w:rsidR="00BF2E49" w:rsidRDefault="00BF2E49">
      <w:pPr>
        <w:rPr>
          <w:noProof/>
        </w:rPr>
        <w:sectPr w:rsidR="00BF2E49">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BF2E49" w:rsidRDefault="002542A5">
      <w:pPr>
        <w:pStyle w:val="ManualHeading3"/>
        <w:rPr>
          <w:bCs/>
          <w:noProof/>
          <w:szCs w:val="24"/>
        </w:rPr>
      </w:pPr>
      <w:r>
        <w:t>3.2.2.</w:t>
      </w:r>
      <w:r>
        <w:tab/>
      </w:r>
      <w:r>
        <w:rPr>
          <w:noProof/>
        </w:rPr>
        <w:t xml:space="preserve">Ocenjene posledice za odobritve za poslovanje </w:t>
      </w:r>
    </w:p>
    <w:p w:rsidR="00BF2E49" w:rsidRDefault="002542A5">
      <w:pPr>
        <w:pStyle w:val="ListDash1"/>
        <w:rPr>
          <w:noProof/>
        </w:rPr>
      </w:pPr>
      <w:r>
        <w:rPr>
          <w:noProof/>
        </w:rPr>
        <w:sym w:font="Wingdings" w:char="F0A8"/>
      </w:r>
      <w:r>
        <w:rPr>
          <w:noProof/>
        </w:rPr>
        <w:t xml:space="preserve"> Za predlog/pobudo niso potrebne odobritve za poslovanje. </w:t>
      </w:r>
    </w:p>
    <w:p w:rsidR="00BF2E49" w:rsidRDefault="002542A5">
      <w:pPr>
        <w:pStyle w:val="ListDash1"/>
        <w:rPr>
          <w:noProof/>
        </w:rPr>
      </w:pPr>
      <w:r>
        <w:rPr>
          <w:noProof/>
        </w:rPr>
        <w:sym w:font="Wingdings" w:char="F0FD"/>
      </w:r>
      <w:r>
        <w:rPr>
          <w:noProof/>
        </w:rPr>
        <w:t xml:space="preserve"> Za predlog/pobudo so potrebne odobritve za poslovanje, kot je pojasnjeno v nadaljevanju:</w:t>
      </w:r>
    </w:p>
    <w:p w:rsidR="00BF2E49" w:rsidRDefault="002542A5">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BF2E49">
        <w:trPr>
          <w:jc w:val="center"/>
        </w:trPr>
        <w:tc>
          <w:tcPr>
            <w:tcW w:w="1423" w:type="dxa"/>
            <w:vMerge w:val="restart"/>
            <w:vAlign w:val="center"/>
          </w:tcPr>
          <w:p w:rsidR="00BF2E49" w:rsidRDefault="002542A5">
            <w:pPr>
              <w:ind w:right="-29"/>
              <w:jc w:val="center"/>
              <w:rPr>
                <w:b/>
                <w:noProof/>
                <w:sz w:val="18"/>
                <w:szCs w:val="18"/>
              </w:rPr>
            </w:pPr>
            <w:r>
              <w:rPr>
                <w:b/>
                <w:noProof/>
                <w:sz w:val="18"/>
              </w:rPr>
              <w:t xml:space="preserve">Cilji in realizacije </w:t>
            </w:r>
          </w:p>
          <w:p w:rsidR="00BF2E49" w:rsidRDefault="00BF2E49">
            <w:pPr>
              <w:ind w:right="-29"/>
              <w:jc w:val="center"/>
              <w:rPr>
                <w:b/>
                <w:noProof/>
                <w:sz w:val="18"/>
                <w:szCs w:val="18"/>
              </w:rPr>
            </w:pPr>
          </w:p>
          <w:p w:rsidR="00BF2E49" w:rsidRDefault="002542A5">
            <w:pPr>
              <w:ind w:right="-29"/>
              <w:jc w:val="center"/>
              <w:rPr>
                <w:noProof/>
                <w:sz w:val="18"/>
                <w:szCs w:val="18"/>
              </w:rPr>
            </w:pPr>
            <w:r>
              <w:rPr>
                <w:noProof/>
                <w:sz w:val="18"/>
              </w:rPr>
              <w:sym w:font="Wingdings" w:char="F0F2"/>
            </w:r>
          </w:p>
        </w:tc>
        <w:tc>
          <w:tcPr>
            <w:tcW w:w="720" w:type="dxa"/>
            <w:vAlign w:val="center"/>
          </w:tcPr>
          <w:p w:rsidR="00BF2E49" w:rsidRDefault="00BF2E49">
            <w:pPr>
              <w:ind w:right="-29"/>
              <w:jc w:val="center"/>
              <w:rPr>
                <w:noProof/>
                <w:sz w:val="18"/>
                <w:szCs w:val="18"/>
              </w:rPr>
            </w:pPr>
          </w:p>
        </w:tc>
        <w:tc>
          <w:tcPr>
            <w:tcW w:w="701" w:type="dxa"/>
            <w:vAlign w:val="center"/>
          </w:tcPr>
          <w:p w:rsidR="00BF2E49" w:rsidRDefault="00BF2E49">
            <w:pPr>
              <w:ind w:right="-29"/>
              <w:jc w:val="center"/>
              <w:rPr>
                <w:noProof/>
                <w:sz w:val="18"/>
                <w:szCs w:val="18"/>
              </w:rPr>
            </w:pPr>
          </w:p>
        </w:tc>
        <w:tc>
          <w:tcPr>
            <w:tcW w:w="1224" w:type="dxa"/>
            <w:gridSpan w:val="2"/>
            <w:tcBorders>
              <w:left w:val="nil"/>
            </w:tcBorders>
            <w:vAlign w:val="center"/>
          </w:tcPr>
          <w:p w:rsidR="00BF2E49" w:rsidRDefault="002542A5">
            <w:pPr>
              <w:ind w:right="-29"/>
              <w:jc w:val="center"/>
              <w:rPr>
                <w:noProof/>
                <w:sz w:val="18"/>
                <w:szCs w:val="18"/>
              </w:rPr>
            </w:pPr>
            <w:r>
              <w:rPr>
                <w:noProof/>
                <w:sz w:val="18"/>
                <w:szCs w:val="18"/>
              </w:rPr>
              <w:t>Leto</w:t>
            </w:r>
            <w:r>
              <w:rPr>
                <w:noProof/>
                <w:sz w:val="18"/>
                <w:szCs w:val="18"/>
              </w:rPr>
              <w:br/>
            </w:r>
            <w:r>
              <w:rPr>
                <w:b/>
                <w:noProof/>
                <w:sz w:val="18"/>
                <w:szCs w:val="18"/>
              </w:rPr>
              <w:t>2016</w:t>
            </w:r>
          </w:p>
        </w:tc>
        <w:tc>
          <w:tcPr>
            <w:tcW w:w="1260" w:type="dxa"/>
            <w:gridSpan w:val="2"/>
            <w:vAlign w:val="center"/>
          </w:tcPr>
          <w:p w:rsidR="00BF2E49" w:rsidRDefault="002542A5">
            <w:pPr>
              <w:ind w:right="-29"/>
              <w:jc w:val="center"/>
              <w:rPr>
                <w:noProof/>
                <w:sz w:val="18"/>
                <w:szCs w:val="18"/>
              </w:rPr>
            </w:pPr>
            <w:r>
              <w:rPr>
                <w:noProof/>
                <w:sz w:val="18"/>
                <w:szCs w:val="18"/>
              </w:rPr>
              <w:t>Leto</w:t>
            </w:r>
            <w:r>
              <w:rPr>
                <w:noProof/>
                <w:sz w:val="18"/>
                <w:szCs w:val="18"/>
              </w:rPr>
              <w:br/>
            </w:r>
            <w:r>
              <w:rPr>
                <w:b/>
                <w:noProof/>
                <w:sz w:val="18"/>
                <w:szCs w:val="18"/>
              </w:rPr>
              <w:t>2017</w:t>
            </w:r>
          </w:p>
        </w:tc>
        <w:tc>
          <w:tcPr>
            <w:tcW w:w="1440" w:type="dxa"/>
            <w:gridSpan w:val="2"/>
            <w:vAlign w:val="center"/>
          </w:tcPr>
          <w:p w:rsidR="00BF2E49" w:rsidRDefault="002542A5">
            <w:pPr>
              <w:ind w:right="-29"/>
              <w:jc w:val="center"/>
              <w:rPr>
                <w:noProof/>
                <w:sz w:val="18"/>
                <w:szCs w:val="18"/>
              </w:rPr>
            </w:pPr>
            <w:r>
              <w:rPr>
                <w:noProof/>
                <w:sz w:val="18"/>
                <w:szCs w:val="18"/>
              </w:rPr>
              <w:t>Leto</w:t>
            </w:r>
            <w:r>
              <w:rPr>
                <w:noProof/>
                <w:sz w:val="18"/>
                <w:szCs w:val="18"/>
              </w:rPr>
              <w:br/>
            </w:r>
            <w:r>
              <w:rPr>
                <w:b/>
                <w:noProof/>
                <w:sz w:val="18"/>
                <w:szCs w:val="18"/>
              </w:rPr>
              <w:t>2018</w:t>
            </w:r>
          </w:p>
        </w:tc>
        <w:tc>
          <w:tcPr>
            <w:tcW w:w="1620" w:type="dxa"/>
            <w:gridSpan w:val="3"/>
            <w:vAlign w:val="center"/>
          </w:tcPr>
          <w:p w:rsidR="00BF2E49" w:rsidRDefault="002542A5">
            <w:pPr>
              <w:ind w:right="-29"/>
              <w:jc w:val="center"/>
              <w:rPr>
                <w:noProof/>
                <w:sz w:val="18"/>
                <w:szCs w:val="18"/>
              </w:rPr>
            </w:pPr>
            <w:r>
              <w:rPr>
                <w:noProof/>
                <w:sz w:val="18"/>
                <w:szCs w:val="18"/>
              </w:rPr>
              <w:t>Leto</w:t>
            </w:r>
            <w:r>
              <w:rPr>
                <w:noProof/>
                <w:sz w:val="18"/>
                <w:szCs w:val="18"/>
              </w:rPr>
              <w:br/>
            </w:r>
            <w:r>
              <w:rPr>
                <w:b/>
                <w:noProof/>
                <w:sz w:val="18"/>
                <w:szCs w:val="18"/>
              </w:rPr>
              <w:t>2019</w:t>
            </w:r>
          </w:p>
        </w:tc>
        <w:tc>
          <w:tcPr>
            <w:tcW w:w="3600" w:type="dxa"/>
            <w:gridSpan w:val="6"/>
            <w:vAlign w:val="center"/>
          </w:tcPr>
          <w:p w:rsidR="00BF2E49" w:rsidRDefault="002542A5">
            <w:pPr>
              <w:jc w:val="center"/>
              <w:rPr>
                <w:noProof/>
                <w:sz w:val="18"/>
                <w:szCs w:val="18"/>
              </w:rPr>
            </w:pPr>
            <w:r>
              <w:rPr>
                <w:noProof/>
                <w:sz w:val="18"/>
                <w:szCs w:val="18"/>
              </w:rPr>
              <w:t>2020</w:t>
            </w:r>
          </w:p>
        </w:tc>
        <w:tc>
          <w:tcPr>
            <w:tcW w:w="1620" w:type="dxa"/>
            <w:gridSpan w:val="2"/>
            <w:tcBorders>
              <w:left w:val="nil"/>
              <w:bottom w:val="nil"/>
            </w:tcBorders>
            <w:vAlign w:val="center"/>
          </w:tcPr>
          <w:p w:rsidR="00BF2E49" w:rsidRDefault="002542A5">
            <w:pPr>
              <w:ind w:right="-29"/>
              <w:jc w:val="center"/>
              <w:rPr>
                <w:noProof/>
                <w:sz w:val="18"/>
                <w:szCs w:val="18"/>
              </w:rPr>
            </w:pPr>
            <w:r>
              <w:rPr>
                <w:b/>
                <w:noProof/>
                <w:sz w:val="18"/>
                <w:szCs w:val="18"/>
              </w:rPr>
              <w:t>SKUPAJ</w:t>
            </w:r>
          </w:p>
        </w:tc>
      </w:tr>
      <w:tr w:rsidR="00BF2E49">
        <w:trPr>
          <w:jc w:val="center"/>
        </w:trPr>
        <w:tc>
          <w:tcPr>
            <w:tcW w:w="1423" w:type="dxa"/>
            <w:vMerge/>
            <w:vAlign w:val="center"/>
          </w:tcPr>
          <w:p w:rsidR="00BF2E49" w:rsidRDefault="00BF2E49">
            <w:pPr>
              <w:ind w:right="-29"/>
              <w:jc w:val="center"/>
              <w:rPr>
                <w:noProof/>
                <w:sz w:val="18"/>
                <w:szCs w:val="18"/>
              </w:rPr>
            </w:pPr>
          </w:p>
        </w:tc>
        <w:tc>
          <w:tcPr>
            <w:tcW w:w="12185" w:type="dxa"/>
            <w:gridSpan w:val="19"/>
            <w:vAlign w:val="center"/>
          </w:tcPr>
          <w:p w:rsidR="00BF2E49" w:rsidRDefault="002542A5">
            <w:pPr>
              <w:spacing w:before="60" w:after="60"/>
              <w:ind w:right="-29"/>
              <w:jc w:val="center"/>
              <w:rPr>
                <w:noProof/>
                <w:sz w:val="18"/>
                <w:szCs w:val="18"/>
              </w:rPr>
            </w:pPr>
            <w:r>
              <w:rPr>
                <w:b/>
                <w:noProof/>
                <w:sz w:val="18"/>
              </w:rPr>
              <w:t>REALIZACIJE</w:t>
            </w:r>
          </w:p>
        </w:tc>
      </w:tr>
      <w:tr w:rsidR="00BF2E49">
        <w:trPr>
          <w:cantSplit/>
          <w:trHeight w:val="1134"/>
          <w:jc w:val="center"/>
        </w:trPr>
        <w:tc>
          <w:tcPr>
            <w:tcW w:w="1423" w:type="dxa"/>
            <w:vMerge/>
            <w:vAlign w:val="center"/>
          </w:tcPr>
          <w:p w:rsidR="00BF2E49" w:rsidRDefault="00BF2E49">
            <w:pPr>
              <w:rPr>
                <w:noProof/>
                <w:sz w:val="18"/>
                <w:szCs w:val="18"/>
              </w:rPr>
            </w:pPr>
          </w:p>
        </w:tc>
        <w:tc>
          <w:tcPr>
            <w:tcW w:w="720" w:type="dxa"/>
            <w:vAlign w:val="center"/>
          </w:tcPr>
          <w:p w:rsidR="00BF2E49" w:rsidRDefault="002542A5">
            <w:pPr>
              <w:jc w:val="center"/>
              <w:rPr>
                <w:noProof/>
                <w:sz w:val="18"/>
                <w:szCs w:val="18"/>
              </w:rPr>
            </w:pPr>
            <w:r>
              <w:rPr>
                <w:noProof/>
                <w:sz w:val="18"/>
              </w:rPr>
              <w:t>vrsta</w:t>
            </w:r>
            <w:r>
              <w:rPr>
                <w:rStyle w:val="FootnoteReference"/>
                <w:noProof/>
                <w:sz w:val="18"/>
              </w:rPr>
              <w:footnoteReference w:id="24"/>
            </w:r>
          </w:p>
          <w:p w:rsidR="00BF2E49" w:rsidRDefault="00BF2E49">
            <w:pPr>
              <w:spacing w:before="0" w:after="0"/>
              <w:jc w:val="center"/>
              <w:rPr>
                <w:noProof/>
                <w:sz w:val="18"/>
                <w:szCs w:val="18"/>
              </w:rPr>
            </w:pPr>
          </w:p>
        </w:tc>
        <w:tc>
          <w:tcPr>
            <w:tcW w:w="701" w:type="dxa"/>
            <w:vAlign w:val="center"/>
          </w:tcPr>
          <w:p w:rsidR="00BF2E49" w:rsidRDefault="002542A5">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BF2E49" w:rsidRDefault="002542A5">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rsidR="00BF2E49" w:rsidRDefault="002542A5">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rsidR="00BF2E49" w:rsidRDefault="002542A5">
            <w:pPr>
              <w:jc w:val="center"/>
              <w:rPr>
                <w:noProof/>
                <w:sz w:val="18"/>
                <w:szCs w:val="18"/>
              </w:rPr>
            </w:pPr>
            <w:r>
              <w:rPr>
                <w:noProof/>
                <w:sz w:val="18"/>
              </w:rPr>
              <w:t>stroški realizacij skupaj</w:t>
            </w:r>
          </w:p>
        </w:tc>
      </w:tr>
      <w:tr w:rsidR="00BF2E49">
        <w:trPr>
          <w:jc w:val="center"/>
        </w:trPr>
        <w:tc>
          <w:tcPr>
            <w:tcW w:w="2844" w:type="dxa"/>
            <w:gridSpan w:val="3"/>
            <w:vAlign w:val="center"/>
          </w:tcPr>
          <w:p w:rsidR="00BF2E49" w:rsidRDefault="002542A5">
            <w:pPr>
              <w:spacing w:before="60" w:after="60"/>
              <w:ind w:right="-29"/>
              <w:jc w:val="center"/>
              <w:rPr>
                <w:noProof/>
                <w:sz w:val="18"/>
                <w:szCs w:val="18"/>
              </w:rPr>
            </w:pPr>
            <w:r>
              <w:rPr>
                <w:noProof/>
                <w:sz w:val="18"/>
              </w:rPr>
              <w:t>POSAMEZNI CILJ št. 1</w:t>
            </w:r>
            <w:r>
              <w:rPr>
                <w:rStyle w:val="FootnoteReference"/>
                <w:noProof/>
                <w:sz w:val="18"/>
              </w:rPr>
              <w:footnoteReference w:id="25"/>
            </w:r>
            <w:r>
              <w:rPr>
                <w:noProof/>
                <w:sz w:val="18"/>
              </w:rPr>
              <w:t>...</w:t>
            </w:r>
          </w:p>
        </w:tc>
        <w:tc>
          <w:tcPr>
            <w:tcW w:w="504"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90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gridSpan w:val="2"/>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648" w:type="dxa"/>
            <w:tcBorders>
              <w:top w:val="nil"/>
              <w:left w:val="nil"/>
              <w:bottom w:val="nil"/>
              <w:right w:val="nil"/>
            </w:tcBorders>
          </w:tcPr>
          <w:p w:rsidR="00BF2E49" w:rsidRDefault="00BF2E49">
            <w:pPr>
              <w:spacing w:before="60" w:after="60"/>
              <w:ind w:right="-29"/>
              <w:jc w:val="center"/>
              <w:rPr>
                <w:noProof/>
                <w:sz w:val="18"/>
                <w:szCs w:val="18"/>
              </w:rPr>
            </w:pPr>
          </w:p>
        </w:tc>
        <w:tc>
          <w:tcPr>
            <w:tcW w:w="432"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900" w:type="dxa"/>
            <w:tcBorders>
              <w:top w:val="nil"/>
              <w:left w:val="nil"/>
              <w:bottom w:val="nil"/>
              <w:right w:val="nil"/>
            </w:tcBorders>
          </w:tcPr>
          <w:p w:rsidR="00BF2E49" w:rsidRDefault="00BF2E49">
            <w:pPr>
              <w:spacing w:before="60" w:after="60"/>
              <w:ind w:right="-29"/>
              <w:jc w:val="center"/>
              <w:rPr>
                <w:noProof/>
                <w:sz w:val="18"/>
                <w:szCs w:val="18"/>
              </w:rPr>
            </w:pPr>
          </w:p>
        </w:tc>
      </w:tr>
      <w:tr w:rsidR="00BF2E49">
        <w:trPr>
          <w:trHeight w:hRule="exact" w:val="369"/>
          <w:jc w:val="center"/>
        </w:trPr>
        <w:tc>
          <w:tcPr>
            <w:tcW w:w="1423" w:type="dxa"/>
          </w:tcPr>
          <w:p w:rsidR="00BF2E49" w:rsidRDefault="002542A5">
            <w:pPr>
              <w:ind w:right="-29"/>
              <w:jc w:val="center"/>
              <w:rPr>
                <w:noProof/>
                <w:sz w:val="18"/>
                <w:szCs w:val="18"/>
              </w:rPr>
            </w:pPr>
            <w:r>
              <w:rPr>
                <w:noProof/>
                <w:sz w:val="18"/>
              </w:rPr>
              <w:t>– realizacija</w:t>
            </w:r>
          </w:p>
        </w:tc>
        <w:tc>
          <w:tcPr>
            <w:tcW w:w="720" w:type="dxa"/>
          </w:tcPr>
          <w:p w:rsidR="00BF2E49" w:rsidRDefault="00BF2E49">
            <w:pPr>
              <w:ind w:right="-29"/>
              <w:jc w:val="center"/>
              <w:rPr>
                <w:noProof/>
                <w:sz w:val="18"/>
                <w:szCs w:val="18"/>
              </w:rPr>
            </w:pPr>
          </w:p>
        </w:tc>
        <w:tc>
          <w:tcPr>
            <w:tcW w:w="701" w:type="dxa"/>
          </w:tcPr>
          <w:p w:rsidR="00BF2E49" w:rsidRDefault="00BF2E49">
            <w:pPr>
              <w:ind w:right="-29"/>
              <w:jc w:val="center"/>
              <w:rPr>
                <w:noProof/>
                <w:sz w:val="18"/>
                <w:szCs w:val="18"/>
              </w:rPr>
            </w:pPr>
          </w:p>
        </w:tc>
        <w:tc>
          <w:tcPr>
            <w:tcW w:w="504"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72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900" w:type="dxa"/>
            <w:tcBorders>
              <w:right w:val="dashSmallGap" w:sz="4" w:space="0" w:color="auto"/>
            </w:tcBorders>
          </w:tcPr>
          <w:p w:rsidR="00BF2E49" w:rsidRDefault="00BF2E49">
            <w:pPr>
              <w:ind w:right="-29"/>
              <w:jc w:val="center"/>
              <w:rPr>
                <w:noProof/>
                <w:sz w:val="18"/>
                <w:szCs w:val="18"/>
              </w:rPr>
            </w:pPr>
          </w:p>
        </w:tc>
        <w:tc>
          <w:tcPr>
            <w:tcW w:w="720" w:type="dxa"/>
            <w:gridSpan w:val="2"/>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648" w:type="dxa"/>
            <w:tcBorders>
              <w:left w:val="dashSmallGap" w:sz="4" w:space="0" w:color="auto"/>
            </w:tcBorders>
          </w:tcPr>
          <w:p w:rsidR="00BF2E49" w:rsidRDefault="00BF2E49">
            <w:pPr>
              <w:ind w:right="-29"/>
              <w:jc w:val="center"/>
              <w:rPr>
                <w:noProof/>
                <w:sz w:val="18"/>
                <w:szCs w:val="18"/>
              </w:rPr>
            </w:pPr>
          </w:p>
        </w:tc>
        <w:tc>
          <w:tcPr>
            <w:tcW w:w="432"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r>
      <w:tr w:rsidR="00BF2E49">
        <w:trPr>
          <w:trHeight w:hRule="exact" w:val="369"/>
          <w:jc w:val="center"/>
        </w:trPr>
        <w:tc>
          <w:tcPr>
            <w:tcW w:w="1423" w:type="dxa"/>
          </w:tcPr>
          <w:p w:rsidR="00BF2E49" w:rsidRDefault="002542A5">
            <w:pPr>
              <w:ind w:right="-29"/>
              <w:jc w:val="center"/>
              <w:rPr>
                <w:noProof/>
                <w:sz w:val="18"/>
                <w:szCs w:val="18"/>
              </w:rPr>
            </w:pPr>
            <w:r>
              <w:rPr>
                <w:noProof/>
                <w:sz w:val="18"/>
              </w:rPr>
              <w:t>– realizacija</w:t>
            </w:r>
          </w:p>
        </w:tc>
        <w:tc>
          <w:tcPr>
            <w:tcW w:w="720" w:type="dxa"/>
          </w:tcPr>
          <w:p w:rsidR="00BF2E49" w:rsidRDefault="00BF2E49">
            <w:pPr>
              <w:ind w:right="-29"/>
              <w:jc w:val="center"/>
              <w:rPr>
                <w:noProof/>
                <w:sz w:val="18"/>
                <w:szCs w:val="18"/>
              </w:rPr>
            </w:pPr>
          </w:p>
        </w:tc>
        <w:tc>
          <w:tcPr>
            <w:tcW w:w="701" w:type="dxa"/>
          </w:tcPr>
          <w:p w:rsidR="00BF2E49" w:rsidRDefault="00BF2E49">
            <w:pPr>
              <w:ind w:right="-29"/>
              <w:jc w:val="center"/>
              <w:rPr>
                <w:noProof/>
                <w:sz w:val="18"/>
                <w:szCs w:val="18"/>
              </w:rPr>
            </w:pPr>
          </w:p>
        </w:tc>
        <w:tc>
          <w:tcPr>
            <w:tcW w:w="504"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72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900" w:type="dxa"/>
            <w:tcBorders>
              <w:right w:val="dashSmallGap" w:sz="4" w:space="0" w:color="auto"/>
            </w:tcBorders>
          </w:tcPr>
          <w:p w:rsidR="00BF2E49" w:rsidRDefault="00BF2E49">
            <w:pPr>
              <w:ind w:right="-29"/>
              <w:jc w:val="center"/>
              <w:rPr>
                <w:noProof/>
                <w:sz w:val="18"/>
                <w:szCs w:val="18"/>
              </w:rPr>
            </w:pPr>
          </w:p>
        </w:tc>
        <w:tc>
          <w:tcPr>
            <w:tcW w:w="720" w:type="dxa"/>
            <w:gridSpan w:val="2"/>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648" w:type="dxa"/>
            <w:tcBorders>
              <w:left w:val="dashSmallGap" w:sz="4" w:space="0" w:color="auto"/>
            </w:tcBorders>
          </w:tcPr>
          <w:p w:rsidR="00BF2E49" w:rsidRDefault="00BF2E49">
            <w:pPr>
              <w:ind w:right="-29"/>
              <w:jc w:val="center"/>
              <w:rPr>
                <w:noProof/>
                <w:sz w:val="18"/>
                <w:szCs w:val="18"/>
              </w:rPr>
            </w:pPr>
          </w:p>
        </w:tc>
        <w:tc>
          <w:tcPr>
            <w:tcW w:w="432"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540" w:type="dxa"/>
            <w:tcBorders>
              <w:right w:val="dashSmallGap" w:sz="4" w:space="0" w:color="auto"/>
            </w:tcBorders>
          </w:tcPr>
          <w:p w:rsidR="00BF2E49" w:rsidRDefault="00BF2E49">
            <w:pPr>
              <w:ind w:right="-29"/>
              <w:jc w:val="center"/>
              <w:rPr>
                <w:noProof/>
                <w:sz w:val="18"/>
                <w:szCs w:val="18"/>
              </w:rPr>
            </w:pPr>
          </w:p>
        </w:tc>
        <w:tc>
          <w:tcPr>
            <w:tcW w:w="720" w:type="dxa"/>
            <w:tcBorders>
              <w:left w:val="dashSmallGap" w:sz="4" w:space="0" w:color="auto"/>
            </w:tcBorders>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r>
      <w:tr w:rsidR="00BF2E49">
        <w:trPr>
          <w:trHeight w:hRule="exact" w:val="369"/>
          <w:jc w:val="center"/>
        </w:trPr>
        <w:tc>
          <w:tcPr>
            <w:tcW w:w="1423" w:type="dxa"/>
          </w:tcPr>
          <w:p w:rsidR="00BF2E49" w:rsidRDefault="002542A5">
            <w:pPr>
              <w:ind w:right="-29"/>
              <w:jc w:val="center"/>
              <w:rPr>
                <w:noProof/>
                <w:sz w:val="18"/>
                <w:szCs w:val="18"/>
              </w:rPr>
            </w:pPr>
            <w:r>
              <w:rPr>
                <w:noProof/>
                <w:sz w:val="18"/>
              </w:rPr>
              <w:t>– realizacija</w:t>
            </w:r>
          </w:p>
        </w:tc>
        <w:tc>
          <w:tcPr>
            <w:tcW w:w="720" w:type="dxa"/>
          </w:tcPr>
          <w:p w:rsidR="00BF2E49" w:rsidRDefault="00BF2E49">
            <w:pPr>
              <w:ind w:right="-29"/>
              <w:jc w:val="center"/>
              <w:rPr>
                <w:noProof/>
                <w:sz w:val="18"/>
                <w:szCs w:val="18"/>
              </w:rPr>
            </w:pPr>
          </w:p>
        </w:tc>
        <w:tc>
          <w:tcPr>
            <w:tcW w:w="701" w:type="dxa"/>
          </w:tcPr>
          <w:p w:rsidR="00BF2E49" w:rsidRDefault="00BF2E49">
            <w:pPr>
              <w:ind w:right="-29"/>
              <w:jc w:val="center"/>
              <w:rPr>
                <w:noProof/>
                <w:sz w:val="18"/>
                <w:szCs w:val="18"/>
              </w:rPr>
            </w:pPr>
          </w:p>
        </w:tc>
        <w:tc>
          <w:tcPr>
            <w:tcW w:w="504"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c>
          <w:tcPr>
            <w:tcW w:w="720" w:type="dxa"/>
            <w:gridSpan w:val="2"/>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648" w:type="dxa"/>
          </w:tcPr>
          <w:p w:rsidR="00BF2E49" w:rsidRDefault="00BF2E49">
            <w:pPr>
              <w:ind w:right="-29"/>
              <w:jc w:val="center"/>
              <w:rPr>
                <w:noProof/>
                <w:sz w:val="18"/>
                <w:szCs w:val="18"/>
              </w:rPr>
            </w:pPr>
          </w:p>
        </w:tc>
        <w:tc>
          <w:tcPr>
            <w:tcW w:w="432"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r>
      <w:tr w:rsidR="00BF2E49">
        <w:trPr>
          <w:jc w:val="center"/>
        </w:trPr>
        <w:tc>
          <w:tcPr>
            <w:tcW w:w="2844" w:type="dxa"/>
            <w:gridSpan w:val="3"/>
            <w:tcBorders>
              <w:bottom w:val="single" w:sz="12" w:space="0" w:color="auto"/>
            </w:tcBorders>
            <w:vAlign w:val="center"/>
          </w:tcPr>
          <w:p w:rsidR="00BF2E49" w:rsidRDefault="002542A5">
            <w:pPr>
              <w:ind w:right="-29"/>
              <w:jc w:val="center"/>
              <w:rPr>
                <w:noProof/>
                <w:sz w:val="18"/>
                <w:szCs w:val="18"/>
              </w:rPr>
            </w:pPr>
            <w:r>
              <w:rPr>
                <w:noProof/>
                <w:sz w:val="18"/>
              </w:rPr>
              <w:t>Seštevek za posamezni cilj št. 1</w:t>
            </w:r>
          </w:p>
        </w:tc>
        <w:tc>
          <w:tcPr>
            <w:tcW w:w="504"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900" w:type="dxa"/>
            <w:tcBorders>
              <w:bottom w:val="single" w:sz="12" w:space="0" w:color="auto"/>
            </w:tcBorders>
          </w:tcPr>
          <w:p w:rsidR="00BF2E49" w:rsidRDefault="00BF2E49">
            <w:pPr>
              <w:ind w:right="-29"/>
              <w:jc w:val="center"/>
              <w:rPr>
                <w:noProof/>
                <w:sz w:val="18"/>
                <w:szCs w:val="18"/>
              </w:rPr>
            </w:pPr>
          </w:p>
        </w:tc>
        <w:tc>
          <w:tcPr>
            <w:tcW w:w="720" w:type="dxa"/>
            <w:gridSpan w:val="2"/>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648" w:type="dxa"/>
            <w:tcBorders>
              <w:bottom w:val="single" w:sz="12" w:space="0" w:color="auto"/>
            </w:tcBorders>
          </w:tcPr>
          <w:p w:rsidR="00BF2E49" w:rsidRDefault="00BF2E49">
            <w:pPr>
              <w:ind w:right="-29"/>
              <w:jc w:val="center"/>
              <w:rPr>
                <w:noProof/>
                <w:sz w:val="18"/>
                <w:szCs w:val="18"/>
              </w:rPr>
            </w:pPr>
          </w:p>
        </w:tc>
        <w:tc>
          <w:tcPr>
            <w:tcW w:w="432"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900" w:type="dxa"/>
            <w:tcBorders>
              <w:bottom w:val="single" w:sz="12" w:space="0" w:color="auto"/>
            </w:tcBorders>
          </w:tcPr>
          <w:p w:rsidR="00BF2E49" w:rsidRDefault="00BF2E49">
            <w:pPr>
              <w:ind w:right="-29"/>
              <w:jc w:val="center"/>
              <w:rPr>
                <w:noProof/>
                <w:sz w:val="18"/>
                <w:szCs w:val="18"/>
              </w:rPr>
            </w:pPr>
          </w:p>
        </w:tc>
      </w:tr>
      <w:tr w:rsidR="00BF2E49">
        <w:trPr>
          <w:jc w:val="center"/>
        </w:trPr>
        <w:tc>
          <w:tcPr>
            <w:tcW w:w="2844" w:type="dxa"/>
            <w:gridSpan w:val="3"/>
            <w:vAlign w:val="center"/>
          </w:tcPr>
          <w:p w:rsidR="00BF2E49" w:rsidRDefault="002542A5">
            <w:pPr>
              <w:spacing w:before="60" w:after="60"/>
              <w:ind w:right="-29"/>
              <w:jc w:val="center"/>
              <w:rPr>
                <w:noProof/>
                <w:sz w:val="18"/>
                <w:szCs w:val="18"/>
              </w:rPr>
            </w:pPr>
            <w:r>
              <w:rPr>
                <w:noProof/>
                <w:sz w:val="18"/>
              </w:rPr>
              <w:t>POSAMEZNI CILJ št. 2</w:t>
            </w:r>
          </w:p>
        </w:tc>
        <w:tc>
          <w:tcPr>
            <w:tcW w:w="504"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90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gridSpan w:val="2"/>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648" w:type="dxa"/>
            <w:tcBorders>
              <w:top w:val="nil"/>
              <w:left w:val="nil"/>
              <w:bottom w:val="nil"/>
              <w:right w:val="nil"/>
            </w:tcBorders>
          </w:tcPr>
          <w:p w:rsidR="00BF2E49" w:rsidRDefault="00BF2E49">
            <w:pPr>
              <w:spacing w:before="60" w:after="60"/>
              <w:ind w:right="-29"/>
              <w:jc w:val="center"/>
              <w:rPr>
                <w:noProof/>
                <w:sz w:val="18"/>
                <w:szCs w:val="18"/>
              </w:rPr>
            </w:pPr>
          </w:p>
        </w:tc>
        <w:tc>
          <w:tcPr>
            <w:tcW w:w="432"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54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720" w:type="dxa"/>
            <w:tcBorders>
              <w:top w:val="nil"/>
              <w:left w:val="nil"/>
              <w:bottom w:val="nil"/>
              <w:right w:val="nil"/>
            </w:tcBorders>
          </w:tcPr>
          <w:p w:rsidR="00BF2E49" w:rsidRDefault="00BF2E49">
            <w:pPr>
              <w:spacing w:before="60" w:after="60"/>
              <w:ind w:right="-29"/>
              <w:jc w:val="center"/>
              <w:rPr>
                <w:noProof/>
                <w:sz w:val="18"/>
                <w:szCs w:val="18"/>
              </w:rPr>
            </w:pPr>
          </w:p>
        </w:tc>
        <w:tc>
          <w:tcPr>
            <w:tcW w:w="900" w:type="dxa"/>
            <w:tcBorders>
              <w:top w:val="nil"/>
              <w:left w:val="nil"/>
              <w:bottom w:val="nil"/>
              <w:right w:val="nil"/>
            </w:tcBorders>
          </w:tcPr>
          <w:p w:rsidR="00BF2E49" w:rsidRDefault="00BF2E49">
            <w:pPr>
              <w:spacing w:before="60" w:after="60"/>
              <w:ind w:right="-29"/>
              <w:jc w:val="center"/>
              <w:rPr>
                <w:noProof/>
                <w:sz w:val="18"/>
                <w:szCs w:val="18"/>
              </w:rPr>
            </w:pPr>
          </w:p>
        </w:tc>
      </w:tr>
      <w:tr w:rsidR="00BF2E49">
        <w:trPr>
          <w:trHeight w:hRule="exact" w:val="369"/>
          <w:jc w:val="center"/>
        </w:trPr>
        <w:tc>
          <w:tcPr>
            <w:tcW w:w="1423" w:type="dxa"/>
          </w:tcPr>
          <w:p w:rsidR="00BF2E49" w:rsidRDefault="002542A5">
            <w:pPr>
              <w:ind w:right="-29"/>
              <w:jc w:val="center"/>
              <w:rPr>
                <w:noProof/>
                <w:sz w:val="18"/>
                <w:szCs w:val="18"/>
              </w:rPr>
            </w:pPr>
            <w:r>
              <w:rPr>
                <w:noProof/>
                <w:sz w:val="18"/>
              </w:rPr>
              <w:t>– realizacija</w:t>
            </w:r>
          </w:p>
        </w:tc>
        <w:tc>
          <w:tcPr>
            <w:tcW w:w="720" w:type="dxa"/>
          </w:tcPr>
          <w:p w:rsidR="00BF2E49" w:rsidRDefault="00BF2E49">
            <w:pPr>
              <w:ind w:right="-29"/>
              <w:jc w:val="center"/>
              <w:rPr>
                <w:noProof/>
                <w:sz w:val="18"/>
                <w:szCs w:val="18"/>
              </w:rPr>
            </w:pPr>
          </w:p>
        </w:tc>
        <w:tc>
          <w:tcPr>
            <w:tcW w:w="701" w:type="dxa"/>
          </w:tcPr>
          <w:p w:rsidR="00BF2E49" w:rsidRDefault="00BF2E49">
            <w:pPr>
              <w:ind w:right="-29"/>
              <w:jc w:val="center"/>
              <w:rPr>
                <w:noProof/>
                <w:sz w:val="18"/>
                <w:szCs w:val="18"/>
              </w:rPr>
            </w:pPr>
          </w:p>
        </w:tc>
        <w:tc>
          <w:tcPr>
            <w:tcW w:w="504"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c>
          <w:tcPr>
            <w:tcW w:w="720" w:type="dxa"/>
            <w:gridSpan w:val="2"/>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648" w:type="dxa"/>
          </w:tcPr>
          <w:p w:rsidR="00BF2E49" w:rsidRDefault="00BF2E49">
            <w:pPr>
              <w:ind w:right="-29"/>
              <w:jc w:val="center"/>
              <w:rPr>
                <w:noProof/>
                <w:sz w:val="18"/>
                <w:szCs w:val="18"/>
              </w:rPr>
            </w:pPr>
          </w:p>
        </w:tc>
        <w:tc>
          <w:tcPr>
            <w:tcW w:w="432"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54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720" w:type="dxa"/>
          </w:tcPr>
          <w:p w:rsidR="00BF2E49" w:rsidRDefault="00BF2E49">
            <w:pPr>
              <w:ind w:right="-29"/>
              <w:jc w:val="center"/>
              <w:rPr>
                <w:noProof/>
                <w:sz w:val="18"/>
                <w:szCs w:val="18"/>
              </w:rPr>
            </w:pPr>
          </w:p>
        </w:tc>
        <w:tc>
          <w:tcPr>
            <w:tcW w:w="900" w:type="dxa"/>
          </w:tcPr>
          <w:p w:rsidR="00BF2E49" w:rsidRDefault="00BF2E49">
            <w:pPr>
              <w:ind w:right="-29"/>
              <w:jc w:val="center"/>
              <w:rPr>
                <w:noProof/>
                <w:sz w:val="18"/>
                <w:szCs w:val="18"/>
              </w:rPr>
            </w:pPr>
          </w:p>
        </w:tc>
      </w:tr>
      <w:tr w:rsidR="00BF2E49">
        <w:trPr>
          <w:jc w:val="center"/>
        </w:trPr>
        <w:tc>
          <w:tcPr>
            <w:tcW w:w="2844" w:type="dxa"/>
            <w:gridSpan w:val="3"/>
            <w:tcBorders>
              <w:bottom w:val="single" w:sz="12" w:space="0" w:color="auto"/>
            </w:tcBorders>
            <w:vAlign w:val="center"/>
          </w:tcPr>
          <w:p w:rsidR="00BF2E49" w:rsidRDefault="002542A5">
            <w:pPr>
              <w:jc w:val="center"/>
              <w:rPr>
                <w:noProof/>
                <w:sz w:val="18"/>
                <w:szCs w:val="18"/>
              </w:rPr>
            </w:pPr>
            <w:r>
              <w:rPr>
                <w:noProof/>
                <w:sz w:val="18"/>
              </w:rPr>
              <w:t>Seštevek za posamezni cilj št. 2</w:t>
            </w:r>
          </w:p>
        </w:tc>
        <w:tc>
          <w:tcPr>
            <w:tcW w:w="504"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951" w:type="dxa"/>
            <w:gridSpan w:val="2"/>
            <w:tcBorders>
              <w:bottom w:val="single" w:sz="12" w:space="0" w:color="auto"/>
            </w:tcBorders>
          </w:tcPr>
          <w:p w:rsidR="00BF2E49" w:rsidRDefault="00BF2E49">
            <w:pPr>
              <w:ind w:right="-29"/>
              <w:jc w:val="center"/>
              <w:rPr>
                <w:noProof/>
                <w:sz w:val="18"/>
                <w:szCs w:val="18"/>
              </w:rPr>
            </w:pPr>
          </w:p>
        </w:tc>
        <w:tc>
          <w:tcPr>
            <w:tcW w:w="669" w:type="dxa"/>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648" w:type="dxa"/>
            <w:tcBorders>
              <w:bottom w:val="single" w:sz="12" w:space="0" w:color="auto"/>
            </w:tcBorders>
          </w:tcPr>
          <w:p w:rsidR="00BF2E49" w:rsidRDefault="00BF2E49">
            <w:pPr>
              <w:ind w:right="-29"/>
              <w:jc w:val="center"/>
              <w:rPr>
                <w:noProof/>
                <w:sz w:val="18"/>
                <w:szCs w:val="18"/>
              </w:rPr>
            </w:pPr>
          </w:p>
        </w:tc>
        <w:tc>
          <w:tcPr>
            <w:tcW w:w="432"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54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720" w:type="dxa"/>
            <w:tcBorders>
              <w:bottom w:val="single" w:sz="12" w:space="0" w:color="auto"/>
            </w:tcBorders>
          </w:tcPr>
          <w:p w:rsidR="00BF2E49" w:rsidRDefault="00BF2E49">
            <w:pPr>
              <w:ind w:right="-29"/>
              <w:jc w:val="center"/>
              <w:rPr>
                <w:noProof/>
                <w:sz w:val="18"/>
                <w:szCs w:val="18"/>
              </w:rPr>
            </w:pPr>
          </w:p>
        </w:tc>
        <w:tc>
          <w:tcPr>
            <w:tcW w:w="900" w:type="dxa"/>
            <w:tcBorders>
              <w:bottom w:val="single" w:sz="12" w:space="0" w:color="auto"/>
            </w:tcBorders>
          </w:tcPr>
          <w:p w:rsidR="00BF2E49" w:rsidRDefault="00BF2E49">
            <w:pPr>
              <w:ind w:right="-29"/>
              <w:jc w:val="center"/>
              <w:rPr>
                <w:noProof/>
                <w:sz w:val="18"/>
                <w:szCs w:val="18"/>
              </w:rPr>
            </w:pPr>
          </w:p>
        </w:tc>
      </w:tr>
      <w:tr w:rsidR="00BF2E49">
        <w:trPr>
          <w:jc w:val="center"/>
        </w:trPr>
        <w:tc>
          <w:tcPr>
            <w:tcW w:w="2844" w:type="dxa"/>
            <w:gridSpan w:val="3"/>
            <w:tcBorders>
              <w:top w:val="single" w:sz="12" w:space="0" w:color="auto"/>
              <w:left w:val="single" w:sz="12" w:space="0" w:color="auto"/>
              <w:bottom w:val="single" w:sz="12" w:space="0" w:color="auto"/>
            </w:tcBorders>
            <w:vAlign w:val="center"/>
          </w:tcPr>
          <w:p w:rsidR="00BF2E49" w:rsidRDefault="002542A5">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54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90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54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648"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432"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54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720" w:type="dxa"/>
            <w:tcBorders>
              <w:top w:val="single" w:sz="12" w:space="0" w:color="auto"/>
              <w:bottom w:val="single" w:sz="12" w:space="0" w:color="auto"/>
            </w:tcBorders>
          </w:tcPr>
          <w:p w:rsidR="00BF2E49" w:rsidRDefault="00BF2E49">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F2E49" w:rsidRDefault="00BF2E49">
            <w:pPr>
              <w:spacing w:before="180" w:after="180"/>
              <w:ind w:right="-29"/>
              <w:jc w:val="center"/>
              <w:rPr>
                <w:noProof/>
                <w:sz w:val="18"/>
                <w:szCs w:val="18"/>
              </w:rPr>
            </w:pPr>
          </w:p>
        </w:tc>
      </w:tr>
    </w:tbl>
    <w:p w:rsidR="00BF2E49" w:rsidRDefault="00BF2E49">
      <w:pPr>
        <w:pStyle w:val="ListParagraph"/>
        <w:ind w:left="360"/>
        <w:rPr>
          <w:rFonts w:ascii="Times New Roman" w:hAnsi="Times New Roman"/>
          <w:b/>
          <w:noProof/>
          <w:sz w:val="18"/>
        </w:rPr>
        <w:sectPr w:rsidR="00BF2E49">
          <w:pgSz w:w="16840" w:h="11907" w:orient="landscape"/>
          <w:pgMar w:top="1418" w:right="1134" w:bottom="1418" w:left="1134" w:header="709" w:footer="709" w:gutter="0"/>
          <w:cols w:space="708"/>
          <w:docGrid w:linePitch="360"/>
        </w:sectPr>
      </w:pPr>
    </w:p>
    <w:p w:rsidR="00BF2E49" w:rsidRDefault="002542A5">
      <w:pPr>
        <w:pStyle w:val="ListParagraph"/>
        <w:ind w:left="360"/>
        <w:rPr>
          <w:rFonts w:ascii="Times New Roman" w:hAnsi="Times New Roman"/>
          <w:b/>
          <w:noProof/>
        </w:rPr>
      </w:pPr>
      <w:r>
        <w:rPr>
          <w:rFonts w:ascii="Times New Roman" w:hAnsi="Times New Roman"/>
          <w:b/>
          <w:noProof/>
          <w:sz w:val="18"/>
        </w:rPr>
        <w:t xml:space="preserve">OPOMBA </w:t>
      </w:r>
    </w:p>
    <w:p w:rsidR="00BF2E49" w:rsidRDefault="002542A5">
      <w:pPr>
        <w:ind w:left="360"/>
        <w:rPr>
          <w:noProof/>
          <w:sz w:val="20"/>
          <w:szCs w:val="20"/>
        </w:rPr>
      </w:pPr>
      <w:r>
        <w:rPr>
          <w:noProof/>
          <w:sz w:val="20"/>
        </w:rPr>
        <w:t>Pričakovane pozitivne realizacije tega predloga so: i) države članice bodo prejele podatke o davčnih stališčih iz drugih držav, tako da bodo pri morebitni uvedbi protiukrepov bolj obveščene; ii) širša javnost lahko ukrep vi</w:t>
      </w:r>
      <w:r>
        <w:rPr>
          <w:noProof/>
          <w:sz w:val="20"/>
        </w:rPr>
        <w:t>di kot korak v pravo smer, da se zagotovi pravično plačilo davkov vseh davčnih zavezancev;  iii) zaradi medsebojnega pritiska lahko države članice spremenijo svoje prakse izdajanja davčnih stališč; iv) družbe lahko omejijo svoje strukture agresivnega davčn</w:t>
      </w:r>
      <w:r>
        <w:rPr>
          <w:noProof/>
          <w:sz w:val="20"/>
        </w:rPr>
        <w:t>ega načrtovanja. Čeprav bodo imele države članice pri izdajanju davčnih stališč večje upravno breme in stroške ravnanja v skladu z zakonodajo, ki se neposredno navezujejo na zagotavljanje podatkov o davčnih stališčih, bodo ti stroški omejeni, saj so omejen</w:t>
      </w:r>
      <w:r>
        <w:rPr>
          <w:noProof/>
          <w:sz w:val="20"/>
        </w:rPr>
        <w:t>i tudi podatki, ki se zagotavljajo. Poleg tega bi morali biti ti podatki že predloženi, saj ta predlog v veliki meri le pojasnjuje in potrjuje obstoječe obveznosti glede izmenjave podatkov.</w:t>
      </w:r>
    </w:p>
    <w:p w:rsidR="00BF2E49" w:rsidRDefault="002542A5">
      <w:pPr>
        <w:pStyle w:val="ManualHeading3"/>
        <w:rPr>
          <w:bCs/>
          <w:noProof/>
          <w:szCs w:val="24"/>
        </w:rPr>
      </w:pPr>
      <w:r>
        <w:t>3.2.3.</w:t>
      </w:r>
      <w:r>
        <w:tab/>
      </w:r>
      <w:r>
        <w:rPr>
          <w:noProof/>
        </w:rPr>
        <w:t>Ocenjene posledice za odobritve za upravne zadeve</w:t>
      </w:r>
    </w:p>
    <w:p w:rsidR="00BF2E49" w:rsidRDefault="002542A5">
      <w:pPr>
        <w:pStyle w:val="ManualHeading4"/>
        <w:rPr>
          <w:noProof/>
        </w:rPr>
      </w:pPr>
      <w:r>
        <w:t>3.2.3.1.</w:t>
      </w:r>
      <w:r>
        <w:tab/>
      </w:r>
      <w:r>
        <w:rPr>
          <w:noProof/>
        </w:rPr>
        <w:t xml:space="preserve">Povzetek </w:t>
      </w:r>
    </w:p>
    <w:p w:rsidR="00BF2E49" w:rsidRDefault="002542A5">
      <w:pPr>
        <w:pStyle w:val="ListDash1"/>
        <w:rPr>
          <w:noProof/>
        </w:rPr>
      </w:pPr>
      <w:r>
        <w:rPr>
          <w:noProof/>
        </w:rPr>
        <w:sym w:font="Wingdings" w:char="F0A8"/>
      </w:r>
      <w:r>
        <w:rPr>
          <w:noProof/>
        </w:rPr>
        <w:tab/>
        <w:t xml:space="preserve">Za predlog/pobudo niso potrebne odobritve za upravne zadeve. </w:t>
      </w:r>
    </w:p>
    <w:p w:rsidR="00BF2E49" w:rsidRDefault="002542A5">
      <w:pPr>
        <w:pStyle w:val="ListDash1"/>
        <w:rPr>
          <w:noProof/>
        </w:rPr>
      </w:pPr>
      <w:r>
        <w:rPr>
          <w:noProof/>
        </w:rPr>
        <w:sym w:font="Wingdings" w:char="F0FD"/>
      </w:r>
      <w:r>
        <w:rPr>
          <w:noProof/>
        </w:rPr>
        <w:tab/>
        <w:t>Za predlog/pobudo so potrebne odobritve za upravne zadeve, kot je pojasnjeno v nadaljevanju:</w:t>
      </w:r>
    </w:p>
    <w:p w:rsidR="00BF2E49" w:rsidRDefault="002542A5">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BF2E49">
        <w:trPr>
          <w:trHeight w:val="585"/>
        </w:trPr>
        <w:tc>
          <w:tcPr>
            <w:tcW w:w="1980" w:type="dxa"/>
          </w:tcPr>
          <w:p w:rsidR="00BF2E49" w:rsidRDefault="00BF2E49">
            <w:pPr>
              <w:spacing w:before="60" w:after="60" w:line="200" w:lineRule="exact"/>
              <w:rPr>
                <w:noProof/>
                <w:sz w:val="16"/>
                <w:szCs w:val="16"/>
              </w:rPr>
            </w:pPr>
          </w:p>
        </w:tc>
        <w:tc>
          <w:tcPr>
            <w:tcW w:w="1080" w:type="dxa"/>
            <w:vAlign w:val="center"/>
          </w:tcPr>
          <w:p w:rsidR="00BF2E49" w:rsidRDefault="002542A5">
            <w:pPr>
              <w:spacing w:before="60" w:after="60" w:line="200" w:lineRule="exact"/>
              <w:jc w:val="center"/>
              <w:rPr>
                <w:noProof/>
                <w:sz w:val="16"/>
                <w:szCs w:val="16"/>
              </w:rPr>
            </w:pPr>
            <w:r>
              <w:rPr>
                <w:noProof/>
                <w:sz w:val="16"/>
                <w:szCs w:val="16"/>
              </w:rPr>
              <w:t>Leto</w:t>
            </w:r>
            <w:r>
              <w:rPr>
                <w:noProof/>
                <w:sz w:val="16"/>
                <w:szCs w:val="16"/>
              </w:rPr>
              <w:br/>
            </w:r>
            <w:r>
              <w:rPr>
                <w:b/>
                <w:noProof/>
                <w:sz w:val="16"/>
                <w:szCs w:val="16"/>
              </w:rPr>
              <w:t>2016</w:t>
            </w:r>
            <w:r>
              <w:rPr>
                <w:rStyle w:val="FootnoteReference"/>
                <w:b/>
                <w:noProof/>
                <w:sz w:val="16"/>
                <w:szCs w:val="16"/>
              </w:rPr>
              <w:footnoteReference w:id="26"/>
            </w:r>
          </w:p>
        </w:tc>
        <w:tc>
          <w:tcPr>
            <w:tcW w:w="1080" w:type="dxa"/>
            <w:vAlign w:val="center"/>
          </w:tcPr>
          <w:p w:rsidR="00BF2E49" w:rsidRDefault="002542A5">
            <w:pPr>
              <w:spacing w:before="60" w:after="60" w:line="200" w:lineRule="exact"/>
              <w:jc w:val="center"/>
              <w:rPr>
                <w:noProof/>
                <w:sz w:val="16"/>
                <w:szCs w:val="16"/>
              </w:rPr>
            </w:pPr>
            <w:r>
              <w:rPr>
                <w:noProof/>
                <w:sz w:val="16"/>
                <w:szCs w:val="16"/>
              </w:rPr>
              <w:t>Leto</w:t>
            </w:r>
            <w:r>
              <w:rPr>
                <w:noProof/>
                <w:sz w:val="16"/>
                <w:szCs w:val="16"/>
              </w:rPr>
              <w:br/>
            </w:r>
            <w:r>
              <w:rPr>
                <w:b/>
                <w:noProof/>
                <w:sz w:val="16"/>
                <w:szCs w:val="16"/>
              </w:rPr>
              <w:t>2017</w:t>
            </w:r>
          </w:p>
        </w:tc>
        <w:tc>
          <w:tcPr>
            <w:tcW w:w="1080" w:type="dxa"/>
            <w:vAlign w:val="center"/>
          </w:tcPr>
          <w:p w:rsidR="00BF2E49" w:rsidRDefault="002542A5">
            <w:pPr>
              <w:spacing w:before="60" w:after="60" w:line="200" w:lineRule="exact"/>
              <w:jc w:val="center"/>
              <w:rPr>
                <w:noProof/>
                <w:sz w:val="16"/>
                <w:szCs w:val="16"/>
              </w:rPr>
            </w:pPr>
            <w:r>
              <w:rPr>
                <w:noProof/>
                <w:sz w:val="16"/>
                <w:szCs w:val="16"/>
              </w:rPr>
              <w:t>Leto</w:t>
            </w:r>
            <w:r>
              <w:rPr>
                <w:noProof/>
                <w:sz w:val="16"/>
                <w:szCs w:val="16"/>
              </w:rPr>
              <w:br/>
            </w:r>
            <w:r>
              <w:rPr>
                <w:b/>
                <w:noProof/>
                <w:sz w:val="16"/>
                <w:szCs w:val="16"/>
              </w:rPr>
              <w:t>2018</w:t>
            </w:r>
          </w:p>
        </w:tc>
        <w:tc>
          <w:tcPr>
            <w:tcW w:w="1080" w:type="dxa"/>
            <w:vAlign w:val="center"/>
          </w:tcPr>
          <w:p w:rsidR="00BF2E49" w:rsidRDefault="002542A5">
            <w:pPr>
              <w:spacing w:before="60" w:after="60" w:line="200" w:lineRule="exact"/>
              <w:jc w:val="center"/>
              <w:rPr>
                <w:noProof/>
                <w:sz w:val="16"/>
                <w:szCs w:val="16"/>
              </w:rPr>
            </w:pPr>
            <w:r>
              <w:rPr>
                <w:noProof/>
                <w:sz w:val="16"/>
                <w:szCs w:val="16"/>
              </w:rPr>
              <w:t>Leto</w:t>
            </w:r>
            <w:r>
              <w:rPr>
                <w:noProof/>
                <w:sz w:val="16"/>
                <w:szCs w:val="16"/>
              </w:rPr>
              <w:br/>
            </w:r>
            <w:r>
              <w:rPr>
                <w:b/>
                <w:noProof/>
                <w:sz w:val="16"/>
                <w:szCs w:val="16"/>
              </w:rPr>
              <w:t>2019</w:t>
            </w:r>
          </w:p>
        </w:tc>
        <w:tc>
          <w:tcPr>
            <w:tcW w:w="3240" w:type="dxa"/>
            <w:vAlign w:val="center"/>
          </w:tcPr>
          <w:p w:rsidR="00BF2E49" w:rsidRDefault="002542A5">
            <w:pPr>
              <w:spacing w:line="200" w:lineRule="exact"/>
              <w:jc w:val="center"/>
              <w:rPr>
                <w:b/>
                <w:noProof/>
                <w:sz w:val="16"/>
                <w:szCs w:val="16"/>
              </w:rPr>
            </w:pPr>
            <w:r>
              <w:rPr>
                <w:b/>
                <w:noProof/>
                <w:sz w:val="16"/>
                <w:szCs w:val="16"/>
              </w:rPr>
              <w:t>2020</w:t>
            </w:r>
          </w:p>
        </w:tc>
        <w:tc>
          <w:tcPr>
            <w:tcW w:w="1080" w:type="dxa"/>
            <w:vAlign w:val="center"/>
          </w:tcPr>
          <w:p w:rsidR="00BF2E49" w:rsidRDefault="002542A5">
            <w:pPr>
              <w:spacing w:before="60" w:after="60" w:line="200" w:lineRule="exact"/>
              <w:jc w:val="center"/>
              <w:rPr>
                <w:b/>
                <w:noProof/>
                <w:sz w:val="16"/>
                <w:szCs w:val="16"/>
              </w:rPr>
            </w:pPr>
            <w:r>
              <w:rPr>
                <w:b/>
                <w:noProof/>
                <w:sz w:val="16"/>
                <w:szCs w:val="16"/>
              </w:rPr>
              <w:t>SKUPAJ</w:t>
            </w:r>
          </w:p>
        </w:tc>
      </w:tr>
    </w:tbl>
    <w:p w:rsidR="00BF2E49" w:rsidRDefault="00BF2E4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2E49">
        <w:trPr>
          <w:trHeight w:val="585"/>
        </w:trPr>
        <w:tc>
          <w:tcPr>
            <w:tcW w:w="1980" w:type="dxa"/>
            <w:shd w:val="clear" w:color="auto" w:fill="CCCCCC"/>
            <w:vAlign w:val="center"/>
          </w:tcPr>
          <w:p w:rsidR="00BF2E49" w:rsidRDefault="002542A5">
            <w:pPr>
              <w:spacing w:before="60" w:after="60" w:line="200" w:lineRule="exact"/>
              <w:jc w:val="center"/>
              <w:rPr>
                <w:b/>
                <w:noProof/>
                <w:sz w:val="16"/>
                <w:szCs w:val="16"/>
              </w:rPr>
            </w:pPr>
            <w:r>
              <w:rPr>
                <w:b/>
                <w:noProof/>
                <w:sz w:val="16"/>
                <w:szCs w:val="16"/>
              </w:rPr>
              <w:t>RAZDELEK 5</w:t>
            </w:r>
            <w:r>
              <w:rPr>
                <w:noProof/>
                <w:sz w:val="16"/>
                <w:szCs w:val="16"/>
              </w:rPr>
              <w:br/>
            </w:r>
            <w:r>
              <w:rPr>
                <w:b/>
                <w:noProof/>
                <w:sz w:val="16"/>
                <w:szCs w:val="16"/>
              </w:rPr>
              <w:t>večletnega finančnega okvira</w:t>
            </w: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b/>
                <w:noProof/>
                <w:sz w:val="16"/>
                <w:szCs w:val="16"/>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vAlign w:val="center"/>
          </w:tcPr>
          <w:p w:rsidR="00BF2E49" w:rsidRDefault="002542A5">
            <w:pPr>
              <w:spacing w:before="60" w:after="60" w:line="200" w:lineRule="exact"/>
              <w:ind w:left="72"/>
              <w:jc w:val="left"/>
              <w:rPr>
                <w:noProof/>
                <w:sz w:val="16"/>
                <w:szCs w:val="16"/>
              </w:rPr>
            </w:pPr>
            <w:r>
              <w:rPr>
                <w:noProof/>
                <w:sz w:val="16"/>
                <w:szCs w:val="16"/>
              </w:rPr>
              <w:t xml:space="preserve">Človeški viri </w:t>
            </w:r>
          </w:p>
        </w:tc>
        <w:tc>
          <w:tcPr>
            <w:tcW w:w="1080" w:type="dxa"/>
            <w:vAlign w:val="center"/>
          </w:tcPr>
          <w:p w:rsidR="00BF2E49" w:rsidRDefault="002542A5">
            <w:pPr>
              <w:spacing w:before="20" w:after="20"/>
              <w:jc w:val="right"/>
              <w:rPr>
                <w:noProof/>
              </w:rPr>
            </w:pPr>
            <w:r>
              <w:rPr>
                <w:noProof/>
              </w:rPr>
              <w:t>0,528</w:t>
            </w:r>
          </w:p>
        </w:tc>
        <w:tc>
          <w:tcPr>
            <w:tcW w:w="1080" w:type="dxa"/>
            <w:vAlign w:val="center"/>
          </w:tcPr>
          <w:p w:rsidR="00BF2E49" w:rsidRDefault="002542A5">
            <w:pPr>
              <w:spacing w:before="20" w:after="20"/>
              <w:jc w:val="right"/>
              <w:rPr>
                <w:noProof/>
              </w:rPr>
            </w:pPr>
            <w:r>
              <w:rPr>
                <w:noProof/>
              </w:rPr>
              <w:t>0,528</w:t>
            </w:r>
          </w:p>
        </w:tc>
        <w:tc>
          <w:tcPr>
            <w:tcW w:w="1080" w:type="dxa"/>
            <w:vAlign w:val="center"/>
          </w:tcPr>
          <w:p w:rsidR="00BF2E49" w:rsidRDefault="002542A5">
            <w:pPr>
              <w:spacing w:before="20" w:after="20"/>
              <w:jc w:val="right"/>
              <w:rPr>
                <w:noProof/>
              </w:rPr>
            </w:pPr>
            <w:r>
              <w:rPr>
                <w:noProof/>
              </w:rPr>
              <w:t>0,528</w:t>
            </w:r>
          </w:p>
        </w:tc>
        <w:tc>
          <w:tcPr>
            <w:tcW w:w="1080" w:type="dxa"/>
            <w:vAlign w:val="center"/>
          </w:tcPr>
          <w:p w:rsidR="00BF2E49" w:rsidRDefault="002542A5">
            <w:pPr>
              <w:spacing w:before="20" w:after="20"/>
              <w:jc w:val="right"/>
              <w:rPr>
                <w:noProof/>
              </w:rPr>
            </w:pPr>
            <w:r>
              <w:rPr>
                <w:noProof/>
              </w:rPr>
              <w:t>0,528</w:t>
            </w:r>
          </w:p>
        </w:tc>
        <w:tc>
          <w:tcPr>
            <w:tcW w:w="1080" w:type="dxa"/>
            <w:vAlign w:val="center"/>
          </w:tcPr>
          <w:p w:rsidR="00BF2E49" w:rsidRDefault="002542A5">
            <w:pPr>
              <w:spacing w:before="20" w:after="20"/>
              <w:jc w:val="right"/>
              <w:rPr>
                <w:noProof/>
              </w:rPr>
            </w:pPr>
            <w:r>
              <w:rPr>
                <w:noProof/>
              </w:rPr>
              <w:t>0,528</w:t>
            </w: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vAlign w:val="center"/>
          </w:tcPr>
          <w:p w:rsidR="00BF2E49" w:rsidRDefault="002542A5">
            <w:pPr>
              <w:spacing w:before="60" w:after="60" w:line="200" w:lineRule="exact"/>
              <w:ind w:left="72"/>
              <w:jc w:val="left"/>
              <w:rPr>
                <w:noProof/>
                <w:sz w:val="16"/>
                <w:szCs w:val="16"/>
              </w:rPr>
            </w:pPr>
            <w:r>
              <w:rPr>
                <w:noProof/>
                <w:sz w:val="16"/>
                <w:szCs w:val="16"/>
              </w:rPr>
              <w:t xml:space="preserve">Drugi upravni odhodki </w:t>
            </w:r>
          </w:p>
        </w:tc>
        <w:tc>
          <w:tcPr>
            <w:tcW w:w="1080" w:type="dxa"/>
            <w:vAlign w:val="center"/>
          </w:tcPr>
          <w:p w:rsidR="00BF2E49" w:rsidRDefault="002542A5">
            <w:pPr>
              <w:spacing w:before="20" w:after="20"/>
              <w:jc w:val="right"/>
              <w:rPr>
                <w:noProof/>
              </w:rPr>
            </w:pPr>
            <w:r>
              <w:rPr>
                <w:noProof/>
              </w:rPr>
              <w:t>0,030</w:t>
            </w:r>
          </w:p>
        </w:tc>
        <w:tc>
          <w:tcPr>
            <w:tcW w:w="1080" w:type="dxa"/>
            <w:vAlign w:val="center"/>
          </w:tcPr>
          <w:p w:rsidR="00BF2E49" w:rsidRDefault="002542A5">
            <w:pPr>
              <w:spacing w:before="20" w:after="20"/>
              <w:jc w:val="right"/>
              <w:rPr>
                <w:noProof/>
              </w:rPr>
            </w:pPr>
            <w:r>
              <w:rPr>
                <w:noProof/>
              </w:rPr>
              <w:t>0,030</w:t>
            </w:r>
          </w:p>
        </w:tc>
        <w:tc>
          <w:tcPr>
            <w:tcW w:w="1080" w:type="dxa"/>
            <w:vAlign w:val="center"/>
          </w:tcPr>
          <w:p w:rsidR="00BF2E49" w:rsidRDefault="002542A5">
            <w:pPr>
              <w:spacing w:before="20" w:after="20"/>
              <w:jc w:val="right"/>
              <w:rPr>
                <w:noProof/>
              </w:rPr>
            </w:pPr>
            <w:r>
              <w:rPr>
                <w:noProof/>
              </w:rPr>
              <w:t>0,030</w:t>
            </w:r>
          </w:p>
        </w:tc>
        <w:tc>
          <w:tcPr>
            <w:tcW w:w="1080" w:type="dxa"/>
            <w:vAlign w:val="center"/>
          </w:tcPr>
          <w:p w:rsidR="00BF2E49" w:rsidRDefault="002542A5">
            <w:pPr>
              <w:spacing w:before="20" w:after="20"/>
              <w:jc w:val="right"/>
              <w:rPr>
                <w:noProof/>
              </w:rPr>
            </w:pPr>
            <w:r>
              <w:rPr>
                <w:noProof/>
              </w:rPr>
              <w:t>0,030</w:t>
            </w:r>
          </w:p>
        </w:tc>
        <w:tc>
          <w:tcPr>
            <w:tcW w:w="1080" w:type="dxa"/>
            <w:vAlign w:val="center"/>
          </w:tcPr>
          <w:p w:rsidR="00BF2E49" w:rsidRDefault="002542A5">
            <w:pPr>
              <w:spacing w:before="20" w:after="20"/>
              <w:jc w:val="right"/>
              <w:rPr>
                <w:noProof/>
              </w:rPr>
            </w:pPr>
            <w:r>
              <w:rPr>
                <w:noProof/>
              </w:rPr>
              <w:t>0,030</w:t>
            </w: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shd w:val="clear" w:color="auto" w:fill="CCCCCC"/>
            <w:vAlign w:val="center"/>
          </w:tcPr>
          <w:p w:rsidR="00BF2E49" w:rsidRDefault="002542A5">
            <w:pPr>
              <w:spacing w:before="60" w:after="60" w:line="200" w:lineRule="exact"/>
              <w:jc w:val="center"/>
              <w:rPr>
                <w:b/>
                <w:noProof/>
                <w:sz w:val="16"/>
                <w:szCs w:val="16"/>
              </w:rPr>
            </w:pPr>
            <w:r>
              <w:rPr>
                <w:b/>
                <w:noProof/>
                <w:sz w:val="16"/>
                <w:szCs w:val="16"/>
              </w:rPr>
              <w:t>Seštevek za RAZDELEK 5</w:t>
            </w:r>
            <w:r>
              <w:rPr>
                <w:noProof/>
                <w:sz w:val="16"/>
                <w:szCs w:val="16"/>
              </w:rPr>
              <w:br/>
            </w:r>
            <w:r>
              <w:rPr>
                <w:b/>
                <w:noProof/>
                <w:sz w:val="16"/>
                <w:szCs w:val="16"/>
              </w:rPr>
              <w:t xml:space="preserve">večletnega finančnega okvira </w:t>
            </w:r>
          </w:p>
        </w:tc>
        <w:tc>
          <w:tcPr>
            <w:tcW w:w="1080" w:type="dxa"/>
            <w:vAlign w:val="center"/>
          </w:tcPr>
          <w:p w:rsidR="00BF2E49" w:rsidRDefault="002542A5">
            <w:pPr>
              <w:spacing w:before="20" w:after="20"/>
              <w:jc w:val="right"/>
              <w:rPr>
                <w:noProof/>
              </w:rPr>
            </w:pPr>
            <w:r>
              <w:rPr>
                <w:noProof/>
              </w:rPr>
              <w:t>0,558</w:t>
            </w:r>
          </w:p>
        </w:tc>
        <w:tc>
          <w:tcPr>
            <w:tcW w:w="1080" w:type="dxa"/>
            <w:vAlign w:val="center"/>
          </w:tcPr>
          <w:p w:rsidR="00BF2E49" w:rsidRDefault="002542A5">
            <w:pPr>
              <w:spacing w:before="20" w:after="20"/>
              <w:jc w:val="right"/>
              <w:rPr>
                <w:noProof/>
              </w:rPr>
            </w:pPr>
            <w:r>
              <w:rPr>
                <w:noProof/>
              </w:rPr>
              <w:t>0,558</w:t>
            </w:r>
          </w:p>
        </w:tc>
        <w:tc>
          <w:tcPr>
            <w:tcW w:w="1080" w:type="dxa"/>
            <w:vAlign w:val="center"/>
          </w:tcPr>
          <w:p w:rsidR="00BF2E49" w:rsidRDefault="002542A5">
            <w:pPr>
              <w:spacing w:before="20" w:after="20"/>
              <w:jc w:val="right"/>
              <w:rPr>
                <w:noProof/>
              </w:rPr>
            </w:pPr>
            <w:r>
              <w:rPr>
                <w:noProof/>
              </w:rPr>
              <w:t>0,558</w:t>
            </w:r>
          </w:p>
        </w:tc>
        <w:tc>
          <w:tcPr>
            <w:tcW w:w="1080" w:type="dxa"/>
            <w:vAlign w:val="center"/>
          </w:tcPr>
          <w:p w:rsidR="00BF2E49" w:rsidRDefault="002542A5">
            <w:pPr>
              <w:spacing w:before="20" w:after="20"/>
              <w:jc w:val="right"/>
              <w:rPr>
                <w:noProof/>
              </w:rPr>
            </w:pPr>
            <w:r>
              <w:rPr>
                <w:noProof/>
              </w:rPr>
              <w:t>0,558</w:t>
            </w:r>
          </w:p>
        </w:tc>
        <w:tc>
          <w:tcPr>
            <w:tcW w:w="1080" w:type="dxa"/>
            <w:vAlign w:val="center"/>
          </w:tcPr>
          <w:p w:rsidR="00BF2E49" w:rsidRDefault="002542A5">
            <w:pPr>
              <w:spacing w:before="20" w:after="20"/>
              <w:jc w:val="right"/>
              <w:rPr>
                <w:noProof/>
              </w:rPr>
            </w:pPr>
            <w:r>
              <w:rPr>
                <w:noProof/>
              </w:rPr>
              <w:t>0,558</w:t>
            </w: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20" w:after="20"/>
              <w:jc w:val="right"/>
              <w:rPr>
                <w:noProof/>
              </w:rPr>
            </w:pPr>
          </w:p>
        </w:tc>
        <w:tc>
          <w:tcPr>
            <w:tcW w:w="1080" w:type="dxa"/>
            <w:vAlign w:val="center"/>
          </w:tcPr>
          <w:p w:rsidR="00BF2E49" w:rsidRDefault="00BF2E49">
            <w:pPr>
              <w:spacing w:before="60" w:after="60" w:line="200" w:lineRule="exact"/>
              <w:jc w:val="right"/>
              <w:rPr>
                <w:b/>
                <w:noProof/>
                <w:sz w:val="16"/>
                <w:szCs w:val="16"/>
              </w:rPr>
            </w:pPr>
          </w:p>
        </w:tc>
      </w:tr>
    </w:tbl>
    <w:p w:rsidR="00BF2E49" w:rsidRDefault="00BF2E49">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2E49">
        <w:trPr>
          <w:trHeight w:val="585"/>
        </w:trPr>
        <w:tc>
          <w:tcPr>
            <w:tcW w:w="1980" w:type="dxa"/>
            <w:shd w:val="clear" w:color="auto" w:fill="CCCCCC"/>
            <w:vAlign w:val="center"/>
          </w:tcPr>
          <w:p w:rsidR="00BF2E49" w:rsidRDefault="002542A5">
            <w:pPr>
              <w:spacing w:before="60" w:after="60" w:line="200" w:lineRule="exact"/>
              <w:jc w:val="center"/>
              <w:rPr>
                <w:noProof/>
                <w:sz w:val="16"/>
                <w:szCs w:val="16"/>
              </w:rPr>
            </w:pPr>
            <w:r>
              <w:rPr>
                <w:b/>
                <w:noProof/>
                <w:sz w:val="16"/>
                <w:szCs w:val="16"/>
              </w:rPr>
              <w:t>Odobritve zunaj RAZDELKA 5</w:t>
            </w:r>
            <w:r>
              <w:rPr>
                <w:rStyle w:val="FootnoteReference"/>
                <w:b/>
                <w:noProof/>
                <w:sz w:val="16"/>
                <w:szCs w:val="16"/>
              </w:rPr>
              <w:footnoteReference w:id="27"/>
            </w:r>
            <w:r>
              <w:rPr>
                <w:noProof/>
                <w:sz w:val="16"/>
                <w:szCs w:val="16"/>
              </w:rPr>
              <w:br/>
            </w:r>
            <w:r>
              <w:rPr>
                <w:b/>
                <w:noProof/>
                <w:sz w:val="16"/>
                <w:szCs w:val="16"/>
              </w:rPr>
              <w:t xml:space="preserve">večletnega finančnega okvira </w:t>
            </w:r>
          </w:p>
          <w:p w:rsidR="00BF2E49" w:rsidRDefault="00BF2E49">
            <w:pPr>
              <w:spacing w:before="0" w:after="0" w:line="200" w:lineRule="exact"/>
              <w:jc w:val="center"/>
              <w:rPr>
                <w:b/>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b/>
                <w:noProof/>
                <w:sz w:val="16"/>
                <w:szCs w:val="16"/>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vAlign w:val="center"/>
          </w:tcPr>
          <w:p w:rsidR="00BF2E49" w:rsidRDefault="002542A5">
            <w:pPr>
              <w:spacing w:before="60" w:after="60" w:line="200" w:lineRule="exact"/>
              <w:ind w:left="72"/>
              <w:jc w:val="left"/>
              <w:rPr>
                <w:noProof/>
                <w:sz w:val="16"/>
                <w:szCs w:val="16"/>
              </w:rPr>
            </w:pPr>
            <w:r>
              <w:rPr>
                <w:noProof/>
                <w:sz w:val="16"/>
                <w:szCs w:val="16"/>
              </w:rPr>
              <w:t xml:space="preserve">Človeški viri </w:t>
            </w: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b/>
                <w:noProof/>
                <w:sz w:val="16"/>
                <w:szCs w:val="16"/>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vAlign w:val="center"/>
          </w:tcPr>
          <w:p w:rsidR="00BF2E49" w:rsidRDefault="002542A5">
            <w:pPr>
              <w:spacing w:before="60" w:after="60" w:line="200" w:lineRule="exact"/>
              <w:ind w:left="72"/>
              <w:jc w:val="left"/>
              <w:rPr>
                <w:noProof/>
                <w:sz w:val="16"/>
                <w:szCs w:val="16"/>
              </w:rPr>
            </w:pPr>
            <w:r>
              <w:rPr>
                <w:noProof/>
                <w:sz w:val="16"/>
                <w:szCs w:val="16"/>
              </w:rPr>
              <w:t>Drugi</w:t>
            </w:r>
            <w:r>
              <w:rPr>
                <w:noProof/>
                <w:sz w:val="16"/>
                <w:szCs w:val="16"/>
              </w:rPr>
              <w:br/>
              <w:t>upravni odhodki</w:t>
            </w: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b/>
                <w:noProof/>
                <w:sz w:val="16"/>
                <w:szCs w:val="16"/>
              </w:rPr>
            </w:pPr>
          </w:p>
        </w:tc>
        <w:tc>
          <w:tcPr>
            <w:tcW w:w="1080" w:type="dxa"/>
            <w:vAlign w:val="center"/>
          </w:tcPr>
          <w:p w:rsidR="00BF2E49" w:rsidRDefault="00BF2E49">
            <w:pPr>
              <w:spacing w:before="60" w:after="60" w:line="200" w:lineRule="exact"/>
              <w:jc w:val="right"/>
              <w:rPr>
                <w:b/>
                <w:noProof/>
                <w:sz w:val="16"/>
                <w:szCs w:val="16"/>
              </w:rPr>
            </w:pPr>
          </w:p>
        </w:tc>
      </w:tr>
      <w:tr w:rsidR="00BF2E49">
        <w:trPr>
          <w:trHeight w:val="585"/>
        </w:trPr>
        <w:tc>
          <w:tcPr>
            <w:tcW w:w="1980" w:type="dxa"/>
            <w:shd w:val="clear" w:color="auto" w:fill="CCCCCC"/>
            <w:vAlign w:val="center"/>
          </w:tcPr>
          <w:p w:rsidR="00BF2E49" w:rsidRDefault="002542A5">
            <w:pPr>
              <w:spacing w:before="60" w:after="60" w:line="200" w:lineRule="exact"/>
              <w:jc w:val="center"/>
              <w:rPr>
                <w:b/>
                <w:noProof/>
                <w:sz w:val="16"/>
                <w:szCs w:val="16"/>
              </w:rPr>
            </w:pPr>
            <w:r>
              <w:rPr>
                <w:b/>
                <w:noProof/>
                <w:sz w:val="16"/>
                <w:szCs w:val="16"/>
              </w:rPr>
              <w:t xml:space="preserve">Seštevek </w:t>
            </w:r>
            <w:r>
              <w:rPr>
                <w:noProof/>
                <w:sz w:val="16"/>
                <w:szCs w:val="16"/>
              </w:rPr>
              <w:br/>
            </w:r>
            <w:r>
              <w:rPr>
                <w:b/>
                <w:noProof/>
                <w:sz w:val="16"/>
                <w:szCs w:val="16"/>
              </w:rPr>
              <w:t>za odobritve zunaj RAZDELKA 5</w:t>
            </w:r>
            <w:r>
              <w:rPr>
                <w:noProof/>
                <w:sz w:val="16"/>
                <w:szCs w:val="16"/>
              </w:rPr>
              <w:br/>
            </w:r>
            <w:r>
              <w:rPr>
                <w:b/>
                <w:noProof/>
                <w:sz w:val="16"/>
                <w:szCs w:val="16"/>
              </w:rPr>
              <w:t xml:space="preserve">večletnega finančnega okvira </w:t>
            </w: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noProof/>
                <w:sz w:val="16"/>
                <w:szCs w:val="16"/>
              </w:rPr>
            </w:pPr>
          </w:p>
        </w:tc>
        <w:tc>
          <w:tcPr>
            <w:tcW w:w="1080" w:type="dxa"/>
            <w:vAlign w:val="center"/>
          </w:tcPr>
          <w:p w:rsidR="00BF2E49" w:rsidRDefault="00BF2E49">
            <w:pPr>
              <w:spacing w:before="60" w:after="60" w:line="200" w:lineRule="exact"/>
              <w:jc w:val="right"/>
              <w:rPr>
                <w:b/>
                <w:noProof/>
                <w:sz w:val="16"/>
                <w:szCs w:val="16"/>
              </w:rPr>
            </w:pPr>
          </w:p>
        </w:tc>
        <w:tc>
          <w:tcPr>
            <w:tcW w:w="1080" w:type="dxa"/>
            <w:vAlign w:val="center"/>
          </w:tcPr>
          <w:p w:rsidR="00BF2E49" w:rsidRDefault="00BF2E49">
            <w:pPr>
              <w:spacing w:before="60" w:after="60" w:line="200" w:lineRule="exact"/>
              <w:jc w:val="right"/>
              <w:rPr>
                <w:b/>
                <w:noProof/>
                <w:sz w:val="16"/>
                <w:szCs w:val="16"/>
              </w:rPr>
            </w:pPr>
          </w:p>
        </w:tc>
      </w:tr>
    </w:tbl>
    <w:p w:rsidR="00BF2E49" w:rsidRDefault="00BF2E49">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F2E4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F2E49" w:rsidRDefault="002542A5">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2542A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2542A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2542A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2542A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2542A5">
            <w:pPr>
              <w:spacing w:before="20" w:after="20"/>
              <w:jc w:val="right"/>
              <w:rPr>
                <w:noProof/>
              </w:rPr>
            </w:pPr>
            <w:r>
              <w:rPr>
                <w:noProof/>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BF2E49">
            <w:pPr>
              <w:spacing w:before="20" w:after="20"/>
              <w:jc w:val="right"/>
              <w:rPr>
                <w:noProof/>
              </w:rPr>
            </w:pPr>
          </w:p>
        </w:tc>
        <w:tc>
          <w:tcPr>
            <w:tcW w:w="1080" w:type="dxa"/>
            <w:tcBorders>
              <w:top w:val="single" w:sz="12" w:space="0" w:color="auto"/>
              <w:left w:val="single" w:sz="2" w:space="0" w:color="auto"/>
              <w:bottom w:val="single" w:sz="12" w:space="0" w:color="auto"/>
              <w:right w:val="single" w:sz="2" w:space="0" w:color="auto"/>
            </w:tcBorders>
            <w:vAlign w:val="center"/>
          </w:tcPr>
          <w:p w:rsidR="00BF2E49" w:rsidRDefault="00BF2E49">
            <w:pPr>
              <w:spacing w:before="20" w:after="20"/>
              <w:jc w:val="right"/>
              <w:rPr>
                <w:noProof/>
              </w:rPr>
            </w:pPr>
          </w:p>
        </w:tc>
        <w:tc>
          <w:tcPr>
            <w:tcW w:w="1080" w:type="dxa"/>
            <w:tcBorders>
              <w:top w:val="single" w:sz="12" w:space="0" w:color="auto"/>
              <w:left w:val="single" w:sz="2" w:space="0" w:color="auto"/>
              <w:bottom w:val="single" w:sz="12" w:space="0" w:color="auto"/>
              <w:right w:val="single" w:sz="12" w:space="0" w:color="auto"/>
            </w:tcBorders>
            <w:vAlign w:val="center"/>
          </w:tcPr>
          <w:p w:rsidR="00BF2E49" w:rsidRDefault="00BF2E49">
            <w:pPr>
              <w:spacing w:before="60" w:after="60" w:line="200" w:lineRule="exact"/>
              <w:jc w:val="right"/>
              <w:rPr>
                <w:b/>
                <w:noProof/>
                <w:sz w:val="16"/>
                <w:szCs w:val="16"/>
              </w:rPr>
            </w:pPr>
          </w:p>
        </w:tc>
      </w:tr>
    </w:tbl>
    <w:p w:rsidR="00BF2E49" w:rsidRDefault="002542A5">
      <w:pPr>
        <w:rPr>
          <w:noProof/>
          <w:sz w:val="18"/>
        </w:rPr>
      </w:pPr>
      <w:r>
        <w:rPr>
          <w:noProof/>
          <w:sz w:val="18"/>
        </w:rPr>
        <w:t xml:space="preserve">Potrebne </w:t>
      </w:r>
      <w:r>
        <w:rPr>
          <w:noProof/>
          <w:sz w:val="18"/>
        </w:rPr>
        <w:t>odobritve za človeške vire in druge upravne odhodke se krijejo z odobritvami GD, ki so že dodeljene za upravljanje ukrepa in/ali so bile prerazporejene znotraj GD, po potrebi skupaj z dodatnimi viri, ki se lahko pristojnemu GD dodelijo v okviru postopka le</w:t>
      </w:r>
      <w:r>
        <w:rPr>
          <w:noProof/>
          <w:sz w:val="18"/>
        </w:rPr>
        <w:t>tne dodelitve virov glede na proračunske omejitve.</w:t>
      </w:r>
    </w:p>
    <w:p w:rsidR="00BF2E49" w:rsidRDefault="00BF2E49">
      <w:pPr>
        <w:rPr>
          <w:noProof/>
          <w:sz w:val="18"/>
        </w:rPr>
        <w:sectPr w:rsidR="00BF2E49">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rsidR="00BF2E49" w:rsidRDefault="002542A5">
      <w:pPr>
        <w:pStyle w:val="ManualHeading4"/>
        <w:rPr>
          <w:bCs/>
          <w:noProof/>
          <w:szCs w:val="24"/>
        </w:rPr>
      </w:pPr>
      <w:r>
        <w:t>3.2.3.2.</w:t>
      </w:r>
      <w:r>
        <w:tab/>
      </w:r>
      <w:r>
        <w:rPr>
          <w:noProof/>
        </w:rPr>
        <w:t>Ocenjene potrebe po človeških virih</w:t>
      </w:r>
    </w:p>
    <w:p w:rsidR="00BF2E49" w:rsidRDefault="002542A5">
      <w:pPr>
        <w:pStyle w:val="ListDash1"/>
        <w:rPr>
          <w:noProof/>
        </w:rPr>
      </w:pPr>
      <w:r>
        <w:rPr>
          <w:noProof/>
        </w:rPr>
        <w:sym w:font="Wingdings" w:char="F0A8"/>
      </w:r>
      <w:r>
        <w:rPr>
          <w:noProof/>
        </w:rPr>
        <w:tab/>
        <w:t xml:space="preserve">Za predlog/pobudo niso potrebni človeški viri. </w:t>
      </w:r>
    </w:p>
    <w:p w:rsidR="00BF2E49" w:rsidRDefault="002542A5">
      <w:pPr>
        <w:pStyle w:val="ListDash1"/>
        <w:rPr>
          <w:noProof/>
        </w:rPr>
      </w:pPr>
      <w:r>
        <w:rPr>
          <w:noProof/>
        </w:rPr>
        <w:sym w:font="Wingdings" w:char="F0FD"/>
      </w:r>
      <w:r>
        <w:rPr>
          <w:noProof/>
        </w:rPr>
        <w:tab/>
      </w:r>
      <w:r>
        <w:rPr>
          <w:noProof/>
        </w:rPr>
        <w:t>Za predlog/pobudo so potrebni človeški viri, kot je pojasnjeno v nadaljevanju:</w:t>
      </w:r>
    </w:p>
    <w:p w:rsidR="00BF2E49" w:rsidRDefault="002542A5">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F2E49">
        <w:trPr>
          <w:gridBefore w:val="1"/>
          <w:wBefore w:w="6" w:type="pct"/>
          <w:trHeight w:val="289"/>
          <w:jc w:val="center"/>
        </w:trPr>
        <w:tc>
          <w:tcPr>
            <w:tcW w:w="1897" w:type="pct"/>
            <w:gridSpan w:val="2"/>
            <w:shd w:val="clear" w:color="auto" w:fill="auto"/>
          </w:tcPr>
          <w:p w:rsidR="00BF2E49" w:rsidRDefault="00BF2E49">
            <w:pPr>
              <w:pStyle w:val="Text1"/>
              <w:spacing w:before="40" w:after="40"/>
              <w:ind w:left="0"/>
              <w:jc w:val="center"/>
              <w:rPr>
                <w:i/>
                <w:noProof/>
                <w:sz w:val="16"/>
                <w:szCs w:val="16"/>
              </w:rPr>
            </w:pPr>
          </w:p>
        </w:tc>
        <w:tc>
          <w:tcPr>
            <w:tcW w:w="318" w:type="pct"/>
            <w:shd w:val="clear" w:color="auto" w:fill="auto"/>
            <w:vAlign w:val="center"/>
          </w:tcPr>
          <w:p w:rsidR="00BF2E49" w:rsidRDefault="002542A5">
            <w:pPr>
              <w:spacing w:before="20" w:after="20"/>
              <w:jc w:val="center"/>
              <w:rPr>
                <w:noProof/>
                <w:sz w:val="16"/>
                <w:szCs w:val="16"/>
              </w:rPr>
            </w:pPr>
            <w:r>
              <w:rPr>
                <w:noProof/>
                <w:sz w:val="16"/>
                <w:szCs w:val="16"/>
              </w:rPr>
              <w:t>Leto</w:t>
            </w:r>
            <w:r>
              <w:rPr>
                <w:noProof/>
                <w:sz w:val="16"/>
                <w:szCs w:val="16"/>
              </w:rPr>
              <w:br/>
            </w:r>
            <w:r>
              <w:rPr>
                <w:b/>
                <w:noProof/>
                <w:sz w:val="16"/>
                <w:szCs w:val="16"/>
              </w:rPr>
              <w:t>2016</w:t>
            </w:r>
          </w:p>
        </w:tc>
        <w:tc>
          <w:tcPr>
            <w:tcW w:w="318" w:type="pct"/>
            <w:shd w:val="clear" w:color="auto" w:fill="auto"/>
            <w:vAlign w:val="center"/>
          </w:tcPr>
          <w:p w:rsidR="00BF2E49" w:rsidRDefault="002542A5">
            <w:pPr>
              <w:spacing w:before="20" w:after="20"/>
              <w:jc w:val="center"/>
              <w:rPr>
                <w:noProof/>
                <w:sz w:val="16"/>
                <w:szCs w:val="16"/>
              </w:rPr>
            </w:pPr>
            <w:r>
              <w:rPr>
                <w:noProof/>
                <w:sz w:val="16"/>
                <w:szCs w:val="16"/>
              </w:rPr>
              <w:t>Leto</w:t>
            </w:r>
            <w:r>
              <w:rPr>
                <w:noProof/>
                <w:sz w:val="16"/>
                <w:szCs w:val="16"/>
              </w:rPr>
              <w:br/>
            </w:r>
            <w:r>
              <w:rPr>
                <w:b/>
                <w:noProof/>
                <w:sz w:val="16"/>
                <w:szCs w:val="16"/>
              </w:rPr>
              <w:t>2017</w:t>
            </w:r>
          </w:p>
        </w:tc>
        <w:tc>
          <w:tcPr>
            <w:tcW w:w="1891" w:type="pct"/>
            <w:shd w:val="clear" w:color="auto" w:fill="auto"/>
            <w:vAlign w:val="center"/>
          </w:tcPr>
          <w:p w:rsidR="00BF2E49" w:rsidRDefault="002542A5">
            <w:pPr>
              <w:spacing w:before="20" w:after="20"/>
              <w:jc w:val="center"/>
              <w:rPr>
                <w:noProof/>
                <w:sz w:val="16"/>
                <w:szCs w:val="16"/>
              </w:rPr>
            </w:pPr>
            <w:r>
              <w:rPr>
                <w:noProof/>
                <w:sz w:val="16"/>
                <w:szCs w:val="16"/>
              </w:rPr>
              <w:t xml:space="preserve">Leto </w:t>
            </w:r>
            <w:r>
              <w:rPr>
                <w:b/>
                <w:noProof/>
                <w:sz w:val="16"/>
                <w:szCs w:val="16"/>
              </w:rPr>
              <w:t>2018</w:t>
            </w:r>
          </w:p>
        </w:tc>
        <w:tc>
          <w:tcPr>
            <w:tcW w:w="226" w:type="pct"/>
            <w:shd w:val="clear" w:color="auto" w:fill="auto"/>
            <w:vAlign w:val="center"/>
          </w:tcPr>
          <w:p w:rsidR="00BF2E49" w:rsidRDefault="002542A5">
            <w:pPr>
              <w:spacing w:before="20" w:after="20"/>
              <w:jc w:val="center"/>
              <w:rPr>
                <w:noProof/>
                <w:sz w:val="16"/>
                <w:szCs w:val="16"/>
              </w:rPr>
            </w:pPr>
            <w:r>
              <w:rPr>
                <w:noProof/>
                <w:sz w:val="16"/>
                <w:szCs w:val="16"/>
              </w:rPr>
              <w:t xml:space="preserve">Leto </w:t>
            </w:r>
            <w:r>
              <w:rPr>
                <w:b/>
                <w:noProof/>
                <w:sz w:val="16"/>
                <w:szCs w:val="16"/>
              </w:rPr>
              <w:t>2019</w:t>
            </w:r>
          </w:p>
        </w:tc>
        <w:tc>
          <w:tcPr>
            <w:tcW w:w="345" w:type="pct"/>
            <w:gridSpan w:val="3"/>
            <w:shd w:val="clear" w:color="auto" w:fill="auto"/>
            <w:vAlign w:val="center"/>
          </w:tcPr>
          <w:p w:rsidR="00BF2E49" w:rsidRDefault="002542A5">
            <w:pPr>
              <w:jc w:val="center"/>
              <w:rPr>
                <w:b/>
                <w:noProof/>
                <w:sz w:val="16"/>
                <w:szCs w:val="16"/>
              </w:rPr>
            </w:pPr>
            <w:r>
              <w:rPr>
                <w:noProof/>
                <w:sz w:val="16"/>
                <w:szCs w:val="16"/>
              </w:rPr>
              <w:t>2020</w:t>
            </w:r>
          </w:p>
        </w:tc>
      </w:tr>
      <w:tr w:rsidR="00BF2E49">
        <w:trPr>
          <w:gridBefore w:val="1"/>
          <w:wBefore w:w="6" w:type="pct"/>
          <w:trHeight w:val="289"/>
          <w:jc w:val="center"/>
        </w:trPr>
        <w:tc>
          <w:tcPr>
            <w:tcW w:w="4424" w:type="pct"/>
            <w:gridSpan w:val="5"/>
            <w:shd w:val="clear" w:color="auto" w:fill="auto"/>
          </w:tcPr>
          <w:p w:rsidR="00BF2E49" w:rsidRDefault="002542A5">
            <w:pPr>
              <w:spacing w:before="20" w:after="20"/>
              <w:rPr>
                <w:noProof/>
                <w:sz w:val="16"/>
                <w:szCs w:val="16"/>
              </w:rPr>
            </w:pPr>
            <w:r>
              <w:rPr>
                <w:b/>
                <w:noProof/>
                <w:sz w:val="16"/>
                <w:szCs w:val="16"/>
              </w:rPr>
              <w:sym w:font="Wingdings" w:char="F09F"/>
            </w:r>
            <w:r>
              <w:rPr>
                <w:noProof/>
                <w:sz w:val="16"/>
                <w:szCs w:val="16"/>
              </w:rPr>
              <w:t xml:space="preserve"> </w:t>
            </w:r>
            <w:r>
              <w:rPr>
                <w:b/>
                <w:noProof/>
                <w:sz w:val="16"/>
                <w:szCs w:val="16"/>
              </w:rPr>
              <w:t xml:space="preserve">Delovna mesta v skladu s kadrovskim načrtom (uradniki in začasni </w:t>
            </w:r>
            <w:r>
              <w:rPr>
                <w:b/>
                <w:noProof/>
                <w:sz w:val="16"/>
                <w:szCs w:val="16"/>
              </w:rPr>
              <w:t>uslužbenci)</w:t>
            </w:r>
          </w:p>
        </w:tc>
        <w:tc>
          <w:tcPr>
            <w:tcW w:w="226" w:type="pct"/>
            <w:shd w:val="clear" w:color="auto" w:fill="auto"/>
            <w:vAlign w:val="center"/>
          </w:tcPr>
          <w:p w:rsidR="00BF2E49" w:rsidRDefault="00BF2E49">
            <w:pPr>
              <w:spacing w:before="20" w:after="20"/>
              <w:jc w:val="center"/>
              <w:rPr>
                <w:noProof/>
                <w:sz w:val="16"/>
                <w:szCs w:val="16"/>
              </w:rPr>
            </w:pPr>
          </w:p>
        </w:tc>
        <w:tc>
          <w:tcPr>
            <w:tcW w:w="345" w:type="pct"/>
            <w:gridSpan w:val="3"/>
            <w:shd w:val="clear" w:color="auto" w:fill="auto"/>
            <w:vAlign w:val="center"/>
          </w:tcPr>
          <w:p w:rsidR="00BF2E49" w:rsidRDefault="00BF2E49">
            <w:pPr>
              <w:jc w:val="center"/>
              <w:rPr>
                <w:noProof/>
                <w:sz w:val="16"/>
                <w:szCs w:val="16"/>
              </w:rPr>
            </w:pP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rsidR="00BF2E49" w:rsidRDefault="002542A5">
            <w:pPr>
              <w:spacing w:beforeLines="20" w:before="48" w:afterLines="20" w:after="48"/>
              <w:jc w:val="center"/>
              <w:rPr>
                <w:noProof/>
              </w:rPr>
            </w:pPr>
            <w:r>
              <w:rPr>
                <w:noProof/>
              </w:rPr>
              <w:t>4</w:t>
            </w:r>
          </w:p>
        </w:tc>
        <w:tc>
          <w:tcPr>
            <w:tcW w:w="318" w:type="pct"/>
            <w:shd w:val="clear" w:color="auto" w:fill="auto"/>
            <w:vAlign w:val="center"/>
          </w:tcPr>
          <w:p w:rsidR="00BF2E49" w:rsidRDefault="002542A5">
            <w:pPr>
              <w:spacing w:beforeLines="20" w:before="48" w:afterLines="20" w:after="48"/>
              <w:jc w:val="center"/>
              <w:rPr>
                <w:noProof/>
              </w:rPr>
            </w:pPr>
            <w:r>
              <w:rPr>
                <w:noProof/>
              </w:rPr>
              <w:t>4</w:t>
            </w:r>
          </w:p>
        </w:tc>
        <w:tc>
          <w:tcPr>
            <w:tcW w:w="1891" w:type="pct"/>
            <w:shd w:val="clear" w:color="auto" w:fill="auto"/>
            <w:vAlign w:val="center"/>
          </w:tcPr>
          <w:p w:rsidR="00BF2E49" w:rsidRDefault="002542A5">
            <w:pPr>
              <w:spacing w:beforeLines="20" w:before="48" w:afterLines="20" w:after="48"/>
              <w:jc w:val="center"/>
              <w:rPr>
                <w:noProof/>
              </w:rPr>
            </w:pPr>
            <w:r>
              <w:rPr>
                <w:noProof/>
              </w:rPr>
              <w:t>4</w:t>
            </w:r>
          </w:p>
        </w:tc>
        <w:tc>
          <w:tcPr>
            <w:tcW w:w="226" w:type="pct"/>
            <w:shd w:val="clear" w:color="auto" w:fill="auto"/>
            <w:vAlign w:val="center"/>
          </w:tcPr>
          <w:p w:rsidR="00BF2E49" w:rsidRDefault="002542A5">
            <w:pPr>
              <w:spacing w:beforeLines="20" w:before="48" w:afterLines="20" w:after="48"/>
              <w:jc w:val="center"/>
              <w:rPr>
                <w:noProof/>
              </w:rPr>
            </w:pPr>
            <w:r>
              <w:rPr>
                <w:noProof/>
              </w:rPr>
              <w:t>4</w:t>
            </w:r>
          </w:p>
        </w:tc>
        <w:tc>
          <w:tcPr>
            <w:tcW w:w="115" w:type="pct"/>
            <w:shd w:val="clear" w:color="auto" w:fill="auto"/>
            <w:vAlign w:val="center"/>
          </w:tcPr>
          <w:p w:rsidR="00BF2E49" w:rsidRDefault="002542A5">
            <w:pPr>
              <w:spacing w:beforeLines="20" w:before="48" w:afterLines="20" w:after="48"/>
              <w:jc w:val="center"/>
              <w:rPr>
                <w:noProof/>
              </w:rPr>
            </w:pPr>
            <w:r>
              <w:rPr>
                <w:noProof/>
              </w:rPr>
              <w:t>4</w:t>
            </w:r>
          </w:p>
        </w:tc>
        <w:tc>
          <w:tcPr>
            <w:tcW w:w="115" w:type="pct"/>
            <w:shd w:val="clear" w:color="auto" w:fill="auto"/>
            <w:vAlign w:val="center"/>
          </w:tcPr>
          <w:p w:rsidR="00BF2E49" w:rsidRDefault="00BF2E49">
            <w:pPr>
              <w:spacing w:beforeLines="20" w:before="48" w:afterLines="20" w:after="48"/>
              <w:jc w:val="center"/>
              <w:rPr>
                <w:noProof/>
              </w:rPr>
            </w:pP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4"/>
              <w:jc w:val="left"/>
              <w:rPr>
                <w:noProof/>
                <w:sz w:val="16"/>
                <w:szCs w:val="16"/>
              </w:rPr>
            </w:pPr>
            <w:r>
              <w:rPr>
                <w:noProof/>
                <w:sz w:val="16"/>
              </w:rPr>
              <w:t>XX 01 05 01 (posredne raziskave)</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After w:val="4"/>
          <w:wAfter w:w="571" w:type="pct"/>
          <w:trHeight w:val="248"/>
          <w:jc w:val="center"/>
        </w:trPr>
        <w:tc>
          <w:tcPr>
            <w:tcW w:w="4429" w:type="pct"/>
            <w:gridSpan w:val="6"/>
            <w:shd w:val="clear" w:color="auto" w:fill="auto"/>
            <w:vAlign w:val="center"/>
          </w:tcPr>
          <w:p w:rsidR="00BF2E49" w:rsidRDefault="002542A5">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Zunanji sodelavci (v ekvivalentu polnega delovnega časa: EPDČ)</w:t>
            </w:r>
            <w:r>
              <w:rPr>
                <w:rStyle w:val="FootnoteReference"/>
                <w:b/>
                <w:noProof/>
                <w:sz w:val="16"/>
                <w:szCs w:val="16"/>
              </w:rPr>
              <w:footnoteReference w:id="28"/>
            </w:r>
          </w:p>
          <w:p w:rsidR="00BF2E49" w:rsidRDefault="00BF2E49">
            <w:pPr>
              <w:pStyle w:val="Text1"/>
              <w:spacing w:before="0" w:after="0"/>
              <w:ind w:left="0"/>
              <w:jc w:val="left"/>
              <w:rPr>
                <w:noProof/>
                <w:sz w:val="16"/>
                <w:szCs w:val="16"/>
              </w:rPr>
            </w:pP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BF2E49">
            <w:pPr>
              <w:spacing w:beforeLines="20" w:before="48" w:afterLines="20" w:after="48"/>
              <w:jc w:val="center"/>
              <w:rPr>
                <w:noProof/>
              </w:rPr>
            </w:pP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948" w:type="pct"/>
            <w:vMerge w:val="restart"/>
            <w:shd w:val="clear" w:color="auto" w:fill="auto"/>
            <w:vAlign w:val="center"/>
          </w:tcPr>
          <w:p w:rsidR="00BF2E49" w:rsidRDefault="002542A5">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29"/>
            </w:r>
          </w:p>
          <w:p w:rsidR="00BF2E49" w:rsidRDefault="00BF2E49">
            <w:pPr>
              <w:pStyle w:val="Text1"/>
              <w:spacing w:beforeLines="20" w:before="48" w:afterLines="20" w:after="48"/>
              <w:ind w:left="136"/>
              <w:jc w:val="left"/>
              <w:rPr>
                <w:b/>
                <w:noProof/>
                <w:sz w:val="16"/>
                <w:szCs w:val="16"/>
              </w:rPr>
            </w:pPr>
          </w:p>
        </w:tc>
        <w:tc>
          <w:tcPr>
            <w:tcW w:w="949" w:type="pct"/>
            <w:shd w:val="clear" w:color="auto" w:fill="auto"/>
            <w:vAlign w:val="center"/>
          </w:tcPr>
          <w:p w:rsidR="00BF2E49" w:rsidRDefault="002542A5">
            <w:pPr>
              <w:pStyle w:val="Text1"/>
              <w:spacing w:beforeLines="20" w:before="48" w:afterLines="20" w:after="48"/>
              <w:ind w:left="136"/>
              <w:jc w:val="left"/>
              <w:rPr>
                <w:b/>
                <w:noProof/>
                <w:sz w:val="16"/>
                <w:szCs w:val="16"/>
              </w:rPr>
            </w:pPr>
            <w:r>
              <w:rPr>
                <w:noProof/>
                <w:sz w:val="16"/>
              </w:rPr>
              <w:t>– na sedežu</w:t>
            </w:r>
          </w:p>
          <w:p w:rsidR="00BF2E49" w:rsidRDefault="00BF2E49">
            <w:pPr>
              <w:pStyle w:val="Text1"/>
              <w:spacing w:beforeLines="20" w:before="48" w:afterLines="20" w:after="48"/>
              <w:ind w:left="136"/>
              <w:jc w:val="left"/>
              <w:rPr>
                <w:b/>
                <w:noProof/>
                <w:sz w:val="16"/>
                <w:szCs w:val="16"/>
              </w:rPr>
            </w:pP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r>
      <w:tr w:rsidR="00BF2E49">
        <w:trPr>
          <w:gridBefore w:val="1"/>
          <w:wBefore w:w="6" w:type="pct"/>
          <w:trHeight w:val="289"/>
          <w:jc w:val="center"/>
        </w:trPr>
        <w:tc>
          <w:tcPr>
            <w:tcW w:w="948" w:type="pct"/>
            <w:vMerge/>
            <w:shd w:val="clear" w:color="auto" w:fill="auto"/>
            <w:vAlign w:val="center"/>
          </w:tcPr>
          <w:p w:rsidR="00BF2E49" w:rsidRDefault="00BF2E49">
            <w:pPr>
              <w:pStyle w:val="Text1"/>
              <w:spacing w:beforeLines="20" w:before="48" w:afterLines="20" w:after="48"/>
              <w:ind w:left="136"/>
              <w:jc w:val="left"/>
              <w:rPr>
                <w:b/>
                <w:noProof/>
                <w:sz w:val="16"/>
                <w:szCs w:val="16"/>
              </w:rPr>
            </w:pPr>
          </w:p>
        </w:tc>
        <w:tc>
          <w:tcPr>
            <w:tcW w:w="949" w:type="pct"/>
            <w:shd w:val="clear" w:color="auto" w:fill="auto"/>
            <w:vAlign w:val="center"/>
          </w:tcPr>
          <w:p w:rsidR="00BF2E49" w:rsidRDefault="002542A5">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w:t>
            </w: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(PU, NNS, ZU za posredne raziskave)</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BF2E49">
            <w:pPr>
              <w:spacing w:beforeLines="20" w:before="48" w:afterLines="20" w:after="48"/>
              <w:jc w:val="center"/>
              <w:rPr>
                <w:noProof/>
              </w:rPr>
            </w:pPr>
          </w:p>
        </w:tc>
        <w:tc>
          <w:tcPr>
            <w:tcW w:w="115" w:type="pct"/>
            <w:shd w:val="clear" w:color="auto" w:fill="auto"/>
            <w:vAlign w:val="center"/>
          </w:tcPr>
          <w:p w:rsidR="00BF2E49" w:rsidRDefault="002542A5">
            <w:pPr>
              <w:spacing w:beforeLines="20" w:before="48" w:afterLines="20" w:after="48"/>
              <w:jc w:val="center"/>
              <w:rPr>
                <w:noProof/>
              </w:rPr>
            </w:pPr>
            <w:r>
              <w:rPr>
                <w:noProof/>
              </w:rPr>
              <w:t>m.</w:t>
            </w:r>
          </w:p>
        </w:tc>
      </w:tr>
      <w:tr w:rsidR="00BF2E49">
        <w:trPr>
          <w:gridBefore w:val="1"/>
          <w:wBefore w:w="6" w:type="pct"/>
          <w:trHeight w:val="289"/>
          <w:jc w:val="center"/>
        </w:trPr>
        <w:tc>
          <w:tcPr>
            <w:tcW w:w="1897" w:type="pct"/>
            <w:gridSpan w:val="2"/>
            <w:shd w:val="clear" w:color="auto" w:fill="auto"/>
            <w:vAlign w:val="center"/>
          </w:tcPr>
          <w:p w:rsidR="00BF2E49" w:rsidRDefault="002542A5">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318" w:type="pct"/>
            <w:shd w:val="clear" w:color="auto" w:fill="auto"/>
            <w:vAlign w:val="center"/>
          </w:tcPr>
          <w:p w:rsidR="00BF2E49" w:rsidRDefault="002542A5">
            <w:pPr>
              <w:spacing w:beforeLines="20" w:before="48" w:afterLines="20" w:after="48"/>
              <w:jc w:val="center"/>
              <w:rPr>
                <w:noProof/>
              </w:rPr>
            </w:pPr>
            <w:r>
              <w:rPr>
                <w:noProof/>
              </w:rPr>
              <w:t>p.m.</w:t>
            </w:r>
          </w:p>
        </w:tc>
        <w:tc>
          <w:tcPr>
            <w:tcW w:w="1891" w:type="pct"/>
            <w:shd w:val="clear" w:color="auto" w:fill="auto"/>
            <w:vAlign w:val="center"/>
          </w:tcPr>
          <w:p w:rsidR="00BF2E49" w:rsidRDefault="002542A5">
            <w:pPr>
              <w:spacing w:beforeLines="20" w:before="48" w:afterLines="20" w:after="48"/>
              <w:jc w:val="center"/>
              <w:rPr>
                <w:noProof/>
              </w:rPr>
            </w:pPr>
            <w:r>
              <w:rPr>
                <w:noProof/>
              </w:rPr>
              <w:t>p.m.</w:t>
            </w:r>
          </w:p>
        </w:tc>
        <w:tc>
          <w:tcPr>
            <w:tcW w:w="226"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2542A5">
            <w:pPr>
              <w:spacing w:beforeLines="20" w:before="48" w:afterLines="20" w:after="48"/>
              <w:jc w:val="center"/>
              <w:rPr>
                <w:noProof/>
              </w:rPr>
            </w:pPr>
            <w:r>
              <w:rPr>
                <w:noProof/>
              </w:rPr>
              <w:t>p.m.</w:t>
            </w:r>
          </w:p>
        </w:tc>
        <w:tc>
          <w:tcPr>
            <w:tcW w:w="115" w:type="pct"/>
            <w:shd w:val="clear" w:color="auto" w:fill="auto"/>
            <w:vAlign w:val="center"/>
          </w:tcPr>
          <w:p w:rsidR="00BF2E49" w:rsidRDefault="00BF2E49">
            <w:pPr>
              <w:spacing w:beforeLines="20" w:before="48" w:afterLines="20" w:after="48"/>
              <w:jc w:val="center"/>
              <w:rPr>
                <w:noProof/>
              </w:rPr>
            </w:pPr>
          </w:p>
        </w:tc>
        <w:tc>
          <w:tcPr>
            <w:tcW w:w="115" w:type="pct"/>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1897" w:type="pct"/>
            <w:gridSpan w:val="2"/>
            <w:tcBorders>
              <w:bottom w:val="double" w:sz="4" w:space="0" w:color="auto"/>
            </w:tcBorders>
            <w:shd w:val="clear" w:color="auto" w:fill="auto"/>
            <w:vAlign w:val="center"/>
          </w:tcPr>
          <w:p w:rsidR="00BF2E49" w:rsidRDefault="002542A5">
            <w:pPr>
              <w:pStyle w:val="Text1"/>
              <w:spacing w:beforeLines="20" w:before="48" w:afterLines="20" w:after="48"/>
              <w:ind w:left="134"/>
              <w:jc w:val="left"/>
              <w:rPr>
                <w:noProof/>
                <w:sz w:val="16"/>
                <w:szCs w:val="16"/>
              </w:rPr>
            </w:pPr>
            <w:r>
              <w:rPr>
                <w:noProof/>
                <w:sz w:val="16"/>
              </w:rPr>
              <w:t xml:space="preserve">Druge </w:t>
            </w:r>
            <w:r>
              <w:rPr>
                <w:noProof/>
                <w:sz w:val="16"/>
              </w:rPr>
              <w:t>proračunske vrstice (navedite)</w:t>
            </w:r>
          </w:p>
        </w:tc>
        <w:tc>
          <w:tcPr>
            <w:tcW w:w="318" w:type="pct"/>
            <w:tcBorders>
              <w:bottom w:val="double" w:sz="4" w:space="0" w:color="auto"/>
            </w:tcBorders>
            <w:shd w:val="clear" w:color="auto" w:fill="auto"/>
            <w:vAlign w:val="center"/>
          </w:tcPr>
          <w:p w:rsidR="00BF2E49" w:rsidRDefault="002542A5">
            <w:pPr>
              <w:spacing w:beforeLines="20" w:before="48" w:afterLines="20" w:after="48"/>
              <w:jc w:val="center"/>
              <w:rPr>
                <w:noProof/>
              </w:rPr>
            </w:pPr>
            <w:r>
              <w:rPr>
                <w:noProof/>
              </w:rPr>
              <w:t>p.m.</w:t>
            </w:r>
          </w:p>
        </w:tc>
        <w:tc>
          <w:tcPr>
            <w:tcW w:w="318" w:type="pct"/>
            <w:tcBorders>
              <w:bottom w:val="double" w:sz="4" w:space="0" w:color="auto"/>
            </w:tcBorders>
            <w:shd w:val="clear" w:color="auto" w:fill="auto"/>
            <w:vAlign w:val="center"/>
          </w:tcPr>
          <w:p w:rsidR="00BF2E49" w:rsidRDefault="002542A5">
            <w:pPr>
              <w:spacing w:beforeLines="20" w:before="48" w:afterLines="20" w:after="48"/>
              <w:jc w:val="center"/>
              <w:rPr>
                <w:noProof/>
              </w:rPr>
            </w:pPr>
            <w:r>
              <w:rPr>
                <w:noProof/>
              </w:rPr>
              <w:t>p.m.</w:t>
            </w:r>
          </w:p>
        </w:tc>
        <w:tc>
          <w:tcPr>
            <w:tcW w:w="1891" w:type="pct"/>
            <w:tcBorders>
              <w:bottom w:val="double" w:sz="4" w:space="0" w:color="auto"/>
            </w:tcBorders>
            <w:shd w:val="clear" w:color="auto" w:fill="auto"/>
            <w:vAlign w:val="center"/>
          </w:tcPr>
          <w:p w:rsidR="00BF2E49" w:rsidRDefault="002542A5">
            <w:pPr>
              <w:spacing w:beforeLines="20" w:before="48" w:afterLines="20" w:after="48"/>
              <w:jc w:val="center"/>
              <w:rPr>
                <w:noProof/>
              </w:rPr>
            </w:pPr>
            <w:r>
              <w:rPr>
                <w:noProof/>
              </w:rPr>
              <w:t>p.m.</w:t>
            </w:r>
          </w:p>
        </w:tc>
        <w:tc>
          <w:tcPr>
            <w:tcW w:w="226" w:type="pct"/>
            <w:tcBorders>
              <w:bottom w:val="double" w:sz="4" w:space="0" w:color="auto"/>
            </w:tcBorders>
            <w:shd w:val="clear" w:color="auto" w:fill="auto"/>
            <w:vAlign w:val="center"/>
          </w:tcPr>
          <w:p w:rsidR="00BF2E49" w:rsidRDefault="002542A5">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BF2E49" w:rsidRDefault="002542A5">
            <w:pPr>
              <w:spacing w:beforeLines="20" w:before="48" w:afterLines="20" w:after="48"/>
              <w:jc w:val="center"/>
              <w:rPr>
                <w:noProof/>
              </w:rPr>
            </w:pPr>
            <w:r>
              <w:rPr>
                <w:noProof/>
              </w:rPr>
              <w:t>p.m.</w:t>
            </w:r>
          </w:p>
        </w:tc>
        <w:tc>
          <w:tcPr>
            <w:tcW w:w="115" w:type="pct"/>
            <w:tcBorders>
              <w:bottom w:val="double" w:sz="4" w:space="0" w:color="auto"/>
            </w:tcBorders>
            <w:shd w:val="clear" w:color="auto" w:fill="auto"/>
            <w:vAlign w:val="center"/>
          </w:tcPr>
          <w:p w:rsidR="00BF2E49" w:rsidRDefault="00BF2E49">
            <w:pPr>
              <w:spacing w:beforeLines="20" w:before="48" w:afterLines="20" w:after="48"/>
              <w:jc w:val="center"/>
              <w:rPr>
                <w:noProof/>
              </w:rPr>
            </w:pPr>
          </w:p>
        </w:tc>
        <w:tc>
          <w:tcPr>
            <w:tcW w:w="115" w:type="pct"/>
            <w:tcBorders>
              <w:bottom w:val="double" w:sz="4" w:space="0" w:color="auto"/>
            </w:tcBorders>
            <w:shd w:val="clear" w:color="auto" w:fill="auto"/>
            <w:vAlign w:val="center"/>
          </w:tcPr>
          <w:p w:rsidR="00BF2E49" w:rsidRDefault="00BF2E49">
            <w:pPr>
              <w:spacing w:beforeLines="20" w:before="48" w:afterLines="20" w:after="48"/>
              <w:jc w:val="center"/>
              <w:rPr>
                <w:noProof/>
              </w:rPr>
            </w:pPr>
          </w:p>
        </w:tc>
      </w:tr>
      <w:tr w:rsidR="00BF2E49">
        <w:trPr>
          <w:gridBefore w:val="1"/>
          <w:wBefore w:w="6" w:type="pct"/>
          <w:trHeight w:val="289"/>
          <w:jc w:val="center"/>
        </w:trPr>
        <w:tc>
          <w:tcPr>
            <w:tcW w:w="1897" w:type="pct"/>
            <w:gridSpan w:val="2"/>
            <w:tcBorders>
              <w:top w:val="double" w:sz="4" w:space="0" w:color="auto"/>
            </w:tcBorders>
            <w:shd w:val="clear" w:color="auto" w:fill="auto"/>
            <w:vAlign w:val="center"/>
          </w:tcPr>
          <w:p w:rsidR="00BF2E49" w:rsidRDefault="002542A5">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rsidR="00BF2E49" w:rsidRDefault="002542A5">
            <w:pPr>
              <w:spacing w:beforeLines="20" w:before="48" w:afterLines="20" w:after="48"/>
              <w:jc w:val="center"/>
              <w:rPr>
                <w:noProof/>
              </w:rPr>
            </w:pPr>
            <w:r>
              <w:rPr>
                <w:noProof/>
              </w:rPr>
              <w:t>4</w:t>
            </w:r>
          </w:p>
        </w:tc>
        <w:tc>
          <w:tcPr>
            <w:tcW w:w="318" w:type="pct"/>
            <w:tcBorders>
              <w:top w:val="double" w:sz="4" w:space="0" w:color="auto"/>
            </w:tcBorders>
            <w:shd w:val="clear" w:color="auto" w:fill="auto"/>
            <w:vAlign w:val="center"/>
          </w:tcPr>
          <w:p w:rsidR="00BF2E49" w:rsidRDefault="002542A5">
            <w:pPr>
              <w:spacing w:beforeLines="20" w:before="48" w:afterLines="20" w:after="48"/>
              <w:jc w:val="center"/>
              <w:rPr>
                <w:noProof/>
              </w:rPr>
            </w:pPr>
            <w:r>
              <w:rPr>
                <w:noProof/>
              </w:rPr>
              <w:t>4</w:t>
            </w:r>
          </w:p>
        </w:tc>
        <w:tc>
          <w:tcPr>
            <w:tcW w:w="1891" w:type="pct"/>
            <w:tcBorders>
              <w:top w:val="double" w:sz="4" w:space="0" w:color="auto"/>
            </w:tcBorders>
            <w:shd w:val="clear" w:color="auto" w:fill="auto"/>
            <w:vAlign w:val="center"/>
          </w:tcPr>
          <w:p w:rsidR="00BF2E49" w:rsidRDefault="002542A5">
            <w:pPr>
              <w:spacing w:beforeLines="20" w:before="48" w:afterLines="20" w:after="48"/>
              <w:jc w:val="center"/>
              <w:rPr>
                <w:noProof/>
              </w:rPr>
            </w:pPr>
            <w:r>
              <w:rPr>
                <w:noProof/>
              </w:rPr>
              <w:t>4</w:t>
            </w:r>
          </w:p>
        </w:tc>
        <w:tc>
          <w:tcPr>
            <w:tcW w:w="226" w:type="pct"/>
            <w:tcBorders>
              <w:top w:val="double" w:sz="4" w:space="0" w:color="auto"/>
            </w:tcBorders>
            <w:shd w:val="clear" w:color="auto" w:fill="auto"/>
            <w:vAlign w:val="center"/>
          </w:tcPr>
          <w:p w:rsidR="00BF2E49" w:rsidRDefault="002542A5">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BF2E49" w:rsidRDefault="002542A5">
            <w:pPr>
              <w:spacing w:beforeLines="20" w:before="48" w:afterLines="20" w:after="48"/>
              <w:jc w:val="center"/>
              <w:rPr>
                <w:noProof/>
              </w:rPr>
            </w:pPr>
            <w:r>
              <w:rPr>
                <w:noProof/>
              </w:rPr>
              <w:t>4</w:t>
            </w:r>
          </w:p>
        </w:tc>
        <w:tc>
          <w:tcPr>
            <w:tcW w:w="115" w:type="pct"/>
            <w:tcBorders>
              <w:top w:val="double" w:sz="4" w:space="0" w:color="auto"/>
            </w:tcBorders>
            <w:shd w:val="clear" w:color="auto" w:fill="auto"/>
            <w:vAlign w:val="center"/>
          </w:tcPr>
          <w:p w:rsidR="00BF2E49" w:rsidRDefault="00BF2E49">
            <w:pPr>
              <w:spacing w:beforeLines="20" w:before="48" w:afterLines="20" w:after="48"/>
              <w:jc w:val="center"/>
              <w:rPr>
                <w:noProof/>
              </w:rPr>
            </w:pPr>
          </w:p>
        </w:tc>
        <w:tc>
          <w:tcPr>
            <w:tcW w:w="115" w:type="pct"/>
            <w:tcBorders>
              <w:top w:val="double" w:sz="4" w:space="0" w:color="auto"/>
            </w:tcBorders>
            <w:shd w:val="clear" w:color="auto" w:fill="auto"/>
            <w:vAlign w:val="center"/>
          </w:tcPr>
          <w:p w:rsidR="00BF2E49" w:rsidRDefault="00BF2E49">
            <w:pPr>
              <w:spacing w:beforeLines="20" w:before="48" w:afterLines="20" w:after="48"/>
              <w:jc w:val="center"/>
              <w:rPr>
                <w:noProof/>
              </w:rPr>
            </w:pPr>
          </w:p>
        </w:tc>
      </w:tr>
    </w:tbl>
    <w:p w:rsidR="00BF2E49" w:rsidRDefault="002542A5">
      <w:pPr>
        <w:pStyle w:val="Text1"/>
        <w:spacing w:before="60" w:after="60"/>
        <w:ind w:left="851"/>
        <w:rPr>
          <w:noProof/>
          <w:sz w:val="18"/>
          <w:szCs w:val="18"/>
        </w:rPr>
      </w:pPr>
      <w:r>
        <w:rPr>
          <w:b/>
          <w:noProof/>
          <w:sz w:val="18"/>
          <w:szCs w:val="18"/>
        </w:rPr>
        <w:t>XX</w:t>
      </w:r>
      <w:r>
        <w:rPr>
          <w:noProof/>
          <w:sz w:val="18"/>
          <w:szCs w:val="18"/>
        </w:rPr>
        <w:t xml:space="preserve"> je zadevno področje ali naslov.</w:t>
      </w:r>
    </w:p>
    <w:p w:rsidR="00BF2E49" w:rsidRDefault="002542A5">
      <w:pPr>
        <w:pStyle w:val="Text1"/>
        <w:rPr>
          <w:noProof/>
          <w:sz w:val="18"/>
          <w:szCs w:val="18"/>
        </w:rPr>
      </w:pPr>
      <w:r>
        <w:rPr>
          <w:noProof/>
          <w:sz w:val="18"/>
        </w:rPr>
        <w:t xml:space="preserve">Potrebe po človeških virih se krijejo z osebjem GD, ki je že dodeljeno za upravljanje ukrepa in/ali je bilo prerazporejeno znotraj GD, po </w:t>
      </w:r>
      <w:r>
        <w:rPr>
          <w:noProof/>
          <w:sz w:val="18"/>
        </w:rPr>
        <w:t>potrebi skupaj z dodatnimi viri, ki se lahko pristojnemu GD dodelijo v okviru postopka letne dodelitve virov glede na proračunske omejitve.</w:t>
      </w:r>
    </w:p>
    <w:p w:rsidR="00BF2E49" w:rsidRDefault="002542A5">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F2E49">
        <w:tc>
          <w:tcPr>
            <w:tcW w:w="3240" w:type="dxa"/>
          </w:tcPr>
          <w:p w:rsidR="00BF2E49" w:rsidRDefault="002542A5">
            <w:pPr>
              <w:rPr>
                <w:noProof/>
                <w:sz w:val="20"/>
              </w:rPr>
            </w:pPr>
            <w:r>
              <w:rPr>
                <w:noProof/>
                <w:sz w:val="20"/>
              </w:rPr>
              <w:t>Uradniki in začasni uslužbenci</w:t>
            </w:r>
          </w:p>
        </w:tc>
        <w:tc>
          <w:tcPr>
            <w:tcW w:w="7200" w:type="dxa"/>
          </w:tcPr>
          <w:p w:rsidR="00BF2E49" w:rsidRDefault="002542A5">
            <w:pPr>
              <w:rPr>
                <w:noProof/>
                <w:sz w:val="20"/>
              </w:rPr>
            </w:pPr>
            <w:r>
              <w:rPr>
                <w:noProof/>
                <w:sz w:val="20"/>
              </w:rPr>
              <w:t xml:space="preserve">Priprava srečanj in korespondence z državami članicami;  (odvisno od </w:t>
            </w:r>
            <w:r>
              <w:rPr>
                <w:noProof/>
                <w:sz w:val="20"/>
              </w:rPr>
              <w:t>razprav z državami članicami) priprava obrazcev, formatov IT in osrednje podatkovne zbirke; naročanje zunanjih izvajalcev za delo na sistemu IT.</w:t>
            </w:r>
          </w:p>
        </w:tc>
      </w:tr>
      <w:tr w:rsidR="00BF2E49">
        <w:tc>
          <w:tcPr>
            <w:tcW w:w="3240" w:type="dxa"/>
          </w:tcPr>
          <w:p w:rsidR="00BF2E49" w:rsidRDefault="002542A5">
            <w:pPr>
              <w:spacing w:before="60" w:after="60"/>
              <w:rPr>
                <w:noProof/>
                <w:sz w:val="20"/>
              </w:rPr>
            </w:pPr>
            <w:r>
              <w:rPr>
                <w:noProof/>
                <w:sz w:val="20"/>
              </w:rPr>
              <w:t>Zunanji sodelavci</w:t>
            </w:r>
          </w:p>
        </w:tc>
        <w:tc>
          <w:tcPr>
            <w:tcW w:w="7200" w:type="dxa"/>
          </w:tcPr>
          <w:p w:rsidR="00BF2E49" w:rsidRDefault="002542A5">
            <w:pPr>
              <w:rPr>
                <w:noProof/>
                <w:sz w:val="20"/>
              </w:rPr>
            </w:pPr>
            <w:r>
              <w:rPr>
                <w:noProof/>
                <w:sz w:val="20"/>
              </w:rPr>
              <w:t>Ni relevantno</w:t>
            </w:r>
          </w:p>
        </w:tc>
      </w:tr>
    </w:tbl>
    <w:p w:rsidR="00BF2E49" w:rsidRDefault="00BF2E49">
      <w:pPr>
        <w:rPr>
          <w:noProof/>
        </w:rPr>
        <w:sectPr w:rsidR="00BF2E49">
          <w:pgSz w:w="11907" w:h="16840"/>
          <w:pgMar w:top="1134" w:right="1418" w:bottom="1134" w:left="1418" w:header="709" w:footer="709" w:gutter="0"/>
          <w:cols w:space="708"/>
          <w:docGrid w:linePitch="360"/>
        </w:sectPr>
      </w:pPr>
    </w:p>
    <w:p w:rsidR="00BF2E49" w:rsidRDefault="002542A5">
      <w:pPr>
        <w:pStyle w:val="ManualHeading3"/>
        <w:rPr>
          <w:bCs/>
          <w:noProof/>
          <w:szCs w:val="24"/>
        </w:rPr>
      </w:pPr>
      <w:r>
        <w:t>3.2.4.</w:t>
      </w:r>
      <w:r>
        <w:tab/>
      </w:r>
      <w:r>
        <w:rPr>
          <w:noProof/>
        </w:rPr>
        <w:t>Skladnost z veljavnim večletnim finančnim okviro</w:t>
      </w:r>
      <w:r>
        <w:rPr>
          <w:noProof/>
        </w:rPr>
        <w:t xml:space="preserve">m </w:t>
      </w:r>
    </w:p>
    <w:p w:rsidR="00BF2E49" w:rsidRDefault="002542A5">
      <w:pPr>
        <w:pStyle w:val="ListDash1"/>
        <w:rPr>
          <w:noProof/>
        </w:rPr>
      </w:pPr>
      <w:r>
        <w:rPr>
          <w:noProof/>
        </w:rPr>
        <w:sym w:font="Wingdings" w:char="F0FD"/>
      </w:r>
      <w:r>
        <w:rPr>
          <w:noProof/>
        </w:rPr>
        <w:tab/>
        <w:t>Predlog/pobuda je v skladu z veljavnim večletnim finančnim okvirom.</w:t>
      </w:r>
    </w:p>
    <w:p w:rsidR="00BF2E49" w:rsidRDefault="002542A5">
      <w:pPr>
        <w:pStyle w:val="ListDash1"/>
        <w:rPr>
          <w:noProof/>
        </w:rPr>
      </w:pPr>
      <w:r>
        <w:rPr>
          <w:noProof/>
        </w:rPr>
        <w:sym w:font="Wingdings" w:char="F0A8"/>
      </w:r>
      <w:r>
        <w:rPr>
          <w:noProof/>
        </w:rPr>
        <w:tab/>
        <w:t>Za predlog/pobudo je potrebna sprememba zadevnega razdelka večletnega finančnega okvira.</w:t>
      </w:r>
    </w:p>
    <w:p w:rsidR="00BF2E49" w:rsidRDefault="002542A5">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rsidR="00BF2E49" w:rsidRDefault="00BF2E49">
      <w:pPr>
        <w:pStyle w:val="Text1"/>
        <w:pBdr>
          <w:top w:val="single" w:sz="4" w:space="1" w:color="auto"/>
          <w:left w:val="single" w:sz="4" w:space="4" w:color="auto"/>
          <w:bottom w:val="single" w:sz="4" w:space="1" w:color="auto"/>
          <w:right w:val="single" w:sz="4" w:space="4" w:color="auto"/>
        </w:pBdr>
        <w:rPr>
          <w:noProof/>
        </w:rPr>
      </w:pPr>
    </w:p>
    <w:p w:rsidR="00BF2E49" w:rsidRDefault="002542A5">
      <w:pPr>
        <w:pStyle w:val="ListDash1"/>
        <w:rPr>
          <w:noProof/>
        </w:rPr>
      </w:pPr>
      <w:r>
        <w:rPr>
          <w:noProof/>
        </w:rPr>
        <w:sym w:font="Wingdings" w:char="F0A8"/>
      </w:r>
      <w:r>
        <w:rPr>
          <w:noProof/>
        </w:rPr>
        <w:tab/>
        <w:t>Za predlog/pobudo je potrebna uporaba instrumenta prilagodljivosti ali sprememba večletnega finančnega okvira.</w:t>
      </w:r>
    </w:p>
    <w:p w:rsidR="00BF2E49" w:rsidRDefault="002542A5">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rsidR="00BF2E49" w:rsidRDefault="00BF2E49">
      <w:pPr>
        <w:pStyle w:val="Text1"/>
        <w:pBdr>
          <w:top w:val="single" w:sz="4" w:space="1" w:color="auto"/>
          <w:left w:val="single" w:sz="4" w:space="4" w:color="auto"/>
          <w:bottom w:val="single" w:sz="4" w:space="1" w:color="auto"/>
          <w:right w:val="single" w:sz="4" w:space="4" w:color="auto"/>
        </w:pBdr>
        <w:rPr>
          <w:noProof/>
        </w:rPr>
      </w:pPr>
    </w:p>
    <w:p w:rsidR="00BF2E49" w:rsidRDefault="002542A5">
      <w:pPr>
        <w:pStyle w:val="ManualHeading3"/>
        <w:rPr>
          <w:bCs/>
          <w:noProof/>
          <w:szCs w:val="24"/>
        </w:rPr>
      </w:pPr>
      <w:r>
        <w:t>3.2.5.</w:t>
      </w:r>
      <w:r>
        <w:tab/>
      </w:r>
      <w:r>
        <w:rPr>
          <w:noProof/>
        </w:rPr>
        <w:t xml:space="preserve">Udeležba tretjih oseb pri financiranju </w:t>
      </w:r>
    </w:p>
    <w:p w:rsidR="00BF2E49" w:rsidRDefault="002542A5">
      <w:pPr>
        <w:pStyle w:val="ListDash1"/>
        <w:rPr>
          <w:noProof/>
        </w:rPr>
      </w:pPr>
      <w:r>
        <w:rPr>
          <w:noProof/>
        </w:rPr>
        <w:t xml:space="preserve">V predlogu/pobudi ni načrtovano sofinanciranje tretjih oseb. </w:t>
      </w:r>
    </w:p>
    <w:p w:rsidR="00BF2E49" w:rsidRDefault="002542A5">
      <w:pPr>
        <w:pStyle w:val="ListDash1"/>
        <w:rPr>
          <w:noProof/>
        </w:rPr>
      </w:pPr>
      <w:r>
        <w:rPr>
          <w:strike/>
          <w:noProof/>
        </w:rPr>
        <w:t>V predlogu/pobudi je načrtovano sofinanciranje, kot je ocenjeno v nadaljevanju:</w:t>
      </w:r>
    </w:p>
    <w:p w:rsidR="00BF2E49" w:rsidRDefault="002542A5">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F2E49">
        <w:trPr>
          <w:cantSplit/>
        </w:trPr>
        <w:tc>
          <w:tcPr>
            <w:tcW w:w="2340" w:type="dxa"/>
          </w:tcPr>
          <w:p w:rsidR="00BF2E49" w:rsidRDefault="00BF2E49">
            <w:pPr>
              <w:spacing w:before="60" w:after="60"/>
              <w:rPr>
                <w:noProof/>
                <w:sz w:val="20"/>
              </w:rPr>
            </w:pPr>
          </w:p>
        </w:tc>
        <w:tc>
          <w:tcPr>
            <w:tcW w:w="964"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N</w:t>
            </w:r>
          </w:p>
        </w:tc>
        <w:tc>
          <w:tcPr>
            <w:tcW w:w="964"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N+1</w:t>
            </w:r>
          </w:p>
        </w:tc>
        <w:tc>
          <w:tcPr>
            <w:tcW w:w="964"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N+2</w:t>
            </w:r>
          </w:p>
        </w:tc>
        <w:tc>
          <w:tcPr>
            <w:tcW w:w="964" w:type="dxa"/>
            <w:vAlign w:val="center"/>
          </w:tcPr>
          <w:p w:rsidR="00BF2E49" w:rsidRDefault="002542A5">
            <w:pPr>
              <w:jc w:val="center"/>
              <w:rPr>
                <w:noProof/>
                <w:sz w:val="20"/>
                <w:szCs w:val="20"/>
              </w:rPr>
            </w:pPr>
            <w:r>
              <w:rPr>
                <w:noProof/>
                <w:sz w:val="20"/>
                <w:szCs w:val="20"/>
              </w:rPr>
              <w:t>Leto</w:t>
            </w:r>
            <w:r>
              <w:rPr>
                <w:noProof/>
                <w:sz w:val="20"/>
                <w:szCs w:val="20"/>
              </w:rPr>
              <w:br/>
            </w:r>
            <w:r>
              <w:rPr>
                <w:b/>
                <w:noProof/>
                <w:sz w:val="20"/>
                <w:szCs w:val="20"/>
              </w:rPr>
              <w:t>N+3</w:t>
            </w:r>
          </w:p>
        </w:tc>
        <w:tc>
          <w:tcPr>
            <w:tcW w:w="2892" w:type="dxa"/>
            <w:gridSpan w:val="3"/>
            <w:vAlign w:val="center"/>
          </w:tcPr>
          <w:p w:rsidR="00BF2E49" w:rsidRDefault="002542A5">
            <w:pPr>
              <w:jc w:val="center"/>
              <w:rPr>
                <w:b/>
                <w:noProof/>
                <w:sz w:val="20"/>
                <w:szCs w:val="20"/>
              </w:rPr>
            </w:pPr>
            <w:r>
              <w:rPr>
                <w:noProof/>
                <w:sz w:val="20"/>
                <w:szCs w:val="20"/>
              </w:rPr>
              <w:t xml:space="preserve">Vstavite ustrezno </w:t>
            </w:r>
            <w:r>
              <w:rPr>
                <w:noProof/>
                <w:sz w:val="20"/>
                <w:szCs w:val="20"/>
              </w:rPr>
              <w:t>število let glede na trajanje posledic (gl. točko 1.6)</w:t>
            </w:r>
          </w:p>
        </w:tc>
        <w:tc>
          <w:tcPr>
            <w:tcW w:w="1158" w:type="dxa"/>
            <w:vAlign w:val="center"/>
          </w:tcPr>
          <w:p w:rsidR="00BF2E49" w:rsidRDefault="002542A5">
            <w:pPr>
              <w:spacing w:before="60" w:after="60"/>
              <w:jc w:val="center"/>
              <w:rPr>
                <w:noProof/>
                <w:sz w:val="20"/>
                <w:szCs w:val="20"/>
              </w:rPr>
            </w:pPr>
            <w:r>
              <w:rPr>
                <w:noProof/>
                <w:sz w:val="20"/>
                <w:szCs w:val="20"/>
              </w:rPr>
              <w:t>Skupaj</w:t>
            </w:r>
          </w:p>
        </w:tc>
      </w:tr>
      <w:tr w:rsidR="00BF2E49">
        <w:trPr>
          <w:cantSplit/>
        </w:trPr>
        <w:tc>
          <w:tcPr>
            <w:tcW w:w="2340" w:type="dxa"/>
          </w:tcPr>
          <w:p w:rsidR="00BF2E49" w:rsidRDefault="002542A5">
            <w:pPr>
              <w:rPr>
                <w:noProof/>
              </w:rPr>
            </w:pPr>
            <w:r>
              <w:rPr>
                <w:noProof/>
                <w:sz w:val="20"/>
              </w:rPr>
              <w:t>Navedite organ, ki bo sofinanciral predlog/pobudo</w:t>
            </w:r>
            <w:r>
              <w:rPr>
                <w:i/>
                <w:noProof/>
                <w:sz w:val="20"/>
              </w:rPr>
              <w:t xml:space="preserve"> </w:t>
            </w: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1158" w:type="dxa"/>
            <w:vAlign w:val="center"/>
          </w:tcPr>
          <w:p w:rsidR="00BF2E49" w:rsidRDefault="00BF2E49">
            <w:pPr>
              <w:spacing w:before="60" w:after="60"/>
              <w:jc w:val="center"/>
              <w:rPr>
                <w:noProof/>
                <w:sz w:val="20"/>
              </w:rPr>
            </w:pPr>
          </w:p>
        </w:tc>
      </w:tr>
      <w:tr w:rsidR="00BF2E49">
        <w:trPr>
          <w:cantSplit/>
        </w:trPr>
        <w:tc>
          <w:tcPr>
            <w:tcW w:w="2340" w:type="dxa"/>
          </w:tcPr>
          <w:p w:rsidR="00BF2E49" w:rsidRDefault="002542A5">
            <w:pPr>
              <w:spacing w:before="60" w:after="60"/>
              <w:jc w:val="left"/>
              <w:rPr>
                <w:noProof/>
                <w:sz w:val="20"/>
              </w:rPr>
            </w:pPr>
            <w:r>
              <w:rPr>
                <w:noProof/>
                <w:sz w:val="20"/>
              </w:rPr>
              <w:t xml:space="preserve">Sofinancirane odobritve SKUPAJ </w:t>
            </w: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964" w:type="dxa"/>
            <w:vAlign w:val="center"/>
          </w:tcPr>
          <w:p w:rsidR="00BF2E49" w:rsidRDefault="00BF2E49">
            <w:pPr>
              <w:spacing w:before="60" w:after="60"/>
              <w:jc w:val="center"/>
              <w:rPr>
                <w:noProof/>
                <w:sz w:val="20"/>
              </w:rPr>
            </w:pPr>
          </w:p>
        </w:tc>
        <w:tc>
          <w:tcPr>
            <w:tcW w:w="1158" w:type="dxa"/>
            <w:vAlign w:val="center"/>
          </w:tcPr>
          <w:p w:rsidR="00BF2E49" w:rsidRDefault="00BF2E49">
            <w:pPr>
              <w:spacing w:before="60" w:after="60"/>
              <w:jc w:val="center"/>
              <w:rPr>
                <w:noProof/>
                <w:sz w:val="20"/>
              </w:rPr>
            </w:pPr>
          </w:p>
        </w:tc>
      </w:tr>
    </w:tbl>
    <w:p w:rsidR="00BF2E49" w:rsidRDefault="002542A5">
      <w:pPr>
        <w:rPr>
          <w:noProof/>
        </w:rPr>
      </w:pPr>
      <w:r>
        <w:rPr>
          <w:noProof/>
        </w:rPr>
        <w:br/>
      </w:r>
    </w:p>
    <w:p w:rsidR="00BF2E49" w:rsidRDefault="002542A5">
      <w:pPr>
        <w:pStyle w:val="ManualHeading2"/>
        <w:rPr>
          <w:bCs/>
          <w:noProof/>
          <w:szCs w:val="24"/>
        </w:rPr>
      </w:pPr>
      <w:r>
        <w:rPr>
          <w:noProof/>
        </w:rPr>
        <w:br w:type="page"/>
      </w:r>
      <w:r>
        <w:t>3.3.</w:t>
      </w:r>
      <w:r>
        <w:tab/>
      </w:r>
      <w:r>
        <w:rPr>
          <w:noProof/>
        </w:rPr>
        <w:t xml:space="preserve">Ocenjene posledice za prihodke </w:t>
      </w:r>
    </w:p>
    <w:p w:rsidR="00BF2E49" w:rsidRDefault="002542A5">
      <w:pPr>
        <w:pStyle w:val="ListDash1"/>
        <w:rPr>
          <w:noProof/>
        </w:rPr>
      </w:pPr>
      <w:r>
        <w:rPr>
          <w:noProof/>
        </w:rPr>
        <w:sym w:font="Wingdings" w:char="F0FD"/>
      </w:r>
      <w:r>
        <w:rPr>
          <w:noProof/>
        </w:rPr>
        <w:tab/>
        <w:t xml:space="preserve">Predlog/pobuda nima finančnih posledic za </w:t>
      </w:r>
      <w:r>
        <w:rPr>
          <w:noProof/>
        </w:rPr>
        <w:t>prihodke.</w:t>
      </w:r>
    </w:p>
    <w:p w:rsidR="00BF2E49" w:rsidRDefault="002542A5">
      <w:pPr>
        <w:pStyle w:val="ListDash1"/>
        <w:rPr>
          <w:noProof/>
        </w:rPr>
      </w:pPr>
      <w:r>
        <w:rPr>
          <w:noProof/>
        </w:rPr>
        <w:sym w:font="Wingdings" w:char="F0A8"/>
      </w:r>
      <w:r>
        <w:rPr>
          <w:noProof/>
        </w:rPr>
        <w:tab/>
        <w:t>Predlog/pobuda ima finančne posledice, kot je pojasnjeno v nadaljevanju:</w:t>
      </w:r>
    </w:p>
    <w:p w:rsidR="00BF2E49" w:rsidRDefault="002542A5">
      <w:pPr>
        <w:pStyle w:val="ListNumberLevel3"/>
        <w:rPr>
          <w:noProof/>
        </w:rPr>
      </w:pPr>
      <w:r>
        <w:rPr>
          <w:noProof/>
        </w:rPr>
        <w:sym w:font="Wingdings" w:char="F0A8"/>
      </w:r>
      <w:r>
        <w:rPr>
          <w:noProof/>
        </w:rPr>
        <w:tab/>
        <w:t xml:space="preserve">za lastna sredstva, </w:t>
      </w:r>
    </w:p>
    <w:p w:rsidR="00BF2E49" w:rsidRDefault="002542A5">
      <w:pPr>
        <w:pStyle w:val="ListNumberLevel3"/>
        <w:rPr>
          <w:noProof/>
        </w:rPr>
      </w:pPr>
      <w:r>
        <w:rPr>
          <w:noProof/>
        </w:rPr>
        <w:sym w:font="Wingdings" w:char="F0A8"/>
      </w:r>
      <w:r>
        <w:rPr>
          <w:noProof/>
        </w:rPr>
        <w:tab/>
        <w:t xml:space="preserve">za razne prihodke. </w:t>
      </w:r>
    </w:p>
    <w:p w:rsidR="00BF2E49" w:rsidRDefault="002542A5">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F2E49">
        <w:trPr>
          <w:trHeight w:val="388"/>
        </w:trPr>
        <w:tc>
          <w:tcPr>
            <w:tcW w:w="2144" w:type="dxa"/>
            <w:vMerge w:val="restart"/>
            <w:vAlign w:val="center"/>
          </w:tcPr>
          <w:p w:rsidR="00BF2E49" w:rsidRDefault="002542A5">
            <w:pPr>
              <w:spacing w:before="40" w:after="40"/>
              <w:rPr>
                <w:noProof/>
                <w:sz w:val="18"/>
              </w:rPr>
            </w:pPr>
            <w:r>
              <w:rPr>
                <w:noProof/>
                <w:sz w:val="18"/>
              </w:rPr>
              <w:t>Proračunska vrstica prihodkov</w:t>
            </w:r>
          </w:p>
        </w:tc>
        <w:tc>
          <w:tcPr>
            <w:tcW w:w="1276" w:type="dxa"/>
            <w:vMerge w:val="restart"/>
            <w:vAlign w:val="center"/>
          </w:tcPr>
          <w:p w:rsidR="00BF2E49" w:rsidRDefault="002542A5">
            <w:pPr>
              <w:jc w:val="center"/>
              <w:rPr>
                <w:noProof/>
                <w:sz w:val="18"/>
              </w:rPr>
            </w:pPr>
            <w:r>
              <w:rPr>
                <w:noProof/>
                <w:sz w:val="18"/>
              </w:rPr>
              <w:t>Odobritve na voljo za tekoče proračunsko leto</w:t>
            </w:r>
          </w:p>
        </w:tc>
        <w:tc>
          <w:tcPr>
            <w:tcW w:w="7200" w:type="dxa"/>
            <w:gridSpan w:val="7"/>
            <w:vAlign w:val="center"/>
          </w:tcPr>
          <w:p w:rsidR="00BF2E49" w:rsidRDefault="002542A5">
            <w:pPr>
              <w:jc w:val="center"/>
              <w:rPr>
                <w:noProof/>
                <w:sz w:val="18"/>
              </w:rPr>
            </w:pPr>
            <w:r>
              <w:rPr>
                <w:noProof/>
                <w:sz w:val="18"/>
              </w:rPr>
              <w:t>Posledice predloga/pobude</w:t>
            </w:r>
            <w:r>
              <w:rPr>
                <w:rStyle w:val="FootnoteReference"/>
                <w:noProof/>
                <w:sz w:val="18"/>
              </w:rPr>
              <w:footnoteReference w:id="30"/>
            </w:r>
          </w:p>
        </w:tc>
      </w:tr>
      <w:tr w:rsidR="00BF2E49">
        <w:trPr>
          <w:trHeight w:val="388"/>
        </w:trPr>
        <w:tc>
          <w:tcPr>
            <w:tcW w:w="2144" w:type="dxa"/>
            <w:vMerge/>
          </w:tcPr>
          <w:p w:rsidR="00BF2E49" w:rsidRDefault="00BF2E49">
            <w:pPr>
              <w:spacing w:before="40" w:after="40"/>
              <w:rPr>
                <w:noProof/>
                <w:sz w:val="18"/>
              </w:rPr>
            </w:pPr>
          </w:p>
        </w:tc>
        <w:tc>
          <w:tcPr>
            <w:tcW w:w="1276" w:type="dxa"/>
            <w:vMerge/>
          </w:tcPr>
          <w:p w:rsidR="00BF2E49" w:rsidRDefault="00BF2E49">
            <w:pPr>
              <w:spacing w:beforeLines="40" w:before="96" w:afterLines="40" w:after="96"/>
              <w:rPr>
                <w:i/>
                <w:noProof/>
                <w:sz w:val="18"/>
              </w:rPr>
            </w:pPr>
          </w:p>
        </w:tc>
        <w:tc>
          <w:tcPr>
            <w:tcW w:w="1080" w:type="dxa"/>
            <w:vAlign w:val="center"/>
          </w:tcPr>
          <w:p w:rsidR="00BF2E49" w:rsidRDefault="002542A5">
            <w:pPr>
              <w:jc w:val="center"/>
              <w:rPr>
                <w:noProof/>
                <w:sz w:val="18"/>
                <w:szCs w:val="18"/>
              </w:rPr>
            </w:pPr>
            <w:r>
              <w:rPr>
                <w:noProof/>
                <w:sz w:val="18"/>
                <w:szCs w:val="18"/>
              </w:rPr>
              <w:t>Leto</w:t>
            </w:r>
            <w:r>
              <w:rPr>
                <w:noProof/>
                <w:sz w:val="18"/>
                <w:szCs w:val="18"/>
              </w:rPr>
              <w:br/>
            </w:r>
            <w:r>
              <w:rPr>
                <w:b/>
                <w:noProof/>
                <w:sz w:val="18"/>
                <w:szCs w:val="18"/>
              </w:rPr>
              <w:t>N</w:t>
            </w:r>
          </w:p>
        </w:tc>
        <w:tc>
          <w:tcPr>
            <w:tcW w:w="900" w:type="dxa"/>
            <w:vAlign w:val="center"/>
          </w:tcPr>
          <w:p w:rsidR="00BF2E49" w:rsidRDefault="002542A5">
            <w:pPr>
              <w:jc w:val="center"/>
              <w:rPr>
                <w:noProof/>
                <w:sz w:val="18"/>
                <w:szCs w:val="18"/>
              </w:rPr>
            </w:pPr>
            <w:r>
              <w:rPr>
                <w:noProof/>
                <w:sz w:val="18"/>
                <w:szCs w:val="18"/>
              </w:rPr>
              <w:t>Leto</w:t>
            </w:r>
            <w:r>
              <w:rPr>
                <w:noProof/>
                <w:sz w:val="18"/>
                <w:szCs w:val="18"/>
              </w:rPr>
              <w:br/>
            </w:r>
            <w:r>
              <w:rPr>
                <w:b/>
                <w:noProof/>
                <w:sz w:val="18"/>
                <w:szCs w:val="18"/>
              </w:rPr>
              <w:t>N+1</w:t>
            </w:r>
          </w:p>
        </w:tc>
        <w:tc>
          <w:tcPr>
            <w:tcW w:w="900" w:type="dxa"/>
            <w:vAlign w:val="center"/>
          </w:tcPr>
          <w:p w:rsidR="00BF2E49" w:rsidRDefault="002542A5">
            <w:pPr>
              <w:jc w:val="center"/>
              <w:rPr>
                <w:noProof/>
                <w:sz w:val="18"/>
                <w:szCs w:val="18"/>
              </w:rPr>
            </w:pPr>
            <w:r>
              <w:rPr>
                <w:noProof/>
                <w:sz w:val="18"/>
                <w:szCs w:val="18"/>
              </w:rPr>
              <w:t>Leto</w:t>
            </w:r>
            <w:r>
              <w:rPr>
                <w:noProof/>
                <w:sz w:val="18"/>
                <w:szCs w:val="18"/>
              </w:rPr>
              <w:br/>
            </w:r>
            <w:r>
              <w:rPr>
                <w:b/>
                <w:noProof/>
                <w:sz w:val="18"/>
                <w:szCs w:val="18"/>
              </w:rPr>
              <w:t>N+2</w:t>
            </w:r>
          </w:p>
        </w:tc>
        <w:tc>
          <w:tcPr>
            <w:tcW w:w="1080" w:type="dxa"/>
            <w:vAlign w:val="center"/>
          </w:tcPr>
          <w:p w:rsidR="00BF2E49" w:rsidRDefault="002542A5">
            <w:pPr>
              <w:jc w:val="center"/>
              <w:rPr>
                <w:noProof/>
                <w:sz w:val="18"/>
                <w:szCs w:val="18"/>
              </w:rPr>
            </w:pPr>
            <w:r>
              <w:rPr>
                <w:noProof/>
                <w:sz w:val="18"/>
                <w:szCs w:val="18"/>
              </w:rPr>
              <w:t>Leto</w:t>
            </w:r>
            <w:r>
              <w:rPr>
                <w:noProof/>
                <w:sz w:val="18"/>
                <w:szCs w:val="18"/>
              </w:rPr>
              <w:br/>
            </w:r>
            <w:r>
              <w:rPr>
                <w:b/>
                <w:noProof/>
                <w:sz w:val="18"/>
                <w:szCs w:val="18"/>
              </w:rPr>
              <w:t>N+3</w:t>
            </w:r>
          </w:p>
        </w:tc>
        <w:tc>
          <w:tcPr>
            <w:tcW w:w="3240" w:type="dxa"/>
            <w:gridSpan w:val="3"/>
            <w:vAlign w:val="center"/>
          </w:tcPr>
          <w:p w:rsidR="00BF2E49" w:rsidRDefault="002542A5">
            <w:pPr>
              <w:jc w:val="center"/>
              <w:rPr>
                <w:b/>
                <w:noProof/>
                <w:sz w:val="18"/>
              </w:rPr>
            </w:pPr>
            <w:r>
              <w:rPr>
                <w:noProof/>
                <w:sz w:val="18"/>
              </w:rPr>
              <w:t>Vstavite ustrezno število let glede na trajanje posledic (gl. točko 1.6)</w:t>
            </w:r>
          </w:p>
        </w:tc>
      </w:tr>
      <w:tr w:rsidR="00BF2E49">
        <w:trPr>
          <w:trHeight w:val="388"/>
        </w:trPr>
        <w:tc>
          <w:tcPr>
            <w:tcW w:w="2144" w:type="dxa"/>
            <w:vAlign w:val="center"/>
          </w:tcPr>
          <w:p w:rsidR="00BF2E49" w:rsidRDefault="002542A5">
            <w:pPr>
              <w:spacing w:before="40" w:after="40"/>
              <w:rPr>
                <w:noProof/>
                <w:sz w:val="18"/>
              </w:rPr>
            </w:pPr>
            <w:r>
              <w:rPr>
                <w:noProof/>
                <w:sz w:val="18"/>
              </w:rPr>
              <w:t>Člen ………….</w:t>
            </w:r>
          </w:p>
        </w:tc>
        <w:tc>
          <w:tcPr>
            <w:tcW w:w="1276" w:type="dxa"/>
          </w:tcPr>
          <w:p w:rsidR="00BF2E49" w:rsidRDefault="00BF2E49">
            <w:pPr>
              <w:spacing w:beforeLines="40" w:before="96" w:afterLines="40" w:after="96"/>
              <w:jc w:val="center"/>
              <w:rPr>
                <w:i/>
                <w:noProof/>
                <w:sz w:val="18"/>
              </w:rPr>
            </w:pPr>
          </w:p>
        </w:tc>
        <w:tc>
          <w:tcPr>
            <w:tcW w:w="1080" w:type="dxa"/>
          </w:tcPr>
          <w:p w:rsidR="00BF2E49" w:rsidRDefault="00BF2E49">
            <w:pPr>
              <w:spacing w:beforeLines="40" w:before="96" w:afterLines="40" w:after="96"/>
              <w:jc w:val="center"/>
              <w:rPr>
                <w:noProof/>
                <w:sz w:val="18"/>
              </w:rPr>
            </w:pPr>
          </w:p>
        </w:tc>
        <w:tc>
          <w:tcPr>
            <w:tcW w:w="900" w:type="dxa"/>
          </w:tcPr>
          <w:p w:rsidR="00BF2E49" w:rsidRDefault="00BF2E49">
            <w:pPr>
              <w:spacing w:beforeLines="40" w:before="96" w:afterLines="40" w:after="96"/>
              <w:jc w:val="center"/>
              <w:rPr>
                <w:noProof/>
                <w:sz w:val="18"/>
              </w:rPr>
            </w:pPr>
          </w:p>
        </w:tc>
        <w:tc>
          <w:tcPr>
            <w:tcW w:w="900" w:type="dxa"/>
          </w:tcPr>
          <w:p w:rsidR="00BF2E49" w:rsidRDefault="00BF2E49">
            <w:pPr>
              <w:spacing w:beforeLines="40" w:before="96" w:afterLines="40" w:after="96"/>
              <w:jc w:val="center"/>
              <w:rPr>
                <w:noProof/>
                <w:sz w:val="18"/>
              </w:rPr>
            </w:pPr>
          </w:p>
        </w:tc>
        <w:tc>
          <w:tcPr>
            <w:tcW w:w="1080" w:type="dxa"/>
          </w:tcPr>
          <w:p w:rsidR="00BF2E49" w:rsidRDefault="00BF2E49">
            <w:pPr>
              <w:spacing w:beforeLines="40" w:before="96" w:afterLines="40" w:after="96"/>
              <w:jc w:val="center"/>
              <w:rPr>
                <w:noProof/>
                <w:sz w:val="18"/>
              </w:rPr>
            </w:pPr>
          </w:p>
        </w:tc>
        <w:tc>
          <w:tcPr>
            <w:tcW w:w="1080" w:type="dxa"/>
          </w:tcPr>
          <w:p w:rsidR="00BF2E49" w:rsidRDefault="00BF2E49">
            <w:pPr>
              <w:spacing w:beforeLines="40" w:before="96" w:afterLines="40" w:after="96"/>
              <w:jc w:val="center"/>
              <w:rPr>
                <w:noProof/>
                <w:sz w:val="18"/>
              </w:rPr>
            </w:pPr>
          </w:p>
        </w:tc>
        <w:tc>
          <w:tcPr>
            <w:tcW w:w="1080" w:type="dxa"/>
          </w:tcPr>
          <w:p w:rsidR="00BF2E49" w:rsidRDefault="00BF2E49">
            <w:pPr>
              <w:spacing w:beforeLines="40" w:before="96" w:afterLines="40" w:after="96"/>
              <w:jc w:val="center"/>
              <w:rPr>
                <w:noProof/>
                <w:sz w:val="18"/>
              </w:rPr>
            </w:pPr>
          </w:p>
        </w:tc>
        <w:tc>
          <w:tcPr>
            <w:tcW w:w="1080" w:type="dxa"/>
          </w:tcPr>
          <w:p w:rsidR="00BF2E49" w:rsidRDefault="00BF2E49">
            <w:pPr>
              <w:spacing w:beforeLines="40" w:before="96" w:afterLines="40" w:after="96"/>
              <w:jc w:val="center"/>
              <w:rPr>
                <w:noProof/>
                <w:sz w:val="18"/>
              </w:rPr>
            </w:pPr>
          </w:p>
        </w:tc>
      </w:tr>
    </w:tbl>
    <w:p w:rsidR="00BF2E49" w:rsidRDefault="002542A5">
      <w:pPr>
        <w:pStyle w:val="Text1"/>
        <w:rPr>
          <w:noProof/>
          <w:sz w:val="20"/>
        </w:rPr>
      </w:pPr>
      <w:r>
        <w:rPr>
          <w:noProof/>
          <w:sz w:val="20"/>
        </w:rPr>
        <w:t>Za razne namenske prejemke navedite zadevne proračunske vrstice odhodkov.</w:t>
      </w:r>
    </w:p>
    <w:p w:rsidR="00BF2E49" w:rsidRDefault="00BF2E49">
      <w:pPr>
        <w:pStyle w:val="Text1"/>
        <w:pBdr>
          <w:top w:val="single" w:sz="4" w:space="1" w:color="auto"/>
          <w:left w:val="single" w:sz="4" w:space="4" w:color="auto"/>
          <w:bottom w:val="single" w:sz="4" w:space="1" w:color="auto"/>
          <w:right w:val="single" w:sz="4" w:space="4" w:color="auto"/>
        </w:pBdr>
        <w:rPr>
          <w:noProof/>
        </w:rPr>
      </w:pPr>
    </w:p>
    <w:p w:rsidR="00BF2E49" w:rsidRDefault="002542A5">
      <w:pPr>
        <w:pStyle w:val="Text1"/>
        <w:rPr>
          <w:noProof/>
          <w:sz w:val="20"/>
        </w:rPr>
      </w:pPr>
      <w:r>
        <w:rPr>
          <w:noProof/>
          <w:sz w:val="20"/>
        </w:rPr>
        <w:t xml:space="preserve">Navedite metodo za </w:t>
      </w:r>
      <w:r>
        <w:rPr>
          <w:noProof/>
          <w:sz w:val="20"/>
        </w:rPr>
        <w:t>izračun posledic za prihodke.</w:t>
      </w:r>
    </w:p>
    <w:p w:rsidR="00BF2E49" w:rsidRDefault="00BF2E49">
      <w:pPr>
        <w:pStyle w:val="Text1"/>
        <w:pBdr>
          <w:top w:val="single" w:sz="4" w:space="1" w:color="auto"/>
          <w:left w:val="single" w:sz="4" w:space="4" w:color="auto"/>
          <w:bottom w:val="single" w:sz="4" w:space="1" w:color="auto"/>
          <w:right w:val="single" w:sz="4" w:space="4" w:color="auto"/>
        </w:pBdr>
        <w:rPr>
          <w:noProof/>
        </w:rPr>
      </w:pPr>
    </w:p>
    <w:sectPr w:rsidR="00BF2E4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49" w:rsidRDefault="002542A5">
      <w:pPr>
        <w:spacing w:before="0" w:after="0"/>
      </w:pPr>
      <w:r>
        <w:separator/>
      </w:r>
    </w:p>
  </w:endnote>
  <w:endnote w:type="continuationSeparator" w:id="0">
    <w:p w:rsidR="00BF2E49" w:rsidRDefault="002542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U 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2542A5">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2542A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w:instrText>
    </w:r>
    <w:r>
      <w:instrText xml:space="preserve">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2542A5">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2542A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49" w:rsidRDefault="002542A5">
      <w:pPr>
        <w:spacing w:before="0" w:after="0"/>
      </w:pPr>
      <w:r>
        <w:separator/>
      </w:r>
    </w:p>
  </w:footnote>
  <w:footnote w:type="continuationSeparator" w:id="0">
    <w:p w:rsidR="00BF2E49" w:rsidRDefault="002542A5">
      <w:pPr>
        <w:spacing w:before="0" w:after="0"/>
      </w:pPr>
      <w:r>
        <w:continuationSeparator/>
      </w:r>
    </w:p>
  </w:footnote>
  <w:footnote w:id="1">
    <w:p w:rsidR="00BF2E49" w:rsidRDefault="002542A5">
      <w:pPr>
        <w:pStyle w:val="FootnoteText"/>
        <w:ind w:left="142" w:hanging="142"/>
      </w:pPr>
      <w:r>
        <w:rPr>
          <w:rStyle w:val="FootnoteReference"/>
        </w:rPr>
        <w:footnoteRef/>
      </w:r>
      <w:r>
        <w:tab/>
      </w:r>
      <w:hyperlink r:id="rId1">
        <w:r>
          <w:rPr>
            <w:rStyle w:val="Hyperlink"/>
          </w:rPr>
          <w:t>Priporočilo Komisije z dne 6.12.2012</w:t>
        </w:r>
      </w:hyperlink>
      <w:r>
        <w:t xml:space="preserve"> o agresivnem davčnem načrtovanju.</w:t>
      </w:r>
    </w:p>
  </w:footnote>
  <w:footnote w:id="2">
    <w:p w:rsidR="00BF2E49" w:rsidRDefault="002542A5">
      <w:pPr>
        <w:pStyle w:val="FootnoteText"/>
        <w:ind w:left="142" w:hanging="142"/>
      </w:pPr>
      <w:r>
        <w:rPr>
          <w:rStyle w:val="FootnoteReference"/>
        </w:rPr>
        <w:footnoteRef/>
      </w:r>
      <w:r>
        <w:tab/>
        <w:t>UL 98/C 2/01.</w:t>
      </w:r>
    </w:p>
  </w:footnote>
  <w:footnote w:id="3">
    <w:p w:rsidR="00BF2E49" w:rsidRDefault="002542A5">
      <w:pPr>
        <w:pStyle w:val="FootnoteText"/>
        <w:ind w:left="142" w:hanging="142"/>
      </w:pPr>
      <w:r>
        <w:rPr>
          <w:rStyle w:val="FootnoteReference"/>
        </w:rPr>
        <w:footnoteRef/>
      </w:r>
      <w:r>
        <w:tab/>
        <w:t>Dokument</w:t>
      </w:r>
      <w:r>
        <w:t xml:space="preserve"> 10903/12 FISC 77. </w:t>
      </w:r>
    </w:p>
  </w:footnote>
  <w:footnote w:id="4">
    <w:p w:rsidR="00BF2E49" w:rsidRDefault="002542A5">
      <w:pPr>
        <w:pStyle w:val="FootnoteText"/>
        <w:ind w:left="142" w:hanging="142"/>
      </w:pPr>
      <w:r>
        <w:rPr>
          <w:rStyle w:val="FootnoteReference"/>
        </w:rPr>
        <w:footnoteRef/>
      </w:r>
      <w:r>
        <w:tab/>
      </w:r>
      <w:hyperlink r:id="rId2">
        <w:r>
          <w:rPr>
            <w:rStyle w:val="Hyperlink"/>
          </w:rPr>
          <w:t>http://ec.europa.eu/priorities/work-programme/index_en.htm.</w:t>
        </w:r>
      </w:hyperlink>
      <w:r>
        <w:t xml:space="preserve"> </w:t>
      </w:r>
    </w:p>
  </w:footnote>
  <w:footnote w:id="5">
    <w:p w:rsidR="00BF2E49" w:rsidRDefault="002542A5">
      <w:pPr>
        <w:spacing w:before="0" w:after="0"/>
        <w:ind w:left="142" w:hanging="142"/>
      </w:pPr>
      <w:r>
        <w:rPr>
          <w:rStyle w:val="FootnoteReference"/>
        </w:rPr>
        <w:footnoteRef/>
      </w:r>
      <w:r>
        <w:rPr>
          <w:sz w:val="20"/>
          <w:szCs w:val="20"/>
        </w:rPr>
        <w:tab/>
        <w:t>Resolucija Evropskega parlamenta z dne 21. maja 2013 o boju proti davčnim goljufijam, davčnim</w:t>
      </w:r>
      <w:r>
        <w:rPr>
          <w:sz w:val="20"/>
          <w:szCs w:val="20"/>
        </w:rPr>
        <w:t xml:space="preserve"> utajam in davčnim oazam (Poročilo poročevalke </w:t>
      </w:r>
      <w:proofErr w:type="spellStart"/>
      <w:r>
        <w:rPr>
          <w:sz w:val="20"/>
          <w:szCs w:val="20"/>
        </w:rPr>
        <w:t>Kleva</w:t>
      </w:r>
      <w:proofErr w:type="spellEnd"/>
      <w:r>
        <w:rPr>
          <w:sz w:val="20"/>
          <w:szCs w:val="20"/>
        </w:rPr>
        <w:t>) – 2013/2025 (INI).</w:t>
      </w:r>
    </w:p>
  </w:footnote>
  <w:footnote w:id="6">
    <w:p w:rsidR="00BF2E49" w:rsidRDefault="002542A5">
      <w:pPr>
        <w:spacing w:before="0" w:after="0"/>
        <w:ind w:left="142" w:hanging="142"/>
      </w:pPr>
      <w:r>
        <w:rPr>
          <w:rStyle w:val="FootnoteReference"/>
        </w:rPr>
        <w:footnoteRef/>
      </w:r>
      <w:r>
        <w:rPr>
          <w:sz w:val="20"/>
          <w:szCs w:val="20"/>
        </w:rPr>
        <w:tab/>
        <w:t xml:space="preserve">Mnenje Evropskega ekonomsko-socialnega odbora z dne 17. aprila 2013 o sporočilu Komisije Evropskemu parlamentu in Svetu – Akcijski načrt za okrepljeni bolj proti davčnim goljufijam </w:t>
      </w:r>
      <w:r>
        <w:rPr>
          <w:sz w:val="20"/>
          <w:szCs w:val="20"/>
        </w:rPr>
        <w:t xml:space="preserve">in davčnim utajam COM(2012) 722 </w:t>
      </w:r>
      <w:proofErr w:type="spellStart"/>
      <w:r>
        <w:rPr>
          <w:sz w:val="20"/>
          <w:szCs w:val="20"/>
        </w:rPr>
        <w:t>final</w:t>
      </w:r>
      <w:proofErr w:type="spellEnd"/>
      <w:r>
        <w:rPr>
          <w:sz w:val="20"/>
          <w:szCs w:val="20"/>
        </w:rPr>
        <w:t xml:space="preserve"> (Poročilo poročevalca </w:t>
      </w:r>
      <w:proofErr w:type="spellStart"/>
      <w:r>
        <w:rPr>
          <w:sz w:val="20"/>
          <w:szCs w:val="20"/>
        </w:rPr>
        <w:t>Dandee</w:t>
      </w:r>
      <w:proofErr w:type="spellEnd"/>
      <w:r>
        <w:rPr>
          <w:sz w:val="20"/>
          <w:szCs w:val="20"/>
        </w:rPr>
        <w:t>) – CESE 101/2013.</w:t>
      </w:r>
    </w:p>
  </w:footnote>
  <w:footnote w:id="7">
    <w:p w:rsidR="00BF2E49" w:rsidRDefault="002542A5">
      <w:pPr>
        <w:pStyle w:val="FootnoteText"/>
        <w:ind w:left="142" w:hanging="142"/>
      </w:pPr>
      <w:r>
        <w:rPr>
          <w:rStyle w:val="FootnoteReference"/>
        </w:rPr>
        <w:footnoteRef/>
      </w:r>
      <w:r>
        <w:tab/>
        <w:t xml:space="preserve">Javno dostopna poročila skupine za kodeks ravnanja (obdavčitev podjetij) so na voljo </w:t>
      </w:r>
      <w:hyperlink r:id="rId3">
        <w:r>
          <w:rPr>
            <w:rStyle w:val="Hyperlink"/>
          </w:rPr>
          <w:t>tukaj</w:t>
        </w:r>
      </w:hyperlink>
      <w:r>
        <w:rPr>
          <w:rStyle w:val="Hyperlink"/>
        </w:rPr>
        <w:t>.</w:t>
      </w:r>
    </w:p>
  </w:footnote>
  <w:footnote w:id="8">
    <w:p w:rsidR="00BF2E49" w:rsidRDefault="002542A5">
      <w:pPr>
        <w:pStyle w:val="FootnoteText"/>
        <w:ind w:left="142" w:hanging="142"/>
      </w:pPr>
      <w:r>
        <w:rPr>
          <w:rStyle w:val="FootnoteReference"/>
        </w:rPr>
        <w:footnoteRef/>
      </w:r>
      <w:r>
        <w:tab/>
        <w:t>Kot je bilo ugotovljeno v projektu OECD za preprečevanje erozije davčne osnove in preusmeritve dobička.</w:t>
      </w:r>
    </w:p>
  </w:footnote>
  <w:footnote w:id="9">
    <w:p w:rsidR="00BF2E49" w:rsidRDefault="002542A5">
      <w:pPr>
        <w:pStyle w:val="FootnoteText"/>
        <w:ind w:left="142" w:hanging="142"/>
      </w:pPr>
      <w:r>
        <w:rPr>
          <w:rStyle w:val="FootnoteReference"/>
        </w:rPr>
        <w:footnoteRef/>
      </w:r>
      <w:r>
        <w:tab/>
        <w:t xml:space="preserve">UL L 359, 16.12.2014. </w:t>
      </w:r>
    </w:p>
  </w:footnote>
  <w:footnote w:id="10">
    <w:p w:rsidR="00BF2E49" w:rsidRDefault="002542A5">
      <w:pPr>
        <w:pStyle w:val="FootnoteText"/>
        <w:ind w:left="142" w:hanging="142"/>
      </w:pPr>
      <w:r>
        <w:rPr>
          <w:rStyle w:val="FootnoteReference"/>
        </w:rPr>
        <w:footnoteRef/>
      </w:r>
      <w:r>
        <w:tab/>
        <w:t>UL C , , str. .</w:t>
      </w:r>
    </w:p>
  </w:footnote>
  <w:footnote w:id="11">
    <w:p w:rsidR="00BF2E49" w:rsidRDefault="002542A5">
      <w:pPr>
        <w:pStyle w:val="FootnoteText"/>
        <w:ind w:left="142" w:hanging="142"/>
      </w:pPr>
      <w:r>
        <w:rPr>
          <w:rStyle w:val="FootnoteReference"/>
        </w:rPr>
        <w:footnoteRef/>
      </w:r>
      <w:r>
        <w:tab/>
        <w:t>UL C , , str. .</w:t>
      </w:r>
    </w:p>
  </w:footnote>
  <w:footnote w:id="12">
    <w:p w:rsidR="00BF2E49" w:rsidRDefault="002542A5">
      <w:pPr>
        <w:pStyle w:val="FootnoteText"/>
        <w:ind w:left="142" w:hanging="142"/>
      </w:pPr>
      <w:r>
        <w:rPr>
          <w:rStyle w:val="FootnoteReference"/>
        </w:rPr>
        <w:footnoteRef/>
      </w:r>
      <w:r>
        <w:tab/>
        <w:t>UL C , , str. .</w:t>
      </w:r>
    </w:p>
  </w:footnote>
  <w:footnote w:id="13">
    <w:p w:rsidR="00BF2E49" w:rsidRDefault="002542A5">
      <w:pPr>
        <w:pStyle w:val="FootnoteText"/>
        <w:ind w:left="142" w:hanging="142"/>
      </w:pPr>
      <w:r>
        <w:rPr>
          <w:rStyle w:val="FootnoteReference"/>
        </w:rPr>
        <w:footnoteRef/>
      </w:r>
      <w:r>
        <w:tab/>
        <w:t>Direktiva Sveta 2011/16/EU z dne 15. februarja 2011 o upravnem sodelovanju na področju obdavčevanja in razveljavitvi Direktive 77/799/EGS (UL L 64, 11.3.2011, str. 1).</w:t>
      </w:r>
    </w:p>
  </w:footnote>
  <w:footnote w:id="14">
    <w:p w:rsidR="00BF2E49" w:rsidRDefault="002542A5">
      <w:pPr>
        <w:pStyle w:val="FootnoteText"/>
        <w:ind w:left="142" w:hanging="142"/>
      </w:pPr>
      <w:r>
        <w:rPr>
          <w:rStyle w:val="FootnoteReference"/>
        </w:rPr>
        <w:footnoteRef/>
      </w:r>
      <w:r>
        <w:tab/>
        <w:t>UL C</w:t>
      </w:r>
      <w:r>
        <w:t xml:space="preserve"> 369, 17.12.2011, str. 14.</w:t>
      </w:r>
    </w:p>
  </w:footnote>
  <w:footnote w:id="15">
    <w:p w:rsidR="00BF2E49" w:rsidRDefault="002542A5">
      <w:pPr>
        <w:pStyle w:val="FootnoteText"/>
        <w:rPr>
          <w:szCs w:val="24"/>
        </w:rPr>
      </w:pPr>
      <w:r>
        <w:rPr>
          <w:rStyle w:val="FootnoteReference"/>
        </w:rPr>
        <w:footnoteRef/>
      </w:r>
      <w:r>
        <w:tab/>
        <w:t>ABM: upravljanje po dejavnostih, ABB: oblikovanje proračuna po dejavnostih.</w:t>
      </w:r>
    </w:p>
  </w:footnote>
  <w:footnote w:id="16">
    <w:p w:rsidR="00BF2E49" w:rsidRDefault="002542A5">
      <w:pPr>
        <w:pStyle w:val="FootnoteText"/>
        <w:rPr>
          <w:szCs w:val="24"/>
        </w:rPr>
      </w:pPr>
      <w:r>
        <w:rPr>
          <w:rStyle w:val="FootnoteReference"/>
        </w:rPr>
        <w:footnoteRef/>
      </w:r>
      <w:r>
        <w:tab/>
        <w:t>Po členu 54(2)(a) oz. (b) finančne uredbe.</w:t>
      </w:r>
    </w:p>
  </w:footnote>
  <w:footnote w:id="17">
    <w:p w:rsidR="00BF2E49" w:rsidRDefault="002542A5">
      <w:pPr>
        <w:pStyle w:val="FootnoteText"/>
      </w:pPr>
      <w:r>
        <w:rPr>
          <w:rStyle w:val="FootnoteReference"/>
        </w:rPr>
        <w:footnoteRef/>
      </w:r>
      <w:r>
        <w:tab/>
        <w:t xml:space="preserve">Pojasnila o načinih upravljanja in sklici na finančno uredbo so na voljo na spletišču </w:t>
      </w:r>
      <w:proofErr w:type="spellStart"/>
      <w:r>
        <w:t>BudgWeb</w:t>
      </w:r>
      <w:proofErr w:type="spellEnd"/>
      <w:r>
        <w:t>: http://ww</w:t>
      </w:r>
      <w:r>
        <w:t>w.cc.cec/budg/man/budgmanag/budgmanag_en.html</w:t>
      </w:r>
    </w:p>
  </w:footnote>
  <w:footnote w:id="18">
    <w:p w:rsidR="00BF2E49" w:rsidRDefault="002542A5">
      <w:pPr>
        <w:pStyle w:val="FootnoteText"/>
        <w:rPr>
          <w:szCs w:val="24"/>
        </w:rPr>
      </w:pPr>
      <w:r>
        <w:rPr>
          <w:rStyle w:val="FootnoteReference"/>
        </w:rPr>
        <w:footnoteRef/>
      </w:r>
      <w:r>
        <w:tab/>
      </w:r>
      <w:proofErr w:type="spellStart"/>
      <w:r>
        <w:t>Dif</w:t>
      </w:r>
      <w:proofErr w:type="spellEnd"/>
      <w:r>
        <w:t xml:space="preserve">. = diferencirana sredstva / </w:t>
      </w:r>
      <w:proofErr w:type="spellStart"/>
      <w:r>
        <w:t>nedif</w:t>
      </w:r>
      <w:proofErr w:type="spellEnd"/>
      <w:r>
        <w:t>. = nediferencirana sredstva.</w:t>
      </w:r>
    </w:p>
  </w:footnote>
  <w:footnote w:id="19">
    <w:p w:rsidR="00BF2E49" w:rsidRDefault="002542A5">
      <w:pPr>
        <w:pStyle w:val="FootnoteText"/>
        <w:rPr>
          <w:szCs w:val="24"/>
        </w:rPr>
      </w:pPr>
      <w:r>
        <w:rPr>
          <w:rStyle w:val="FootnoteReference"/>
        </w:rPr>
        <w:footnoteRef/>
      </w:r>
      <w:r>
        <w:tab/>
        <w:t xml:space="preserve">Efta: Evropsko združenje za prosto trgovino. </w:t>
      </w:r>
    </w:p>
  </w:footnote>
  <w:footnote w:id="20">
    <w:p w:rsidR="00BF2E49" w:rsidRDefault="002542A5">
      <w:pPr>
        <w:pStyle w:val="FootnoteText"/>
        <w:rPr>
          <w:szCs w:val="24"/>
        </w:rPr>
      </w:pPr>
      <w:r>
        <w:rPr>
          <w:rStyle w:val="FootnoteReference"/>
        </w:rPr>
        <w:footnoteRef/>
      </w:r>
      <w:r>
        <w:tab/>
        <w:t>Države kandidatke in po potrebi potencialne države kandidatke z Zahodnega Balkana.</w:t>
      </w:r>
    </w:p>
  </w:footnote>
  <w:footnote w:id="21">
    <w:p w:rsidR="00BF2E49" w:rsidRDefault="002542A5">
      <w:pPr>
        <w:pStyle w:val="FootnoteText"/>
        <w:rPr>
          <w:szCs w:val="24"/>
        </w:rPr>
      </w:pPr>
      <w:r>
        <w:rPr>
          <w:rStyle w:val="FootnoteReference"/>
        </w:rPr>
        <w:footnoteRef/>
      </w:r>
      <w:r>
        <w:tab/>
        <w:t>Leto 2</w:t>
      </w:r>
      <w:r>
        <w:t>016 je leto začetka izvajanja predloga/pobude.</w:t>
      </w:r>
    </w:p>
  </w:footnote>
  <w:footnote w:id="22">
    <w:p w:rsidR="00BF2E49" w:rsidRDefault="002542A5">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3">
    <w:p w:rsidR="00BF2E49" w:rsidRDefault="002542A5">
      <w:pPr>
        <w:pStyle w:val="FootnoteText"/>
        <w:rPr>
          <w:szCs w:val="24"/>
        </w:rPr>
      </w:pPr>
      <w:r>
        <w:rPr>
          <w:rStyle w:val="FootnoteReference"/>
        </w:rPr>
        <w:footnoteRef/>
      </w:r>
      <w:r>
        <w:tab/>
        <w:t>Leto 2016 je leto začetka izvajanja predloga/pobude.</w:t>
      </w:r>
    </w:p>
  </w:footnote>
  <w:footnote w:id="24">
    <w:p w:rsidR="00BF2E49" w:rsidRDefault="002542A5">
      <w:pPr>
        <w:pStyle w:val="FootnoteText"/>
        <w:rPr>
          <w:szCs w:val="24"/>
        </w:rPr>
      </w:pPr>
      <w:r>
        <w:rPr>
          <w:rStyle w:val="FootnoteReference"/>
        </w:rPr>
        <w:footnoteRef/>
      </w:r>
      <w:r>
        <w:tab/>
        <w:t>Realizacije so dobavljeni proizvodi in opravljene storitve (npr. število financiranih izmenjav študentov, število kilometrov novozgrajenih cest…).</w:t>
      </w:r>
    </w:p>
  </w:footnote>
  <w:footnote w:id="25">
    <w:p w:rsidR="00BF2E49" w:rsidRDefault="002542A5">
      <w:pPr>
        <w:pStyle w:val="FootnoteText"/>
        <w:rPr>
          <w:szCs w:val="24"/>
        </w:rPr>
      </w:pPr>
      <w:r>
        <w:rPr>
          <w:rStyle w:val="FootnoteReference"/>
        </w:rPr>
        <w:footnoteRef/>
      </w:r>
      <w:r>
        <w:tab/>
        <w:t xml:space="preserve">Kakor je opisan v točki 1.4.2 „Posamezni cilji…“. </w:t>
      </w:r>
    </w:p>
  </w:footnote>
  <w:footnote w:id="26">
    <w:p w:rsidR="00BF2E49" w:rsidRDefault="002542A5">
      <w:pPr>
        <w:pStyle w:val="FootnoteText"/>
        <w:rPr>
          <w:szCs w:val="24"/>
        </w:rPr>
      </w:pPr>
      <w:r>
        <w:rPr>
          <w:rStyle w:val="FootnoteReference"/>
        </w:rPr>
        <w:footnoteRef/>
      </w:r>
      <w:r>
        <w:tab/>
        <w:t>Leto 2016 je leto začetka izvajanja predloga/pobude.</w:t>
      </w:r>
    </w:p>
  </w:footnote>
  <w:footnote w:id="27">
    <w:p w:rsidR="00BF2E49" w:rsidRDefault="002542A5">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8">
    <w:p w:rsidR="00BF2E49" w:rsidRDefault="002542A5">
      <w:pPr>
        <w:pStyle w:val="FootnoteText"/>
        <w:rPr>
          <w:szCs w:val="24"/>
        </w:rPr>
      </w:pPr>
      <w:r>
        <w:rPr>
          <w:rStyle w:val="FootnoteReference"/>
        </w:rPr>
        <w:footnoteRef/>
      </w:r>
      <w:r>
        <w:tab/>
        <w:t>PU = pogodbeni uslužbenec; LU = lokalni uslužbenec; NNS = napoteni nacionalni strokovnjak; ZU = zač</w:t>
      </w:r>
      <w:r>
        <w:t xml:space="preserve">asni uslužbenec; MSD = mladi strokovnjak na delegaciji. </w:t>
      </w:r>
    </w:p>
  </w:footnote>
  <w:footnote w:id="29">
    <w:p w:rsidR="00BF2E49" w:rsidRDefault="002542A5">
      <w:pPr>
        <w:pStyle w:val="FootnoteText"/>
        <w:rPr>
          <w:szCs w:val="24"/>
        </w:rPr>
      </w:pPr>
      <w:r>
        <w:rPr>
          <w:rStyle w:val="FootnoteReference"/>
        </w:rPr>
        <w:footnoteRef/>
      </w:r>
      <w:r>
        <w:tab/>
        <w:t>Dodatna zgornja meja za zunanje sodelavce v okviru odobritev za poslovanje (prej vrstice BA).</w:t>
      </w:r>
    </w:p>
  </w:footnote>
  <w:footnote w:id="30">
    <w:p w:rsidR="00BF2E49" w:rsidRDefault="002542A5">
      <w:pPr>
        <w:pStyle w:val="FootnoteText"/>
        <w:rPr>
          <w:szCs w:val="24"/>
        </w:rPr>
      </w:pPr>
      <w:r>
        <w:rPr>
          <w:rStyle w:val="FootnoteReference"/>
        </w:rPr>
        <w:footnoteRef/>
      </w:r>
      <w:r>
        <w:tab/>
        <w:t>Pri tradicionalnih lastnih sredstvih (carine, prelevmani na sladkor) se navedejo neto zneski, tj. bru</w:t>
      </w:r>
      <w:r>
        <w:t>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49" w:rsidRDefault="00BF2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606A1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B49C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3E1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C0C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EE33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EE75F5"/>
    <w:multiLevelType w:val="multilevel"/>
    <w:tmpl w:val="DE226A70"/>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28"/>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0"/>
  </w:num>
  <w:num w:numId="14">
    <w:abstractNumId w:val="28"/>
  </w:num>
  <w:num w:numId="15">
    <w:abstractNumId w:val="24"/>
  </w:num>
  <w:num w:numId="16">
    <w:abstractNumId w:val="6"/>
  </w:num>
  <w:num w:numId="17">
    <w:abstractNumId w:val="25"/>
  </w:num>
  <w:num w:numId="18">
    <w:abstractNumId w:val="22"/>
  </w:num>
  <w:num w:numId="19">
    <w:abstractNumId w:val="19"/>
  </w:num>
  <w:num w:numId="20">
    <w:abstractNumId w:val="11"/>
  </w:num>
  <w:num w:numId="21">
    <w:abstractNumId w:val="23"/>
  </w:num>
  <w:num w:numId="22">
    <w:abstractNumId w:val="10"/>
  </w:num>
  <w:num w:numId="23">
    <w:abstractNumId w:val="12"/>
  </w:num>
  <w:num w:numId="24">
    <w:abstractNumId w:val="8"/>
  </w:num>
  <w:num w:numId="25">
    <w:abstractNumId w:val="21"/>
  </w:num>
  <w:num w:numId="26">
    <w:abstractNumId w:val="7"/>
  </w:num>
  <w:num w:numId="27">
    <w:abstractNumId w:val="13"/>
  </w:num>
  <w:num w:numId="28">
    <w:abstractNumId w:val="17"/>
  </w:num>
  <w:num w:numId="29">
    <w:abstractNumId w:val="18"/>
  </w:num>
  <w:num w:numId="30">
    <w:abstractNumId w:val="9"/>
  </w:num>
  <w:num w:numId="31">
    <w:abstractNumId w:val="16"/>
  </w:num>
  <w:num w:numId="32">
    <w:abstractNumId w:val="28"/>
  </w:num>
  <w:num w:numId="33">
    <w:abstractNumId w:val="19"/>
  </w:num>
  <w:num w:numId="34">
    <w:abstractNumId w:val="11"/>
  </w:num>
  <w:num w:numId="35">
    <w:abstractNumId w:val="23"/>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17: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0"/>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4"/>
    <w:docVar w:name="DQCStatus" w:val="Yellow"/>
    <w:docVar w:name="DQCVersion" w:val="2"/>
    <w:docVar w:name="DQCWithWarnings" w:val="0"/>
    <w:docVar w:name="LW_CONFIDENCE" w:val=" "/>
    <w:docVar w:name="LW_CONST_RESTREINT_UE" w:val="RESTREINT UE"/>
    <w:docVar w:name="LW_CORRIGENDUM" w:val="&lt;UNUSED&gt;"/>
    <w:docVar w:name="LW_COVERPAGE_GUID" w:val="796382DD06A34F849890AE341B8B7BF2"/>
    <w:docVar w:name="LW_CROSSREFERENCE" w:val="{SWD(2015) 60 final}"/>
    <w:docVar w:name="LW_DocType" w:val="COM"/>
    <w:docVar w:name="LW_EMISSION" w:val="18.3.2015"/>
    <w:docVar w:name="LW_EMISSION_ISODATE" w:val="2015-03-18"/>
    <w:docVar w:name="LW_EMISSION_LOCATION" w:val="BRX"/>
    <w:docVar w:name="LW_EMISSION_PREFIX" w:val="Bruselj,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068"/>
    <w:docVar w:name="LW_REF.II.NEW.CP_YEAR" w:val="2015"/>
    <w:docVar w:name="LW_REF.INST.NEW" w:val="COM"/>
    <w:docVar w:name="LW_REF.INST.NEW_ADOPTED" w:val="final"/>
    <w:docVar w:name="LW_REF.INST.NEW_TEXT" w:val="(2015) 135"/>
    <w:docVar w:name="LW_REF.INTERNE" w:val="&lt;UNUSED&gt;"/>
    <w:docVar w:name="LW_SOUS.TITRE.OBJ.CP" w:val="&lt;UNUSED&gt;"/>
    <w:docVar w:name="LW_STATUT.CP" w:val="Predlog"/>
    <w:docVar w:name="LW_SUPERTITRE" w:val="&lt;UNUSED&gt;"/>
    <w:docVar w:name="LW_TITRE.OBJ.CP" w:val="o spremembi Direktive 2011/16/EU glede obvezne avtomati\u269?ne izmenjave podatkov na podro\u269?ju obdav\u269?enja"/>
    <w:docVar w:name="LW_TYPE.DOC.CP" w:val="DIREKTIVA SVETA"/>
  </w:docVars>
  <w:rsids>
    <w:rsidRoot w:val="00BF2E49"/>
    <w:rsid w:val="002542A5"/>
    <w:rsid w:val="00BF2E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lang w:val="en-GB" w:eastAsia="en-GB"/>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lang w:val="en-GB" w:eastAsia="en-GB"/>
    </w:rPr>
  </w:style>
  <w:style w:type="paragraph" w:styleId="Revision">
    <w:name w:val="Revision"/>
    <w:hidden/>
    <w:uiPriority w:val="99"/>
    <w:semiHidden/>
    <w:rPr>
      <w:rFonts w:ascii="Times New Roman" w:eastAsia="Times New Roman" w:hAnsi="Times New Roman"/>
      <w:sz w:val="24"/>
      <w:lang w:val="en-GB" w:eastAsia="en-GB"/>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rPr>
  </w:style>
  <w:style w:type="paragraph" w:styleId="ListBullet2">
    <w:name w:val="List Bullet 2"/>
    <w:basedOn w:val="Normal"/>
    <w:uiPriority w:val="99"/>
    <w:pPr>
      <w:numPr>
        <w:numId w:val="6"/>
      </w:numPr>
    </w:pPr>
    <w:rPr>
      <w:rFonts w:eastAsia="Times New Roman"/>
      <w:lang w:val="fr-FR"/>
    </w:rPr>
  </w:style>
  <w:style w:type="paragraph" w:styleId="ListBullet3">
    <w:name w:val="List Bullet 3"/>
    <w:basedOn w:val="Normal"/>
    <w:uiPriority w:val="99"/>
    <w:semiHidden/>
    <w:unhideWhenUsed/>
    <w:pPr>
      <w:numPr>
        <w:numId w:val="7"/>
      </w:numPr>
      <w:contextualSpacing/>
    </w:pPr>
    <w:rPr>
      <w:rFonts w:eastAsia="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rPr>
      <w:rFonts w:eastAsia="Times New Roman"/>
      <w:b/>
      <w:bCs/>
    </w:rPr>
  </w:style>
  <w:style w:type="character" w:customStyle="1" w:styleId="CommentSubjectChar">
    <w:name w:val="Comment Subject Char"/>
    <w:link w:val="CommentSubject"/>
    <w:uiPriority w:val="99"/>
    <w:rPr>
      <w:rFonts w:ascii="Times New Roman" w:eastAsia="Times New Roman" w:hAnsi="Times New Roman" w:cs="Times New Roman"/>
      <w:b/>
      <w:bCs/>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4">
    <w:name w:val="List Bullet 4"/>
    <w:basedOn w:val="Normal"/>
    <w:uiPriority w:val="99"/>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NoSpacing">
    <w:name w:val="No Spacing"/>
    <w:uiPriority w:val="1"/>
    <w:qFormat/>
    <w:pPr>
      <w:jc w:val="both"/>
    </w:pPr>
    <w:rPr>
      <w:rFonts w:ascii="Times New Roman" w:eastAsia="Times New Roman" w:hAnsi="Times New Roman"/>
      <w:sz w:val="24"/>
      <w:lang w:val="en-GB" w:eastAsia="en-GB"/>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val="en-GB" w:eastAsia="en-GB"/>
    </w:rPr>
  </w:style>
  <w:style w:type="paragraph" w:customStyle="1" w:styleId="Default">
    <w:name w:val="Default"/>
    <w:pPr>
      <w:autoSpaceDE w:val="0"/>
      <w:autoSpaceDN w:val="0"/>
      <w:adjustRightInd w:val="0"/>
    </w:pPr>
    <w:rPr>
      <w:rFonts w:ascii="EU Albertina" w:eastAsia="Times New Roman" w:hAnsi="EU Albertina" w:cs="EU Albertina"/>
      <w:color w:val="000000"/>
      <w:sz w:val="24"/>
      <w:szCs w:val="24"/>
      <w:lang w:val="en-GB" w:eastAsia="en-GB"/>
    </w:rPr>
  </w:style>
  <w:style w:type="paragraph" w:styleId="Revision">
    <w:name w:val="Revision"/>
    <w:hidden/>
    <w:uiPriority w:val="99"/>
    <w:semiHidden/>
    <w:rPr>
      <w:rFonts w:ascii="Times New Roman" w:eastAsia="Times New Roman" w:hAnsi="Times New Roman"/>
      <w:sz w:val="24"/>
      <w:lang w:val="en-GB" w:eastAsia="en-GB"/>
    </w:rPr>
  </w:style>
  <w:style w:type="paragraph" w:styleId="EndnoteText">
    <w:name w:val="endnote text"/>
    <w:basedOn w:val="Normal"/>
    <w:link w:val="EndnoteTextChar"/>
    <w:uiPriority w:val="99"/>
    <w:semiHidden/>
    <w:unhideWhenUsed/>
    <w:rPr>
      <w:rFonts w:eastAsia="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val="en-GB" w:eastAsia="en-GB"/>
    </w:rPr>
  </w:style>
  <w:style w:type="character" w:styleId="EndnoteReference">
    <w:name w:val="endnote reference"/>
    <w:uiPriority w:val="99"/>
    <w:semiHidden/>
    <w:unhideWhenUsed/>
    <w:rPr>
      <w:vertAlign w:val="superscript"/>
    </w:rPr>
  </w:style>
  <w:style w:type="paragraph" w:customStyle="1" w:styleId="ListDash3">
    <w:name w:val="List Dash 3"/>
    <w:basedOn w:val="Text3"/>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numbering" w:customStyle="1" w:styleId="Style2">
    <w:name w:val="Style2"/>
    <w:pPr>
      <w:numPr>
        <w:numId w:val="16"/>
      </w:numPr>
    </w:pPr>
  </w:style>
  <w:style w:type="numbering" w:customStyle="1" w:styleId="Style1">
    <w:name w:val="Style1"/>
    <w:pPr>
      <w:numPr>
        <w:numId w:val="15"/>
      </w:numPr>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7496">
      <w:bodyDiv w:val="1"/>
      <w:marLeft w:val="0"/>
      <w:marRight w:val="0"/>
      <w:marTop w:val="0"/>
      <w:marBottom w:val="0"/>
      <w:divBdr>
        <w:top w:val="none" w:sz="0" w:space="0" w:color="auto"/>
        <w:left w:val="none" w:sz="0" w:space="0" w:color="auto"/>
        <w:bottom w:val="none" w:sz="0" w:space="0" w:color="auto"/>
        <w:right w:val="none" w:sz="0" w:space="0" w:color="auto"/>
      </w:divBdr>
    </w:div>
    <w:div w:id="19499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cec/budg/leg/internal/leg-070_internal_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register/sl/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2" Type="http://schemas.openxmlformats.org/officeDocument/2006/relationships/hyperlink" Target="http://ec.europa.eu/priorities/work-programme/index_en.htm" TargetMode="External"/><Relationship Id="rId1" Type="http://schemas.openxmlformats.org/officeDocument/2006/relationships/hyperlink" Target="http://ec.europa.eu/taxation_customs/resources/documents/taxation/tax_fraud_evasion/c_2012_8806_s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9908B55AC52C4FAF7A8AE6DC3F0E00" ma:contentTypeVersion="0" ma:contentTypeDescription="Create a new document." ma:contentTypeScope="" ma:versionID="e1674feb5aa7bee42ad47ea36a32e5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C20-3458-49C5-92FB-EF39716679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AE787-327E-44B8-BFA2-5BA46F2D48AD}">
  <ds:schemaRefs>
    <ds:schemaRef ds:uri="http://schemas.microsoft.com/sharepoint/v3/contenttype/forms"/>
  </ds:schemaRefs>
</ds:datastoreItem>
</file>

<file path=customXml/itemProps3.xml><?xml version="1.0" encoding="utf-8"?>
<ds:datastoreItem xmlns:ds="http://schemas.openxmlformats.org/officeDocument/2006/customXml" ds:itemID="{7DFE735B-F98B-4419-85C3-5BDC7C75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2063DB-5340-4FCE-9C3B-2319FD07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8290</Words>
  <Characters>48721</Characters>
  <Application>Microsoft Office Word</Application>
  <DocSecurity>0</DocSecurity>
  <Lines>1726</Lines>
  <Paragraphs>761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56502</CharactersWithSpaces>
  <SharedDoc>false</SharedDoc>
  <HLinks>
    <vt:vector size="24" baseType="variant">
      <vt:variant>
        <vt:i4>7209064</vt:i4>
      </vt:variant>
      <vt:variant>
        <vt:i4>0</vt:i4>
      </vt:variant>
      <vt:variant>
        <vt:i4>0</vt:i4>
      </vt:variant>
      <vt:variant>
        <vt:i4>5</vt:i4>
      </vt:variant>
      <vt:variant>
        <vt:lpwstr>http://www.cc.cec/budg/leg/internal/leg-070_internal_en.html</vt:lpwstr>
      </vt:variant>
      <vt:variant>
        <vt:lpwstr/>
      </vt:variant>
      <vt:variant>
        <vt:i4>8323092</vt:i4>
      </vt:variant>
      <vt:variant>
        <vt:i4>6</vt:i4>
      </vt:variant>
      <vt:variant>
        <vt:i4>0</vt:i4>
      </vt:variant>
      <vt:variant>
        <vt:i4>5</vt:i4>
      </vt:variant>
      <vt:variant>
        <vt:lpwstr>http://www.consilium.europa.eu/register/sl/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vt:lpwstr>
      </vt:variant>
      <vt:variant>
        <vt:lpwstr/>
      </vt:variant>
      <vt:variant>
        <vt:i4>1966120</vt:i4>
      </vt:variant>
      <vt:variant>
        <vt:i4>3</vt:i4>
      </vt:variant>
      <vt:variant>
        <vt:i4>0</vt:i4>
      </vt:variant>
      <vt:variant>
        <vt:i4>5</vt:i4>
      </vt:variant>
      <vt:variant>
        <vt:lpwstr>http://ec.europa.eu/priorities/work-programme/index_en.htm</vt:lpwstr>
      </vt:variant>
      <vt:variant>
        <vt:lpwstr/>
      </vt:variant>
      <vt:variant>
        <vt:i4>2228264</vt:i4>
      </vt:variant>
      <vt:variant>
        <vt:i4>0</vt:i4>
      </vt:variant>
      <vt:variant>
        <vt:i4>0</vt:i4>
      </vt:variant>
      <vt:variant>
        <vt:i4>5</vt:i4>
      </vt:variant>
      <vt:variant>
        <vt:lpwstr>http://ec.europa.eu/taxation_customs/resources/documents/taxation/tax_fraud_evasion/c_2012_8806_sl.pdf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2015-03-13T15:11:00Z</cp:lastPrinted>
  <dcterms:created xsi:type="dcterms:W3CDTF">2015-03-18T11:36:00Z</dcterms:created>
  <dcterms:modified xsi:type="dcterms:W3CDTF">2015-03-19T09:28:00Z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0x010100929908B55AC52C4FAF7A8AE6DC3F0E00</vt:lpwstr>
  </property>
  <property fmtid="{D5CDD505-2E9C-101B-9397-08002B2CF9AE}" pid="11" name="DQCStatus">
    <vt:lpwstr>Yellow (DQC version 02)</vt:lpwstr>
  </property>
</Properties>
</file>