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24D9473723C4440C891CDF954BCEBF6E" style="width:450.45pt;height:514.3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2013/0105 (COD)</w:t>
      </w:r>
    </w:p>
    <w:p>
      <w:pPr>
        <w:pStyle w:val="Typedudocument"/>
        <w:rPr>
          <w:noProof/>
        </w:rPr>
      </w:pPr>
      <w:r>
        <w:rPr>
          <w:noProof/>
        </w:rPr>
        <w:t>STANOVISKO KOMISE</w:t>
      </w:r>
      <w:r>
        <w:rPr>
          <w:noProof/>
        </w:rPr>
        <w:br/>
      </w:r>
      <w:r>
        <w:rPr>
          <w:noProof/>
        </w:rPr>
        <w:br/>
        <w:t>podle čl. 294 odst. 7 písm. c) Smlouvy o fungování Evropské unie</w:t>
      </w:r>
      <w:r>
        <w:rPr>
          <w:noProof/>
        </w:rPr>
        <w:br/>
        <w:t>ke změnám navrženým Evropským parlamentem</w:t>
      </w:r>
      <w:r>
        <w:rPr>
          <w:noProof/>
        </w:rPr>
        <w:br/>
        <w:t>týkajícím se postoje Rady</w:t>
      </w:r>
    </w:p>
    <w:p>
      <w:pPr>
        <w:pStyle w:val="Titreobjet"/>
        <w:rPr>
          <w:noProof/>
        </w:rPr>
      </w:pPr>
      <w:r>
        <w:rPr>
          <w:noProof/>
        </w:rPr>
        <w:t>k návrhu SMĚRNICE EVROPSKÉHO PARLAMENTU</w:t>
      </w:r>
      <w:r>
        <w:rPr>
          <w:noProof/>
        </w:rPr>
        <w:br/>
        <w:t>A RADY,</w:t>
      </w:r>
      <w:r>
        <w:rPr>
          <w:noProof/>
        </w:rPr>
        <w:br/>
      </w:r>
      <w:r>
        <w:rPr>
          <w:noProof/>
        </w:rPr>
        <w:br/>
        <w:t>kterou se mění směrnice 96/53/ES ze dne 25. července 1996, kterou se pro určitá silniční vozidla provozovaná v rámci Společenství stanoví maximální přípustné rozměry pro vnitrostátní a mezinárodní provoz a maximální přípustné hmotnosti pro mezinárodní provoz</w:t>
      </w:r>
      <w:r>
        <w:rPr>
          <w:noProof/>
        </w:rPr>
        <w:br/>
      </w:r>
      <w:r>
        <w:rPr>
          <w:noProof/>
        </w:rPr>
        <w:br/>
      </w:r>
    </w:p>
    <w:p>
      <w:pPr>
        <w:pStyle w:val="IntrtEEE"/>
        <w:rPr>
          <w:noProof/>
        </w:rPr>
      </w:pPr>
      <w:r>
        <w:rPr>
          <w:noProof/>
        </w:rPr>
        <w:t>(Text s významem pro EHP)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Úvod</w:t>
      </w:r>
    </w:p>
    <w:p>
      <w:pPr>
        <w:rPr>
          <w:noProof/>
        </w:rPr>
      </w:pPr>
      <w:r>
        <w:rPr>
          <w:noProof/>
        </w:rPr>
        <w:t>V čl. 294 odst. 7 písm. c) Smlouvy o fungování Evropské unie se stanoví, že Komise zaujme stanovisko ke změnám navrženým Evropským parlamentem ve druhém čtení. Stanovisko ke změnám navrženým Parlamentem uvádí Komise níže.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Souvislosti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shd w:val="clear" w:color="auto" w:fill="FFFFFF"/>
              <w:jc w:val="left"/>
              <w:rPr>
                <w:noProof/>
              </w:rPr>
            </w:pPr>
            <w:r>
              <w:rPr>
                <w:noProof/>
                <w:sz w:val="22"/>
              </w:rPr>
              <w:t>Datum předání návrhu Evropskému parlamentu a Radě [COM(2013)195 final –  2013/0105(COD]:</w:t>
            </w:r>
          </w:p>
        </w:tc>
        <w:tc>
          <w:tcPr>
            <w:tcW w:w="2483" w:type="dxa"/>
          </w:tcPr>
          <w:p>
            <w:pPr>
              <w:shd w:val="clear" w:color="auto" w:fill="FFFFFF"/>
              <w:jc w:val="left"/>
              <w:rPr>
                <w:noProof/>
              </w:rPr>
            </w:pPr>
            <w:r>
              <w:rPr>
                <w:noProof/>
                <w:sz w:val="22"/>
              </w:rPr>
              <w:t>16. dubna 2013</w:t>
            </w:r>
          </w:p>
        </w:tc>
      </w:tr>
      <w:tr>
        <w:tc>
          <w:tcPr>
            <w:tcW w:w="6804" w:type="dxa"/>
          </w:tcPr>
          <w:p>
            <w:pPr>
              <w:shd w:val="clear" w:color="auto" w:fill="FFFFFF"/>
              <w:rPr>
                <w:noProof/>
              </w:rPr>
            </w:pPr>
            <w:r>
              <w:rPr>
                <w:noProof/>
                <w:sz w:val="22"/>
              </w:rPr>
              <w:t xml:space="preserve">Datum vydání stanoviska Evropského hospodářského a sociálního výboru: </w:t>
            </w:r>
          </w:p>
        </w:tc>
        <w:tc>
          <w:tcPr>
            <w:tcW w:w="2483" w:type="dxa"/>
          </w:tcPr>
          <w:p>
            <w:pPr>
              <w:shd w:val="clear" w:color="auto" w:fill="FFFFFF"/>
              <w:jc w:val="left"/>
              <w:rPr>
                <w:noProof/>
              </w:rPr>
            </w:pPr>
            <w:r>
              <w:rPr>
                <w:noProof/>
                <w:sz w:val="22"/>
              </w:rPr>
              <w:t>11. července 2013</w:t>
            </w:r>
          </w:p>
        </w:tc>
      </w:tr>
      <w:tr>
        <w:tc>
          <w:tcPr>
            <w:tcW w:w="6804" w:type="dxa"/>
          </w:tcPr>
          <w:p>
            <w:pPr>
              <w:shd w:val="clear" w:color="auto" w:fill="FFFFFF"/>
              <w:rPr>
                <w:noProof/>
              </w:rPr>
            </w:pPr>
            <w:r>
              <w:rPr>
                <w:noProof/>
                <w:sz w:val="22"/>
              </w:rPr>
              <w:t xml:space="preserve">Datum přijetí postoje Evropského parlamentu v prvním čtení:  </w:t>
            </w:r>
          </w:p>
        </w:tc>
        <w:tc>
          <w:tcPr>
            <w:tcW w:w="2483" w:type="dxa"/>
          </w:tcPr>
          <w:p>
            <w:pPr>
              <w:shd w:val="clear" w:color="auto" w:fill="FFFFFF"/>
              <w:jc w:val="left"/>
              <w:rPr>
                <w:noProof/>
              </w:rPr>
            </w:pPr>
            <w:r>
              <w:rPr>
                <w:noProof/>
                <w:sz w:val="22"/>
              </w:rPr>
              <w:t>15. dubna 2014</w:t>
            </w:r>
          </w:p>
        </w:tc>
      </w:tr>
    </w:tbl>
    <w:p>
      <w:pPr>
        <w:shd w:val="clear" w:color="auto" w:fill="FFFFFF"/>
        <w:rPr>
          <w:noProof/>
          <w:sz w:val="22"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shd w:val="clear" w:color="auto" w:fill="FFFFFF"/>
              <w:rPr>
                <w:noProof/>
              </w:rPr>
            </w:pPr>
            <w:r>
              <w:rPr>
                <w:noProof/>
                <w:sz w:val="22"/>
              </w:rPr>
              <w:lastRenderedPageBreak/>
              <w:t>Datum předání pozměněného návrhu:</w:t>
            </w:r>
          </w:p>
        </w:tc>
        <w:tc>
          <w:tcPr>
            <w:tcW w:w="2483" w:type="dxa"/>
          </w:tcPr>
          <w:p>
            <w:pPr>
              <w:shd w:val="clear" w:color="auto" w:fill="FFFFFF"/>
              <w:jc w:val="left"/>
              <w:rPr>
                <w:noProof/>
              </w:rPr>
            </w:pPr>
            <w:r>
              <w:rPr>
                <w:noProof/>
                <w:sz w:val="22"/>
              </w:rPr>
              <w:t>[</w:t>
            </w:r>
            <w:r>
              <w:rPr>
                <w:rStyle w:val="FootnoteReference"/>
                <w:noProof/>
                <w:sz w:val="22"/>
              </w:rPr>
              <w:footnoteReference w:id="1"/>
            </w:r>
            <w:r>
              <w:rPr>
                <w:noProof/>
                <w:sz w:val="22"/>
              </w:rPr>
              <w:t>]</w:t>
            </w:r>
          </w:p>
        </w:tc>
      </w:tr>
      <w:tr>
        <w:tc>
          <w:tcPr>
            <w:tcW w:w="6804" w:type="dxa"/>
          </w:tcPr>
          <w:p>
            <w:pPr>
              <w:shd w:val="clear" w:color="auto" w:fill="FFFFFF"/>
              <w:rPr>
                <w:noProof/>
              </w:rPr>
            </w:pPr>
            <w:r>
              <w:rPr>
                <w:noProof/>
                <w:sz w:val="22"/>
              </w:rPr>
              <w:t>Datum přijetí postoje Rady v prvním čtení</w:t>
            </w:r>
            <w:r>
              <w:rPr>
                <w:rStyle w:val="FootnoteReference"/>
                <w:noProof/>
                <w:sz w:val="22"/>
              </w:rPr>
              <w:sym w:font="Symbol" w:char="F02A"/>
            </w:r>
            <w:r>
              <w:rPr>
                <w:rStyle w:val="FootnoteReference"/>
                <w:noProof/>
                <w:sz w:val="22"/>
              </w:rPr>
              <w:sym w:font="Symbol" w:char="F02A"/>
            </w:r>
            <w:r>
              <w:rPr>
                <w:noProof/>
                <w:sz w:val="22"/>
              </w:rPr>
              <w:t>:</w:t>
            </w:r>
          </w:p>
        </w:tc>
        <w:tc>
          <w:tcPr>
            <w:tcW w:w="2483" w:type="dxa"/>
          </w:tcPr>
          <w:p>
            <w:pPr>
              <w:shd w:val="clear" w:color="auto" w:fill="FFFFFF"/>
              <w:jc w:val="left"/>
              <w:rPr>
                <w:noProof/>
              </w:rPr>
            </w:pPr>
            <w:r>
              <w:rPr>
                <w:noProof/>
                <w:sz w:val="22"/>
              </w:rPr>
              <w:footnoteReference w:customMarkFollows="1" w:id="2"/>
              <w:t>16. října 2014</w:t>
            </w:r>
          </w:p>
        </w:tc>
      </w:tr>
    </w:tbl>
    <w:p>
      <w:pPr>
        <w:rPr>
          <w:noProof/>
          <w:sz w:val="22"/>
        </w:rPr>
      </w:pPr>
      <w:r>
        <w:rPr>
          <w:noProof/>
          <w:sz w:val="22"/>
        </w:rPr>
        <w:t>Datum přijetí změn navržených Evropským parlamentem</w:t>
      </w:r>
    </w:p>
    <w:p>
      <w:pPr>
        <w:rPr>
          <w:noProof/>
          <w:sz w:val="22"/>
        </w:rPr>
      </w:pPr>
      <w:r>
        <w:rPr>
          <w:noProof/>
          <w:sz w:val="22"/>
        </w:rPr>
        <w:t xml:space="preserve"> ve druhém čtení [P8_TC2-COD(2013)0105]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 xml:space="preserve">     10. března 2015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Cíl návrhu Komise</w:t>
      </w:r>
    </w:p>
    <w:p>
      <w:pPr>
        <w:shd w:val="clear" w:color="auto" w:fill="FFFFFF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Směrnice 96/53/ES stanoví maximální rozměry nákladních vozidel a autobusů v mezinárodním provozu a jejich maximální hmotnosti v mezinárodním provozu (za určitých podmínek je členským státům povoleno tyto rozměry nebo hmotnosti překročit ve vnitrostátním provozu).</w:t>
      </w:r>
    </w:p>
    <w:p>
      <w:pPr>
        <w:shd w:val="clear" w:color="auto" w:fill="FFFFFF"/>
        <w:spacing w:before="0" w:after="240"/>
        <w:rPr>
          <w:noProof/>
        </w:rPr>
      </w:pPr>
      <w:r>
        <w:rPr>
          <w:noProof/>
        </w:rPr>
        <w:t xml:space="preserve">Hlavním cílem tohoto návrhu [COM(2013) 195 final] je učinit nákladní vozidla a autobusy ekologičtějšími a bezpečnějšími tím, že v některých případech a za stanovených podmínek budou povoleny hmotnosti a rozměry překračující stávající limity, nejsou-li v současnosti proveditelná zlepšení kvůli omezením stanoveným danou směrnicí v jejím stávajícím znění. </w:t>
      </w:r>
    </w:p>
    <w:p>
      <w:pPr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Stanovisko Komise ke změnám navrženým Evropským parlamentem ve druhém čtení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Evropský parlament odhlasoval ve druhém čtení konsolidovaný text, který obsahuje řadu změn k textu postoje Rady v prvním čtení. Zmíněný text je výsledkem jednání mezi Evropským parlamentem, Radou a Komisí. Komise se všemi změnami odhlasovanými Evropským parlamentem souhlasí.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Závěry</w:t>
      </w:r>
    </w:p>
    <w:p>
      <w:pPr>
        <w:pStyle w:val="Text1"/>
        <w:ind w:left="0"/>
        <w:rPr>
          <w:noProof/>
        </w:rPr>
      </w:pPr>
      <w:r>
        <w:rPr>
          <w:noProof/>
        </w:rPr>
        <w:t>Podle čl. 293 odst. 2 Smlouvy o fungování Evropské unie mění Komise svůj návrh výše uvedeným způsobem.</w:t>
      </w:r>
    </w:p>
    <w:p>
      <w:pPr>
        <w:pStyle w:val="Text1"/>
        <w:ind w:left="0"/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0" w:firstLine="0"/>
        <w:rPr>
          <w:lang w:val="fr-BE"/>
        </w:rPr>
      </w:pPr>
      <w:r>
        <w:rPr>
          <w:rStyle w:val="FootnoteReference"/>
        </w:rPr>
        <w:footnoteRef/>
      </w:r>
      <w:r>
        <w:tab/>
        <w:t>Komise nevypracovala pozměněný návrh, své názory na změny navržené Parlamentem však vyjádřila v dokumentu „Sdělení o akci přijaté v návaznosti na stanoviska a usnesení přijatá Evropským parlamentem na zasedání I a II v dubnu 2014“ (dokument SP(2014) / 471) ze dne 9. července 2014.</w:t>
      </w:r>
    </w:p>
  </w:footnote>
  <w:footnote w:id="2">
    <w:p>
      <w:pPr>
        <w:pStyle w:val="Titreobjet"/>
        <w:spacing w:before="0" w:after="0"/>
        <w:jc w:val="both"/>
        <w:rPr>
          <w:b w:val="0"/>
          <w:sz w:val="20"/>
          <w:szCs w:val="20"/>
          <w:lang w:val="fr-BE"/>
        </w:rPr>
      </w:pPr>
      <w:r>
        <w:rPr>
          <w:b w:val="0"/>
          <w:sz w:val="20"/>
          <w:szCs w:val="20"/>
        </w:rPr>
        <w:sym w:font="Symbol" w:char="F02A"/>
      </w:r>
      <w:r>
        <w:rPr>
          <w:b w:val="0"/>
          <w:sz w:val="20"/>
          <w:szCs w:val="20"/>
        </w:rPr>
        <w:sym w:font="Symbol" w:char="F02A"/>
      </w:r>
      <w:r>
        <w:rPr>
          <w:b w:val="0"/>
          <w:sz w:val="20"/>
        </w:rPr>
        <w:t xml:space="preserve"> Komise vyjádřila svůj názor ke změnám učiněným Radou ve sdělení o postoji Rady k přijetí směrnice Evropského parlamentu a Rady, kterou se mění směrnice 96/53/ES ze dne 25. července 1996, kterou se pro určitá silniční vozidla provozovaná v rámci Společenství stanoví maximální přípustné rozměry pro vnitrostátní a mezinárodní provoz a maximální přípustné hmotnosti pro mezinárodní provoz [dokument COM (2015) 7 final] ze dne 12. ledna 2015.</w:t>
      </w:r>
    </w:p>
    <w:p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844FD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1AAC6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040A2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0DEE7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E6673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E72FA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30239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F1440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5-04-13 11:18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1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2"/>
    <w:docVar w:name="DQCResult_UnknownFonts" w:val="0;0"/>
    <w:docVar w:name="DQCResult_UnknownStyles" w:val="0;1"/>
    <w:docVar w:name="DQCStatus" w:val="Green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24D9473723C4440C891CDF954BCEBF6E"/>
    <w:docVar w:name="LW_CROSSREFERENCE" w:val="&lt;UNUSED&gt;"/>
    <w:docVar w:name="LW_DocType" w:val="COM"/>
    <w:docVar w:name="LW_EMISSION" w:val="13.4.2015"/>
    <w:docVar w:name="LW_EMISSION_ISODATE" w:val="2015-04-13"/>
    <w:docVar w:name="LW_EMISSION_LOCATION" w:val="BRX"/>
    <w:docVar w:name="LW_EMISSION_PREFIX" w:val="V Bruselu dne "/>
    <w:docVar w:name="LW_EMISSION_SUFFIX" w:val=" "/>
    <w:docVar w:name="LW_ID_DOCMODEL" w:val="SJ-029_P"/>
    <w:docVar w:name="LW_ID_DOCSTRUCTURE" w:val="COM/PL/CODEC"/>
    <w:docVar w:name="LW_ID_DOCTYPE" w:val="SJ-029_P"/>
    <w:docVar w:name="LW_INTERETEEE.CP" w:val="(Text s významem pro EHP)"/>
    <w:docVar w:name="LW_LANGUE" w:val="CS"/>
    <w:docVar w:name="LW_MARKING" w:val="&lt;UNUSED&gt;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05"/>
    <w:docVar w:name="LW_REF.II.NEW.CP_YEAR" w:val="2013"/>
    <w:docVar w:name="LW_REF.INST.NEW" w:val="COM"/>
    <w:docVar w:name="LW_REF.INST.NEW_ADOPTED" w:val="final"/>
    <w:docVar w:name="LW_REF.INST.NEW_TEXT" w:val="(2015) 169"/>
    <w:docVar w:name="LW_REF.INTERNE" w:val="&lt;UNUSED&gt;"/>
    <w:docVar w:name="LW_SOUS.TITRE.OBJ.CP" w:val="&lt;UNUSED&gt;"/>
    <w:docVar w:name="LW_SUPERTITRE" w:val="&lt;UNUSED&gt;"/>
    <w:docVar w:name="LW_TITRE.OBJ.CP" w:val="k návrhu SM\u282?RNICE EVROPSKÉHO PARLAMENTU_x000b_A RADY,_x000b__x000b_kterou se m\u283?ní sm\u283?rnice 96/53/ES ze dne 25. \u269?ervence 1996, kterou se pro ur\u269?itá silni\u269?ní vozidla provozovaná v rámci Spole\u269?enství stanoví maximální p\u345?ípustné rozm\u283?ry pro vnitrostátní a mezinárodní provoz a maximální p\u345?ípustné hmotnosti pro mezinárodní provoz_x000b__x000b_"/>
    <w:docVar w:name="LW_TYPE.DOC.CP" w:val="STANOVISKO KOMISE_x000b__x000b_podle \u269?l. 294 odst. 7 písm. c) Smlouvy o fungování Evropské unie_x000b_ke zm\u283?nám navr\u382?eným Evropským parlamentem_x000b_týkajícím se postoj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iceouttxt38">
    <w:name w:val="iceouttxt38"/>
    <w:rPr>
      <w:sz w:val="24"/>
      <w:szCs w:val="24"/>
      <w:bdr w:val="none" w:sz="0" w:space="0" w:color="auto" w:frame="1"/>
      <w:vertAlign w:val="baseline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lang w:val="cs-CZ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61C9-1F5F-4DC5-8FBA-95A413FC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4</Pages>
  <Words>333</Words>
  <Characters>2028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DIGIT/A3</cp:lastModifiedBy>
  <cp:revision>16</cp:revision>
  <cp:lastPrinted>2015-04-07T12:22:00Z</cp:lastPrinted>
  <dcterms:created xsi:type="dcterms:W3CDTF">2015-04-07T13:53:00Z</dcterms:created>
  <dcterms:modified xsi:type="dcterms:W3CDTF">2015-04-13T09:18:00Z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5.8.3, Build 20140113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SJ-029_P</vt:lpwstr>
  </property>
  <property fmtid="{D5CDD505-2E9C-101B-9397-08002B2CF9AE}" pid="10" name="DQCStatus">
    <vt:lpwstr>Green (DQC version 02)</vt:lpwstr>
  </property>
</Properties>
</file>