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CB" w:rsidRDefault="00F3196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5C18315E96A415DB29263EEB307C1FA" style="width:450.75pt;height:375.75pt">
            <v:imagedata r:id="rId8" o:title=""/>
          </v:shape>
        </w:pict>
      </w:r>
    </w:p>
    <w:p w:rsidR="005D09CB" w:rsidRDefault="005D09CB">
      <w:pPr>
        <w:rPr>
          <w:noProof/>
        </w:rPr>
        <w:sectPr w:rsidR="005D09CB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D09CB" w:rsidRDefault="00F31960">
      <w:pPr>
        <w:pStyle w:val="Rfrenceinterinstitutionnelle"/>
        <w:rPr>
          <w:noProof/>
        </w:rPr>
      </w:pPr>
      <w:r>
        <w:rPr>
          <w:noProof/>
        </w:rPr>
        <w:lastRenderedPageBreak/>
        <w:t>2012/0360 (COD)</w:t>
      </w:r>
    </w:p>
    <w:p w:rsidR="005D09CB" w:rsidRDefault="00F31960">
      <w:pPr>
        <w:pStyle w:val="Typedudocument"/>
        <w:rPr>
          <w:noProof/>
        </w:rPr>
      </w:pPr>
      <w:r>
        <w:rPr>
          <w:noProof/>
        </w:rPr>
        <w:t>OZNÁMENIE KOMISIE EURÓPSKEMU PARLAMENTU</w:t>
      </w:r>
      <w:r>
        <w:rPr>
          <w:noProof/>
        </w:rPr>
        <w:br/>
      </w:r>
      <w:r>
        <w:rPr>
          <w:noProof/>
        </w:rPr>
        <w:br/>
        <w:t>podľa článku 294 ods. 6 Zmluvy o fungovaní</w:t>
      </w:r>
      <w:r>
        <w:rPr>
          <w:noProof/>
        </w:rPr>
        <w:t xml:space="preserve"> Európskej únie</w:t>
      </w:r>
      <w:r>
        <w:rPr>
          <w:noProof/>
        </w:rPr>
        <w:br/>
      </w:r>
      <w:r>
        <w:rPr>
          <w:noProof/>
        </w:rPr>
        <w:br/>
        <w:t>o</w:t>
      </w:r>
    </w:p>
    <w:p w:rsidR="005D09CB" w:rsidRDefault="00F31960">
      <w:pPr>
        <w:pStyle w:val="Titreobjet"/>
        <w:rPr>
          <w:noProof/>
        </w:rPr>
      </w:pPr>
      <w:r>
        <w:rPr>
          <w:noProof/>
        </w:rPr>
        <w:t>pozícii Rady k prijatiu nariadenia Európskeho parlamentu a Rady, ktorým sa mení nariadenie Rady (ES) č. 1346/2000 o konkurznom konaní</w:t>
      </w:r>
    </w:p>
    <w:p w:rsidR="005D09CB" w:rsidRDefault="00F31960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Súvislosti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5D09CB">
        <w:tc>
          <w:tcPr>
            <w:tcW w:w="6804" w:type="dxa"/>
          </w:tcPr>
          <w:p w:rsidR="005D09CB" w:rsidRDefault="00F31960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Dátum predloženia návrhu Európskemu parlamentu a Rade</w:t>
            </w:r>
            <w:r>
              <w:rPr>
                <w:noProof/>
              </w:rPr>
              <w:br/>
              <w:t>[dokument COM(2012) 744 final 2012/</w:t>
            </w:r>
            <w:r>
              <w:rPr>
                <w:noProof/>
              </w:rPr>
              <w:t>0360 (COD)]</w:t>
            </w:r>
          </w:p>
        </w:tc>
        <w:tc>
          <w:tcPr>
            <w:tcW w:w="2483" w:type="dxa"/>
          </w:tcPr>
          <w:p w:rsidR="005D09CB" w:rsidRDefault="00F31960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13. 12. 2012.</w:t>
            </w:r>
          </w:p>
        </w:tc>
      </w:tr>
      <w:tr w:rsidR="005D09CB">
        <w:tc>
          <w:tcPr>
            <w:tcW w:w="6804" w:type="dxa"/>
          </w:tcPr>
          <w:p w:rsidR="005D09CB" w:rsidRDefault="00F319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Dátum stanoviska Európskeho hospodárskeho a sociálneho výboru:</w:t>
            </w:r>
          </w:p>
        </w:tc>
        <w:tc>
          <w:tcPr>
            <w:tcW w:w="2483" w:type="dxa"/>
          </w:tcPr>
          <w:p w:rsidR="005D09CB" w:rsidRDefault="00F31960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22. 05. 2013.</w:t>
            </w:r>
          </w:p>
        </w:tc>
      </w:tr>
      <w:tr w:rsidR="005D09CB">
        <w:tc>
          <w:tcPr>
            <w:tcW w:w="6804" w:type="dxa"/>
          </w:tcPr>
          <w:p w:rsidR="005D09CB" w:rsidRDefault="00F319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Dátum pozície Európskeho parlamentu v prvom čítaní:</w:t>
            </w:r>
          </w:p>
        </w:tc>
        <w:tc>
          <w:tcPr>
            <w:tcW w:w="2483" w:type="dxa"/>
          </w:tcPr>
          <w:p w:rsidR="005D09CB" w:rsidRDefault="00F31960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05. 02. 2014.</w:t>
            </w:r>
          </w:p>
        </w:tc>
      </w:tr>
      <w:tr w:rsidR="005D09CB">
        <w:tc>
          <w:tcPr>
            <w:tcW w:w="6804" w:type="dxa"/>
          </w:tcPr>
          <w:p w:rsidR="005D09CB" w:rsidRDefault="00F319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Dátum prijatia pozície Rady:</w:t>
            </w:r>
          </w:p>
        </w:tc>
        <w:tc>
          <w:tcPr>
            <w:tcW w:w="2483" w:type="dxa"/>
          </w:tcPr>
          <w:p w:rsidR="005D09CB" w:rsidRDefault="00F31960" w:rsidP="004F079C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12. 03. 2015</w:t>
            </w:r>
            <w:r>
              <w:rPr>
                <w:noProof/>
              </w:rPr>
              <w:t>.</w:t>
            </w:r>
          </w:p>
        </w:tc>
      </w:tr>
    </w:tbl>
    <w:p w:rsidR="005D09CB" w:rsidRDefault="00F31960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Cieľ návrhu Komisie</w:t>
      </w:r>
    </w:p>
    <w:p w:rsidR="005D09CB" w:rsidRDefault="00F31960">
      <w:pPr>
        <w:rPr>
          <w:noProof/>
        </w:rPr>
      </w:pPr>
      <w:r>
        <w:rPr>
          <w:noProof/>
        </w:rPr>
        <w:t>Návrh Komisie, ktorým sa mení nariadenie o konkurznom konaní, bol prijatý 12. decembra 2012. Jej hlavným cieľom je podpora „kultúry záchrany“ podnikov v EÚ. Hlavné prvky nového návrhu sú tieto: návrh rozširuje rozsah pôsobnosti nariadenia tak, aby bolo zah</w:t>
      </w:r>
      <w:r>
        <w:rPr>
          <w:noProof/>
        </w:rPr>
        <w:t>rnuté aj „preventívne“ konkurzné konanie, ktorého cieľom je záchrana podnikov, ako aj, aby bol zahrnutý väčší rozsah konkurzných konaní týkajúcich sa fyzických osôb; v návrhu sa ozrejmujú kritériá pre určenie jurisdikcie (centrum hlavných záujmov) a zdokon</w:t>
      </w:r>
      <w:r>
        <w:rPr>
          <w:noProof/>
        </w:rPr>
        <w:t>aľuje sa procesný rámec pre preskúmanie súdnej právomoci; návrhom sa vytvára systém vzájomne prepojených insolvenčných registrov na účely zvýšenia transparentnosti, pokiaľ ide o dlžníkov; návrh posilňuje šance na záchranu podnikov predchádzaním začatiu ved</w:t>
      </w:r>
      <w:r>
        <w:rPr>
          <w:noProof/>
        </w:rPr>
        <w:t xml:space="preserve">ľajších konaní v prípadoch, že sú záujmy miestnych veriteľov zaručené inak (tzv. „syntetických vedľajších konaní“); návrhom sa vytvára právny rámec na koordináciu konaní s členmi skupiny podnikov. </w:t>
      </w:r>
    </w:p>
    <w:p w:rsidR="005D09CB" w:rsidRDefault="00F31960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Pripomienky k pozícii Rady</w:t>
      </w:r>
    </w:p>
    <w:p w:rsidR="005D09CB" w:rsidRDefault="00F31960">
      <w:pPr>
        <w:widowControl w:val="0"/>
        <w:rPr>
          <w:noProof/>
        </w:rPr>
      </w:pPr>
      <w:r>
        <w:rPr>
          <w:noProof/>
        </w:rPr>
        <w:t>Rada vo svojej pozícii schva</w:t>
      </w:r>
      <w:r>
        <w:rPr>
          <w:noProof/>
        </w:rPr>
        <w:t>ľuje všetky základné prvky návrhu Komisie, pričom navrhuje niektoré technické zmeny, pokiaľ ide o podrobnosti. Tieto zmeny zahŕňajú dodatočné opatrenia na boj proti špekuláciám pri výbere súdu zo strany spotrebiteľov, požiadavku, v zmysle ktorej je na synt</w:t>
      </w:r>
      <w:r>
        <w:rPr>
          <w:noProof/>
        </w:rPr>
        <w:t xml:space="preserve">etické vedľajšie konania nutný súhlas väčšiny miestnych veriteľov, a vytvorenie tzv. „koordinácie konania proti skupine“. Komisia tieto zmeny podporuje. </w:t>
      </w:r>
    </w:p>
    <w:p w:rsidR="005D09CB" w:rsidRDefault="00F31960">
      <w:pPr>
        <w:widowControl w:val="0"/>
        <w:rPr>
          <w:noProof/>
        </w:rPr>
      </w:pPr>
      <w:r>
        <w:rPr>
          <w:noProof/>
        </w:rPr>
        <w:t>Po neformálnych trojstranných diskusiách, ktoré sa uskutočnili 15. októbra a 10. novembra 2014, dospel</w:t>
      </w:r>
      <w:r>
        <w:rPr>
          <w:noProof/>
        </w:rPr>
        <w:t xml:space="preserve">i Parlament, Rada a Komisia k dočasnej politickej dohode o znení nového nariadenia o konkurznom konaní (prepracované znenie).  </w:t>
      </w:r>
    </w:p>
    <w:p w:rsidR="005D09CB" w:rsidRDefault="00F31960">
      <w:pPr>
        <w:widowControl w:val="0"/>
        <w:rPr>
          <w:noProof/>
        </w:rPr>
      </w:pPr>
      <w:r>
        <w:rPr>
          <w:noProof/>
        </w:rPr>
        <w:t xml:space="preserve">Rada potvrdila túto politickú dohodu 4. decembra 2014 a </w:t>
      </w:r>
      <w:bookmarkStart w:id="0" w:name="_GoBack"/>
      <w:bookmarkEnd w:id="0"/>
      <w:r w:rsidRPr="004F079C">
        <w:rPr>
          <w:noProof/>
        </w:rPr>
        <w:t>12. marca 2015</w:t>
      </w:r>
      <w:r>
        <w:rPr>
          <w:noProof/>
        </w:rPr>
        <w:t xml:space="preserve"> prijala svoju pozíciu v prvom čítaní.</w:t>
      </w:r>
    </w:p>
    <w:p w:rsidR="005D09CB" w:rsidRDefault="00F31960"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Záver</w:t>
      </w:r>
    </w:p>
    <w:p w:rsidR="005D09CB" w:rsidRDefault="00F31960">
      <w:pPr>
        <w:rPr>
          <w:noProof/>
        </w:rPr>
      </w:pPr>
      <w:r>
        <w:rPr>
          <w:noProof/>
        </w:rPr>
        <w:t>Keďže v</w:t>
      </w:r>
      <w:r>
        <w:rPr>
          <w:noProof/>
        </w:rPr>
        <w:t xml:space="preserve">šetky zmeny zavedené do návrhu Komisie boli odsúhlasené počas neformálnych trojstranných diskusií, Komisia môže prijať zmeny, ktoré prijala Rada vo svojej pozícii v prvom čítaní. </w:t>
      </w:r>
    </w:p>
    <w:sectPr w:rsidR="005D09CB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60" w:rsidRDefault="00F31960">
      <w:pPr>
        <w:spacing w:before="0" w:after="0"/>
      </w:pPr>
      <w:r>
        <w:separator/>
      </w:r>
    </w:p>
  </w:endnote>
  <w:endnote w:type="continuationSeparator" w:id="0">
    <w:p w:rsidR="00F31960" w:rsidRDefault="00F319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B" w:rsidRDefault="00F3196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SK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B" w:rsidRDefault="00F3196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F079C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B" w:rsidRDefault="005D0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60" w:rsidRDefault="00F31960">
      <w:pPr>
        <w:spacing w:before="0" w:after="0"/>
      </w:pPr>
      <w:r>
        <w:separator/>
      </w:r>
    </w:p>
  </w:footnote>
  <w:footnote w:type="continuationSeparator" w:id="0">
    <w:p w:rsidR="00F31960" w:rsidRDefault="00F319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0A5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7CCB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0891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929D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D441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8C8F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A46C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F4D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13 13:30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5C18315E96A415DB29263EEB307C1FA"/>
    <w:docVar w:name="LW_CROSSREFERENCE" w:val="&lt;UNUSED&gt;"/>
    <w:docVar w:name="LW_DocType" w:val="COM"/>
    <w:docVar w:name="LW_EMISSION" w:val="13. 4. 2015"/>
    <w:docVar w:name="LW_EMISSION_ISODATE" w:val="2015-04-13"/>
    <w:docVar w:name="LW_EMISSION_LOCATION" w:val="BRX"/>
    <w:docVar w:name="LW_EMISSION_PREFIX" w:val="V Bruseli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60"/>
    <w:docVar w:name="LW_REF.II.NEW.CP_YEAR" w:val="2012"/>
    <w:docVar w:name="LW_REF.INST.NEW" w:val="COM"/>
    <w:docVar w:name="LW_REF.INST.NEW_ADOPTED" w:val="final"/>
    <w:docVar w:name="LW_REF.INST.NEW_TEXT" w:val="(2015) 173"/>
    <w:docVar w:name="LW_REF.INTERNE" w:val="&lt;UNUSED&gt;"/>
    <w:docVar w:name="LW_SOUS.TITRE.OBJ.CP" w:val="&lt;UNUSED&gt;"/>
    <w:docVar w:name="LW_SUPERTITRE" w:val="&lt;UNUSED&gt;"/>
    <w:docVar w:name="LW_TITRE.OBJ.CP" w:val="pozícii Rady k prijatiu nariadenia Európskeho parlamentu a Rady, ktorým sa mení nariadenie Rady (ES) \u269?. 1346/2000 o konkurznom konaní"/>
    <w:docVar w:name="LW_TYPE.DOC.CP" w:val="OZNÁMENIE KOMISIE EURÓPSKEMU PARLAMENTU_x000b__x000b_pod\u318?a \u269?lánku 294 ods. 6 Zmluvy o fungovaní Európskej únie_x000b__x000b_o"/>
  </w:docVars>
  <w:rsids>
    <w:rsidRoot w:val="005D09CB"/>
    <w:rsid w:val="004F079C"/>
    <w:rsid w:val="005D09CB"/>
    <w:rsid w:val="00F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</Pages>
  <Words>337</Words>
  <Characters>2229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17</cp:revision>
  <cp:lastPrinted>2015-02-17T17:13:00Z</cp:lastPrinted>
  <dcterms:created xsi:type="dcterms:W3CDTF">2015-04-13T08:37:00Z</dcterms:created>
  <dcterms:modified xsi:type="dcterms:W3CDTF">2015-04-13T12:15:00Z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