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68" w:rsidRDefault="002F6D6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BFF9928BDF64171AF202EA8DE903C50" style="width:450.75pt;height:389.25pt">
            <v:imagedata r:id="rId8" o:title=""/>
          </v:shape>
        </w:pict>
      </w:r>
    </w:p>
    <w:p w:rsidR="00F32568" w:rsidRDefault="00F32568">
      <w:pPr>
        <w:rPr>
          <w:noProof/>
        </w:rPr>
        <w:sectPr w:rsidR="00F32568">
          <w:footerReference w:type="default" r:id="rId9"/>
          <w:pgSz w:w="11907" w:h="16839"/>
          <w:pgMar w:top="1134" w:right="1417" w:bottom="1134" w:left="1417" w:header="709" w:footer="709" w:gutter="0"/>
          <w:pgNumType w:start="1"/>
          <w:cols w:space="720"/>
          <w:docGrid w:linePitch="360"/>
        </w:sectPr>
      </w:pPr>
    </w:p>
    <w:p w:rsidR="00F32568" w:rsidRDefault="002F6D6E">
      <w:pPr>
        <w:pStyle w:val="Rfrenceinterinstitutionnelle"/>
        <w:rPr>
          <w:noProof/>
        </w:rPr>
      </w:pPr>
      <w:r>
        <w:rPr>
          <w:noProof/>
        </w:rPr>
        <w:lastRenderedPageBreak/>
        <w:t>2012/0360 (COD)</w:t>
      </w:r>
    </w:p>
    <w:p w:rsidR="00F32568" w:rsidRDefault="002F6D6E">
      <w:pPr>
        <w:pStyle w:val="Typedudocument"/>
        <w:rPr>
          <w:noProof/>
        </w:rPr>
      </w:pPr>
      <w:r>
        <w:rPr>
          <w:noProof/>
        </w:rPr>
        <w:t>MITTEILUNG DER KOMMISSION AN DAS EUROPÄISCHE PARLAMENT</w:t>
      </w:r>
      <w:r>
        <w:rPr>
          <w:noProof/>
        </w:rPr>
        <w:br/>
      </w:r>
      <w:r>
        <w:rPr>
          <w:noProof/>
        </w:rPr>
        <w:br/>
        <w:t xml:space="preserve">gemäß Artikel 294 Absatz 6 </w:t>
      </w:r>
      <w:r>
        <w:rPr>
          <w:noProof/>
        </w:rPr>
        <w:t>des Vertrags über die Arbeitsweise der Europäischen Union</w:t>
      </w:r>
      <w:r>
        <w:rPr>
          <w:noProof/>
        </w:rPr>
        <w:br/>
      </w:r>
      <w:r>
        <w:rPr>
          <w:noProof/>
        </w:rPr>
        <w:br/>
        <w:t>betreffend den</w:t>
      </w:r>
    </w:p>
    <w:p w:rsidR="00F32568" w:rsidRDefault="002F6D6E">
      <w:pPr>
        <w:pStyle w:val="Titreobjet"/>
        <w:rPr>
          <w:noProof/>
        </w:rPr>
      </w:pPr>
      <w:r>
        <w:rPr>
          <w:noProof/>
        </w:rPr>
        <w:t>Standpunkt des Rates im Hinblick auf den Erlass einer Verordnung des Europäischen Parlaments und des Rates zur Änderung der Verordnung (EG) Nr. 1346/2000 über Insolvenzverfahren</w:t>
      </w:r>
    </w:p>
    <w:p w:rsidR="00F32568" w:rsidRDefault="002F6D6E">
      <w:pPr>
        <w:pStyle w:val="ManualHeading1"/>
        <w:rPr>
          <w:noProof/>
          <w:sz w:val="22"/>
        </w:rPr>
      </w:pPr>
      <w:r>
        <w:rPr>
          <w:noProof/>
        </w:rPr>
        <w:t>1.</w:t>
      </w:r>
      <w:r>
        <w:rPr>
          <w:noProof/>
        </w:rPr>
        <w:tab/>
        <w:t>H</w:t>
      </w:r>
      <w:r>
        <w:rPr>
          <w:noProof/>
        </w:rPr>
        <w:t>intergrund</w:t>
      </w:r>
    </w:p>
    <w:tbl>
      <w:tblPr>
        <w:tblW w:w="0" w:type="auto"/>
        <w:tblLayout w:type="fixed"/>
        <w:tblLook w:val="0000" w:firstRow="0" w:lastRow="0" w:firstColumn="0" w:lastColumn="0" w:noHBand="0" w:noVBand="0"/>
      </w:tblPr>
      <w:tblGrid>
        <w:gridCol w:w="6804"/>
        <w:gridCol w:w="2483"/>
      </w:tblGrid>
      <w:tr w:rsidR="00F32568">
        <w:tc>
          <w:tcPr>
            <w:tcW w:w="6804" w:type="dxa"/>
          </w:tcPr>
          <w:p w:rsidR="00F32568" w:rsidRDefault="002F6D6E">
            <w:pPr>
              <w:jc w:val="left"/>
              <w:rPr>
                <w:noProof/>
                <w:color w:val="000000" w:themeColor="text1"/>
              </w:rPr>
            </w:pPr>
            <w:r>
              <w:rPr>
                <w:noProof/>
              </w:rPr>
              <w:t>Übermittlung des Vorschlags an das Europäische Parlament und den Rat</w:t>
            </w:r>
            <w:r>
              <w:rPr>
                <w:noProof/>
              </w:rPr>
              <w:br/>
              <w:t>(Dokument COM(2012) 744 final – 2012/0360 (COD)):</w:t>
            </w:r>
          </w:p>
        </w:tc>
        <w:tc>
          <w:tcPr>
            <w:tcW w:w="2483" w:type="dxa"/>
          </w:tcPr>
          <w:p w:rsidR="00F32568" w:rsidRDefault="002F6D6E">
            <w:pPr>
              <w:jc w:val="left"/>
              <w:rPr>
                <w:noProof/>
                <w:color w:val="000000" w:themeColor="text1"/>
              </w:rPr>
            </w:pPr>
            <w:r>
              <w:rPr>
                <w:noProof/>
              </w:rPr>
              <w:t>13.12.2012</w:t>
            </w:r>
          </w:p>
        </w:tc>
      </w:tr>
      <w:tr w:rsidR="00F32568">
        <w:tc>
          <w:tcPr>
            <w:tcW w:w="6804" w:type="dxa"/>
          </w:tcPr>
          <w:p w:rsidR="00F32568" w:rsidRDefault="002F6D6E">
            <w:pPr>
              <w:rPr>
                <w:noProof/>
                <w:color w:val="000000" w:themeColor="text1"/>
              </w:rPr>
            </w:pPr>
            <w:r>
              <w:rPr>
                <w:noProof/>
                <w:color w:val="000000" w:themeColor="text1"/>
              </w:rPr>
              <w:t>Stellungnahme des Europäischen Wirtschafts- und</w:t>
            </w:r>
            <w:r>
              <w:rPr>
                <w:noProof/>
              </w:rPr>
              <w:br/>
            </w:r>
            <w:r>
              <w:rPr>
                <w:noProof/>
                <w:color w:val="000000" w:themeColor="text1"/>
              </w:rPr>
              <w:t>Sozialausschusses:</w:t>
            </w:r>
          </w:p>
        </w:tc>
        <w:tc>
          <w:tcPr>
            <w:tcW w:w="2483" w:type="dxa"/>
          </w:tcPr>
          <w:p w:rsidR="00F32568" w:rsidRDefault="002F6D6E">
            <w:pPr>
              <w:jc w:val="left"/>
              <w:rPr>
                <w:noProof/>
                <w:color w:val="000000" w:themeColor="text1"/>
              </w:rPr>
            </w:pPr>
            <w:r>
              <w:rPr>
                <w:noProof/>
              </w:rPr>
              <w:t>22.5.2013</w:t>
            </w:r>
          </w:p>
        </w:tc>
      </w:tr>
      <w:tr w:rsidR="00F32568">
        <w:tc>
          <w:tcPr>
            <w:tcW w:w="6804" w:type="dxa"/>
          </w:tcPr>
          <w:p w:rsidR="00F32568" w:rsidRDefault="002F6D6E">
            <w:pPr>
              <w:rPr>
                <w:noProof/>
                <w:color w:val="000000" w:themeColor="text1"/>
              </w:rPr>
            </w:pPr>
            <w:r>
              <w:rPr>
                <w:noProof/>
                <w:color w:val="000000" w:themeColor="text1"/>
              </w:rPr>
              <w:t xml:space="preserve">Standpunkt des Europäischen </w:t>
            </w:r>
            <w:r>
              <w:rPr>
                <w:noProof/>
                <w:color w:val="000000" w:themeColor="text1"/>
              </w:rPr>
              <w:t>Parlaments in erster Lesung:</w:t>
            </w:r>
          </w:p>
        </w:tc>
        <w:tc>
          <w:tcPr>
            <w:tcW w:w="2483" w:type="dxa"/>
          </w:tcPr>
          <w:p w:rsidR="00F32568" w:rsidRDefault="002F6D6E">
            <w:pPr>
              <w:jc w:val="left"/>
              <w:rPr>
                <w:noProof/>
                <w:color w:val="000000" w:themeColor="text1"/>
              </w:rPr>
            </w:pPr>
            <w:r>
              <w:rPr>
                <w:noProof/>
              </w:rPr>
              <w:t>5.2.2014</w:t>
            </w:r>
          </w:p>
        </w:tc>
      </w:tr>
      <w:tr w:rsidR="00F32568">
        <w:tc>
          <w:tcPr>
            <w:tcW w:w="6804" w:type="dxa"/>
          </w:tcPr>
          <w:p w:rsidR="00F32568" w:rsidRDefault="002F6D6E">
            <w:pPr>
              <w:rPr>
                <w:noProof/>
                <w:color w:val="000000" w:themeColor="text1"/>
              </w:rPr>
            </w:pPr>
            <w:r>
              <w:rPr>
                <w:noProof/>
                <w:color w:val="000000" w:themeColor="text1"/>
              </w:rPr>
              <w:t>Festlegung des Standpunkts des Rates:</w:t>
            </w:r>
          </w:p>
        </w:tc>
        <w:tc>
          <w:tcPr>
            <w:tcW w:w="2483" w:type="dxa"/>
          </w:tcPr>
          <w:p w:rsidR="00F32568" w:rsidRDefault="002F6D6E" w:rsidP="00815DF3">
            <w:pPr>
              <w:jc w:val="left"/>
              <w:rPr>
                <w:noProof/>
                <w:color w:val="000000" w:themeColor="text1"/>
              </w:rPr>
            </w:pPr>
            <w:r>
              <w:rPr>
                <w:noProof/>
              </w:rPr>
              <w:t>12.3.2015</w:t>
            </w:r>
          </w:p>
        </w:tc>
      </w:tr>
    </w:tbl>
    <w:p w:rsidR="00F32568" w:rsidRDefault="002F6D6E">
      <w:pPr>
        <w:pStyle w:val="ManualHeading1"/>
        <w:rPr>
          <w:noProof/>
          <w:color w:val="000000" w:themeColor="text1"/>
        </w:rPr>
      </w:pPr>
      <w:r>
        <w:rPr>
          <w:noProof/>
          <w:color w:val="000000" w:themeColor="text1"/>
        </w:rPr>
        <w:t>2.</w:t>
      </w:r>
      <w:r>
        <w:rPr>
          <w:noProof/>
        </w:rPr>
        <w:tab/>
      </w:r>
      <w:r>
        <w:rPr>
          <w:noProof/>
          <w:color w:val="000000" w:themeColor="text1"/>
        </w:rPr>
        <w:t>Gegenstand des Vorschlags der Kommission</w:t>
      </w:r>
    </w:p>
    <w:p w:rsidR="00F32568" w:rsidRDefault="002F6D6E">
      <w:pPr>
        <w:rPr>
          <w:noProof/>
        </w:rPr>
      </w:pPr>
      <w:r>
        <w:rPr>
          <w:noProof/>
        </w:rPr>
        <w:t>Der Vorschlag der Kommission zur Änderung der Insolvenzverordnung wurde am 12. Dezember 2012 angenommen. Mit diesem Vorsch</w:t>
      </w:r>
      <w:r>
        <w:rPr>
          <w:noProof/>
        </w:rPr>
        <w:t xml:space="preserve">lag soll in erster Linie eine „Sanierungskultur“ in der EU gefördert werden. Er sieht im Wesentlichen Folgendes vor: Der Anwendungsbereich der Verordnung soll auf „präventive“ Insolvenzverfahren, die auf den Erhalt des Unternehmens gerichtet sind, und ein </w:t>
      </w:r>
      <w:r>
        <w:rPr>
          <w:noProof/>
        </w:rPr>
        <w:t>breiteres Spektrum von Insolvenzverfahren für natürliche Personen erweitert werden. Die Kriterien für die gerichtliche Zuständigkeit werden klarer gefasst (Mittelpunkt der hauptsächlichen Interessen des Schuldners), und der prozessuale Rahmen für die Zustä</w:t>
      </w:r>
      <w:r>
        <w:rPr>
          <w:noProof/>
        </w:rPr>
        <w:t>ndigkeitsprüfung wird verbessert. Im Interesse einer größeren Transparenz soll ein System vernetzter Insolvenzregister eingeführt werden. In Fällen, in denen die Interessen einheimischer Gläubiger anderweitig gewahrt sind, kann auf die Eröffnung von Sekund</w:t>
      </w:r>
      <w:r>
        <w:rPr>
          <w:noProof/>
        </w:rPr>
        <w:t>ärinsolvenzverfahren verzichtet werden, wodurch sich die Chancen für den Erhalt des Unternehmens erhöhen (sogenanntes virtuelles Sekundärinsolvenzverfahren). Darüber hinaus bietet der Vorschlag einen Rechtsrahmen für die Koordinierung der Verfahren von Mit</w:t>
      </w:r>
      <w:r>
        <w:rPr>
          <w:noProof/>
        </w:rPr>
        <w:t xml:space="preserve">gliedern von Unternehmensgruppen. </w:t>
      </w:r>
    </w:p>
    <w:p w:rsidR="00F32568" w:rsidRDefault="002F6D6E">
      <w:pPr>
        <w:pStyle w:val="ManualHeading1"/>
        <w:rPr>
          <w:noProof/>
        </w:rPr>
      </w:pPr>
      <w:r>
        <w:rPr>
          <w:noProof/>
        </w:rPr>
        <w:t>3.</w:t>
      </w:r>
      <w:r>
        <w:rPr>
          <w:noProof/>
        </w:rPr>
        <w:tab/>
        <w:t>Bemerkungen zu dem Standpunkt des Rates</w:t>
      </w:r>
    </w:p>
    <w:p w:rsidR="00F32568" w:rsidRDefault="002F6D6E">
      <w:pPr>
        <w:widowControl w:val="0"/>
        <w:rPr>
          <w:noProof/>
        </w:rPr>
      </w:pPr>
      <w:r>
        <w:rPr>
          <w:noProof/>
        </w:rPr>
        <w:t xml:space="preserve">Die wesentlichen Elemente des Kommissionsvorschlags wurden in den Standpunkt des Rates übernommen mit einigen technischen Änderungen bei einzelnen Punkten. Bei diesen Änderungen </w:t>
      </w:r>
      <w:r>
        <w:rPr>
          <w:noProof/>
        </w:rPr>
        <w:t>handelt es sich u. a. um zusätzliche Maßnahmen gegen missbräuchliches Forum Shopping durch Verbraucher, das Erfordernis, dass eine Mehrheit der einheimischen Gläubiger einem virtuellen Sekundärinsolvenzverfahren zustimmen muss, und der Einführung eines Gru</w:t>
      </w:r>
      <w:r>
        <w:rPr>
          <w:noProof/>
        </w:rPr>
        <w:t xml:space="preserve">ppen-Koordinierungsverfahrens. Die Kommission befürwortet diese Änderungen. </w:t>
      </w:r>
    </w:p>
    <w:p w:rsidR="00F32568" w:rsidRDefault="002F6D6E">
      <w:pPr>
        <w:widowControl w:val="0"/>
        <w:rPr>
          <w:noProof/>
        </w:rPr>
      </w:pPr>
      <w:r>
        <w:rPr>
          <w:noProof/>
        </w:rPr>
        <w:lastRenderedPageBreak/>
        <w:t xml:space="preserve">Nach informellen Dreiergesprächen am 15. Oktober 2014 und 10. November 2014 gelangten das Parlament, der Rat und die Kommission zu einer vorläufigen politischen Einigung über den </w:t>
      </w:r>
      <w:r>
        <w:rPr>
          <w:noProof/>
        </w:rPr>
        <w:t xml:space="preserve">Wortlaut der neuen Insolvenzverordnung (Neufassung).  </w:t>
      </w:r>
    </w:p>
    <w:p w:rsidR="00F32568" w:rsidRDefault="002F6D6E">
      <w:pPr>
        <w:widowControl w:val="0"/>
        <w:rPr>
          <w:noProof/>
        </w:rPr>
      </w:pPr>
      <w:r>
        <w:rPr>
          <w:noProof/>
        </w:rPr>
        <w:t xml:space="preserve">Der Rat bestätigte die politische Einigung am 4. Dezember 2014 und legte am </w:t>
      </w:r>
      <w:bookmarkStart w:id="0" w:name="_GoBack"/>
      <w:r w:rsidRPr="00815DF3">
        <w:rPr>
          <w:noProof/>
        </w:rPr>
        <w:t>12. März 2015</w:t>
      </w:r>
      <w:r>
        <w:rPr>
          <w:noProof/>
        </w:rPr>
        <w:t xml:space="preserve"> </w:t>
      </w:r>
      <w:bookmarkEnd w:id="0"/>
      <w:r>
        <w:rPr>
          <w:noProof/>
        </w:rPr>
        <w:t>seinen Standpunkt in erster Lesung fest.</w:t>
      </w:r>
    </w:p>
    <w:p w:rsidR="00F32568" w:rsidRDefault="002F6D6E">
      <w:pPr>
        <w:pStyle w:val="ManualHeading1"/>
        <w:rPr>
          <w:noProof/>
        </w:rPr>
      </w:pPr>
      <w:r>
        <w:rPr>
          <w:noProof/>
        </w:rPr>
        <w:t>4.</w:t>
      </w:r>
      <w:r>
        <w:rPr>
          <w:noProof/>
        </w:rPr>
        <w:tab/>
        <w:t>Fazit</w:t>
      </w:r>
    </w:p>
    <w:p w:rsidR="00F32568" w:rsidRDefault="002F6D6E">
      <w:pPr>
        <w:rPr>
          <w:noProof/>
        </w:rPr>
      </w:pPr>
      <w:r>
        <w:rPr>
          <w:noProof/>
        </w:rPr>
        <w:t>Da während der informellen Dreiergespräche eine Einigung üb</w:t>
      </w:r>
      <w:r>
        <w:rPr>
          <w:noProof/>
        </w:rPr>
        <w:t xml:space="preserve">er alle am Kommissionsvorschlag vorgenommenen Änderungen erzielt wurde, kann die Kommission die Änderungen annehmen, die vom Rat in seinem Standpunkt in erster Lesung festgelegt wurden. </w:t>
      </w:r>
    </w:p>
    <w:sectPr w:rsidR="00F32568">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6E" w:rsidRDefault="002F6D6E">
      <w:pPr>
        <w:spacing w:before="0" w:after="0"/>
      </w:pPr>
      <w:r>
        <w:separator/>
      </w:r>
    </w:p>
  </w:endnote>
  <w:endnote w:type="continuationSeparator" w:id="0">
    <w:p w:rsidR="002F6D6E" w:rsidRDefault="002F6D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68" w:rsidRDefault="002F6D6E">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DE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68" w:rsidRDefault="002F6D6E">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sidR="00815DF3">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68" w:rsidRDefault="00F3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6E" w:rsidRDefault="002F6D6E">
      <w:pPr>
        <w:spacing w:before="0" w:after="0"/>
      </w:pPr>
      <w:r>
        <w:separator/>
      </w:r>
    </w:p>
  </w:footnote>
  <w:footnote w:type="continuationSeparator" w:id="0">
    <w:p w:rsidR="002F6D6E" w:rsidRDefault="002F6D6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0A55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87CCB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08916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929D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D441E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8C8F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46C246"/>
    <w:lvl w:ilvl="0">
      <w:start w:val="1"/>
      <w:numFmt w:val="decimal"/>
      <w:pStyle w:val="ListNumber"/>
      <w:lvlText w:val="%1."/>
      <w:lvlJc w:val="left"/>
      <w:pPr>
        <w:tabs>
          <w:tab w:val="num" w:pos="360"/>
        </w:tabs>
        <w:ind w:left="360" w:hanging="360"/>
      </w:pPr>
    </w:lvl>
  </w:abstractNum>
  <w:abstractNum w:abstractNumId="7">
    <w:nsid w:val="FFFFFF89"/>
    <w:multiLevelType w:val="singleLevel"/>
    <w:tmpl w:val="76F4DA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4-13 13:28: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2BFF9928BDF64171AF202EA8DE903C50"/>
    <w:docVar w:name="LW_CROSSREFERENCE" w:val="&lt;UNUSED&gt;"/>
    <w:docVar w:name="LW_DocType" w:val="COM"/>
    <w:docVar w:name="LW_EMISSION" w:val="13.4.2015"/>
    <w:docVar w:name="LW_EMISSION_ISODATE" w:val="2015-04-13"/>
    <w:docVar w:name="LW_EMISSION_LOCATION" w:val="BRX"/>
    <w:docVar w:name="LW_EMISSION_PREFIX" w:val="Brüssel, den "/>
    <w:docVar w:name="LW_EMISSION_SUFFIX" w:val=" "/>
    <w:docVar w:name="LW_ID_DOCMODEL" w:val="SJ-028"/>
    <w:docVar w:name="LW_ID_DOCSTRUCTURE" w:val="COM/PL/CODEC"/>
    <w:docVar w:name="LW_ID_DOCTYPE" w:val="SJ-028"/>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360"/>
    <w:docVar w:name="LW_REF.II.NEW.CP_YEAR" w:val="2012"/>
    <w:docVar w:name="LW_REF.INST.NEW" w:val="COM"/>
    <w:docVar w:name="LW_REF.INST.NEW_ADOPTED" w:val="final"/>
    <w:docVar w:name="LW_REF.INST.NEW_TEXT" w:val="(2015) 173"/>
    <w:docVar w:name="LW_REF.INTERNE" w:val="&lt;UNUSED&gt;"/>
    <w:docVar w:name="LW_SOUS.TITRE.OBJ.CP" w:val="&lt;UNUSED&gt;"/>
    <w:docVar w:name="LW_SUPERTITRE" w:val="&lt;UNUSED&gt;"/>
    <w:docVar w:name="LW_TITRE.OBJ.CP" w:val="Standpunkt des Rates im Hinblick auf den Erlass einer Verordnung des Europäischen Parlaments und des Rates zur Änderung der Verordnung (EG) Nr. 1346/2000 über Insolvenzverfahren"/>
    <w:docVar w:name="LW_TYPE.DOC.CP" w:val="MITTEILUNG DER KOMMISSION AN DAS EUROPÄISCHE PARLAMENT_x000b__x000b_gemäß Artikel 294 Absatz 6 des Vertrags über die Arbeitsweise der Europäischen Union_x000b__x000b_betreffend den"/>
  </w:docVars>
  <w:rsids>
    <w:rsidRoot w:val="00F32568"/>
    <w:rsid w:val="002F6D6E"/>
    <w:rsid w:val="00815DF3"/>
    <w:rsid w:val="00F3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3</Pages>
  <Words>409</Words>
  <Characters>2684</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17</cp:revision>
  <cp:lastPrinted>2015-04-09T11:52:00Z</cp:lastPrinted>
  <dcterms:created xsi:type="dcterms:W3CDTF">2015-04-09T11:59:00Z</dcterms:created>
  <dcterms:modified xsi:type="dcterms:W3CDTF">2015-04-13T12:02:00Z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Yellow (DQC version 02)</vt:lpwstr>
  </property>
</Properties>
</file>