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29" w:rsidRDefault="00D53D8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3E38F5BE9834787ADEBF710DDECAB3B" style="width:450.75pt;height:402.75pt">
            <v:imagedata r:id="rId9" o:title=""/>
          </v:shape>
        </w:pict>
      </w:r>
    </w:p>
    <w:p w:rsidR="00E57029" w:rsidRDefault="00E57029">
      <w:pPr>
        <w:rPr>
          <w:noProof/>
        </w:rPr>
        <w:sectPr w:rsidR="00E57029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57029" w:rsidRDefault="00D53D8A">
      <w:pPr>
        <w:pStyle w:val="Rfrenceinterinstitutionnelle"/>
        <w:rPr>
          <w:noProof/>
        </w:rPr>
      </w:pPr>
      <w:r>
        <w:rPr>
          <w:noProof/>
        </w:rPr>
        <w:lastRenderedPageBreak/>
        <w:t>2012/0360 (COD)</w:t>
      </w:r>
    </w:p>
    <w:p w:rsidR="00E57029" w:rsidRDefault="00D53D8A">
      <w:pPr>
        <w:pStyle w:val="Typedudocument"/>
        <w:rPr>
          <w:noProof/>
        </w:rPr>
      </w:pPr>
      <w:r>
        <w:rPr>
          <w:noProof/>
        </w:rPr>
        <w:t>KOMISJONI TEATIS</w:t>
      </w:r>
      <w:r>
        <w:rPr>
          <w:noProof/>
        </w:rPr>
        <w:br/>
        <w:t>EUROOPA PARLAMENDILE,</w:t>
      </w:r>
      <w:r>
        <w:rPr>
          <w:noProof/>
        </w:rPr>
        <w:br/>
      </w:r>
      <w:r>
        <w:rPr>
          <w:noProof/>
        </w:rPr>
        <w:br/>
        <w:t xml:space="preserve">mis on esitatud Euroopa Liidu toimimise </w:t>
      </w:r>
      <w:r>
        <w:rPr>
          <w:noProof/>
        </w:rPr>
        <w:t>lepingu artikli 294 lõike 6 alusel</w:t>
      </w:r>
      <w:r>
        <w:rPr>
          <w:noProof/>
        </w:rPr>
        <w:br/>
      </w:r>
      <w:r>
        <w:rPr>
          <w:noProof/>
        </w:rPr>
        <w:br/>
        <w:t>ning milles käsitletakse</w:t>
      </w:r>
    </w:p>
    <w:p w:rsidR="00E57029" w:rsidRDefault="00D53D8A">
      <w:pPr>
        <w:pStyle w:val="Titreobjet"/>
        <w:rPr>
          <w:noProof/>
        </w:rPr>
      </w:pPr>
      <w:r>
        <w:rPr>
          <w:noProof/>
        </w:rPr>
        <w:t>nõukogu seisukohta seoses Euroopa Parlamendi ja nõukogu määruse (millega muudetakse nõukogu määrust (EÜ) nr 1346/2000 maksejõuetusmenetluse kohta) vastuvõtmisega</w:t>
      </w:r>
    </w:p>
    <w:p w:rsidR="00E57029" w:rsidRDefault="00D53D8A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Taustteave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E57029">
        <w:tc>
          <w:tcPr>
            <w:tcW w:w="6804" w:type="dxa"/>
          </w:tcPr>
          <w:p w:rsidR="00E57029" w:rsidRDefault="00D53D8A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Ettepaneku Euroopa </w:t>
            </w:r>
            <w:r>
              <w:rPr>
                <w:noProof/>
                <w:color w:val="000000" w:themeColor="text1"/>
              </w:rPr>
              <w:t>Parlamendile ja nõukogule edastamise kuupäev</w:t>
            </w:r>
            <w:r>
              <w:rPr>
                <w:noProof/>
              </w:rPr>
              <w:br/>
            </w:r>
            <w:r>
              <w:rPr>
                <w:noProof/>
                <w:color w:val="000000" w:themeColor="text1"/>
              </w:rPr>
              <w:t>(dokument COM(</w:t>
            </w:r>
            <w:r>
              <w:rPr>
                <w:noProof/>
              </w:rPr>
              <w:t>2012</w:t>
            </w:r>
            <w:r>
              <w:rPr>
                <w:noProof/>
                <w:color w:val="000000" w:themeColor="text1"/>
              </w:rPr>
              <w:t xml:space="preserve">) </w:t>
            </w:r>
            <w:r>
              <w:rPr>
                <w:noProof/>
              </w:rPr>
              <w:t>744</w:t>
            </w:r>
            <w:r>
              <w:rPr>
                <w:noProof/>
                <w:color w:val="000000" w:themeColor="text1"/>
              </w:rPr>
              <w:t xml:space="preserve"> final – </w:t>
            </w:r>
            <w:r>
              <w:rPr>
                <w:noProof/>
              </w:rPr>
              <w:t>2012</w:t>
            </w:r>
            <w:r>
              <w:rPr>
                <w:noProof/>
                <w:color w:val="000000" w:themeColor="text1"/>
              </w:rPr>
              <w:t>/</w:t>
            </w:r>
            <w:r>
              <w:rPr>
                <w:noProof/>
              </w:rPr>
              <w:t xml:space="preserve">0360 </w:t>
            </w:r>
            <w:r>
              <w:rPr>
                <w:noProof/>
                <w:color w:val="000000" w:themeColor="text1"/>
              </w:rPr>
              <w:t>COD):</w:t>
            </w:r>
          </w:p>
        </w:tc>
        <w:tc>
          <w:tcPr>
            <w:tcW w:w="2483" w:type="dxa"/>
          </w:tcPr>
          <w:p w:rsidR="00E57029" w:rsidRDefault="00D53D8A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13. 12. 2012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E57029">
        <w:tc>
          <w:tcPr>
            <w:tcW w:w="6804" w:type="dxa"/>
          </w:tcPr>
          <w:p w:rsidR="00E57029" w:rsidRDefault="00D53D8A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Euroopa Majandus- ja Sotsiaalkomitee arvamuse kuupäev:</w:t>
            </w:r>
          </w:p>
        </w:tc>
        <w:tc>
          <w:tcPr>
            <w:tcW w:w="2483" w:type="dxa"/>
          </w:tcPr>
          <w:p w:rsidR="00E57029" w:rsidRDefault="00D53D8A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22. 5. 2013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E57029">
        <w:tc>
          <w:tcPr>
            <w:tcW w:w="6804" w:type="dxa"/>
          </w:tcPr>
          <w:p w:rsidR="00E57029" w:rsidRDefault="00D53D8A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Euroopa Parlamendi seisukoha kuupäev, esimene lugemine:</w:t>
            </w:r>
          </w:p>
        </w:tc>
        <w:tc>
          <w:tcPr>
            <w:tcW w:w="2483" w:type="dxa"/>
          </w:tcPr>
          <w:p w:rsidR="00E57029" w:rsidRDefault="00D53D8A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5. 2. 2014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E57029">
        <w:tc>
          <w:tcPr>
            <w:tcW w:w="6804" w:type="dxa"/>
          </w:tcPr>
          <w:p w:rsidR="00E57029" w:rsidRDefault="00D53D8A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Nõukogu </w:t>
            </w:r>
            <w:r>
              <w:rPr>
                <w:noProof/>
                <w:color w:val="000000" w:themeColor="text1"/>
              </w:rPr>
              <w:t>seisukoha vastuvõtmise kuupäev:</w:t>
            </w:r>
          </w:p>
        </w:tc>
        <w:tc>
          <w:tcPr>
            <w:tcW w:w="2483" w:type="dxa"/>
          </w:tcPr>
          <w:p w:rsidR="00E57029" w:rsidRDefault="00D53D8A" w:rsidP="006B3010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12. 3. 2015</w:t>
            </w:r>
            <w:r>
              <w:rPr>
                <w:noProof/>
                <w:color w:val="000000" w:themeColor="text1"/>
              </w:rPr>
              <w:t>.</w:t>
            </w:r>
          </w:p>
        </w:tc>
      </w:tr>
    </w:tbl>
    <w:p w:rsidR="00E57029" w:rsidRDefault="00D53D8A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Komisjoni ettepaneku eesmärk</w:t>
      </w:r>
    </w:p>
    <w:p w:rsidR="00E57029" w:rsidRDefault="00D53D8A">
      <w:pPr>
        <w:rPr>
          <w:noProof/>
        </w:rPr>
      </w:pPr>
      <w:r>
        <w:rPr>
          <w:noProof/>
        </w:rPr>
        <w:t>Komisjoni ettepanek maksejõuetusmääruse muutmise kohta võeti vastu 12. detsembril 2012. Selle peamine eesmärk on edendada „päästmiskultuuri” Euroopa Liidus. Ettepaneku peamised</w:t>
      </w:r>
      <w:r>
        <w:rPr>
          <w:noProof/>
        </w:rPr>
        <w:t xml:space="preserve"> üksikasjad on järgmised: see laiendab määruse reguleerimisala nii, et see hõlmaks „ennetavaid” maksejõuetusmenetlusi, mille eesmärk on päästa äriühinguid, ja laiemat valikut füüsiliste isikute maksejõuetusmenetlusi; selles selgitatakse kohtualluvuse krite</w:t>
      </w:r>
      <w:r>
        <w:rPr>
          <w:noProof/>
        </w:rPr>
        <w:t>eriume (põhihuvide kese) ja täiustatakse kohtualluvuse kontrollimise menetlusraamistikku; sellega luuakse omavahel ühendatud maksejõuetusregistrite süsteem, et suurendada võlgnike läbipaistvust; see parandab äriühingute päästmisvõimalusi, vältides teiseste</w:t>
      </w:r>
      <w:r>
        <w:rPr>
          <w:noProof/>
        </w:rPr>
        <w:t xml:space="preserve"> menetluste algatamist, kui kohalike võlausaldajate huvid on muidu tagatud (nn „sünteetilised teisesed menetlused”); see on äriühingute rühmade liikmete menetluste koordineerimise õigusraamistikuks. </w:t>
      </w:r>
    </w:p>
    <w:p w:rsidR="00E57029" w:rsidRDefault="00D53D8A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Märkused nõukogu seisukoha kohta</w:t>
      </w:r>
    </w:p>
    <w:p w:rsidR="00E57029" w:rsidRDefault="00D53D8A">
      <w:pPr>
        <w:widowControl w:val="0"/>
        <w:rPr>
          <w:noProof/>
        </w:rPr>
      </w:pPr>
      <w:r>
        <w:rPr>
          <w:noProof/>
        </w:rPr>
        <w:t>Nõukogu seisukoht ki</w:t>
      </w:r>
      <w:r>
        <w:rPr>
          <w:noProof/>
        </w:rPr>
        <w:t>idab heaks komisjoni ettepaneku kõik põhielemendid koos mõningate tehniliste muudatustega üksikasjades. Nimetatud muudatuste hulka kuuluvad tarbijatepoolse meelepärase kohtualluvuse valimise vastu võitlemise meetmed, nõue, et kohalikud võlausaldajad peavad</w:t>
      </w:r>
      <w:r>
        <w:rPr>
          <w:noProof/>
        </w:rPr>
        <w:t xml:space="preserve"> sünteetilised teisesed menetlused heaks kiitma häälteenamusega, ning nn kontserni tasandi koordineerimismenetluse kasutuselevõtmine. Komisjon toetab neid muudatusi. </w:t>
      </w:r>
    </w:p>
    <w:p w:rsidR="00E57029" w:rsidRDefault="00D53D8A">
      <w:pPr>
        <w:widowControl w:val="0"/>
        <w:rPr>
          <w:noProof/>
        </w:rPr>
      </w:pPr>
      <w:r>
        <w:rPr>
          <w:noProof/>
        </w:rPr>
        <w:t xml:space="preserve">Pärast mitteametlikke kolmepoolseid arutelusid 15. oktoobril 2014 ja 10. novembril 2014 jõudsid Euroopa Parlament, nõukogu ja komisjon esialgsele poliitilisele kokkuleppele uue maksujõuetusmääruse teksti osas (uuesti sõnastatud kujul). </w:t>
      </w:r>
    </w:p>
    <w:p w:rsidR="00E57029" w:rsidRDefault="00D53D8A">
      <w:pPr>
        <w:widowControl w:val="0"/>
        <w:rPr>
          <w:noProof/>
        </w:rPr>
      </w:pPr>
      <w:r>
        <w:rPr>
          <w:noProof/>
        </w:rPr>
        <w:lastRenderedPageBreak/>
        <w:t>Nõukogu kinnitas kõ</w:t>
      </w:r>
      <w:r>
        <w:rPr>
          <w:noProof/>
        </w:rPr>
        <w:t xml:space="preserve">nealust poliitilist kokkulepet 4. detsembril 2014 ja võttis </w:t>
      </w:r>
      <w:bookmarkStart w:id="0" w:name="_GoBack"/>
      <w:r w:rsidRPr="006B3010">
        <w:rPr>
          <w:noProof/>
        </w:rPr>
        <w:t>12. märtsil 2015</w:t>
      </w:r>
      <w:r>
        <w:rPr>
          <w:noProof/>
        </w:rPr>
        <w:t xml:space="preserve"> </w:t>
      </w:r>
      <w:bookmarkEnd w:id="0"/>
      <w:r>
        <w:rPr>
          <w:noProof/>
        </w:rPr>
        <w:t>vastu esimese lugemise seisukoha.</w:t>
      </w:r>
    </w:p>
    <w:p w:rsidR="00E57029" w:rsidRDefault="00D53D8A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Kokkuvõte</w:t>
      </w:r>
    </w:p>
    <w:p w:rsidR="00E57029" w:rsidRDefault="00D53D8A">
      <w:pPr>
        <w:rPr>
          <w:noProof/>
        </w:rPr>
      </w:pPr>
      <w:r>
        <w:rPr>
          <w:noProof/>
        </w:rPr>
        <w:t>Kuna kõigi komisjoni ettepanekus tehtud muudatuste suhtes saavutati mitteametlikel kolmepoolsetel aruteludel kokkulepe, võib komis</w:t>
      </w:r>
      <w:r>
        <w:rPr>
          <w:noProof/>
        </w:rPr>
        <w:t xml:space="preserve">jon nõustuda muudatustega, mis nõukogu võttis vastu esimese lugemise seisukohas. </w:t>
      </w:r>
    </w:p>
    <w:sectPr w:rsidR="00E57029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8A" w:rsidRDefault="00D53D8A">
      <w:pPr>
        <w:spacing w:before="0" w:after="0"/>
      </w:pPr>
      <w:r>
        <w:separator/>
      </w:r>
    </w:p>
  </w:endnote>
  <w:endnote w:type="continuationSeparator" w:id="0">
    <w:p w:rsidR="00D53D8A" w:rsidRDefault="00D53D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29" w:rsidRDefault="00D53D8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29" w:rsidRDefault="00D53D8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B3010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29" w:rsidRDefault="00E57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8A" w:rsidRDefault="00D53D8A">
      <w:pPr>
        <w:spacing w:before="0" w:after="0"/>
      </w:pPr>
      <w:r>
        <w:separator/>
      </w:r>
    </w:p>
  </w:footnote>
  <w:footnote w:type="continuationSeparator" w:id="0">
    <w:p w:rsidR="00D53D8A" w:rsidRDefault="00D53D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0A5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7CCB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0891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929D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D441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8C8F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A46C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F4D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13 13:29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B3E38F5BE9834787ADEBF710DDECAB3B"/>
    <w:docVar w:name="LW_CROSSREFERENCE" w:val="&lt;UNUSED&gt;"/>
    <w:docVar w:name="LW_DocType" w:val="COM"/>
    <w:docVar w:name="LW_EMISSION" w:val="13.4.2015"/>
    <w:docVar w:name="LW_EMISSION_ISODATE" w:val="2015-04-13"/>
    <w:docVar w:name="LW_EMISSION_LOCATION" w:val="BRX"/>
    <w:docVar w:name="LW_EMISSION_PREFIX" w:val="Brüssel,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ET"/>
    <w:docVar w:name="LW_MARKING" w:val="&lt;UNUSED&gt;"/>
    <w:docVar w:name="LW_NOM.INST" w:val="EUROOPA KOMISJON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60"/>
    <w:docVar w:name="LW_REF.II.NEW.CP_YEAR" w:val="2012"/>
    <w:docVar w:name="LW_REF.INST.NEW" w:val="COM"/>
    <w:docVar w:name="LW_REF.INST.NEW_ADOPTED" w:val="final"/>
    <w:docVar w:name="LW_REF.INST.NEW_TEXT" w:val="(2015) 173"/>
    <w:docVar w:name="LW_REF.INTERNE" w:val="&lt;UNUSED&gt;"/>
    <w:docVar w:name="LW_SOUS.TITRE.OBJ.CP" w:val="&lt;UNUSED&gt;"/>
    <w:docVar w:name="LW_SUPERTITRE" w:val="&lt;UNUSED&gt;"/>
    <w:docVar w:name="LW_TITRE.OBJ.CP" w:val="nõukogu seisukohta seoses Euroopa Parlamendi ja nõukogu määruse (millega muudetakse nõukogu määrust (EÜ) nr 1346/2000 maksejõuetusmenetluse kohta) vastuvõtmisega"/>
    <w:docVar w:name="LW_TYPE.DOC.CP" w:val="KOMISJONI TEATIS_x000b_EUROOPA PARLAMENDILE,_x000b__x000b_mis on esitatud Euroopa Liidu toimimise lepingu artikli 294 lõike 6 alusel_x000b__x000b_ning milles käsitletakse"/>
  </w:docVars>
  <w:rsids>
    <w:rsidRoot w:val="00E57029"/>
    <w:rsid w:val="006B3010"/>
    <w:rsid w:val="00D53D8A"/>
    <w:rsid w:val="00E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BC8B-EDEF-43F5-ADCB-0EF489BC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407</Words>
  <Characters>2239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17</cp:revision>
  <cp:lastPrinted>2015-02-17T17:13:00Z</cp:lastPrinted>
  <dcterms:created xsi:type="dcterms:W3CDTF">2015-04-13T06:59:00Z</dcterms:created>
  <dcterms:modified xsi:type="dcterms:W3CDTF">2015-04-13T12:08:00Z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