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F56DBECDFFBC45DABA0B2438430634FD" style="width:450.7pt;height:384.3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BILAGA</w:t>
      </w:r>
    </w:p>
    <w:p>
      <w:pPr>
        <w:pStyle w:val="Accompagnant"/>
        <w:rPr>
          <w:noProof/>
        </w:rPr>
      </w:pPr>
      <w:r>
        <w:rPr>
          <w:noProof/>
        </w:rPr>
        <w:t>till</w:t>
      </w:r>
    </w:p>
    <w:p>
      <w:pPr>
        <w:pStyle w:val="Typeacteprincipal"/>
        <w:rPr>
          <w:noProof/>
        </w:rPr>
      </w:pPr>
      <w:r>
        <w:rPr>
          <w:noProof/>
        </w:rPr>
        <w:t xml:space="preserve">utkast till förordning </w:t>
      </w:r>
    </w:p>
    <w:p>
      <w:pPr>
        <w:pStyle w:val="Objetacteprincipal"/>
        <w:rPr>
          <w:noProof/>
        </w:rPr>
      </w:pPr>
      <w:r>
        <w:rPr>
          <w:noProof/>
        </w:rPr>
        <w:t xml:space="preserve">om ändring av förordning (EG) nr 1683/1995 av den 29 maj 1995 om en enhetlig utformning av visumhandlingar </w:t>
      </w:r>
    </w:p>
    <w:p>
      <w:pPr>
        <w:rPr>
          <w:noProof/>
        </w:rPr>
      </w:pPr>
    </w:p>
    <w:p>
      <w:pPr>
        <w:rPr>
          <w:noProof/>
        </w:rPr>
      </w:pPr>
      <w:r>
        <w:rPr>
          <w:noProof/>
        </w:rPr>
        <w:t>Prototyp för viseringsmärket</w:t>
      </w:r>
    </w:p>
    <w:p>
      <w:pPr>
        <w:rPr>
          <w:noProof/>
        </w:rPr>
      </w:pPr>
      <w:r>
        <w:rPr>
          <w:noProof/>
        </w:rPr>
        <w:t xml:space="preserve"> </w:t>
      </w:r>
    </w:p>
    <w:p>
      <w:pPr>
        <w:rPr>
          <w:noProof/>
        </w:rPr>
      </w:pPr>
      <w:r>
        <w:rPr>
          <w:noProof/>
          <w:lang w:val="en-US" w:eastAsia="en-US" w:bidi="ar-SA"/>
        </w:rPr>
        <w:drawing>
          <wp:inline distT="0" distB="0" distL="0" distR="0">
            <wp:extent cx="5761355" cy="5446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446015"/>
                    </a:xfrm>
                    <a:prstGeom prst="rect">
                      <a:avLst/>
                    </a:prstGeom>
                    <a:noFill/>
                    <a:ln>
                      <a:noFill/>
                    </a:ln>
                  </pic:spPr>
                </pic:pic>
              </a:graphicData>
            </a:graphic>
          </wp:inline>
        </w:drawing>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t>Säkerhetsdetaljer</w:t>
      </w:r>
    </w:p>
    <w:p>
      <w:pPr>
        <w:rPr>
          <w:noProof/>
        </w:rPr>
      </w:pPr>
      <w:r>
        <w:rPr>
          <w:noProof/>
        </w:rPr>
        <w:t>1. Ett integrerat färgfoto av innehavaren som uppfyller höga säkerhetskrav.</w:t>
      </w:r>
    </w:p>
    <w:p>
      <w:pPr>
        <w:rPr>
          <w:noProof/>
        </w:rPr>
      </w:pPr>
      <w:r>
        <w:rPr>
          <w:noProof/>
        </w:rPr>
        <w:t>2. På denna yta syns ett föränderligt optiskt märke (kinegram eller motsvarande). Beroende på betraktningsvinkeln syns omväxlande bokstaven ”E”, bokstäverna ”EU” och rörliga guillochlinjer i olika storlek och färg.</w:t>
      </w:r>
    </w:p>
    <w:p>
      <w:pPr>
        <w:rPr>
          <w:noProof/>
        </w:rPr>
      </w:pPr>
      <w:r>
        <w:rPr>
          <w:noProof/>
        </w:rPr>
        <w:t xml:space="preserve">3. Denna ruta innehåller en landskod på tre bokstäver som anger den utfärdande medlemsstaten i enlighet med ICAO:s dokument 9303 om maskinläsbara resehandlingar, tryckt med optiskt föränderligt bläck. Beroende på betraktningsvinkeln framträder ordet i olika färger. </w:t>
      </w:r>
    </w:p>
    <w:p>
      <w:pPr>
        <w:rPr>
          <w:noProof/>
        </w:rPr>
      </w:pPr>
      <w:r>
        <w:rPr>
          <w:noProof/>
        </w:rPr>
        <w:t>4. På denna yta syns ordet ”visering” och den utfärdande staten med versaler.</w:t>
      </w:r>
    </w:p>
    <w:p>
      <w:pPr>
        <w:rPr>
          <w:noProof/>
        </w:rPr>
      </w:pPr>
      <w:r>
        <w:rPr>
          <w:noProof/>
        </w:rPr>
        <w:t>5. Denna ruta innehåller viseringsmärkets niosiffriga nationella nummer horisontellt, vilket är förtryckt i svart. Ett särskilt typsnitt ska användas.</w:t>
      </w:r>
    </w:p>
    <w:p>
      <w:pPr>
        <w:rPr>
          <w:noProof/>
        </w:rPr>
      </w:pPr>
      <w:r>
        <w:rPr>
          <w:noProof/>
        </w:rPr>
        <w:t>6. Denna ruta innehåller viseringsmärkets niosiffriga nationella nummer vertikalt, vilket är förtryckt i rött. Ett särskilt typsnitt ska användas, vilket dock måste vara ett annat än det i ruta 5. Med ”viseringsmärkets nummer” avses landskoden på tre bokstäver i ruta 3 och det nationella numret i rutorna 5 och 6.</w:t>
      </w:r>
    </w:p>
    <w:p>
      <w:pPr>
        <w:rPr>
          <w:noProof/>
        </w:rPr>
      </w:pPr>
      <w:r>
        <w:rPr>
          <w:noProof/>
        </w:rPr>
        <w:t>7. Denna ruta ska innehålla bokstäverna ”EU” i form av en latent bild. Dessa bokstäver framträder ljusa när de ligger platt och mörka när de vrids 90 grader.</w:t>
      </w:r>
    </w:p>
    <w:p>
      <w:pPr>
        <w:rPr>
          <w:noProof/>
        </w:rPr>
      </w:pPr>
      <w:r>
        <w:rPr>
          <w:noProof/>
        </w:rPr>
        <w:t>8. Denna ruta innehåller landskoderna enligt ruta 3 i form av en latent bild. Denna kod framträder ljus när den ligger platt och mörk när den vrids 90 grader.</w:t>
      </w:r>
    </w:p>
    <w:p>
      <w:pPr>
        <w:rPr>
          <w:noProof/>
        </w:rPr>
      </w:pPr>
    </w:p>
    <w:p>
      <w:pPr>
        <w:rPr>
          <w:noProof/>
        </w:rPr>
      </w:pPr>
      <w:r>
        <w:rPr>
          <w:noProof/>
        </w:rPr>
        <w:t>Rutor att fylla i</w:t>
      </w:r>
    </w:p>
    <w:p>
      <w:pPr>
        <w:rPr>
          <w:noProof/>
        </w:rPr>
      </w:pPr>
    </w:p>
    <w:p>
      <w:pPr>
        <w:rPr>
          <w:noProof/>
        </w:rPr>
      </w:pPr>
      <w:r>
        <w:rPr>
          <w:noProof/>
        </w:rPr>
        <w:t>Rubriktexten till rutorna är på engelska och franska. Den utfärdande staten kan lägga till ett annat officiellt gemenskapsspråk. För ordet ”visering” på den första raden får dock vilket som helst officiellt unionsspråk användas.</w:t>
      </w:r>
    </w:p>
    <w:p>
      <w:pPr>
        <w:rPr>
          <w:noProof/>
        </w:rPr>
      </w:pPr>
    </w:p>
    <w:p>
      <w:pPr>
        <w:rPr>
          <w:noProof/>
        </w:rPr>
      </w:pPr>
      <w:r>
        <w:rPr>
          <w:noProof/>
        </w:rPr>
        <w:t>9. Denna ruta börjar med orden ”giltigt för”. Den utfärdande myndigheten anger här viseringens territoriella giltighet.</w:t>
      </w:r>
    </w:p>
    <w:p>
      <w:pPr>
        <w:rPr>
          <w:noProof/>
        </w:rPr>
      </w:pPr>
      <w:r>
        <w:rPr>
          <w:noProof/>
        </w:rPr>
        <w:t>10. Denna ruta börjar med ordet ”från” och ordet ”till” står på samma rad. Den utfärdande myndigheten ska ange viseringens giltighetstid. Längre bort på samma rad står orden ”vistelsens längd” (dvs. den av sökanden begärda vistelsetiden) och ”dagar”.</w:t>
      </w:r>
    </w:p>
    <w:p>
      <w:pPr>
        <w:rPr>
          <w:noProof/>
        </w:rPr>
      </w:pPr>
      <w:r>
        <w:rPr>
          <w:noProof/>
        </w:rPr>
        <w:t>11. Denna ruta börjar med orden ”slag av visering”. Här anger den utfärdande myndigheten vilken typ av visering det gäller, i enlighet med artiklarna 5 och 7 i denna förordning. Längre bort på samma rad står ”passnummer” (här anges innehavarens passnummer) och ”antal inresor”.</w:t>
      </w:r>
    </w:p>
    <w:p>
      <w:pPr>
        <w:rPr>
          <w:noProof/>
        </w:rPr>
      </w:pPr>
      <w:r>
        <w:rPr>
          <w:noProof/>
        </w:rPr>
        <w:t>12. Denna ruta börjar med orden ”utfärdad i” och används för att ange orten där viseringen utfärdats. Längre bort på samma rad står ordet ”den” (här anger den utfärdande myndigheten datumet för utfärdandet av viseringen).</w:t>
      </w:r>
    </w:p>
    <w:p>
      <w:pPr>
        <w:rPr>
          <w:noProof/>
        </w:rPr>
      </w:pPr>
      <w:r>
        <w:rPr>
          <w:noProof/>
        </w:rPr>
        <w:t>13. Denna ruta börjar med orden ”efternamn, förnamn”.</w:t>
      </w:r>
    </w:p>
    <w:p>
      <w:pPr>
        <w:rPr>
          <w:noProof/>
        </w:rPr>
      </w:pPr>
      <w:r>
        <w:rPr>
          <w:noProof/>
        </w:rPr>
        <w:t>14. Denna ruta börjar med ordet ”anmärkningar”. Den används av den utfärdande myndigheten för övriga nödvändiga uppgifter, förutsatt att förfarandet överensstämmer med artikel 4 i denna förordning. De följande två och en halv raderna används för dessa anmärkningar. Dessutom kan en del av denna ruta användas för en framtida tvådimensionell streckkod om en sådan tas med i de gemensamma tekniska specifikationerna.</w:t>
      </w:r>
    </w:p>
    <w:p>
      <w:pPr>
        <w:rPr>
          <w:noProof/>
        </w:rPr>
      </w:pPr>
      <w:r>
        <w:rPr>
          <w:noProof/>
        </w:rPr>
        <w:t>15. Denna ruta innehåller maskinläsbara uppgifter för att förenkla t.ex. den yttre gränskontrollen. Det maskinläsbara fältets bottenmönster har en förtryckt text som anger koderna enligt ruta 3 och ”Europeiska unionen” på olika språk. Texten får inte inverka på det maskinläsbara fältets tekniska egenskaper eller dess läsbarhet.</w:t>
      </w:r>
    </w:p>
    <w:p>
      <w:pPr>
        <w:rPr>
          <w:noProof/>
        </w:rPr>
      </w:pPr>
      <w:r>
        <w:rPr>
          <w:noProof/>
        </w:rPr>
        <w:t>16. Denna ruta är reserverad för en eventuell gemensam tvådimensionell streckkod.</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8A0A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BCA2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11CD6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24D8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F51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68C0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2324CA4"/>
    <w:lvl w:ilvl="0">
      <w:start w:val="1"/>
      <w:numFmt w:val="decimal"/>
      <w:pStyle w:val="ListNumber"/>
      <w:lvlText w:val="%1."/>
      <w:lvlJc w:val="left"/>
      <w:pPr>
        <w:tabs>
          <w:tab w:val="num" w:pos="360"/>
        </w:tabs>
        <w:ind w:left="360" w:hanging="360"/>
      </w:pPr>
    </w:lvl>
  </w:abstractNum>
  <w:abstractNum w:abstractNumId="7">
    <w:nsid w:val="FFFFFF89"/>
    <w:multiLevelType w:val="singleLevel"/>
    <w:tmpl w:val="9C7002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24 09:22:3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2"/>
    <w:docVar w:name="DQCResult_UnknownFonts" w:val="0;0"/>
    <w:docVar w:name="DQCResult_UnknownStyles" w:val="0;0"/>
    <w:docVar w:name="DQCStatus" w:val="Green"/>
    <w:docVar w:name="DQCVersion" w:val="2"/>
    <w:docVar w:name="DQCWithWarnings" w:val="0"/>
    <w:docVar w:name="LW_ACCOMPAGNANT.CP" w:val="till"/>
    <w:docVar w:name="LW_ANNEX_NBR_FIRST" w:val="1"/>
    <w:docVar w:name="LW_ANNEX_NBR_LAST" w:val="1"/>
    <w:docVar w:name="LW_CONFIDENCE" w:val=" "/>
    <w:docVar w:name="LW_CONST_RESTREINT_UE" w:val="RESTREINT UE"/>
    <w:docVar w:name="LW_CORRIGENDUM" w:val="&lt;UNUSED&gt;"/>
    <w:docVar w:name="LW_COVERPAGE_GUID" w:val="F56DBECDFFBC45DABA0B2438430634FD"/>
    <w:docVar w:name="LW_CROSSREFERENCE" w:val="&lt;UNUSED&gt;"/>
    <w:docVar w:name="LW_DocType" w:val="ANNEX"/>
    <w:docVar w:name="LW_EMISSION" w:val="24.6.2015"/>
    <w:docVar w:name="LW_EMISSION_ISODATE" w:val="2015-06-24"/>
    <w:docVar w:name="LW_EMISSION_LOCATION" w:val="BRX"/>
    <w:docVar w:name="LW_EMISSION_PREFIX" w:val="Bryssel den "/>
    <w:docVar w:name="LW_EMISSION_SUFFIX" w:val=" "/>
    <w:docVar w:name="LW_ID_DOCSTRUCTURE" w:val="COM/ANNEX"/>
    <w:docVar w:name="LW_ID_DOCTYPE" w:val="SG-017"/>
    <w:docVar w:name="LW_LANGUE" w:val="SV"/>
    <w:docVar w:name="LW_MARKING" w:val="&lt;UNUSED&gt;"/>
    <w:docVar w:name="LW_NOM.INST" w:val="EUROPEISKA KOMMISSIONEN"/>
    <w:docVar w:name="LW_NOM.INST_JOINTDOC" w:val="&lt;EMPTY&gt;"/>
    <w:docVar w:name="LW_OBJETACTEPRINCIPAL.CP" w:val="om ändring av förordning (EG) nr 1683/1995 av den 29 maj 1995 om en enhetlig utformning av visumhandlingar "/>
    <w:docVar w:name="LW_PART_NBR" w:val="1"/>
    <w:docVar w:name="LW_PART_NBR_TOTAL" w:val="1"/>
    <w:docVar w:name="LW_REF.INST.NEW" w:val="COM"/>
    <w:docVar w:name="LW_REF.INST.NEW_ADOPTED" w:val="final"/>
    <w:docVar w:name="LW_REF.INST.NEW_TEXT" w:val="(2015) 303"/>
    <w:docVar w:name="LW_REF.INTERNE" w:val="&lt;UNUSED&gt;"/>
    <w:docVar w:name="LW_SUPERTITRE" w:val="&lt;UNUSED&gt;"/>
    <w:docVar w:name="LW_TITRE.OBJ.CP" w:val="&lt;UNUSED&gt;"/>
    <w:docVar w:name="LW_TYPE.DOC.CP" w:val="BILAGA"/>
    <w:docVar w:name="LW_TYPEACTEPRINCIPAL.CP" w:val="utkast till förordning "/>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542</Words>
  <Characters>3095</Characters>
  <Application>Microsoft Office Word</Application>
  <DocSecurity>0</DocSecurity>
  <Lines>79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Maria Patrizia (HOME-EXT)</dc:creator>
  <cp:lastModifiedBy>DIGIT/A3</cp:lastModifiedBy>
  <cp:revision>7</cp:revision>
  <dcterms:created xsi:type="dcterms:W3CDTF">2015-05-12T11:49:00Z</dcterms:created>
  <dcterms:modified xsi:type="dcterms:W3CDTF">2015-06-24T07:22:00Z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02)</vt:lpwstr>
  </property>
</Properties>
</file>