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8EA6582B6F345128967ABC248F66308" style="width:450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MELLÉKLET</w:t>
      </w:r>
    </w:p>
    <w:p>
      <w:pPr>
        <w:pStyle w:val="Accompagnant"/>
        <w:rPr>
          <w:noProof/>
        </w:rPr>
      </w:pPr>
      <w:r>
        <w:rPr>
          <w:noProof/>
        </w:rPr>
        <w:t>a következőhöz:</w:t>
      </w:r>
    </w:p>
    <w:p>
      <w:pPr>
        <w:pStyle w:val="Typeacteprincipal"/>
        <w:rPr>
          <w:noProof/>
        </w:rPr>
      </w:pPr>
      <w:r>
        <w:rPr>
          <w:noProof/>
        </w:rPr>
        <w:t xml:space="preserve">Rendelettervezet </w:t>
      </w:r>
    </w:p>
    <w:p>
      <w:pPr>
        <w:pStyle w:val="Objetacteprincipal"/>
        <w:rPr>
          <w:noProof/>
        </w:rPr>
      </w:pPr>
      <w:r>
        <w:rPr>
          <w:noProof/>
        </w:rPr>
        <w:t xml:space="preserve">a vízumok egységes formátumának meghatározásáról szóló 1995. május 29-i 1683/95/EK tanácsi rendelet módosításáról   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Vízumbélyegminta</w:t>
      </w:r>
    </w:p>
    <w:p>
      <w:pPr>
        <w:rPr>
          <w:noProof/>
        </w:rPr>
      </w:pPr>
      <w:r>
        <w:rPr>
          <w:noProof/>
        </w:rPr>
        <w:t xml:space="preserve"> </w:t>
      </w:r>
    </w:p>
    <w:p>
      <w:pPr>
        <w:rPr>
          <w:noProof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761355" cy="5446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Biztonsági elemek</w:t>
      </w:r>
    </w:p>
    <w:p>
      <w:pPr>
        <w:rPr>
          <w:noProof/>
        </w:rPr>
      </w:pPr>
      <w:r>
        <w:rPr>
          <w:noProof/>
        </w:rPr>
        <w:t xml:space="preserve">1. A birtokos színes, szigorú biztonsági normáknak megfelelően előállított, beillesztett arcképe. </w:t>
      </w:r>
    </w:p>
    <w:p>
      <w:pPr>
        <w:rPr>
          <w:noProof/>
        </w:rPr>
      </w:pPr>
      <w:r>
        <w:rPr>
          <w:noProof/>
        </w:rPr>
        <w:t>2. Ezen a helyen egy optikailag változó eszköz („kinegramm” vagy ezzel egyenértékű jel) jelenik meg. A látószögtől függően 12 csillag, az „E”, „EU” betűk és kinematikus, gilos vonalminták válnak láthatóvá különböző méretekben és színekben.</w:t>
      </w:r>
    </w:p>
    <w:p>
      <w:pPr>
        <w:rPr>
          <w:noProof/>
        </w:rPr>
      </w:pPr>
      <w:r>
        <w:rPr>
          <w:noProof/>
        </w:rPr>
        <w:t xml:space="preserve">3. Ez a rovat tartalmazza a géppel olvasható útiokmányokról szóló 9303. sz. ICAO dokumentumban meghatározott, a kiállító tagállamra utaló hárombetűs országkódot optikailag változó színekben. A látószögtől függően az országkód különböző színekben jelenik meg. </w:t>
      </w:r>
    </w:p>
    <w:p>
      <w:pPr>
        <w:rPr>
          <w:noProof/>
        </w:rPr>
      </w:pPr>
      <w:r>
        <w:rPr>
          <w:noProof/>
        </w:rPr>
        <w:t>4. Ezen a helyen a „vízum” szó és a kiállító tagállam neve jelenik meg nagybetűkkel.</w:t>
      </w:r>
    </w:p>
    <w:p>
      <w:pPr>
        <w:rPr>
          <w:noProof/>
        </w:rPr>
      </w:pPr>
      <w:r>
        <w:rPr>
          <w:noProof/>
        </w:rPr>
        <w:t>5. Ez a rovat tartalmazza a vízumbélyeg fekete színnel előnyomott, vízszintesen elhelyezkedő 9 jegyű nemzeti számát. Különleges betűtípust kell alkalmazni.</w:t>
      </w:r>
    </w:p>
    <w:p>
      <w:pPr>
        <w:rPr>
          <w:noProof/>
        </w:rPr>
      </w:pPr>
      <w:r>
        <w:rPr>
          <w:noProof/>
        </w:rPr>
        <w:t>6. Ez a rovat tartalmazza a vízumbélyeg piros színnel előnyomott, függőlegesen elhelyezkedő 9 jegyű nemzeti számát. Különleges, az 5. rovatban használttól eltérő betűtípust kell alkalmazni. A „vízumbélyeg száma”: a 3. rovatban meghatározott hárombetűs országkód és az 5. és 6. rovatban említett nemzeti szám.</w:t>
      </w:r>
    </w:p>
    <w:p>
      <w:pPr>
        <w:rPr>
          <w:noProof/>
        </w:rPr>
      </w:pPr>
      <w:r>
        <w:rPr>
          <w:noProof/>
        </w:rPr>
        <w:t>7. Ez a rovat tartalmazza az „EU” betűket, látens képhatással. Ezek a betűk világosan tűnnek elő, ha a vízumbélyeget vízszintesen tartják, és sötéten, ha 90°-kal elfordítják.</w:t>
      </w:r>
    </w:p>
    <w:p>
      <w:pPr>
        <w:rPr>
          <w:noProof/>
        </w:rPr>
      </w:pPr>
      <w:r>
        <w:rPr>
          <w:noProof/>
        </w:rPr>
        <w:t>8. Ez a rovat tartalmazza a 3. rovat szerinti kódot, látens képhatással. Ez a kód világosan tűnik elő, ha vízszintesen tartják, és sötéten, ha 90°-kal elfordítják.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Kitöltendő részek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A rovatokat jelölő szavakat angol és francia nyelven kell feltüntetni. A kiállító tagállam ezt a Közösség egy harmadik hivatalos nyelvével kiegészítheti. A legfelső sorban a „vízum” szó azonban az Unió bármelyik hivatalos nyelvén megjelenhet.</w:t>
      </w:r>
    </w:p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t>9. Ez a rovat az „érvényes …-ig” szöveggel kezdődik. A kiállító hatóság azt a területet jelöli meg, amelyre a vízum birtokosa jogosult beutazni.</w:t>
      </w:r>
    </w:p>
    <w:p>
      <w:pPr>
        <w:rPr>
          <w:noProof/>
        </w:rPr>
      </w:pPr>
      <w:r>
        <w:rPr>
          <w:noProof/>
        </w:rPr>
        <w:t>10. Ez a rovat a „[dátum]…-tól” szóval kezdődik, a sorban továbbhaladva pedig az „...-ig” szóval folytatódik. A kiállító hatóságnak meg kell jelölni a vízumbirtokos vízum által engedélyezett tartózkodási időtartamát.   A sorban továbbhaladva pedig a „tartózkodás időtartama” (a kérelmező tervezett tartózkodásának időtartama) szöveg, majd pedig a „nap” szó jelenik meg.</w:t>
      </w:r>
    </w:p>
    <w:p>
      <w:pPr>
        <w:rPr>
          <w:noProof/>
        </w:rPr>
      </w:pPr>
      <w:r>
        <w:rPr>
          <w:noProof/>
        </w:rPr>
        <w:t>11. Ez a rovat a „vízum típusa” szöveggel kezdődik. A kiállító hatóság e rendelet 5. és 7. cikkének megfelelően jelzi a vízum típusát. A sorban továbbhaladva pedig az „útlevél száma” szöveg található (amely után a birtokos útlevelének számát kell feltüntetni), majd pedig a „beutazások száma” jelenik meg.</w:t>
      </w:r>
    </w:p>
    <w:p>
      <w:pPr>
        <w:rPr>
          <w:noProof/>
        </w:rPr>
      </w:pPr>
      <w:r>
        <w:rPr>
          <w:noProof/>
        </w:rPr>
        <w:t>12. Ez a rovat a „kiállítás helye” szöveggel kezdődik és a kiállítás helyének feltüntetésére szolgál. A sorban továbbhaladva a „kelt” szó jelenik meg (amely után a kiállító hatóság feltünteti a kiállítás dátumát).</w:t>
      </w:r>
    </w:p>
    <w:p>
      <w:pPr>
        <w:rPr>
          <w:noProof/>
        </w:rPr>
      </w:pPr>
      <w:r>
        <w:rPr>
          <w:noProof/>
        </w:rPr>
        <w:t>13. Ez a rovat a „Vezetéknév, utónév” szöveggel kezdődik.</w:t>
      </w:r>
    </w:p>
    <w:p>
      <w:pPr>
        <w:rPr>
          <w:noProof/>
        </w:rPr>
      </w:pPr>
      <w:r>
        <w:rPr>
          <w:noProof/>
        </w:rPr>
        <w:t xml:space="preserve">14. Ez a rovat a „megjegyzések” szóval kezdődik. Arra szolgál, hogy a kiállító hatóság az általa szükségesnek tartott további adatokat feltüntesse, amennyiben azok e rendelet 4. cikkének megfelelnek. A következő két és fél sort az ilyen megjegyzések céljára üresen kell hagyni. Emellett amennyiben a közös műszaki előírásokban szerepel, e rovat egy részét a jövőben egy 2D vonalkód elhelyezésére lehetne használni. </w:t>
      </w:r>
    </w:p>
    <w:p>
      <w:pPr>
        <w:rPr>
          <w:noProof/>
        </w:rPr>
      </w:pPr>
      <w:r>
        <w:rPr>
          <w:noProof/>
        </w:rPr>
        <w:t xml:space="preserve">15. Ez a rovat tartalmazza a megfelelő, gépileg olvasható információkat pl. a külső határellenőrzések megkönnyítése érdekében. A géppel olvasható terület háttérnyomtatásban tartalmazza a 3. rovatban szereplő kódot és az „Európai Unió” feliratot különböző nyelveken feltüntető szöveget.  Ez a szöveg nem módosíthatja a géppel olvasható terület műszaki jellemzőit vagy olvashatóságát. </w:t>
      </w:r>
    </w:p>
    <w:p>
      <w:pPr>
        <w:rPr>
          <w:noProof/>
        </w:rPr>
      </w:pPr>
      <w:r>
        <w:rPr>
          <w:noProof/>
        </w:rPr>
        <w:t>16. Ez a rovat egy közös 2D vonalkód esetleges hozzáadására van fenntartva.</w:t>
      </w: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8A0A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EBC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11CD6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124D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E2F5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68C0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324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C700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5-12 18:32:1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5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a következ\u337?höz: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8EA6582B6F345128967ABC248F66308"/>
    <w:docVar w:name="LW_CROSSREFERENCE" w:val="&lt;UNUSED&gt;"/>
    <w:docVar w:name="LW_DocType" w:val="ANNEX"/>
    <w:docVar w:name="LW_EMISSION" w:val="2015.6.24."/>
    <w:docVar w:name="LW_EMISSION_ISODATE" w:val="2015-06-24"/>
    <w:docVar w:name="LW_EMISSION_LOCATION" w:val="BRX"/>
    <w:docVar w:name="LW_EMISSION_PREFIX" w:val="Brüsszel, "/>
    <w:docVar w:name="LW_EMISSION_SUFFIX" w:val=" "/>
    <w:docVar w:name="LW_ID_DOCSTRUCTURE" w:val="COM/ANNEX"/>
    <w:docVar w:name="LW_ID_DOCTYPE" w:val="SG-017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 vízumok egységes formátumának meghatározásáról szóló 1995. május 29-i 1683/95/EK tanácsi rendelet módosításáról   "/>
    <w:docVar w:name="LW_PART_NBR" w:val="1"/>
    <w:docVar w:name="LW_PART_NBR_TOTAL" w:val="1"/>
    <w:docVar w:name="LW_REF.INST.NEW" w:val="COM"/>
    <w:docVar w:name="LW_REF.INST.NEW_ADOPTED" w:val="final"/>
    <w:docVar w:name="LW_REF.INST.NEW_TEXT" w:val="(2015) 303"/>
    <w:docVar w:name="LW_REF.INTERNE" w:val="&lt;UNUSED&gt;"/>
    <w:docVar w:name="LW_SUPERTITRE" w:val="&lt;UNUSED&gt;"/>
    <w:docVar w:name="LW_TITRE.OBJ.CP" w:val="&lt;UNUSED&gt;"/>
    <w:docVar w:name="LW_TYPE.DOC.CP" w:val="MELLÉKLET"/>
    <w:docVar w:name="LW_TYPEACTEPRINCIPAL.CP" w:val="Rendelettervezet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4</Pages>
  <Words>550</Words>
  <Characters>3392</Characters>
  <Application>Microsoft Office Word</Application>
  <DocSecurity>0</DocSecurity>
  <Lines>84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Maria Patrizia (HOME-EXT)</dc:creator>
  <cp:lastModifiedBy>DIGIT/A3</cp:lastModifiedBy>
  <cp:revision>8</cp:revision>
  <dcterms:created xsi:type="dcterms:W3CDTF">2015-05-12T16:32:00Z</dcterms:created>
  <dcterms:modified xsi:type="dcterms:W3CDTF">2015-06-24T07:22:00Z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20141001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