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6E627FA1425400A9A57016F189A3395" style="width:450.85pt;height:402.8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2013/0410 (COD)</w:t>
      </w:r>
    </w:p>
    <w:p>
      <w:pPr>
        <w:pStyle w:val="Typedudocument"/>
        <w:rPr>
          <w:noProof/>
        </w:rPr>
      </w:pPr>
      <w:r>
        <w:rPr>
          <w:noProof/>
        </w:rPr>
        <w:t>MEDDELANDE FRÅN KOMMISSIONEN TILL EUROPAPARLAMENTET</w:t>
      </w:r>
      <w:r>
        <w:rPr>
          <w:noProof/>
        </w:rPr>
        <w:br/>
      </w:r>
      <w:r>
        <w:rPr>
          <w:noProof/>
        </w:rPr>
        <w:br/>
        <w:t>enligt artikel 294.6 i fördraget om Europeiska unionens funktionssätt</w:t>
      </w:r>
      <w:r>
        <w:rPr>
          <w:noProof/>
        </w:rPr>
        <w:br/>
      </w:r>
      <w:r>
        <w:rPr>
          <w:noProof/>
        </w:rPr>
        <w:br/>
        <w:t>om</w:t>
      </w:r>
    </w:p>
    <w:p>
      <w:pPr>
        <w:pStyle w:val="Titreobjet"/>
        <w:rPr>
          <w:noProof/>
        </w:rPr>
      </w:pPr>
      <w:r>
        <w:rPr>
          <w:noProof/>
        </w:rPr>
        <w:t>Yttrandet över antagandet av Europaparlamentets och rådets förordning om ändring av rådets förordning (EG) nr 515/97 om ömsesidigt bistånd mellan medlemsstaternas administrativa myndigheter och om samarbete mellan dessa och kommissionen för att säkerställa en korrekt tillämpning av tull- och jordbrukslagstiftningen</w:t>
      </w:r>
    </w:p>
    <w:p>
      <w:pPr>
        <w:pStyle w:val="ManualHeading1"/>
        <w:rPr>
          <w:noProof/>
          <w:sz w:val="22"/>
        </w:rPr>
      </w:pPr>
      <w:r>
        <w:rPr>
          <w:noProof/>
        </w:rPr>
        <w:t>1.</w:t>
      </w:r>
      <w:r>
        <w:rPr>
          <w:noProof/>
        </w:rPr>
        <w:tab/>
        <w:t>Bakgrund</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Överlämnande av förslaget till Europaparlamentet och rådet (dokument COM(2013) 0796 final – 2013/0410 (COD)):</w:t>
            </w:r>
          </w:p>
        </w:tc>
        <w:tc>
          <w:tcPr>
            <w:tcW w:w="2483" w:type="dxa"/>
          </w:tcPr>
          <w:p>
            <w:pPr>
              <w:jc w:val="left"/>
              <w:rPr>
                <w:noProof/>
              </w:rPr>
            </w:pPr>
            <w:r>
              <w:rPr>
                <w:noProof/>
              </w:rPr>
              <w:t>25.11.2013.</w:t>
            </w:r>
          </w:p>
        </w:tc>
      </w:tr>
      <w:tr>
        <w:tc>
          <w:tcPr>
            <w:tcW w:w="6804" w:type="dxa"/>
          </w:tcPr>
          <w:p>
            <w:pPr>
              <w:rPr>
                <w:noProof/>
              </w:rPr>
            </w:pPr>
            <w:r>
              <w:rPr>
                <w:noProof/>
              </w:rPr>
              <w:t>Europaparlamentets ståndpunkt vid första behandlingen:</w:t>
            </w:r>
          </w:p>
        </w:tc>
        <w:tc>
          <w:tcPr>
            <w:tcW w:w="2483" w:type="dxa"/>
          </w:tcPr>
          <w:p>
            <w:pPr>
              <w:jc w:val="left"/>
              <w:rPr>
                <w:noProof/>
              </w:rPr>
            </w:pPr>
            <w:r>
              <w:rPr>
                <w:noProof/>
              </w:rPr>
              <w:t>18.3.2014.</w:t>
            </w:r>
          </w:p>
        </w:tc>
      </w:tr>
      <w:tr>
        <w:tc>
          <w:tcPr>
            <w:tcW w:w="6804" w:type="dxa"/>
          </w:tcPr>
          <w:p>
            <w:pPr>
              <w:rPr>
                <w:noProof/>
              </w:rPr>
            </w:pPr>
            <w:r>
              <w:rPr>
                <w:noProof/>
              </w:rPr>
              <w:t>Antagande av rådets ståndpunkt:</w:t>
            </w:r>
          </w:p>
        </w:tc>
        <w:tc>
          <w:tcPr>
            <w:tcW w:w="2483" w:type="dxa"/>
          </w:tcPr>
          <w:p>
            <w:pPr>
              <w:jc w:val="left"/>
              <w:rPr>
                <w:noProof/>
              </w:rPr>
            </w:pPr>
            <w:r>
              <w:rPr>
                <w:noProof/>
              </w:rPr>
              <w:t>15.6.2015.</w:t>
            </w:r>
          </w:p>
        </w:tc>
      </w:tr>
    </w:tbl>
    <w:p>
      <w:pPr>
        <w:pStyle w:val="ManualHeading1"/>
        <w:rPr>
          <w:noProof/>
        </w:rPr>
      </w:pPr>
      <w:r>
        <w:rPr>
          <w:noProof/>
        </w:rPr>
        <w:t>2.</w:t>
      </w:r>
      <w:r>
        <w:rPr>
          <w:noProof/>
        </w:rPr>
        <w:tab/>
        <w:t>Syfte med kommissionens förslag</w:t>
      </w:r>
    </w:p>
    <w:p>
      <w:pPr>
        <w:spacing w:after="100" w:afterAutospacing="1"/>
        <w:rPr>
          <w:noProof/>
          <w:szCs w:val="24"/>
        </w:rPr>
      </w:pPr>
      <w:r>
        <w:rPr>
          <w:noProof/>
        </w:rPr>
        <w:t xml:space="preserve">Kommissionens förslag om ändring av förordning nr 515/97 antogs den 25 november 2013. Huvudsyftet är att underlätta kampen mot tullbedrägerier både på EU-nivå och nationell nivå genom att förbättra tillgången på uppgifter om import, export och transitering samt uppgifter om containerrörelser. Förslaget syftar dessutom till att säkerställa snabb tillgång till styrkande handlingar som innehas av de ekonomiska aktörerna. Förslaget syftar också till att klargöra möjligheten att använda information som erhållits genom ömsesidigt bistånd som bevismaterial vid straffrättsliga och administrativa förfaranden i medlemsstaterna. Huvudpunkterna i förslaget är följande: Inrättandet av en central databas för meddelanden om containerstatus – (CSM; Container Status Messages) och inrättandet av en databas för import, export och transitering. I förslaget klargörs också möjligheterna att använda uppgifter som inhämtats genom ömsesidigt bistånd som bevis i samband med rättsliga och administrativa förfaranden, och anges förfarandet för hur kommissionen ska inhämta styrkande handlingar som innehas av de ekonomiska aktörerna. </w:t>
      </w:r>
    </w:p>
    <w:p>
      <w:pPr>
        <w:pStyle w:val="ManualHeading1"/>
        <w:rPr>
          <w:noProof/>
        </w:rPr>
      </w:pPr>
      <w:r>
        <w:rPr>
          <w:noProof/>
        </w:rPr>
        <w:t>3.</w:t>
      </w:r>
      <w:r>
        <w:rPr>
          <w:noProof/>
        </w:rPr>
        <w:tab/>
        <w:t>Kommentarer till rådets ståndpunkt</w:t>
      </w:r>
    </w:p>
    <w:p>
      <w:pPr>
        <w:rPr>
          <w:noProof/>
        </w:rPr>
      </w:pPr>
      <w:r>
        <w:rPr>
          <w:noProof/>
        </w:rPr>
        <w:t xml:space="preserve">Rådets ståndpunkt stöder i stort de centrala inslagen i kommissionens förslag, med vissa ändringar i fråga om detaljerna. Ändringarna omfattar bland annat ett förtydligande om att uppgifter som erhållits genom ömsesidigt bistånd får användas som bevis vid rättsliga förfaranden endast om den medlemsstat som sänder uppgifterna inte invänder mot sådan användning. Ståndpunkten innebär också att ändringen som avser tillåtlighet av bevis utvidgas till att omfatta uppgifter som inhämtats genom en spontan biståndsmekanism utvidgas, räckvidden för data som ska inkluderas i de föreslagna databaserna begränsas, en bestämmelse som reglerar sanktionerna om fartyget inte rapporterar meddelanden om </w:t>
      </w:r>
      <w:r>
        <w:rPr>
          <w:noProof/>
        </w:rPr>
        <w:lastRenderedPageBreak/>
        <w:t>containerstatus läggs till, bestämmelsen om dataöverföring från de föreslagna databaserna till internationella organisationer och EU-byråer avskaffas och att kommissionens förfarande för att inhämta styrkande handlingar ändras något.</w:t>
      </w:r>
    </w:p>
    <w:p>
      <w:pPr>
        <w:rPr>
          <w:noProof/>
        </w:rPr>
      </w:pPr>
      <w:r>
        <w:rPr>
          <w:noProof/>
        </w:rPr>
        <w:t xml:space="preserve">Kommissionen stöder dessa ändringar. </w:t>
      </w:r>
    </w:p>
    <w:p>
      <w:pPr>
        <w:rPr>
          <w:rFonts w:ascii="Arial" w:hAnsi="Arial" w:cs="Arial"/>
          <w:noProof/>
          <w:sz w:val="48"/>
          <w:szCs w:val="48"/>
        </w:rPr>
      </w:pPr>
      <w:r>
        <w:rPr>
          <w:noProof/>
        </w:rPr>
        <w:t>Efter informella trepartsdiskussioner den 11 november 2014, den 10 december 2014 och den 18 december 2014 har Europaparlamentet, rådet och kommissionen kommit fram till en preliminär politisk överenskommelse om texten till ändring av förordning 515/97.</w:t>
      </w:r>
    </w:p>
    <w:p>
      <w:pPr>
        <w:rPr>
          <w:noProof/>
        </w:rPr>
      </w:pPr>
      <w:r>
        <w:rPr>
          <w:noProof/>
        </w:rPr>
        <w:t>Rådet bekräftade denna politiska överenskommelse den 10 juni 2015 och den 15 juni 2015 antog rådet sin ståndpunkt vid första behandlingen.</w:t>
      </w:r>
    </w:p>
    <w:p>
      <w:pPr>
        <w:pStyle w:val="ManualHeading1"/>
        <w:rPr>
          <w:noProof/>
        </w:rPr>
      </w:pPr>
      <w:r>
        <w:rPr>
          <w:noProof/>
        </w:rPr>
        <w:t>4.</w:t>
      </w:r>
      <w:r>
        <w:rPr>
          <w:noProof/>
        </w:rPr>
        <w:tab/>
        <w:t>Slutsats</w:t>
      </w:r>
    </w:p>
    <w:p>
      <w:pPr>
        <w:rPr>
          <w:noProof/>
        </w:rPr>
      </w:pPr>
      <w:r>
        <w:rPr>
          <w:noProof/>
        </w:rPr>
        <w:t>Eftersom alla ändringar i kommissionens förslag har diskuterats under de informella trepartsdiskussionerna kan kommissionen godta de ändringar som rådet beslöt om vid sin första behandling.</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BCE9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3CAF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C0A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0A41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2ED3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DCA8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58CF9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F261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02 07:00: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B6E627FA1425400A9A57016F189A3395"/>
    <w:docVar w:name="LW_CROSSREFERENCE" w:val="&lt;UNUSED&gt;"/>
    <w:docVar w:name="LW_DocType" w:val="COM"/>
    <w:docVar w:name="LW_EMISSION" w:val="24.6.2015"/>
    <w:docVar w:name="LW_EMISSION_ISODATE" w:val="2015-06-24"/>
    <w:docVar w:name="LW_EMISSION_LOCATION" w:val="BRX"/>
    <w:docVar w:name="LW_EMISSION_PREFIX" w:val="Bryssel den "/>
    <w:docVar w:name="LW_EMISSION_SUFFIX" w:val=" "/>
    <w:docVar w:name="LW_ID_DOCMODEL" w:val="SJ-028"/>
    <w:docVar w:name="LW_ID_DOCSTRUCTURE" w:val="COM/PL/CODEC"/>
    <w:docVar w:name="LW_ID_DOCTYPE" w:val="SJ-028"/>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410"/>
    <w:docVar w:name="LW_REF.II.NEW.CP_YEAR" w:val="2013"/>
    <w:docVar w:name="LW_REF.INST.NEW" w:val="COM"/>
    <w:docVar w:name="LW_REF.INST.NEW_ADOPTED" w:val="final"/>
    <w:docVar w:name="LW_REF.INST.NEW_TEXT" w:val="(2015) 318"/>
    <w:docVar w:name="LW_REF.INTERNE" w:val="&lt;UNUSED&gt;"/>
    <w:docVar w:name="LW_SOUS.TITRE.OBJ.CP" w:val="&lt;UNUSED&gt;"/>
    <w:docVar w:name="LW_SUPERTITRE" w:val="&lt;UNUSED&gt;"/>
    <w:docVar w:name="LW_TITRE.OBJ.CP" w:val="Yttrandet över antagandet av Europaparlamentets och rådets förordning om ändring av rådets förordning (EG) nr 515/97 om ömsesidigt bistånd mellan medlemsstaternas administrativa myndigheter och om samarbete mellan dessa och kommissionen för att säkerställa en korrekt tillämpning av tull- och jordbrukslagstiftningen"/>
    <w:docVar w:name="LW_TYPE.DOC.CP" w:val="MEDDELANDE FRÅN KOMMISSIONEN TILL EUROPAPARLAMENTET_x000b__x000b_enligt artikel 294.6 i fördraget om Europeiska unionens funktionssätt_x000b__x000b_om"/>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3</Pages>
  <Words>452</Words>
  <Characters>3011</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2015-06-17T13:53:00Z</cp:lastPrinted>
  <dcterms:created xsi:type="dcterms:W3CDTF">2015-07-01T15:13:00Z</dcterms:created>
  <dcterms:modified xsi:type="dcterms:W3CDTF">2015-07-02T05:00:00Z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02)</vt:lpwstr>
  </property>
</Properties>
</file>