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C3D9E8A6C7C54DC08B1673C56727DED6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t>PRILOGA</w:t>
      </w:r>
    </w:p>
    <w:p>
      <w:pPr>
        <w:pStyle w:val="Accompagnant"/>
        <w:rPr>
          <w:noProof/>
        </w:rPr>
      </w:pPr>
      <w:r>
        <w:rPr>
          <w:noProof/>
        </w:rPr>
        <w:t>k</w:t>
      </w:r>
    </w:p>
    <w:p>
      <w:pPr>
        <w:pStyle w:val="Typeacteprincipal"/>
        <w:rPr>
          <w:noProof/>
        </w:rPr>
      </w:pPr>
      <w:r>
        <w:rPr>
          <w:noProof/>
        </w:rPr>
        <w:t xml:space="preserve">osnutku uredbe </w:t>
      </w:r>
    </w:p>
    <w:p>
      <w:pPr>
        <w:pStyle w:val="Objetacteprincipal"/>
        <w:rPr>
          <w:noProof/>
        </w:rPr>
      </w:pPr>
      <w:r>
        <w:rPr>
          <w:noProof/>
        </w:rPr>
        <w:t xml:space="preserve">o spremembi Uredbe Sveta (ES) št. 1683/95 z dne 29. maja 1995 o enotni obliki za vizume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Vzorec vizumske nalepke: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761355" cy="5446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Varnostni elementi</w:t>
      </w:r>
    </w:p>
    <w:p>
      <w:pPr>
        <w:rPr>
          <w:noProof/>
        </w:rPr>
      </w:pPr>
      <w:r>
        <w:rPr>
          <w:noProof/>
        </w:rPr>
        <w:t>1. Celostna barvna fotografija imetnika, izdelana v skladu z visokimi varnostnimi standardi.</w:t>
      </w:r>
    </w:p>
    <w:p>
      <w:pPr>
        <w:rPr>
          <w:noProof/>
        </w:rPr>
      </w:pPr>
      <w:r>
        <w:rPr>
          <w:noProof/>
        </w:rPr>
        <w:t>2. V tem prostoru je optično spremenljiv element („kinegram“ ali drug enakovreden element). Glede na vidni kot postanejo črke „E“, „EU“ in kinematične črte giljoš vidne v različnih velikostih in barvah.</w:t>
      </w:r>
    </w:p>
    <w:p>
      <w:pPr>
        <w:rPr>
          <w:noProof/>
        </w:rPr>
      </w:pPr>
      <w:r>
        <w:rPr>
          <w:noProof/>
        </w:rPr>
        <w:t xml:space="preserve">3. Polje vsebuje trimestno črkovno kodo države, kakor je določena v dokumentu ICAO 9303 o strojno berljivih dokumentih države članice izdajateljice v optično spremenljivi barvi. Barva se spreminja glede na vidni kot. </w:t>
      </w:r>
    </w:p>
    <w:p>
      <w:pPr>
        <w:rPr>
          <w:noProof/>
        </w:rPr>
      </w:pPr>
      <w:r>
        <w:rPr>
          <w:noProof/>
        </w:rPr>
        <w:t>4. V tem prostoru sta beseda „vizum“ in država članica izdajateljica z velikimi tiskanimi črkami.</w:t>
      </w:r>
    </w:p>
    <w:p>
      <w:pPr>
        <w:rPr>
          <w:noProof/>
        </w:rPr>
      </w:pPr>
      <w:r>
        <w:rPr>
          <w:noProof/>
        </w:rPr>
        <w:t>5. V tem polju je vodoravna devetmestna nacionalna številka vizumske nalepke, ki se predhodno natisne v črni barvi. Uporabi se posebna pisava.</w:t>
      </w:r>
    </w:p>
    <w:p>
      <w:pPr>
        <w:rPr>
          <w:noProof/>
        </w:rPr>
      </w:pPr>
      <w:r>
        <w:rPr>
          <w:noProof/>
        </w:rPr>
        <w:t>6. V tem polju je navpična devetmestna nacionalna številka vizumske nalepke, ki se predhodno natisne v rdeči barvi. Uporabi se posebna pisava, ki se razlikuje od pisave v polju 5. „Številka vizumske nalepke“ je trimestna črkovna koda države, kakor je določena v polju 3, in nacionalna številka, kakor je navedena v poljih 5 in 6.</w:t>
      </w:r>
    </w:p>
    <w:p>
      <w:pPr>
        <w:rPr>
          <w:noProof/>
        </w:rPr>
      </w:pPr>
      <w:r>
        <w:rPr>
          <w:noProof/>
        </w:rPr>
        <w:t>7. To polje vsebuje črki „EU“ z učinkom skrite podobe. V vodoravnem položaju sta črki svetleči, če ju zavrtimo za 90 stopinj, pa temni.</w:t>
      </w:r>
    </w:p>
    <w:p>
      <w:pPr>
        <w:rPr>
          <w:noProof/>
        </w:rPr>
      </w:pPr>
      <w:r>
        <w:rPr>
          <w:noProof/>
        </w:rPr>
        <w:t>8. To polje vsebuje oznake v skladu s poljem 3 z učinkom skrite podobe. V vodoravnem položaju je oznaka svetleča, če jo zavrtimo za 90 stopinj, pa temna.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Polja za vpisovanje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Oznake za posamezna polja so v angleškem in francoskem jeziku. Država, ki izda vizum, lahko doda še tretji jezik, ki je uradni jezik Skupnosti. Beseda „vizum“ v zgornji vrstici je lahko v katerem koli uradnem jeziku Unije.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9. Na začetku polja sta besedi „Velja za“. V to polje organ izdajatelj vpiše ozemeljsko veljavnost vizuma.</w:t>
      </w:r>
    </w:p>
    <w:p>
      <w:pPr>
        <w:rPr>
          <w:noProof/>
        </w:rPr>
      </w:pPr>
      <w:r>
        <w:rPr>
          <w:noProof/>
        </w:rPr>
        <w:t>10. Na začetku polja je beseda „Od“, v nadaljevanju vrstice pa beseda „do“. Organ izdajatelj navede obdobje imetnikovega bivanja, ki ga dovoljuje vizum. V nadaljevanju vrstice so besede „trajanje bivanja“ (tj. trajanje bivanja, kot ga načrtuje prosilec) in „dni“.</w:t>
      </w:r>
    </w:p>
    <w:p>
      <w:pPr>
        <w:rPr>
          <w:noProof/>
        </w:rPr>
      </w:pPr>
      <w:r>
        <w:rPr>
          <w:noProof/>
        </w:rPr>
        <w:t>11. Na začetku polja sta besedi „Vrsta vizuma“. Organ izdajatelj vpiše vrsto vizuma v skladu s členoma 5 in 7 te uredbe. V nadaljevanju vrstice so besede „številka potnega lista“ (za katerimi se navede številka potnega lista imetnika) in „število vstopov“.</w:t>
      </w:r>
    </w:p>
    <w:p>
      <w:pPr>
        <w:rPr>
          <w:noProof/>
        </w:rPr>
      </w:pPr>
      <w:r>
        <w:rPr>
          <w:noProof/>
        </w:rPr>
        <w:t>12. Na začetku polja sta besedi „Izdano v“, sledi pa ime kraja. V nadaljevanju vrstice je beseda „dne“ (za katero organ izdajatelj izpolni datum izdaje).</w:t>
      </w:r>
    </w:p>
    <w:p>
      <w:pPr>
        <w:rPr>
          <w:noProof/>
        </w:rPr>
      </w:pPr>
      <w:r>
        <w:rPr>
          <w:noProof/>
        </w:rPr>
        <w:t>13. Na začetku polja sta besedi „Priimek, ime“.</w:t>
      </w:r>
    </w:p>
    <w:p>
      <w:pPr>
        <w:rPr>
          <w:noProof/>
        </w:rPr>
      </w:pPr>
      <w:r>
        <w:rPr>
          <w:noProof/>
        </w:rPr>
        <w:t>14. Na začetku polja je beseda „Opombe“. V tem polju organ izdajatelj vpiše dodatne podatke, za katere meni, da so potrebni, in ki so v skladu s členom 4 te uredbe. Naslednji dve vrstici in pol sta namenjeni za vpis teh podatkov. Poleg tega se lahko del tega polja uporabi za prihodnjo črtno kodo 2D, če se ta vključi v skupne tehnične specifikacije.</w:t>
      </w:r>
    </w:p>
    <w:p>
      <w:pPr>
        <w:rPr>
          <w:noProof/>
        </w:rPr>
      </w:pPr>
      <w:r>
        <w:rPr>
          <w:noProof/>
        </w:rPr>
        <w:t xml:space="preserve">15. V to polje se vpišejo ustrezne strojno berljive informacije za lažjo kontrolo npr. na zunanjih mejah. Strojno berljivo polje vsebuje natisnjeno besedilo v tisku podlage z navedbo oznake glede na polje 3 in besedi „Evropska unija“ v različnih jezikih. To besedilo ne vpliva na tehnične značilnosti strojno berljivega polja ali berljivost tega polja. </w:t>
      </w:r>
    </w:p>
    <w:p>
      <w:pPr>
        <w:rPr>
          <w:noProof/>
        </w:rPr>
      </w:pPr>
      <w:r>
        <w:rPr>
          <w:noProof/>
        </w:rPr>
        <w:t>16. To polje je za morebitno vključitev skupne črtne kode 2D.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8A0A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EBC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11CD6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124D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E2F5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68C0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324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C700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6-24 09:22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2"/>
    <w:docVar w:name="DQCResult_UnknownFonts" w:val="0;0"/>
    <w:docVar w:name="DQCResult_UnknownStyles" w:val="0;0"/>
    <w:docVar w:name="DQCStatus" w:val="Green"/>
    <w:docVar w:name="DQCVersion" w:val="2"/>
    <w:docVar w:name="DQCWithWarnings" w:val="0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C3D9E8A6C7C54DC08B1673C56727DED6"/>
    <w:docVar w:name="LW_CROSSREFERENCE" w:val="&lt;UNUSED&gt;"/>
    <w:docVar w:name="LW_DocType" w:val="ANNEX"/>
    <w:docVar w:name="LW_EMISSION" w:val="24.6.2015"/>
    <w:docVar w:name="LW_EMISSION_ISODATE" w:val="2015-06-24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MARKING" w:val="&lt;UNUSED&gt;"/>
    <w:docVar w:name="LW_NOM.INST" w:val="EVROPSKA KOMISIJA"/>
    <w:docVar w:name="LW_NOM.INST_JOINTDOC" w:val="&lt;EMPTY&gt;"/>
    <w:docVar w:name="LW_OBJETACTEPRINCIPAL.CP" w:val="o spremembi Uredbe Sveta (ES) \u353?t. 1683/95 z dne 29. maja 1995 o enotni obliki za vizume "/>
    <w:docVar w:name="LW_PART_NBR" w:val="1"/>
    <w:docVar w:name="LW_PART_NBR_TOTAL" w:val="1"/>
    <w:docVar w:name="LW_REF.INST.NEW" w:val="COM"/>
    <w:docVar w:name="LW_REF.INST.NEW_ADOPTED" w:val="final"/>
    <w:docVar w:name="LW_REF.INST.NEW_TEXT" w:val="(2015) 303"/>
    <w:docVar w:name="LW_REF.INTERNE" w:val="&lt;UNUSED&gt;"/>
    <w:docVar w:name="LW_SUPERTITRE" w:val="&lt;UNUSED&gt;"/>
    <w:docVar w:name="LW_TITRE.OBJ.CP" w:val="&lt;UNUSED&gt;"/>
    <w:docVar w:name="LW_TYPE.DOC.CP" w:val="PRILOGA"/>
    <w:docVar w:name="LW_TYPEACTEPRINCIPAL.CP" w:val="osnutku uredbe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548</Words>
  <Characters>2854</Characters>
  <Application>Microsoft Office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Maria Patrizia (HOME-EXT)</dc:creator>
  <cp:lastModifiedBy>DIGIT/A3</cp:lastModifiedBy>
  <cp:revision>7</cp:revision>
  <dcterms:created xsi:type="dcterms:W3CDTF">2015-05-11T09:25:00Z</dcterms:created>
  <dcterms:modified xsi:type="dcterms:W3CDTF">2015-06-24T07:22:00Z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02)</vt:lpwstr>
  </property>
</Properties>
</file>