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20" w:rsidRDefault="005762DE" w:rsidP="005762DE">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4FCC3C8657FE4CB3BF0BEA7B58F418F7" style="width:450.75pt;height:445.5pt">
            <v:imagedata r:id="rId9" o:title=""/>
          </v:shape>
        </w:pict>
      </w:r>
    </w:p>
    <w:p w:rsidR="000E7420" w:rsidRDefault="000E7420">
      <w:pPr>
        <w:rPr>
          <w:noProof/>
        </w:rPr>
        <w:sectPr w:rsidR="000E7420" w:rsidSect="005762DE">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0E7420" w:rsidRDefault="005762DE">
      <w:pPr>
        <w:pStyle w:val="Exposdesmotifstitre"/>
        <w:rPr>
          <w:noProof/>
        </w:rPr>
      </w:pPr>
      <w:r>
        <w:rPr>
          <w:noProof/>
        </w:rPr>
        <w:lastRenderedPageBreak/>
        <w:t>AIŠKINAMASIS MEMORANDUMAS</w:t>
      </w:r>
    </w:p>
    <w:p w:rsidR="000E7420" w:rsidRDefault="005762DE">
      <w:pPr>
        <w:pStyle w:val="ManualHeading1"/>
        <w:rPr>
          <w:noProof/>
        </w:rPr>
      </w:pPr>
      <w:r>
        <w:rPr>
          <w:noProof/>
        </w:rPr>
        <w:t>1.</w:t>
      </w:r>
      <w:r>
        <w:rPr>
          <w:noProof/>
        </w:rPr>
        <w:tab/>
        <w:t>PASIŪLYMO APLINKYBĖS</w:t>
      </w:r>
    </w:p>
    <w:p w:rsidR="000E7420" w:rsidRDefault="005762DE">
      <w:pPr>
        <w:spacing w:before="0" w:after="0"/>
        <w:rPr>
          <w:rFonts w:eastAsia="Times New Roman"/>
          <w:noProof/>
          <w:szCs w:val="24"/>
        </w:rPr>
      </w:pPr>
      <w:r>
        <w:rPr>
          <w:noProof/>
        </w:rPr>
        <w:t>Vienoda vizų forma pirmiausia sukurta vykdant tarpvyriausybinį bendradarbiavimą Šengeno klausimais, o ES teisėje įtvirtinta priėmus Reglamentą Nr. 1683/95, nustatantį vienodą vizų formą. Visos valstybės narės, įskaitant Daniją, Jungtinę Karalystę ir Airiją</w:t>
      </w:r>
      <w:r>
        <w:rPr>
          <w:noProof/>
        </w:rPr>
        <w:t xml:space="preserve">, dalyvavo įgyvendinant šį reglamentą, kuris buvo pagrįstas EB sutarties 100 straipsnio c punktu, įtrauktu Mastrichto sutartimi. 1999 m. gegužės 1 d. įsigaliojus Amsterdamo sutarčiai Šengeno </w:t>
      </w:r>
      <w:r>
        <w:rPr>
          <w:i/>
          <w:noProof/>
        </w:rPr>
        <w:t>acquis</w:t>
      </w:r>
      <w:r>
        <w:rPr>
          <w:noProof/>
        </w:rPr>
        <w:t xml:space="preserve"> integruota į Sąjungos sistemą, o kintamosios geometrijos p</w:t>
      </w:r>
      <w:r>
        <w:rPr>
          <w:noProof/>
        </w:rPr>
        <w:t>rincipas įtvirtintas Sąjungos teisėje.</w:t>
      </w:r>
    </w:p>
    <w:p w:rsidR="000E7420" w:rsidRDefault="000E7420">
      <w:pPr>
        <w:spacing w:before="0" w:after="0"/>
        <w:rPr>
          <w:rFonts w:eastAsia="Times New Roman"/>
          <w:noProof/>
          <w:szCs w:val="24"/>
        </w:rPr>
      </w:pPr>
    </w:p>
    <w:p w:rsidR="000E7420" w:rsidRDefault="005762DE">
      <w:pPr>
        <w:spacing w:before="0" w:after="0"/>
        <w:rPr>
          <w:rFonts w:eastAsia="Times New Roman"/>
          <w:noProof/>
          <w:szCs w:val="24"/>
        </w:rPr>
      </w:pPr>
      <w:r>
        <w:rPr>
          <w:noProof/>
        </w:rPr>
        <w:t>Reglamente (EB) 1683/95, nustatančiame vienodą vizų formą, perimtas Šengeno valstybių priimtas modelis, o jo konstatuojamosiose dalyse nustatyta, kad šie dokumentai turi turėti visą reikalingą informaciją ir atitikti</w:t>
      </w:r>
      <w:r>
        <w:rPr>
          <w:noProof/>
        </w:rPr>
        <w:t xml:space="preserve"> labai griežtus techninius reikalavimus, ypač dėl apsaugos nuo padirbinėjimo ir klastojimo priemonių. Šių priemonių imtasi kovojant su neteisėta migracija.</w:t>
      </w:r>
    </w:p>
    <w:p w:rsidR="000E7420" w:rsidRDefault="000E7420">
      <w:pPr>
        <w:spacing w:before="0" w:after="0"/>
        <w:rPr>
          <w:rFonts w:eastAsia="Times New Roman"/>
          <w:noProof/>
          <w:szCs w:val="24"/>
        </w:rPr>
      </w:pPr>
    </w:p>
    <w:p w:rsidR="000E7420" w:rsidRDefault="005762DE">
      <w:pPr>
        <w:spacing w:before="0" w:after="0"/>
        <w:rPr>
          <w:rFonts w:eastAsia="Times New Roman"/>
          <w:noProof/>
          <w:szCs w:val="24"/>
        </w:rPr>
      </w:pPr>
      <w:r>
        <w:rPr>
          <w:noProof/>
        </w:rPr>
        <w:t>Nuo tada, kai pradėta naudoti vienoda vizų forma, priimti du esminiai pirminio reglamento pakeitima</w:t>
      </w:r>
      <w:r>
        <w:rPr>
          <w:noProof/>
        </w:rPr>
        <w:t xml:space="preserve">i, kuriais prisidėta prie saugių, labai griežtus techninius standartus atitinkančių dokumentų išdavimo. Pirmasis pakeitimas padarytas Reglamentu (EB) Nr. 334/2002, pagal </w:t>
      </w:r>
      <w:bookmarkStart w:id="0" w:name="_GoBack"/>
      <w:bookmarkEnd w:id="0"/>
      <w:r>
        <w:rPr>
          <w:noProof/>
        </w:rPr>
        <w:t>kurį integruojama fotografija, pagaminta laikantis griežtų apsaugos standartų; tai buv</w:t>
      </w:r>
      <w:r>
        <w:rPr>
          <w:noProof/>
        </w:rPr>
        <w:t>o pirmas žingsnis siekiant naudoti elementus, kuriais patikimiau susiejama vizos įklija ir jos turėtojas, taip padedant užtikrinti, kad vienoda vizų forma būtų apsaugota net nuo nesąžiningo naudojimo. Antrasis pakeitimas, padarytas Reglamentu (EB) Nr. 856/</w:t>
      </w:r>
      <w:r>
        <w:rPr>
          <w:noProof/>
        </w:rPr>
        <w:t>2008, pirmiausia buvo susijęs su numeravimo pritaikymu, kad jis atitiktų Vizų informacinės sistemos (VIS) reikalavimus.</w:t>
      </w:r>
    </w:p>
    <w:p w:rsidR="000E7420" w:rsidRDefault="000E7420">
      <w:pPr>
        <w:spacing w:before="0" w:after="0"/>
        <w:rPr>
          <w:rFonts w:eastAsia="Times New Roman"/>
          <w:noProof/>
          <w:szCs w:val="24"/>
        </w:rPr>
      </w:pPr>
    </w:p>
    <w:p w:rsidR="000E7420" w:rsidRDefault="005762DE">
      <w:pPr>
        <w:spacing w:before="0" w:after="0"/>
        <w:rPr>
          <w:rFonts w:eastAsia="Times New Roman"/>
          <w:noProof/>
          <w:szCs w:val="24"/>
        </w:rPr>
      </w:pPr>
      <w:r>
        <w:rPr>
          <w:noProof/>
        </w:rPr>
        <w:t>Kadangi vienodos vizų formos apsaugos koncepcija su pirmiau minėtais pakeitimais galioja nuo 1995 m., pastaruoju metu keliose valstybės</w:t>
      </w:r>
      <w:r>
        <w:rPr>
          <w:noProof/>
        </w:rPr>
        <w:t xml:space="preserve">e narėse aptikta labai kokybiškai padirbtų įklijų. Todėl svarbu parengti naują būsimos labiau apsaugotos vizos apsaugos koncepciją ir modelį. </w:t>
      </w:r>
    </w:p>
    <w:p w:rsidR="000E7420" w:rsidRDefault="000E7420">
      <w:pPr>
        <w:spacing w:before="0" w:after="0"/>
        <w:rPr>
          <w:rFonts w:eastAsia="Times New Roman"/>
          <w:noProof/>
          <w:szCs w:val="24"/>
        </w:rPr>
      </w:pPr>
    </w:p>
    <w:p w:rsidR="000E7420" w:rsidRDefault="005762DE">
      <w:pPr>
        <w:spacing w:before="0" w:after="0"/>
        <w:rPr>
          <w:rFonts w:eastAsia="Times New Roman"/>
          <w:noProof/>
          <w:szCs w:val="24"/>
        </w:rPr>
      </w:pPr>
      <w:r>
        <w:rPr>
          <w:noProof/>
        </w:rPr>
        <w:t>Kuriant būsimos vizos koncepciją būtina atsižvelgti į tai, kad dabartinė ES viza yra visos vizų sistemos, įskait</w:t>
      </w:r>
      <w:r>
        <w:rPr>
          <w:noProof/>
        </w:rPr>
        <w:t>ant Vizų informacinę sistemą (VIS), kuri vis dar diegiama, dalis.</w:t>
      </w:r>
    </w:p>
    <w:p w:rsidR="000E7420" w:rsidRDefault="000E7420">
      <w:pPr>
        <w:spacing w:before="0" w:after="0"/>
        <w:rPr>
          <w:rFonts w:eastAsia="Times New Roman"/>
          <w:noProof/>
          <w:szCs w:val="24"/>
        </w:rPr>
      </w:pPr>
    </w:p>
    <w:p w:rsidR="000E7420" w:rsidRDefault="005762DE">
      <w:pPr>
        <w:spacing w:before="0" w:after="0"/>
        <w:rPr>
          <w:rFonts w:eastAsia="Times New Roman"/>
          <w:noProof/>
          <w:szCs w:val="24"/>
        </w:rPr>
      </w:pPr>
      <w:r>
        <w:rPr>
          <w:noProof/>
        </w:rPr>
        <w:t>Nepaisant to, kad veikia duomenų bazės sistema, šiuo metu vis dar būtina turėti fizinį dokumentą – vizą. Vis dar reikalinga vizos įklija: pirma, dėl visų daugkartinių vizų, kurios išduodamo</w:t>
      </w:r>
      <w:r>
        <w:rPr>
          <w:noProof/>
        </w:rPr>
        <w:t>s ilgam laikotarpiui, iki kol bus užbaigtas VIS diegimas, ir, antra, dėl to, kad vienoda vizų forma naudojama ir ilgalaikėms D kategorijos vizoms, kurios nesaugomos VIS ir kurios galios dar kelerius metus.</w:t>
      </w:r>
    </w:p>
    <w:p w:rsidR="000E7420" w:rsidRDefault="000E7420">
      <w:pPr>
        <w:spacing w:before="0" w:after="0"/>
        <w:rPr>
          <w:rFonts w:eastAsia="Times New Roman"/>
          <w:noProof/>
          <w:szCs w:val="24"/>
        </w:rPr>
      </w:pPr>
    </w:p>
    <w:p w:rsidR="000E7420" w:rsidRDefault="005762DE">
      <w:pPr>
        <w:spacing w:before="0" w:after="0"/>
        <w:rPr>
          <w:rFonts w:eastAsia="Times New Roman"/>
          <w:noProof/>
          <w:szCs w:val="24"/>
        </w:rPr>
      </w:pPr>
      <w:r>
        <w:rPr>
          <w:noProof/>
        </w:rPr>
        <w:t>Dėl šių priežasčių ir artimiausiais metais bus re</w:t>
      </w:r>
      <w:r>
        <w:rPr>
          <w:noProof/>
        </w:rPr>
        <w:t>ikalingas fizinis dokumentas, kuriame klijuojama vizos įklija.</w:t>
      </w:r>
    </w:p>
    <w:p w:rsidR="000E7420" w:rsidRDefault="000E7420">
      <w:pPr>
        <w:spacing w:before="0" w:after="0"/>
        <w:rPr>
          <w:rFonts w:eastAsia="Times New Roman"/>
          <w:noProof/>
          <w:szCs w:val="24"/>
        </w:rPr>
      </w:pPr>
    </w:p>
    <w:p w:rsidR="000E7420" w:rsidRDefault="005762DE">
      <w:pPr>
        <w:spacing w:before="0" w:after="0"/>
        <w:rPr>
          <w:rFonts w:eastAsia="Times New Roman"/>
          <w:noProof/>
          <w:szCs w:val="24"/>
        </w:rPr>
      </w:pPr>
      <w:r>
        <w:rPr>
          <w:noProof/>
        </w:rPr>
        <w:t>Be to, būtina didinti bendrą dabartinės vizos įklijos apsaugos lygį, nepadidinant paties dokumento kainos.</w:t>
      </w:r>
    </w:p>
    <w:p w:rsidR="000E7420" w:rsidRDefault="005762DE">
      <w:pPr>
        <w:pStyle w:val="ManualHeading1"/>
        <w:rPr>
          <w:noProof/>
        </w:rPr>
      </w:pPr>
      <w:r>
        <w:rPr>
          <w:noProof/>
        </w:rPr>
        <w:t>2.</w:t>
      </w:r>
      <w:r>
        <w:rPr>
          <w:noProof/>
        </w:rPr>
        <w:tab/>
        <w:t>KONSULTACIJŲ SU SUINTERESUOTOSIOMIS ŠALIMIS IR POVEIKIO VERTINIMO REZULTATAI</w:t>
      </w:r>
    </w:p>
    <w:p w:rsidR="000E7420" w:rsidRDefault="005762DE">
      <w:pPr>
        <w:rPr>
          <w:noProof/>
        </w:rPr>
      </w:pPr>
      <w:r>
        <w:rPr>
          <w:noProof/>
        </w:rPr>
        <w:t>Visai</w:t>
      </w:r>
      <w:r>
        <w:rPr>
          <w:noProof/>
        </w:rPr>
        <w:t xml:space="preserve"> neseniai aptikta suklastotų Ispanijos, Austrijos, Vokietijos, Čekijos ir Italijos vizos įklijų.</w:t>
      </w:r>
    </w:p>
    <w:p w:rsidR="000E7420" w:rsidRDefault="005762DE">
      <w:pPr>
        <w:rPr>
          <w:noProof/>
        </w:rPr>
      </w:pPr>
      <w:r>
        <w:rPr>
          <w:noProof/>
        </w:rPr>
        <w:lastRenderedPageBreak/>
        <w:t>Toliau nurodyti bendri suklastotų įklijų požymiai. Visos kinegramos yra autentiškos; jos buvo nuplėštos nuo autentiškų dokumentų, todėl ant padirbtų įklijų mat</w:t>
      </w:r>
      <w:r>
        <w:rPr>
          <w:noProof/>
        </w:rPr>
        <w:t>yti dalis originalios giliaspaudės fragmentų ir plaušelių. Matomas grafinis vaizdas labai nesiskyrė; jis buvo suskaitmenintas skaitytuvu. Buvo imituotas matomas ofsetu atspausdintas fonas. Bespalvė UV spauda atkartota naudojant vieną klišę ir vaivorykštinė</w:t>
      </w:r>
      <w:r>
        <w:rPr>
          <w:noProof/>
        </w:rPr>
        <w:t xml:space="preserve">s spaudos metodą. Ant kai kurių suklastotų įklijų spalvoti UV plaušeliai imituoti panaudojus ofsetinę spaudą. </w:t>
      </w:r>
    </w:p>
    <w:p w:rsidR="000E7420" w:rsidRDefault="005762DE">
      <w:pPr>
        <w:rPr>
          <w:noProof/>
        </w:rPr>
      </w:pPr>
      <w:r>
        <w:rPr>
          <w:noProof/>
        </w:rPr>
        <w:t>Todėl valstybių narių specialistų nuomone, dabartinė vizos įklijos forma nesaugi. Dėl šios priežasties būtina nedelsiant sukurti naują modelį, ka</w:t>
      </w:r>
      <w:r>
        <w:rPr>
          <w:noProof/>
        </w:rPr>
        <w:t>d vizos įklijoje būtų įdiegtos geresnės apsaugos priemonės.</w:t>
      </w:r>
    </w:p>
    <w:p w:rsidR="000E7420" w:rsidRDefault="005762DE">
      <w:pPr>
        <w:rPr>
          <w:noProof/>
        </w:rPr>
      </w:pPr>
      <w:r>
        <w:rPr>
          <w:noProof/>
        </w:rPr>
        <w:t>Pagal Reglamento (EB) Nr. 1683/1995 6 straipsnį įsteigtas komitetas dar 2009 m. įsteigė pakomitetį, kuriam buvo pavesta sukurti naujo modelio, turinčio bendras apsaugos priemones, projektą. Pakomi</w:t>
      </w:r>
      <w:r>
        <w:rPr>
          <w:noProof/>
        </w:rPr>
        <w:t>tetis posėdžiaudavo du arba tris kartus per metus, kad parengtų naujam modeliui sukurti reikalingą medžiagą.</w:t>
      </w:r>
    </w:p>
    <w:p w:rsidR="000E7420" w:rsidRDefault="005762DE">
      <w:pPr>
        <w:rPr>
          <w:noProof/>
        </w:rPr>
      </w:pPr>
      <w:r>
        <w:rPr>
          <w:noProof/>
        </w:rPr>
        <w:t>Vadovaudamosi būsimomis techninėmis specifikacijomis valstybės narės galės pagaminti naują vizų įkliją, kurios forma, popierius ir apsaugos priemon</w:t>
      </w:r>
      <w:r>
        <w:rPr>
          <w:noProof/>
        </w:rPr>
        <w:t>ės bus tokios pačios (vienodos). Naujame modelyje apsaugos priemonės nuo įklijos krašto perkeltos į tokias vietas, iš kurių jas būtų sunku išpjauti. Be to, vienas iš su nauju modeliu susijusių pasiūlymų – įklijoje įrašyti du numerius: vieną, naudojant skir</w:t>
      </w:r>
      <w:r>
        <w:rPr>
          <w:noProof/>
        </w:rPr>
        <w:t>tingą iškiliąją spaudą, įrašyti vertikaliai šalia nuotraukos, o kitą – horizontaliai viršutiniame dešiniajame kampe. Kinegrama uždengs dalį nuotraukos srities ir bus padengta UV spauda. Šiuos pasiūlymus pateikė valstybės narės išsamiai išanalizavusios dažn</w:t>
      </w:r>
      <w:r>
        <w:rPr>
          <w:noProof/>
        </w:rPr>
        <w:t>iausiai pasitaikančius vizos įklijos padirbimo būdus. Tai turėtų labai padidinti vizos įklijos apsaugos lygį.</w:t>
      </w:r>
    </w:p>
    <w:p w:rsidR="000E7420" w:rsidRDefault="005762DE">
      <w:pPr>
        <w:rPr>
          <w:noProof/>
        </w:rPr>
      </w:pPr>
      <w:r>
        <w:rPr>
          <w:noProof/>
        </w:rPr>
        <w:t>Būsimos vizos įklijos kaina bus tokia pati kaip dabartinės vizos įklijos, nes kai kurie tiekėjai sutiko savo gaminius teikti už tą pačią kainą. Vi</w:t>
      </w:r>
      <w:r>
        <w:rPr>
          <w:noProof/>
        </w:rPr>
        <w:t>s dėlto tam tikrais atvejais atskiri gamintojai kai kuriose valstybėse narėse gali patirti papildomų išlaidų, nes jie turės savo gaminius pritaikyti pagal naujus reikalavimus.</w:t>
      </w:r>
    </w:p>
    <w:p w:rsidR="000E7420" w:rsidRDefault="005762DE">
      <w:pPr>
        <w:pStyle w:val="ManualHeading1"/>
        <w:rPr>
          <w:noProof/>
        </w:rPr>
      </w:pPr>
      <w:r>
        <w:rPr>
          <w:noProof/>
        </w:rPr>
        <w:t>3.</w:t>
      </w:r>
      <w:r>
        <w:rPr>
          <w:noProof/>
        </w:rPr>
        <w:tab/>
        <w:t>TEISINIAI PASIŪLYMO ASPEKTAI</w:t>
      </w:r>
    </w:p>
    <w:p w:rsidR="000E7420" w:rsidRDefault="005762DE">
      <w:pPr>
        <w:rPr>
          <w:noProof/>
          <w:u w:val="single"/>
        </w:rPr>
      </w:pPr>
      <w:r>
        <w:rPr>
          <w:noProof/>
          <w:u w:val="single"/>
        </w:rPr>
        <w:t>Kodėl nesiūloma reglamento išdėstyti nauja redak</w:t>
      </w:r>
      <w:r>
        <w:rPr>
          <w:noProof/>
          <w:u w:val="single"/>
        </w:rPr>
        <w:t>cija?</w:t>
      </w:r>
    </w:p>
    <w:p w:rsidR="000E7420" w:rsidRDefault="005762DE">
      <w:pPr>
        <w:rPr>
          <w:noProof/>
        </w:rPr>
      </w:pPr>
      <w:r>
        <w:rPr>
          <w:noProof/>
        </w:rPr>
        <w:t xml:space="preserve">Iš esmės, atsižvelgiant į tai, kad tai yra trečias esminis pakeitimas (skaičiuojant techninius pakeitimus, padarytus įstojus naujoms valstybėms narėms, ir Vizų kodekso priėmimą, šis pasiūlymas yra </w:t>
      </w:r>
      <w:r>
        <w:rPr>
          <w:i/>
          <w:noProof/>
        </w:rPr>
        <w:t>šeštas</w:t>
      </w:r>
      <w:r>
        <w:rPr>
          <w:noProof/>
        </w:rPr>
        <w:t xml:space="preserve"> pakeitimas), paprastai turėtų būti siūloma tei</w:t>
      </w:r>
      <w:r>
        <w:rPr>
          <w:noProof/>
        </w:rPr>
        <w:t xml:space="preserve">sės aktą išdėstyti nauja redakcija. </w:t>
      </w:r>
    </w:p>
    <w:p w:rsidR="000E7420" w:rsidRDefault="005762DE">
      <w:pPr>
        <w:rPr>
          <w:noProof/>
        </w:rPr>
      </w:pPr>
      <w:r>
        <w:rPr>
          <w:noProof/>
        </w:rPr>
        <w:t>Šiuo atveju yra argumentų, dėl kurių linkstama nukrypti nuo šios taisyklės. Pagrindiniai pakeitimai bus išdėstyti Komisijos įgyvendinimo sprendime, kuriame bus nustatytos slaptos techninės naujos vizos įklijos gamybos s</w:t>
      </w:r>
      <w:r>
        <w:rPr>
          <w:noProof/>
        </w:rPr>
        <w:t>pecifikacijos; šios specifikacijos slaptos, nes dokumentų klastotojai neturėtų turėti prieigos prie techninių vizos įklijos gamybos specifikacijų. Reglamento dėstomoji dalis iš esmės nekeičiama, pakeičiamas tik priedas, kuriame pateiktas naujas modelis. Bū</w:t>
      </w:r>
      <w:r>
        <w:rPr>
          <w:noProof/>
        </w:rPr>
        <w:t>tina nedelsiant imtis teisėkūros veiksmų, nes dokumentų klastotojai mus lenkia; vizos forma turi būti geriau apsaugota nuo klastojimo. Be to, priešingai nei pagrindinių reglamentų, kaip antai Vizų kodekso, atveju plačiosios visuomenės suinteresuotumas šiuo</w:t>
      </w:r>
      <w:r>
        <w:rPr>
          <w:noProof/>
        </w:rPr>
        <w:t xml:space="preserve"> reglamentu nedidelis. Konsoliduota Reglamento, nustatančio vienodą vizų formą, redakcija gali būti parengta vėliau, priėmus siūlomą pakeitimą, kuris turi būti padarytas nedelsiant.</w:t>
      </w:r>
    </w:p>
    <w:p w:rsidR="000E7420" w:rsidRDefault="005762DE">
      <w:pPr>
        <w:rPr>
          <w:noProof/>
          <w:u w:val="single"/>
        </w:rPr>
      </w:pPr>
      <w:r>
        <w:rPr>
          <w:noProof/>
          <w:u w:val="single"/>
        </w:rPr>
        <w:t>Subsidiarumo principas</w:t>
      </w:r>
    </w:p>
    <w:p w:rsidR="000E7420" w:rsidRDefault="005762DE">
      <w:pPr>
        <w:rPr>
          <w:noProof/>
        </w:rPr>
      </w:pPr>
      <w:r>
        <w:rPr>
          <w:noProof/>
        </w:rPr>
        <w:lastRenderedPageBreak/>
        <w:t>SESV 77 straipsnio 2 dalies a punktu Europos Parlam</w:t>
      </w:r>
      <w:r>
        <w:rPr>
          <w:noProof/>
        </w:rPr>
        <w:t>entui ir Tarybai suteikiami įgaliojimai priimti priemones dėl „vizų ir kitų leidimų trumpam apsigyventi šalyje bendros politikos“.</w:t>
      </w:r>
    </w:p>
    <w:p w:rsidR="000E7420" w:rsidRDefault="005762DE">
      <w:pPr>
        <w:rPr>
          <w:noProof/>
        </w:rPr>
      </w:pPr>
      <w:r>
        <w:rPr>
          <w:noProof/>
        </w:rPr>
        <w:t xml:space="preserve">Tos priemonės apima, kaip buvo netiesiogiai įtvirtinta ankstesnio EB sutarties 62 straipsnio 2 dalies b punkto iii papunkčio </w:t>
      </w:r>
      <w:r>
        <w:rPr>
          <w:noProof/>
        </w:rPr>
        <w:t xml:space="preserve">ir 100c straipsnio 3 dalies tekste, vienodą vizų formą. </w:t>
      </w:r>
    </w:p>
    <w:p w:rsidR="000E7420" w:rsidRDefault="005762DE">
      <w:pPr>
        <w:rPr>
          <w:noProof/>
        </w:rPr>
      </w:pPr>
      <w:r>
        <w:rPr>
          <w:noProof/>
        </w:rPr>
        <w:t>Šiuo pasiūlymu neviršijamos tomis sutarčių nuostatomis nustatytos ribos ir nekeičiama Sąjungos teisės aktų taikymo apimtis.</w:t>
      </w:r>
    </w:p>
    <w:p w:rsidR="000E7420" w:rsidRDefault="005762DE">
      <w:pPr>
        <w:rPr>
          <w:noProof/>
        </w:rPr>
      </w:pPr>
      <w:r>
        <w:rPr>
          <w:noProof/>
        </w:rPr>
        <w:t>Šio pasiūlymo tikslas – dar labiau sustiprinti vienodos vizos formos apsaug</w:t>
      </w:r>
      <w:r>
        <w:rPr>
          <w:noProof/>
        </w:rPr>
        <w:t>ą ir šią formą patobulinti, atsižvelgiant į klastotojų padarytą pažangą. Šio tikslo valstybės narės savarankiškai negali deramai pasiekti, nes vienoda vizos forma turi būti vienoda ir galiojantį Sąjungos teisės aktą iš dalies pakeisti gali tik Sąjunga.</w:t>
      </w:r>
    </w:p>
    <w:p w:rsidR="000E7420" w:rsidRDefault="005762DE">
      <w:pPr>
        <w:rPr>
          <w:noProof/>
          <w:u w:val="single"/>
        </w:rPr>
      </w:pPr>
      <w:r>
        <w:rPr>
          <w:noProof/>
          <w:u w:val="single"/>
        </w:rPr>
        <w:t>Proporcingumo principas</w:t>
      </w:r>
    </w:p>
    <w:p w:rsidR="000E7420" w:rsidRDefault="005762DE">
      <w:pPr>
        <w:rPr>
          <w:noProof/>
        </w:rPr>
      </w:pPr>
      <w:r>
        <w:rPr>
          <w:noProof/>
        </w:rPr>
        <w:t>SESV 5 straipsnio 4 dalyje nustatyta, kad Sąjungos veiksmų turiniu ir forma neturi būti viršijama to, kas būtina Sutartyse nustatytiems tikslams pasiekti. Šiam veiksmui pasirinkta forma turi būti sudarytos tokios sąlygos, kad pasiūl</w:t>
      </w:r>
      <w:r>
        <w:rPr>
          <w:noProof/>
        </w:rPr>
        <w:t xml:space="preserve">ymas pasiektų tikslą ir būtų kuo veiksmingiau įgyvendintas. </w:t>
      </w:r>
    </w:p>
    <w:p w:rsidR="000E7420" w:rsidRDefault="005762DE">
      <w:pPr>
        <w:rPr>
          <w:noProof/>
        </w:rPr>
      </w:pPr>
      <w:r>
        <w:rPr>
          <w:noProof/>
        </w:rPr>
        <w:t>Vienoda vizų forma nustatyta reglamentu, siekiant užtikrinti, kad ji būtų vienodai taikoma visose valstybėse narėse. Šiuo pasiūlymu iš dalies keičiamas galiojantis reglamentas, todėl šis teisės a</w:t>
      </w:r>
      <w:r>
        <w:rPr>
          <w:noProof/>
        </w:rPr>
        <w:t>ktas turi būti reglamentas. Kalbant apie turinį, šia iniciatyva tik patobulinamas galiojantis reglamentas ir ji grindžiama politikos tikslu kovoti su neteisėta migracija labiau apsaugant dokumentus nuo padirbinėjimo ir klastojimo. Todėl pasiūlymas atitinka</w:t>
      </w:r>
      <w:r>
        <w:rPr>
          <w:noProof/>
        </w:rPr>
        <w:t xml:space="preserve"> proporcingumo principą.</w:t>
      </w:r>
    </w:p>
    <w:p w:rsidR="000E7420" w:rsidRDefault="005762DE">
      <w:pPr>
        <w:rPr>
          <w:noProof/>
          <w:u w:val="single"/>
        </w:rPr>
      </w:pPr>
      <w:r>
        <w:rPr>
          <w:noProof/>
          <w:u w:val="single"/>
        </w:rPr>
        <w:t>Pasirinkta priemonė</w:t>
      </w:r>
    </w:p>
    <w:p w:rsidR="000E7420" w:rsidRDefault="005762DE">
      <w:pPr>
        <w:rPr>
          <w:noProof/>
        </w:rPr>
      </w:pPr>
      <w:r>
        <w:rPr>
          <w:noProof/>
        </w:rPr>
        <w:t>Šiuo pasiūlymu iš dalies keičiamas Reglamentas (EB) Nr. 1683/95, nustatantis vienodą vizų formą. Todėl reglamentas yra vienintelė galima teisinė priemonė.</w:t>
      </w:r>
    </w:p>
    <w:p w:rsidR="000E7420" w:rsidRDefault="005762DE">
      <w:pPr>
        <w:rPr>
          <w:noProof/>
          <w:u w:val="single"/>
        </w:rPr>
      </w:pPr>
      <w:r>
        <w:rPr>
          <w:noProof/>
          <w:u w:val="single"/>
        </w:rPr>
        <w:t>Išsamios nuostatos</w:t>
      </w:r>
    </w:p>
    <w:p w:rsidR="000E7420" w:rsidRDefault="005762DE">
      <w:pPr>
        <w:rPr>
          <w:noProof/>
        </w:rPr>
      </w:pPr>
      <w:r>
        <w:rPr>
          <w:noProof/>
        </w:rPr>
        <w:t>Reglamentas, kuriuo iš dalies keičiam</w:t>
      </w:r>
      <w:r>
        <w:rPr>
          <w:noProof/>
        </w:rPr>
        <w:t xml:space="preserve">as teisės aktas, grindžiamas SESV 77 straipsnio 2 dalies a punktu, kuriuo pakeistas EB sutarties 62 straipsnio 2 dalies b punkto iii papunktis. </w:t>
      </w:r>
    </w:p>
    <w:p w:rsidR="000E7420" w:rsidRDefault="005762DE">
      <w:pPr>
        <w:rPr>
          <w:noProof/>
        </w:rPr>
      </w:pPr>
      <w:r>
        <w:rPr>
          <w:noProof/>
        </w:rPr>
        <w:t>1. Danijos, Airijos ir Jungtinės Karalystės dalyvavimas</w:t>
      </w:r>
    </w:p>
    <w:p w:rsidR="000E7420" w:rsidRDefault="005762DE">
      <w:pPr>
        <w:rPr>
          <w:noProof/>
        </w:rPr>
      </w:pPr>
      <w:r>
        <w:rPr>
          <w:noProof/>
        </w:rPr>
        <w:t>Pagal Protokolo Nr. 22 dėl Danijos pozicijos 6 straipsn</w:t>
      </w:r>
      <w:r>
        <w:rPr>
          <w:noProof/>
        </w:rPr>
        <w:t>į Protokolo 1, 2 ir 3 straipsniai netaikomi priemonėms, susijusioms su vienoda vizų forma. Todėl neįtraukta konstatuojamoji dalis dėl Danijos – Danija laikosi tokios pat pozicijos kaip visos kitos valstybės narės, neminimos konstatuojamosiose dalyse. Priėm</w:t>
      </w:r>
      <w:r>
        <w:rPr>
          <w:noProof/>
        </w:rPr>
        <w:t>us pasiūlymą jis galios ir Danijai.</w:t>
      </w:r>
    </w:p>
    <w:p w:rsidR="000E7420" w:rsidRDefault="005762DE">
      <w:pPr>
        <w:rPr>
          <w:noProof/>
        </w:rPr>
      </w:pPr>
      <w:r>
        <w:rPr>
          <w:noProof/>
        </w:rPr>
        <w:t>Pagal prie Sutarčių pridėtą Protokolo Nr. 21 dėl Jungtinės Karalystės ir Airijos pozicijos dėl laisvės, saugumo ir teisingumo erdvės 4a straipsnio pirmą pastraipą Protokolo nuostatos taip pat taikomos priemonėms, siūlomo</w:t>
      </w:r>
      <w:r>
        <w:rPr>
          <w:noProof/>
        </w:rPr>
        <w:t>ms ar priimtoms pagal SESV 3 dalies V antraštinę dalį, kuriomis iš dalies keičiama šioms šalims privaloma galiojanti priemonė. Jungtinei Karalystei ir Airijai Reglamentas (EB) Nr. 1683/95, kurį šiuo pasiūlymu siūloma iš dalies pakeisti, yra privalomas. Tod</w:t>
      </w:r>
      <w:r>
        <w:rPr>
          <w:noProof/>
        </w:rPr>
        <w:t>ėl taikytinos Protokolo Nr. 21 nuostatos. Tai reiškia, kad Jungtinė Karalystė ir Airija nedalyvauja priimant siūlomą reglamentą (Protokolo Nr. 21 1 straipsnis), atsižvelgiant į tai, kad pagal Protokolo Nr. 21 3 straipsnį jos gali per tris mėnesius nuo pasi</w:t>
      </w:r>
      <w:r>
        <w:rPr>
          <w:noProof/>
        </w:rPr>
        <w:t>ūlymo dėl priemonės pateikimo Tarybai pranešti apie savo pageidavimą dalyvauti priimant ir taikant šią priemonę. Taip pat taikomas Protokolo Nr. 21 4 straipsnis, pagal kurį Jungtinei Karalystei ir Airijai suteikiama galimybė priemonę pradėti taikyti po to,</w:t>
      </w:r>
      <w:r>
        <w:rPr>
          <w:noProof/>
        </w:rPr>
        <w:t xml:space="preserve"> kai ją priims Europos Parlamentas ir Taryba, jeigu jos to nepadarė per tris mėnesius nuo pasiūlymo priėmimo dienos. Siekiant atsižvelgti į tai, kokius sprendimus Airija ir Jungtinė Karalystė priims per tris mėnesius nuo </w:t>
      </w:r>
      <w:r>
        <w:rPr>
          <w:noProof/>
        </w:rPr>
        <w:lastRenderedPageBreak/>
        <w:t>šio pasiūlymo priėmimo, laužtiniuos</w:t>
      </w:r>
      <w:r>
        <w:rPr>
          <w:noProof/>
        </w:rPr>
        <w:t>e skliaustuose pateikti šešių galimų konstatuojamųjų dalių tekstai, iš kurių Europos Parlamentas ir Taryba, remdamiesi Airijos ir Jungtinės Karalystės sprendimais, priimtais per tris mėnesius nuo šio pasiūlymo priėmimo, vieną arba du pasirinks kaip tinkamą</w:t>
      </w:r>
      <w:r>
        <w:rPr>
          <w:noProof/>
        </w:rPr>
        <w:t> (-us).</w:t>
      </w:r>
    </w:p>
    <w:p w:rsidR="000E7420" w:rsidRDefault="000E7420">
      <w:pPr>
        <w:rPr>
          <w:noProof/>
        </w:rPr>
      </w:pPr>
    </w:p>
    <w:p w:rsidR="000E7420" w:rsidRDefault="005762DE">
      <w:pPr>
        <w:rPr>
          <w:noProof/>
        </w:rPr>
      </w:pPr>
      <w:r>
        <w:rPr>
          <w:noProof/>
        </w:rPr>
        <w:t xml:space="preserve">2. Šengeno </w:t>
      </w:r>
      <w:r>
        <w:rPr>
          <w:i/>
          <w:noProof/>
        </w:rPr>
        <w:t>acquis</w:t>
      </w:r>
      <w:r>
        <w:rPr>
          <w:noProof/>
        </w:rPr>
        <w:t xml:space="preserve"> plėtojimas, susijęs su asociacijos susitarimais</w:t>
      </w:r>
    </w:p>
    <w:p w:rsidR="000E7420" w:rsidRDefault="005762DE">
      <w:pPr>
        <w:rPr>
          <w:noProof/>
        </w:rPr>
      </w:pPr>
      <w:r>
        <w:rPr>
          <w:noProof/>
        </w:rPr>
        <w:t xml:space="preserve">Reglamentas (EB) Nr. 1683/95 yra Šengeno </w:t>
      </w:r>
      <w:r>
        <w:rPr>
          <w:i/>
          <w:noProof/>
        </w:rPr>
        <w:t>acquis</w:t>
      </w:r>
      <w:r>
        <w:rPr>
          <w:noProof/>
        </w:rPr>
        <w:t xml:space="preserve">, kurį Norvegija, Islandija, Šveicarija ir Lichtenšteinas įgyvendina laikydamiesi atitinkamų asociacijos susitarimų, dalis. Todėl </w:t>
      </w:r>
      <w:r>
        <w:rPr>
          <w:noProof/>
        </w:rPr>
        <w:t>siūlomas pakeitimas turėtų galioti ir nurodytoms asocijuotosioms šalims.</w:t>
      </w:r>
    </w:p>
    <w:p w:rsidR="000E7420" w:rsidRDefault="000E7420">
      <w:pPr>
        <w:rPr>
          <w:noProof/>
        </w:rPr>
      </w:pPr>
    </w:p>
    <w:p w:rsidR="000E7420" w:rsidRDefault="005762DE">
      <w:pPr>
        <w:rPr>
          <w:noProof/>
        </w:rPr>
      </w:pPr>
      <w:r>
        <w:rPr>
          <w:noProof/>
        </w:rPr>
        <w:t>3. Dėstomoji dalis</w:t>
      </w:r>
    </w:p>
    <w:p w:rsidR="000E7420" w:rsidRDefault="005762DE">
      <w:pPr>
        <w:rPr>
          <w:noProof/>
        </w:rPr>
      </w:pPr>
      <w:r>
        <w:rPr>
          <w:noProof/>
        </w:rPr>
        <w:t>1 straipsnis</w:t>
      </w:r>
    </w:p>
    <w:p w:rsidR="000E7420" w:rsidRDefault="005762DE">
      <w:pPr>
        <w:rPr>
          <w:noProof/>
        </w:rPr>
      </w:pPr>
      <w:r>
        <w:rPr>
          <w:noProof/>
        </w:rPr>
        <w:t xml:space="preserve">Šia nuostata nustatoma, kad reglamento (EB) Nr. 1683/1995 priedas turėtų būti pakeistas nauju priedu, kuriame pateikta naujos vizos įklijos nuotrauka </w:t>
      </w:r>
      <w:r>
        <w:rPr>
          <w:noProof/>
        </w:rPr>
        <w:t>ir bendrasis aprašymas.</w:t>
      </w:r>
    </w:p>
    <w:p w:rsidR="000E7420" w:rsidRDefault="005762DE">
      <w:pPr>
        <w:rPr>
          <w:noProof/>
        </w:rPr>
      </w:pPr>
      <w:r>
        <w:rPr>
          <w:noProof/>
        </w:rPr>
        <w:t>2 straipsnis</w:t>
      </w:r>
    </w:p>
    <w:p w:rsidR="000E7420" w:rsidRDefault="005762DE">
      <w:pPr>
        <w:rPr>
          <w:noProof/>
        </w:rPr>
      </w:pPr>
      <w:r>
        <w:rPr>
          <w:noProof/>
        </w:rPr>
        <w:t>Siekiant sudaryti sąlygas sunaudoti turimas atsargas, numatomas šešių mėnesių pereinamasis laikotarpis, per kurį valstybės narės galės naudoti senąsias vizos įklijas.</w:t>
      </w:r>
    </w:p>
    <w:p w:rsidR="000E7420" w:rsidRDefault="005762DE">
      <w:pPr>
        <w:rPr>
          <w:noProof/>
        </w:rPr>
      </w:pPr>
      <w:r>
        <w:rPr>
          <w:noProof/>
        </w:rPr>
        <w:t>3 straipsnis</w:t>
      </w:r>
    </w:p>
    <w:p w:rsidR="000E7420" w:rsidRDefault="005762DE">
      <w:pPr>
        <w:rPr>
          <w:noProof/>
        </w:rPr>
      </w:pPr>
      <w:r>
        <w:rPr>
          <w:noProof/>
        </w:rPr>
        <w:t>Pirma, pateikiama įprastinė nuostata dė</w:t>
      </w:r>
      <w:r>
        <w:rPr>
          <w:noProof/>
        </w:rPr>
        <w:t>l reglamento įsigaliojimo.</w:t>
      </w:r>
    </w:p>
    <w:p w:rsidR="000E7420" w:rsidRDefault="005762DE">
      <w:pPr>
        <w:rPr>
          <w:noProof/>
        </w:rPr>
      </w:pPr>
      <w:r>
        <w:rPr>
          <w:noProof/>
        </w:rPr>
        <w:t>Antra, nurodoma, kad valstybės narės naująją vizos įkliją pradeda naudoti praėjus devyniems mėnesiams po Komisijos įgyvendinimo sprendimo dėl papildomų techninių specifikacijų priėmimo.</w:t>
      </w:r>
    </w:p>
    <w:p w:rsidR="000E7420" w:rsidRDefault="005762DE">
      <w:pPr>
        <w:pStyle w:val="ManualHeading1"/>
        <w:rPr>
          <w:noProof/>
        </w:rPr>
      </w:pPr>
      <w:r>
        <w:rPr>
          <w:noProof/>
        </w:rPr>
        <w:t>4.</w:t>
      </w:r>
      <w:r>
        <w:rPr>
          <w:noProof/>
        </w:rPr>
        <w:tab/>
        <w:t>POVEIKIS BIUDŽETUI</w:t>
      </w:r>
    </w:p>
    <w:p w:rsidR="000E7420" w:rsidRDefault="005762DE">
      <w:pPr>
        <w:rPr>
          <w:noProof/>
        </w:rPr>
      </w:pPr>
      <w:r>
        <w:rPr>
          <w:noProof/>
        </w:rPr>
        <w:t>Siūlomu keitimu ES bi</w:t>
      </w:r>
      <w:r>
        <w:rPr>
          <w:noProof/>
        </w:rPr>
        <w:t xml:space="preserve">udžetui poveikio nedaroma. </w:t>
      </w:r>
    </w:p>
    <w:p w:rsidR="000E7420" w:rsidRDefault="000E7420">
      <w:pPr>
        <w:rPr>
          <w:noProof/>
        </w:rPr>
        <w:sectPr w:rsidR="000E7420" w:rsidSect="005762DE">
          <w:footerReference w:type="default" r:id="rId16"/>
          <w:footerReference w:type="first" r:id="rId17"/>
          <w:pgSz w:w="11907" w:h="16839"/>
          <w:pgMar w:top="1134" w:right="1417" w:bottom="1134" w:left="1417" w:header="709" w:footer="709" w:gutter="0"/>
          <w:pgNumType w:start="1"/>
          <w:cols w:space="708"/>
          <w:docGrid w:linePitch="360"/>
        </w:sectPr>
      </w:pPr>
    </w:p>
    <w:p w:rsidR="000E7420" w:rsidRDefault="005762DE" w:rsidP="005762DE">
      <w:pPr>
        <w:pStyle w:val="Rfrenceinterinstitutionnelle"/>
        <w:rPr>
          <w:noProof/>
        </w:rPr>
      </w:pPr>
      <w:r w:rsidRPr="005762DE">
        <w:lastRenderedPageBreak/>
        <w:t>2015/0134 (COD)</w:t>
      </w:r>
    </w:p>
    <w:p w:rsidR="000E7420" w:rsidRDefault="005762DE" w:rsidP="005762DE">
      <w:pPr>
        <w:pStyle w:val="Statut"/>
        <w:rPr>
          <w:noProof/>
        </w:rPr>
      </w:pPr>
      <w:r w:rsidRPr="005762DE">
        <w:t>Pasiūlymas</w:t>
      </w:r>
    </w:p>
    <w:p w:rsidR="000E7420" w:rsidRDefault="005762DE" w:rsidP="005762DE">
      <w:pPr>
        <w:pStyle w:val="Typedudocument"/>
        <w:rPr>
          <w:noProof/>
        </w:rPr>
      </w:pPr>
      <w:r w:rsidRPr="005762DE">
        <w:t>EUROPOS PARLAMENTO IR TARYBOS REGLAMENTAS</w:t>
      </w:r>
    </w:p>
    <w:p w:rsidR="000E7420" w:rsidRDefault="005762DE" w:rsidP="005762DE">
      <w:pPr>
        <w:pStyle w:val="Titreobjet"/>
        <w:rPr>
          <w:noProof/>
        </w:rPr>
      </w:pPr>
      <w:r w:rsidRPr="005762DE">
        <w:t>kuriuo iš dalies keičiamas 1995</w:t>
      </w:r>
      <w:r>
        <w:t> </w:t>
      </w:r>
      <w:r w:rsidRPr="005762DE">
        <w:t>m. gegužės 29</w:t>
      </w:r>
      <w:r>
        <w:t> </w:t>
      </w:r>
      <w:r w:rsidRPr="005762DE">
        <w:t>d. Reglamentas (EB) Nr.</w:t>
      </w:r>
      <w:r>
        <w:t> </w:t>
      </w:r>
      <w:r w:rsidRPr="005762DE">
        <w:t xml:space="preserve">1683/1995, nustatantis vienodą vizų formą </w:t>
      </w:r>
      <w:r w:rsidRPr="005762DE">
        <w:br/>
      </w:r>
      <w:r w:rsidRPr="005762DE">
        <w:br/>
        <w:t xml:space="preserve"> </w:t>
      </w:r>
    </w:p>
    <w:p w:rsidR="000E7420" w:rsidRDefault="005762DE">
      <w:pPr>
        <w:pStyle w:val="Institutionquiagit"/>
        <w:rPr>
          <w:noProof/>
        </w:rPr>
      </w:pPr>
      <w:r>
        <w:rPr>
          <w:noProof/>
        </w:rPr>
        <w:t>EUROPOS PARLAMENTAS IR EUROPOS SĄJUNGOS TARYBA,</w:t>
      </w:r>
    </w:p>
    <w:p w:rsidR="000E7420" w:rsidRDefault="005762DE">
      <w:pPr>
        <w:rPr>
          <w:noProof/>
        </w:rPr>
      </w:pPr>
      <w:r>
        <w:rPr>
          <w:noProof/>
        </w:rPr>
        <w:t>atsižvelgdami į Sutartį dėl Europos Sąjungos veikimo, ypač į jos 77 straipsnio 2 dalies a punktą,</w:t>
      </w:r>
    </w:p>
    <w:p w:rsidR="000E7420" w:rsidRDefault="005762DE">
      <w:pPr>
        <w:rPr>
          <w:noProof/>
        </w:rPr>
      </w:pPr>
      <w:r>
        <w:rPr>
          <w:noProof/>
        </w:rPr>
        <w:t>atsižvelgdami į Europos Komisijos pasiūlymą,</w:t>
      </w:r>
    </w:p>
    <w:p w:rsidR="000E7420" w:rsidRDefault="005762DE">
      <w:pPr>
        <w:rPr>
          <w:noProof/>
        </w:rPr>
      </w:pPr>
      <w:r>
        <w:rPr>
          <w:noProof/>
        </w:rPr>
        <w:t>teisėkūros procedūra priimamo akto projektą perdavus nacionaliniams parlamentams,</w:t>
      </w:r>
    </w:p>
    <w:p w:rsidR="000E7420" w:rsidRDefault="005762DE">
      <w:pPr>
        <w:rPr>
          <w:noProof/>
        </w:rPr>
      </w:pPr>
      <w:r>
        <w:rPr>
          <w:noProof/>
        </w:rPr>
        <w:t>laikydamiesi įprastos teisėkūros procedūros,</w:t>
      </w:r>
    </w:p>
    <w:p w:rsidR="000E7420" w:rsidRDefault="005762DE">
      <w:pPr>
        <w:rPr>
          <w:noProof/>
        </w:rPr>
      </w:pPr>
      <w:r>
        <w:rPr>
          <w:noProof/>
        </w:rPr>
        <w:t>kadangi:</w:t>
      </w:r>
    </w:p>
    <w:p w:rsidR="000E7420" w:rsidRDefault="005762DE">
      <w:pPr>
        <w:pStyle w:val="ManualConsidrant"/>
        <w:rPr>
          <w:noProof/>
        </w:rPr>
      </w:pPr>
      <w:r>
        <w:rPr>
          <w:noProof/>
        </w:rPr>
        <w:t>(1)</w:t>
      </w:r>
      <w:r>
        <w:rPr>
          <w:noProof/>
        </w:rPr>
        <w:tab/>
        <w:t>Tarybos reglamentu (EB) Nr. 1683/95</w:t>
      </w:r>
      <w:r>
        <w:rPr>
          <w:rStyle w:val="FootnoteReference"/>
          <w:noProof/>
        </w:rPr>
        <w:footnoteReference w:id="1"/>
      </w:r>
      <w:r>
        <w:rPr>
          <w:noProof/>
        </w:rPr>
        <w:t xml:space="preserve"> nustatyta vienoda vizų forma;</w:t>
      </w:r>
    </w:p>
    <w:p w:rsidR="000E7420" w:rsidRDefault="005762DE">
      <w:pPr>
        <w:pStyle w:val="ManualConsidrant"/>
        <w:rPr>
          <w:noProof/>
        </w:rPr>
      </w:pPr>
      <w:r>
        <w:rPr>
          <w:noProof/>
        </w:rPr>
        <w:t>(2)</w:t>
      </w:r>
      <w:r>
        <w:rPr>
          <w:noProof/>
        </w:rPr>
        <w:tab/>
        <w:t xml:space="preserve">dabartinė vizos įklija, kuri galioja jau 20 </w:t>
      </w:r>
      <w:r>
        <w:rPr>
          <w:noProof/>
        </w:rPr>
        <w:t>metų, turi būti laikoma nesaugia, atsižvelgiant į rimtus padirbinėjimo ir klastojimo atvejus;</w:t>
      </w:r>
    </w:p>
    <w:p w:rsidR="000E7420" w:rsidRDefault="005762DE">
      <w:pPr>
        <w:pStyle w:val="ManualConsidrant"/>
        <w:rPr>
          <w:noProof/>
        </w:rPr>
      </w:pPr>
      <w:r>
        <w:rPr>
          <w:noProof/>
        </w:rPr>
        <w:t>(3)</w:t>
      </w:r>
      <w:r>
        <w:rPr>
          <w:noProof/>
        </w:rPr>
        <w:tab/>
        <w:t>todėl turėtų būti nustatyta nauja bendra forma, kuri turėtų daugiau šiuolaikinių apsaugos priemonių, kad vizos įklija būtų labiau apsaugota ir jos nebūtų gali</w:t>
      </w:r>
      <w:r>
        <w:rPr>
          <w:noProof/>
        </w:rPr>
        <w:t>ma suklastoti;</w:t>
      </w:r>
    </w:p>
    <w:p w:rsidR="000E7420" w:rsidRDefault="005762DE">
      <w:pPr>
        <w:pStyle w:val="ManualConsidrant"/>
        <w:rPr>
          <w:noProof/>
        </w:rPr>
      </w:pPr>
      <w:r>
        <w:rPr>
          <w:noProof/>
        </w:rPr>
        <w:t>(4)</w:t>
      </w:r>
      <w:r>
        <w:rPr>
          <w:noProof/>
        </w:rPr>
        <w:tab/>
        <w:t>šiame reglamente gerbiamos pagrindinės teisės ir laikomasi principų, pripažintų visų pirma Europos Sąjungos pagrindinių teisių chartijoje;</w:t>
      </w:r>
    </w:p>
    <w:p w:rsidR="000E7420" w:rsidRDefault="005762DE">
      <w:pPr>
        <w:pStyle w:val="ManualConsidrant"/>
        <w:rPr>
          <w:noProof/>
        </w:rPr>
      </w:pPr>
      <w:r>
        <w:rPr>
          <w:noProof/>
        </w:rPr>
        <w:t>(5)</w:t>
      </w:r>
      <w:r>
        <w:rPr>
          <w:noProof/>
        </w:rPr>
        <w:tab/>
        <w:t>[pagal prie Europos Sąjungos sutarties ir Sutarties dėl Europos Sąjungos veikimo pridėto Proto</w:t>
      </w:r>
      <w:r>
        <w:rPr>
          <w:noProof/>
        </w:rPr>
        <w:t>kolo Nr. 21 dėl Jungtinės Karalystės ir Airijos pozicijos dėl laisvės, saugumo ir teisingumo erdvės 1 ir 2 straipsnius ir 4a straipsnio 1 dalį ir nedarant poveikio to protokolo 4 straipsniui tos valstybės narės nedalyvauja priimant šį reglamentą ir jis nėr</w:t>
      </w:r>
      <w:r>
        <w:rPr>
          <w:noProof/>
        </w:rPr>
        <w:t xml:space="preserve">a joms privalomas ar taikomas;] </w:t>
      </w:r>
    </w:p>
    <w:p w:rsidR="000E7420" w:rsidRDefault="005762DE">
      <w:pPr>
        <w:pStyle w:val="ManualConsidrant"/>
        <w:rPr>
          <w:noProof/>
        </w:rPr>
      </w:pPr>
      <w:r>
        <w:rPr>
          <w:noProof/>
        </w:rPr>
        <w:t>(6)</w:t>
      </w:r>
      <w:r>
        <w:rPr>
          <w:noProof/>
        </w:rPr>
        <w:tab/>
        <w:t xml:space="preserve">[pagal prie Europos Sąjungos sutarties ir Sutarties dėl Europos Sąjungos veikimo pridėto Protokolo Nr. 21 dėl Jungtinės Karalystės ir Airijos pozicijos dėl laisvės, saugumo ir teisingumo erdvės 1 ir 2 straipsnius ir 4a </w:t>
      </w:r>
      <w:r>
        <w:rPr>
          <w:noProof/>
        </w:rPr>
        <w:t xml:space="preserve">straipsnio 1 dalį ir nedarant poveikio to protokolo 4 straipsniui, Jungtinė Karalystė nedalyvauja priimant šį reglamentą, ir jis nėra jai privalomas ar taikomas;] </w:t>
      </w:r>
    </w:p>
    <w:p w:rsidR="000E7420" w:rsidRDefault="005762DE">
      <w:pPr>
        <w:pStyle w:val="ManualConsidrant"/>
        <w:rPr>
          <w:noProof/>
        </w:rPr>
      </w:pPr>
      <w:r>
        <w:rPr>
          <w:noProof/>
        </w:rPr>
        <w:t>(7)</w:t>
      </w:r>
      <w:r>
        <w:rPr>
          <w:noProof/>
        </w:rPr>
        <w:tab/>
        <w:t>[pagal prie Europos Sąjungos sutarties ir Sutarties dėl Europos Sąjungos veikimo pridėto</w:t>
      </w:r>
      <w:r>
        <w:rPr>
          <w:noProof/>
        </w:rPr>
        <w:t xml:space="preserve"> Protokolo Nr. 21 dėl Jungtinės Karalystės ir Airijos pozicijos dėl laisvės, saugumo ir teisingumo erdvės 1 ir 2 straipsnius bei 4a straipsnio 1 dalį ir nedarant poveikio to protokolo 4 straipsniui, Airija nedalyvauja priimant šį reglamentą, ir jis nėra ja</w:t>
      </w:r>
      <w:r>
        <w:rPr>
          <w:noProof/>
        </w:rPr>
        <w:t xml:space="preserve">i privalomas ar taikomas;] </w:t>
      </w:r>
    </w:p>
    <w:p w:rsidR="000E7420" w:rsidRDefault="005762DE">
      <w:pPr>
        <w:pStyle w:val="ManualConsidrant"/>
        <w:rPr>
          <w:noProof/>
        </w:rPr>
      </w:pPr>
      <w:r>
        <w:rPr>
          <w:noProof/>
        </w:rPr>
        <w:lastRenderedPageBreak/>
        <w:t>(8)</w:t>
      </w:r>
      <w:r>
        <w:rPr>
          <w:noProof/>
        </w:rPr>
        <w:tab/>
        <w:t>[pagal prie Europos Sąjungos sutarties ir Sutarties dėl Europos Sąjungos veikimo pridėto Protokolo Nr. 21 dėl Jungtinės Karalystės ir Airijos pozicijos dėl laisvės, saugumo ir teisingumo erdvės 3 straipsnį ir 4a straipsnio 1</w:t>
      </w:r>
      <w:r>
        <w:rPr>
          <w:noProof/>
        </w:rPr>
        <w:t xml:space="preserve"> dalį, šios valstybės narės pranešė apie savo pageidavimą dalyvauti priimant ir taikant šį reglamentą;] </w:t>
      </w:r>
    </w:p>
    <w:p w:rsidR="000E7420" w:rsidRDefault="005762DE">
      <w:pPr>
        <w:pStyle w:val="ManualConsidrant"/>
        <w:rPr>
          <w:noProof/>
        </w:rPr>
      </w:pPr>
      <w:r>
        <w:rPr>
          <w:noProof/>
        </w:rPr>
        <w:t>(9)</w:t>
      </w:r>
      <w:r>
        <w:rPr>
          <w:noProof/>
        </w:rPr>
        <w:tab/>
        <w:t>[pagal prie Europos Sąjungos sutarties ir Sutarties dėl Europos Sąjungos veikimo pridėto Protokolo Nr. 21 dėl Jungtinės Karalystės ir Airijos pozic</w:t>
      </w:r>
      <w:r>
        <w:rPr>
          <w:noProof/>
        </w:rPr>
        <w:t xml:space="preserve">ijos dėl laisvės, saugumo ir teisingumo erdvės 3 straipsnį ir 4a straipsnio 1 dalį, Jungtinė Karalystė ([data] raštu) pranešė pageidaujanti dalyvauti priimant ir taikant šį reglamentą;] </w:t>
      </w:r>
    </w:p>
    <w:p w:rsidR="000E7420" w:rsidRDefault="005762DE">
      <w:pPr>
        <w:pStyle w:val="ManualConsidrant"/>
        <w:rPr>
          <w:noProof/>
        </w:rPr>
      </w:pPr>
      <w:r>
        <w:rPr>
          <w:noProof/>
        </w:rPr>
        <w:t>(10)</w:t>
      </w:r>
      <w:r>
        <w:rPr>
          <w:noProof/>
        </w:rPr>
        <w:tab/>
        <w:t xml:space="preserve">[pagal prie Europos Sąjungos sutarties ir Sutarties dėl Europos </w:t>
      </w:r>
      <w:r>
        <w:rPr>
          <w:noProof/>
        </w:rPr>
        <w:t>Sąjungos veikimo pridėto Protokolo Nr. 21 dėl Jungtinės Karalystės ir Airijos pozicijos dėl laisvės, saugumo ir teisingumo erdvės 3 straipsnį ir 4a straipsnio 1 dalį, Airija ([data] raštu) pranešė pageidaujanti dalyvauti priimant ir taikant šį reglamentą;]</w:t>
      </w:r>
    </w:p>
    <w:p w:rsidR="000E7420" w:rsidRDefault="005762DE">
      <w:pPr>
        <w:pStyle w:val="ManualConsidrant"/>
        <w:rPr>
          <w:noProof/>
        </w:rPr>
      </w:pPr>
      <w:r>
        <w:rPr>
          <w:noProof/>
        </w:rPr>
        <w:t>(11)</w:t>
      </w:r>
      <w:r>
        <w:rPr>
          <w:noProof/>
        </w:rPr>
        <w:tab/>
        <w:t xml:space="preserve">šis reglamentas yra aktas, grindžiamas Šengeno </w:t>
      </w:r>
      <w:r>
        <w:rPr>
          <w:i/>
          <w:noProof/>
        </w:rPr>
        <w:t>acquis</w:t>
      </w:r>
      <w:r>
        <w:rPr>
          <w:noProof/>
        </w:rPr>
        <w:t xml:space="preserve"> ar kitaip su juo susijęs, kaip apibrėžta atitinkamai 2003 m. Stojimo akto 3 straipsnio 1 dalyje, 2005 m. Stojimo akto 4 straipsnio 1 dalyje ir 2011 m. Stojimo akto 4 straipsnio 1 dalyje;</w:t>
      </w:r>
    </w:p>
    <w:p w:rsidR="000E7420" w:rsidRDefault="005762DE">
      <w:pPr>
        <w:pStyle w:val="ManualConsidrant"/>
        <w:rPr>
          <w:noProof/>
        </w:rPr>
      </w:pPr>
      <w:r>
        <w:rPr>
          <w:noProof/>
        </w:rPr>
        <w:t>(12)</w:t>
      </w:r>
      <w:r>
        <w:rPr>
          <w:noProof/>
        </w:rPr>
        <w:tab/>
        <w:t>Isla</w:t>
      </w:r>
      <w:r>
        <w:rPr>
          <w:noProof/>
        </w:rPr>
        <w:t xml:space="preserve">ndijos ir Norvegijos atžvilgiu šiuo reglamentu plėtojamos Šengeno </w:t>
      </w:r>
      <w:r>
        <w:rPr>
          <w:i/>
          <w:noProof/>
        </w:rPr>
        <w:t>acquis</w:t>
      </w:r>
      <w:r>
        <w:rPr>
          <w:noProof/>
        </w:rPr>
        <w:t xml:space="preserve"> nuostatos, kaip apibrėžta Europos Sąjungos Tarybos ir Islandijos Respublikos bei Norvegijos Karalystės susitarime dėl pastarųjų asociacijos įgyvendinant, taikant ir plėtojant Šengeno </w:t>
      </w:r>
      <w:r>
        <w:rPr>
          <w:i/>
          <w:noProof/>
        </w:rPr>
        <w:t>acquis</w:t>
      </w:r>
      <w:r>
        <w:rPr>
          <w:rStyle w:val="FootnoteReference"/>
          <w:noProof/>
        </w:rPr>
        <w:footnoteReference w:id="2"/>
      </w:r>
      <w:r>
        <w:rPr>
          <w:noProof/>
        </w:rPr>
        <w:t>, kurios patenka į Tarybos sprendimo 1999/437/EB</w:t>
      </w:r>
      <w:r>
        <w:rPr>
          <w:rStyle w:val="FootnoteReference"/>
          <w:noProof/>
        </w:rPr>
        <w:footnoteReference w:id="3"/>
      </w:r>
      <w:r>
        <w:rPr>
          <w:noProof/>
        </w:rPr>
        <w:t xml:space="preserve"> 1 straipsnio B punkte nurodytą sritį;</w:t>
      </w:r>
    </w:p>
    <w:p w:rsidR="000E7420" w:rsidRDefault="005762DE">
      <w:pPr>
        <w:pStyle w:val="ManualConsidrant"/>
        <w:rPr>
          <w:noProof/>
        </w:rPr>
      </w:pPr>
      <w:r>
        <w:rPr>
          <w:noProof/>
        </w:rPr>
        <w:t>(13)</w:t>
      </w:r>
      <w:r>
        <w:rPr>
          <w:noProof/>
        </w:rPr>
        <w:tab/>
        <w:t xml:space="preserve">Šveicarijos atžvilgiu šiuo reglamentu plėtojamos Šengeno </w:t>
      </w:r>
      <w:r>
        <w:rPr>
          <w:i/>
          <w:noProof/>
        </w:rPr>
        <w:t>acquis</w:t>
      </w:r>
      <w:r>
        <w:rPr>
          <w:noProof/>
        </w:rPr>
        <w:t xml:space="preserve"> nuostatos, kaip apibrėžta Europos Sąjungos, Europos bendrijos ir Šveicarijos Konfederacijos </w:t>
      </w:r>
      <w:r>
        <w:rPr>
          <w:noProof/>
        </w:rPr>
        <w:t xml:space="preserve">sudarytame Susitarime dėl Šveicarijos Konfederacijos asociacijos įgyvendinant, taikant ir plėtojant Šengeno </w:t>
      </w:r>
      <w:r>
        <w:rPr>
          <w:i/>
          <w:noProof/>
        </w:rPr>
        <w:t>acquis</w:t>
      </w:r>
      <w:r>
        <w:rPr>
          <w:rStyle w:val="FootnoteReference"/>
          <w:noProof/>
        </w:rPr>
        <w:footnoteReference w:id="4"/>
      </w:r>
      <w:r>
        <w:rPr>
          <w:noProof/>
        </w:rPr>
        <w:t>, kurios patenka į Sprendimo 1999/437/EB 1 straipsnio B punkte nurodytą sritį, minėtą sprendimą taikant kartu su Tarybos sprendimo 2008/146/E</w:t>
      </w:r>
      <w:r>
        <w:rPr>
          <w:noProof/>
        </w:rPr>
        <w:t>B</w:t>
      </w:r>
      <w:r>
        <w:rPr>
          <w:rStyle w:val="FootnoteReference"/>
          <w:noProof/>
        </w:rPr>
        <w:footnoteReference w:id="5"/>
      </w:r>
      <w:r>
        <w:rPr>
          <w:noProof/>
        </w:rPr>
        <w:t xml:space="preserve"> 3 straipsniu;</w:t>
      </w:r>
    </w:p>
    <w:p w:rsidR="000E7420" w:rsidRDefault="005762DE">
      <w:pPr>
        <w:pStyle w:val="ManualConsidrant"/>
        <w:rPr>
          <w:noProof/>
        </w:rPr>
      </w:pPr>
      <w:r>
        <w:rPr>
          <w:noProof/>
        </w:rPr>
        <w:t>(14)</w:t>
      </w:r>
      <w:r>
        <w:rPr>
          <w:noProof/>
        </w:rPr>
        <w:tab/>
        <w:t xml:space="preserve">Lichtenšteino atžvilgiu šiuo reglamentu plėtojamos Šengeno </w:t>
      </w:r>
      <w:r>
        <w:rPr>
          <w:i/>
          <w:noProof/>
        </w:rPr>
        <w:t>acquis</w:t>
      </w:r>
      <w:r>
        <w:rPr>
          <w:noProof/>
        </w:rPr>
        <w:t xml:space="preserve"> nuostatos, kaip apibrėžta protokole, pasirašytame Europos Sąjungos, Europos bendrijos, Šveicarijos Konfederacijos ir Lichtenšteino Kunigaikštystės dėl Lichtenšteino Kun</w:t>
      </w:r>
      <w:r>
        <w:rPr>
          <w:noProof/>
        </w:rPr>
        <w:t xml:space="preserve">igaikštystės prisijungimo prie Europos Sąjungos, Europos bendrijos ir Šveicarijos Konfederacijos susitarimo dėl Šveicarijos Konfederacijos asociacijos įgyvendinant, taikant ir plėtojant Šengeno </w:t>
      </w:r>
      <w:r>
        <w:rPr>
          <w:i/>
          <w:noProof/>
        </w:rPr>
        <w:t>acquis</w:t>
      </w:r>
      <w:r>
        <w:rPr>
          <w:rStyle w:val="FootnoteReference"/>
          <w:i/>
          <w:noProof/>
        </w:rPr>
        <w:footnoteReference w:id="6"/>
      </w:r>
      <w:r>
        <w:rPr>
          <w:noProof/>
        </w:rPr>
        <w:t>, kurios patenka į Sprendimo 1999/437/EB 1 straipsnio B</w:t>
      </w:r>
      <w:r>
        <w:rPr>
          <w:noProof/>
        </w:rPr>
        <w:t xml:space="preserve"> punkte nurodytą sritį, minėtą sprendimą taikant kartu su Tarybos sprendimo 2011/350/ES</w:t>
      </w:r>
      <w:r>
        <w:rPr>
          <w:rStyle w:val="FootnoteReference"/>
          <w:noProof/>
        </w:rPr>
        <w:footnoteReference w:id="7"/>
      </w:r>
      <w:r>
        <w:rPr>
          <w:noProof/>
        </w:rPr>
        <w:t xml:space="preserve"> 3 straipsniu,</w:t>
      </w:r>
    </w:p>
    <w:p w:rsidR="000E7420" w:rsidRDefault="005762DE">
      <w:pPr>
        <w:pStyle w:val="Formuledadoption"/>
        <w:rPr>
          <w:noProof/>
        </w:rPr>
      </w:pPr>
      <w:r>
        <w:rPr>
          <w:noProof/>
        </w:rPr>
        <w:lastRenderedPageBreak/>
        <w:t>PRIĖMĖ ŠĮ REGLAMENTĄ:</w:t>
      </w:r>
    </w:p>
    <w:p w:rsidR="000E7420" w:rsidRDefault="005762DE">
      <w:pPr>
        <w:pStyle w:val="Titrearticle"/>
        <w:rPr>
          <w:noProof/>
        </w:rPr>
      </w:pPr>
      <w:r>
        <w:rPr>
          <w:noProof/>
        </w:rPr>
        <w:t>1 straipsnis</w:t>
      </w:r>
    </w:p>
    <w:p w:rsidR="000E7420" w:rsidRDefault="005762DE">
      <w:pPr>
        <w:rPr>
          <w:noProof/>
        </w:rPr>
      </w:pPr>
      <w:r>
        <w:rPr>
          <w:noProof/>
        </w:rPr>
        <w:t>Reglamento (EB) Nr. 1683/95 priedas pakeičiamas šio reglamento priedo tekstu.</w:t>
      </w:r>
    </w:p>
    <w:p w:rsidR="000E7420" w:rsidRDefault="005762DE">
      <w:pPr>
        <w:pStyle w:val="Titrearticle"/>
        <w:rPr>
          <w:noProof/>
        </w:rPr>
      </w:pPr>
      <w:r>
        <w:rPr>
          <w:noProof/>
        </w:rPr>
        <w:t>2 straipsnis</w:t>
      </w:r>
    </w:p>
    <w:p w:rsidR="000E7420" w:rsidRDefault="005762DE">
      <w:pPr>
        <w:rPr>
          <w:noProof/>
        </w:rPr>
      </w:pPr>
      <w:r>
        <w:rPr>
          <w:noProof/>
        </w:rPr>
        <w:t>Vizos įklijos, atitinkančio</w:t>
      </w:r>
      <w:r>
        <w:rPr>
          <w:noProof/>
        </w:rPr>
        <w:t>s Reglamento (EB) Nr. 1683/95 priede išdėstytas specifikacijas, kurios galioja iki 3 straipsnio antroje pastraipoje nurodytos datos, gali būti naudojamos vizose, išduotose ne vėliau kaip per šešis mėnesius nuo tos datos.</w:t>
      </w:r>
    </w:p>
    <w:p w:rsidR="000E7420" w:rsidRDefault="005762DE">
      <w:pPr>
        <w:pStyle w:val="Titrearticle"/>
        <w:rPr>
          <w:noProof/>
        </w:rPr>
      </w:pPr>
      <w:r>
        <w:rPr>
          <w:noProof/>
        </w:rPr>
        <w:t>3 straipsnis</w:t>
      </w:r>
    </w:p>
    <w:p w:rsidR="000E7420" w:rsidRDefault="005762DE">
      <w:pPr>
        <w:rPr>
          <w:noProof/>
        </w:rPr>
      </w:pPr>
      <w:r>
        <w:rPr>
          <w:noProof/>
        </w:rPr>
        <w:t>Šis reglamentas įsigal</w:t>
      </w:r>
      <w:r>
        <w:rPr>
          <w:noProof/>
        </w:rPr>
        <w:t xml:space="preserve">ioja dvidešimtą dieną po jo paskelbimo </w:t>
      </w:r>
      <w:r>
        <w:rPr>
          <w:i/>
          <w:noProof/>
        </w:rPr>
        <w:t>Europos Sąjungos oficialiajame leidinyje</w:t>
      </w:r>
      <w:r>
        <w:rPr>
          <w:noProof/>
        </w:rPr>
        <w:t>.</w:t>
      </w:r>
    </w:p>
    <w:p w:rsidR="000E7420" w:rsidRDefault="005762DE">
      <w:pPr>
        <w:rPr>
          <w:noProof/>
        </w:rPr>
      </w:pPr>
      <w:r>
        <w:rPr>
          <w:noProof/>
        </w:rPr>
        <w:t>Jis taikomas praėjus devyniems mėnesiams po tolesnių techninių specifikacijų, nurodytų Reglamento (EB) Nr. 1683/95 2 straipsnyje, priėmimo.</w:t>
      </w:r>
    </w:p>
    <w:p w:rsidR="000E7420" w:rsidRDefault="005762DE">
      <w:pPr>
        <w:rPr>
          <w:noProof/>
        </w:rPr>
      </w:pPr>
      <w:r>
        <w:rPr>
          <w:noProof/>
        </w:rPr>
        <w:t>Šis reglamentas pagal Sutartis priv</w:t>
      </w:r>
      <w:r>
        <w:rPr>
          <w:noProof/>
        </w:rPr>
        <w:t>alomas visas ir tiesiogiai taikomas valstybėse narėse.</w:t>
      </w:r>
    </w:p>
    <w:p w:rsidR="000E7420" w:rsidRDefault="005762DE" w:rsidP="005762DE">
      <w:pPr>
        <w:pStyle w:val="Fait"/>
        <w:rPr>
          <w:noProof/>
        </w:rPr>
      </w:pPr>
      <w:r w:rsidRPr="005762DE">
        <w:t>Priimta Briuselyje</w:t>
      </w:r>
    </w:p>
    <w:p w:rsidR="000E7420" w:rsidRDefault="005762DE">
      <w:pPr>
        <w:pStyle w:val="Institutionquisigne"/>
        <w:rPr>
          <w:noProof/>
        </w:rPr>
      </w:pPr>
      <w:r>
        <w:rPr>
          <w:noProof/>
        </w:rPr>
        <w:t>Europos Parlamento vardu</w:t>
      </w:r>
      <w:r>
        <w:rPr>
          <w:noProof/>
        </w:rPr>
        <w:tab/>
        <w:t>Tarybos vardu</w:t>
      </w:r>
    </w:p>
    <w:p w:rsidR="000E7420" w:rsidRDefault="005762DE">
      <w:pPr>
        <w:pStyle w:val="Personnequisigne"/>
        <w:rPr>
          <w:noProof/>
        </w:rPr>
      </w:pPr>
      <w:r>
        <w:rPr>
          <w:noProof/>
        </w:rPr>
        <w:t>Pirmininkas</w:t>
      </w:r>
      <w:r>
        <w:rPr>
          <w:noProof/>
        </w:rPr>
        <w:tab/>
        <w:t>Pirmininkas</w:t>
      </w:r>
    </w:p>
    <w:sectPr w:rsidR="000E7420" w:rsidSect="005762DE">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420" w:rsidRDefault="005762DE">
      <w:pPr>
        <w:spacing w:before="0" w:after="0"/>
      </w:pPr>
      <w:r>
        <w:separator/>
      </w:r>
    </w:p>
  </w:endnote>
  <w:endnote w:type="continuationSeparator" w:id="0">
    <w:p w:rsidR="000E7420" w:rsidRDefault="005762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2DE" w:rsidRPr="005762DE" w:rsidRDefault="005762DE" w:rsidP="005762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20" w:rsidRPr="005762DE" w:rsidRDefault="005762DE" w:rsidP="005762DE">
    <w:pPr>
      <w:pStyle w:val="Footer"/>
      <w:rPr>
        <w:rFonts w:ascii="Arial" w:hAnsi="Arial" w:cs="Arial"/>
        <w:b/>
        <w:sz w:val="48"/>
      </w:rPr>
    </w:pPr>
    <w:r w:rsidRPr="005762DE">
      <w:rPr>
        <w:rFonts w:ascii="Arial" w:hAnsi="Arial" w:cs="Arial"/>
        <w:b/>
        <w:sz w:val="48"/>
      </w:rPr>
      <w:t>LT</w:t>
    </w:r>
    <w:r w:rsidRPr="005762DE">
      <w:rPr>
        <w:rFonts w:ascii="Arial" w:hAnsi="Arial" w:cs="Arial"/>
        <w:b/>
        <w:sz w:val="48"/>
      </w:rPr>
      <w:tab/>
    </w:r>
    <w:r w:rsidRPr="005762DE">
      <w:rPr>
        <w:rFonts w:ascii="Arial" w:hAnsi="Arial" w:cs="Arial"/>
        <w:b/>
        <w:sz w:val="48"/>
      </w:rPr>
      <w:tab/>
    </w:r>
    <w:fldSimple w:instr=" DOCVARIABLE &quot;LW_Confidence&quot; \* MERGEFORMAT ">
      <w:r>
        <w:t xml:space="preserve"> </w:t>
      </w:r>
    </w:fldSimple>
    <w:r w:rsidRPr="005762DE">
      <w:tab/>
    </w:r>
    <w:r w:rsidRPr="005762DE">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2DE" w:rsidRPr="005762DE" w:rsidRDefault="005762DE" w:rsidP="005762D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2DE" w:rsidRPr="005762DE" w:rsidRDefault="005762DE" w:rsidP="005762DE">
    <w:pPr>
      <w:pStyle w:val="Footer"/>
      <w:rPr>
        <w:rFonts w:ascii="Arial" w:hAnsi="Arial" w:cs="Arial"/>
        <w:b/>
        <w:sz w:val="48"/>
      </w:rPr>
    </w:pPr>
    <w:r w:rsidRPr="005762DE">
      <w:rPr>
        <w:rFonts w:ascii="Arial" w:hAnsi="Arial" w:cs="Arial"/>
        <w:b/>
        <w:sz w:val="48"/>
      </w:rPr>
      <w:t>LT</w:t>
    </w:r>
    <w:r w:rsidRPr="005762DE">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fldSimple w:instr=" DOCVARIABLE &quot;LW_Confidence&quot; \* MERGEFORMAT ">
      <w:r>
        <w:t xml:space="preserve"> </w:t>
      </w:r>
    </w:fldSimple>
    <w:r w:rsidRPr="005762DE">
      <w:tab/>
    </w:r>
    <w:r w:rsidRPr="005762DE">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2DE" w:rsidRPr="005762DE" w:rsidRDefault="005762DE" w:rsidP="005762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420" w:rsidRDefault="005762DE">
      <w:pPr>
        <w:spacing w:before="0" w:after="0"/>
      </w:pPr>
      <w:r>
        <w:separator/>
      </w:r>
    </w:p>
  </w:footnote>
  <w:footnote w:type="continuationSeparator" w:id="0">
    <w:p w:rsidR="000E7420" w:rsidRDefault="005762DE">
      <w:pPr>
        <w:spacing w:before="0" w:after="0"/>
      </w:pPr>
      <w:r>
        <w:continuationSeparator/>
      </w:r>
    </w:p>
  </w:footnote>
  <w:footnote w:id="1">
    <w:p w:rsidR="000E7420" w:rsidRDefault="005762DE">
      <w:pPr>
        <w:pStyle w:val="FootnoteText"/>
      </w:pPr>
      <w:r>
        <w:rPr>
          <w:rStyle w:val="FootnoteReference"/>
        </w:rPr>
        <w:footnoteRef/>
      </w:r>
      <w:r>
        <w:tab/>
        <w:t xml:space="preserve">1995 m. gegužės 29 d. Tarybos reglamentas (EB) Nr. 1683/95, nustatantis vienodą vizų formą (OL L 164, 1995 7 14, </w:t>
      </w:r>
      <w:r>
        <w:t>p. 1).</w:t>
      </w:r>
    </w:p>
  </w:footnote>
  <w:footnote w:id="2">
    <w:p w:rsidR="000E7420" w:rsidRDefault="005762DE">
      <w:pPr>
        <w:pStyle w:val="FootnoteText"/>
      </w:pPr>
      <w:r>
        <w:rPr>
          <w:rStyle w:val="FootnoteReference"/>
        </w:rPr>
        <w:footnoteRef/>
      </w:r>
      <w:r>
        <w:tab/>
      </w:r>
      <w:r>
        <w:t>OL L 176, 1999 7 10, p. 36.</w:t>
      </w:r>
    </w:p>
  </w:footnote>
  <w:footnote w:id="3">
    <w:p w:rsidR="000E7420" w:rsidRDefault="005762DE">
      <w:pPr>
        <w:pStyle w:val="FootnoteText"/>
      </w:pPr>
      <w:r>
        <w:rPr>
          <w:rStyle w:val="FootnoteReference"/>
        </w:rPr>
        <w:footnoteRef/>
      </w:r>
      <w:r>
        <w:tab/>
      </w:r>
      <w:r>
        <w:t>1999 m. gegužės 17 d. Tarybos sprendimas 1999/437/EB dėl tam tikrų priemonių taikant Europos Sąjungos Tarybos, Islandijos Respublikos ir Norvegijos Karalystės sudarytą susitarimą dėl šių dviejų valstybių asociacijos į</w:t>
      </w:r>
      <w:r>
        <w:t xml:space="preserve">gyvendinant, taikant ir plėtojant Šengeno </w:t>
      </w:r>
      <w:proofErr w:type="spellStart"/>
      <w:r>
        <w:rPr>
          <w:i/>
        </w:rPr>
        <w:t>acquis</w:t>
      </w:r>
      <w:proofErr w:type="spellEnd"/>
      <w:r>
        <w:t xml:space="preserve"> (OL L 176, 1999 7 10, p. 31).</w:t>
      </w:r>
    </w:p>
  </w:footnote>
  <w:footnote w:id="4">
    <w:p w:rsidR="000E7420" w:rsidRDefault="005762DE">
      <w:pPr>
        <w:pStyle w:val="FootnoteText"/>
      </w:pPr>
      <w:r>
        <w:rPr>
          <w:rStyle w:val="FootnoteReference"/>
        </w:rPr>
        <w:footnoteRef/>
      </w:r>
      <w:r>
        <w:tab/>
      </w:r>
      <w:r>
        <w:t>OL L 53, 2008 2 27, p. 52.</w:t>
      </w:r>
    </w:p>
  </w:footnote>
  <w:footnote w:id="5">
    <w:p w:rsidR="000E7420" w:rsidRDefault="005762DE">
      <w:pPr>
        <w:pStyle w:val="FootnoteText"/>
      </w:pPr>
      <w:r>
        <w:rPr>
          <w:rStyle w:val="FootnoteReference"/>
        </w:rPr>
        <w:footnoteRef/>
      </w:r>
      <w:r>
        <w:tab/>
      </w:r>
      <w:r>
        <w:t xml:space="preserve">2008 m. lapkričio 27 d. Tarybos sprendimas 2008/903/EB dėl Šengeno </w:t>
      </w:r>
      <w:proofErr w:type="spellStart"/>
      <w:r>
        <w:rPr>
          <w:i/>
        </w:rPr>
        <w:t>acquis</w:t>
      </w:r>
      <w:proofErr w:type="spellEnd"/>
      <w:r>
        <w:t xml:space="preserve"> nuostatų visapusiško taikymo Šveicarijos Konfederacijoje (OL L 53, 2008 </w:t>
      </w:r>
      <w:r>
        <w:t>2 27, p. 1);</w:t>
      </w:r>
    </w:p>
  </w:footnote>
  <w:footnote w:id="6">
    <w:p w:rsidR="000E7420" w:rsidRDefault="005762DE">
      <w:pPr>
        <w:pStyle w:val="FootnoteText"/>
      </w:pPr>
      <w:r>
        <w:rPr>
          <w:rStyle w:val="FootnoteReference"/>
        </w:rPr>
        <w:footnoteRef/>
      </w:r>
      <w:r>
        <w:tab/>
      </w:r>
      <w:r>
        <w:t>OL L 160, 2011 6 18, p. 21.</w:t>
      </w:r>
    </w:p>
  </w:footnote>
  <w:footnote w:id="7">
    <w:p w:rsidR="000E7420" w:rsidRDefault="005762DE">
      <w:pPr>
        <w:pStyle w:val="FootnoteText"/>
      </w:pPr>
      <w:r>
        <w:rPr>
          <w:rStyle w:val="FootnoteReference"/>
        </w:rPr>
        <w:footnoteRef/>
      </w:r>
      <w:r>
        <w:tab/>
      </w:r>
      <w:r>
        <w:t>2011 m. kovo 7 d. Tarybos sprendimas 2011/350/ES dėl Europos Sąjungos, Europos bendrijos, Šveicarijos Konfederacijos ir Lichtenšteino Kunigaikštystės protokolo dėl Lichtenšteino Kunigaikštystės prisijungimo prie</w:t>
      </w:r>
      <w:r>
        <w:t xml:space="preserve"> Europos Sąjungos, Europos bendrijos ir Šveicarijos Konfederacijos susitarimo dėl Šveicarijos Konfederacijos asociacijos įgyvendinant, taikant ir plėtojant Šengeno </w:t>
      </w:r>
      <w:proofErr w:type="spellStart"/>
      <w:r>
        <w:rPr>
          <w:i/>
        </w:rPr>
        <w:t>acquis</w:t>
      </w:r>
      <w:proofErr w:type="spellEnd"/>
      <w:r>
        <w:t xml:space="preserve"> sudarymo Europos Sąjungos vardu, kiek tai susiję su patikrinimų prie vidaus sienų pan</w:t>
      </w:r>
      <w:r>
        <w:t>aikinimu ir asmenų judėjimu (</w:t>
      </w:r>
      <w:r>
        <w:rPr>
          <w:rStyle w:val="CRMinorChangeAdded"/>
          <w:u w:val="none"/>
        </w:rPr>
        <w:t>OL L 160, 2011 6 18, p.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2DE" w:rsidRPr="005762DE" w:rsidRDefault="005762DE" w:rsidP="005762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2DE" w:rsidRPr="005762DE" w:rsidRDefault="005762DE" w:rsidP="005762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2DE" w:rsidRPr="005762DE" w:rsidRDefault="005762DE" w:rsidP="005762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D1485B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5B44B22"/>
    <w:lvl w:ilvl="0">
      <w:start w:val="1"/>
      <w:numFmt w:val="decimal"/>
      <w:pStyle w:val="ListNumber3"/>
      <w:lvlText w:val="%1."/>
      <w:lvlJc w:val="left"/>
      <w:pPr>
        <w:tabs>
          <w:tab w:val="num" w:pos="926"/>
        </w:tabs>
        <w:ind w:left="926" w:hanging="360"/>
      </w:pPr>
    </w:lvl>
  </w:abstractNum>
  <w:abstractNum w:abstractNumId="2">
    <w:nsid w:val="FFFFFF7F"/>
    <w:multiLevelType w:val="singleLevel"/>
    <w:tmpl w:val="2E3617F8"/>
    <w:lvl w:ilvl="0">
      <w:start w:val="1"/>
      <w:numFmt w:val="decimal"/>
      <w:pStyle w:val="ListNumber2"/>
      <w:lvlText w:val="%1."/>
      <w:lvlJc w:val="left"/>
      <w:pPr>
        <w:tabs>
          <w:tab w:val="num" w:pos="643"/>
        </w:tabs>
        <w:ind w:left="643" w:hanging="360"/>
      </w:pPr>
    </w:lvl>
  </w:abstractNum>
  <w:abstractNum w:abstractNumId="3">
    <w:nsid w:val="FFFFFF81"/>
    <w:multiLevelType w:val="singleLevel"/>
    <w:tmpl w:val="9BCC47D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51EB2F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896C1E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6F27A12"/>
    <w:lvl w:ilvl="0">
      <w:start w:val="1"/>
      <w:numFmt w:val="decimal"/>
      <w:pStyle w:val="ListNumber"/>
      <w:lvlText w:val="%1."/>
      <w:lvlJc w:val="left"/>
      <w:pPr>
        <w:tabs>
          <w:tab w:val="num" w:pos="360"/>
        </w:tabs>
        <w:ind w:left="360" w:hanging="360"/>
      </w:pPr>
    </w:lvl>
  </w:abstractNum>
  <w:abstractNum w:abstractNumId="7">
    <w:nsid w:val="FFFFFF89"/>
    <w:multiLevelType w:val="singleLevel"/>
    <w:tmpl w:val="F3021C9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proofState w:spelling="clean" w:grammar="clean"/>
  <w:attachedTemplate r:id="rId1"/>
  <w:defaultTabStop w:val="720"/>
  <w:hyphenationZone w:val="396"/>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7-02 17:31:1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9"/>
    <w:docVar w:name="DQCResult_UnknownFonts" w:val="0;0"/>
    <w:docVar w:name="DQCResult_UnknownStyles" w:val="0;0"/>
    <w:docVar w:name="DQCStatus" w:val="Yellow"/>
    <w:docVar w:name="DQCVersion" w:val="2"/>
    <w:docVar w:name="DQCWithWarnings" w:val="0"/>
    <w:docVar w:name="LW_CONFIDENCE" w:val=" "/>
    <w:docVar w:name="LW_CONST_RESTREINT_UE" w:val="RESTREINT UE/EU RESTRICTED"/>
    <w:docVar w:name="LW_CORRIGENDUM" w:val="Annule et remplace le document COM(2015) 303 final du 24.6.2015._x000b_La modification concerne uniquement l'annexe dans toutes ses versions linguistiques (remplacement de l'image à la page 2 par l'image plus lisible)._x000b_"/>
    <w:docVar w:name="LW_COVERPAGE_GUID" w:val="4FCC3C8657FE4CB3BF0BEA7B58F418F7"/>
    <w:docVar w:name="LW_CROSSREFERENCE" w:val="&lt;UNUSED&gt;"/>
    <w:docVar w:name="LW_DocType" w:val="COM"/>
    <w:docVar w:name="LW_EMISSION" w:val="2015 07 03"/>
    <w:docVar w:name="LW_EMISSION_ISODATE" w:val="2015-07-03"/>
    <w:docVar w:name="LW_EMISSION_LOCATION" w:val="BRX"/>
    <w:docVar w:name="LW_EMISSION_PREFIX" w:val="Briuseli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LT"/>
    <w:docVar w:name="LW_MARKING" w:val="&lt;UNUSED&gt;"/>
    <w:docVar w:name="LW_NOM.INST" w:val="EUROPOS KOMISIJA"/>
    <w:docVar w:name="LW_NOM.INST_JOINTDOC" w:val="&lt;EMPTY&gt;"/>
    <w:docVar w:name="LW_PART_NBR" w:val="1"/>
    <w:docVar w:name="LW_PART_NBR_TOTAL" w:val="1"/>
    <w:docVar w:name="LW_REF.II.NEW.CP" w:val="COD"/>
    <w:docVar w:name="LW_REF.II.NEW.CP_NUMBER" w:val="0134"/>
    <w:docVar w:name="LW_REF.II.NEW.CP_YEAR" w:val="2015"/>
    <w:docVar w:name="LW_REF.INST.NEW" w:val="COM"/>
    <w:docVar w:name="LW_REF.INST.NEW_ADOPTED" w:val="final/ 2"/>
    <w:docVar w:name="LW_REF.INST.NEW_TEXT" w:val="(2015) 303"/>
    <w:docVar w:name="LW_REF.INTERNE" w:val="&lt;UNUSED&gt;"/>
    <w:docVar w:name="LW_SOUS.TITRE.OBJ.CP" w:val="&lt;UNUSED&gt;"/>
    <w:docVar w:name="LW_STATUT.CP" w:val="Pasi\u363?lymas"/>
    <w:docVar w:name="LW_SUPERTITRE" w:val="&lt;UNUSED&gt;"/>
    <w:docVar w:name="LW_TITRE.OBJ.CP" w:val="kuriuo i\u353? dalies kei\u269?iamas 1995 m. gegu\u382?\u279?s 29 d. Reglamentas (EB) Nr. 1683/1995, nustatantis vienod\u261? viz\u371? form\u261? _x000b__x000b_ "/>
    <w:docVar w:name="LW_TYPE.DOC.CP" w:val="EUROPOS PARLAMENTO IR TARYBOS REGLAMENTAS"/>
  </w:docVars>
  <w:rsids>
    <w:rsidRoot w:val="000E7420"/>
    <w:rsid w:val="000E7420"/>
    <w:rsid w:val="005762D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CRDeleted">
    <w:name w:val="CR Deleted"/>
    <w:rPr>
      <w:rFonts w:cs="Times New Roman"/>
      <w:dstrike/>
      <w:lang w:val="lt-LT" w:eastAsia="lt-LT"/>
    </w:rPr>
  </w:style>
  <w:style w:type="character" w:customStyle="1" w:styleId="CRMinorChangeAdded">
    <w:name w:val="CR Minor Change Added"/>
    <w:rPr>
      <w:rFonts w:cs="Times New Roman"/>
      <w:u w:val="double"/>
      <w:lang w:val="lt-LT" w:eastAsia="lt-LT"/>
    </w:rPr>
  </w:style>
  <w:style w:type="character" w:customStyle="1" w:styleId="CRMinorChangeDeleted">
    <w:name w:val="CR Minor Change Deleted"/>
    <w:rPr>
      <w:rFonts w:cs="Times New Roman"/>
      <w:dstrike/>
      <w:u w:val="double"/>
      <w:lang w:val="lt-LT" w:eastAsia="lt-LT"/>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paragraph" w:styleId="Header">
    <w:name w:val="header"/>
    <w:basedOn w:val="Normal"/>
    <w:link w:val="HeaderChar"/>
    <w:uiPriority w:val="99"/>
    <w:unhideWhenUsed/>
    <w:rsid w:val="005762DE"/>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sid w:val="005762DE"/>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5762DE"/>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CRDeleted">
    <w:name w:val="CR Deleted"/>
    <w:rPr>
      <w:rFonts w:cs="Times New Roman"/>
      <w:dstrike/>
      <w:lang w:val="lt-LT" w:eastAsia="lt-LT"/>
    </w:rPr>
  </w:style>
  <w:style w:type="character" w:customStyle="1" w:styleId="CRMinorChangeAdded">
    <w:name w:val="CR Minor Change Added"/>
    <w:rPr>
      <w:rFonts w:cs="Times New Roman"/>
      <w:u w:val="double"/>
      <w:lang w:val="lt-LT" w:eastAsia="lt-LT"/>
    </w:rPr>
  </w:style>
  <w:style w:type="character" w:customStyle="1" w:styleId="CRMinorChangeDeleted">
    <w:name w:val="CR Minor Change Deleted"/>
    <w:rPr>
      <w:rFonts w:cs="Times New Roman"/>
      <w:dstrike/>
      <w:u w:val="double"/>
      <w:lang w:val="lt-LT" w:eastAsia="lt-LT"/>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paragraph" w:styleId="Header">
    <w:name w:val="header"/>
    <w:basedOn w:val="Normal"/>
    <w:link w:val="HeaderChar"/>
    <w:uiPriority w:val="99"/>
    <w:unhideWhenUsed/>
    <w:rsid w:val="005762DE"/>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sid w:val="005762DE"/>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5762DE"/>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821D4-3273-4FC1-BFD3-10DE81F22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8</Pages>
  <Words>2227</Words>
  <Characters>14744</Characters>
  <Application>Microsoft Office Word</Application>
  <DocSecurity>0</DocSecurity>
  <Lines>254</Lines>
  <Paragraphs>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KUDRYK Katarzyna (SG)</cp:lastModifiedBy>
  <cp:revision>34</cp:revision>
  <cp:lastPrinted>2015-03-26T09:32:00Z</cp:lastPrinted>
  <dcterms:created xsi:type="dcterms:W3CDTF">2015-05-12T13:31:00Z</dcterms:created>
  <dcterms:modified xsi:type="dcterms:W3CDTF">2015-07-03T10:07:00Z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20140113</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02)</vt:lpwstr>
  </property>
</Properties>
</file>