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E" w:rsidRDefault="002F5C8C" w:rsidP="002F5C8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E183DADD2534A199D2F193A313D2085" style="width:450.75pt;height:445.5pt">
            <v:imagedata r:id="rId9" o:title=""/>
          </v:shape>
        </w:pict>
      </w:r>
    </w:p>
    <w:p w:rsidR="0008451E" w:rsidRDefault="0008451E">
      <w:pPr>
        <w:rPr>
          <w:noProof/>
        </w:rPr>
        <w:sectPr w:rsidR="0008451E" w:rsidSect="002F5C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8451E" w:rsidRDefault="002F5C8C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 w:rsidR="0008451E" w:rsidRDefault="002F5C8C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Il modello uniforme per i visti è stato elaborato inizialmente </w:t>
      </w:r>
      <w:r>
        <w:rPr>
          <w:noProof/>
        </w:rPr>
        <w:t>nell'ambito della cooperazione intergovernativa Schengen e poi inserito nel diritto dell'UE con l'adozione del regolamento (CE) n. 1683/95 che istituisce un modello uniforme per i visti. Tutti gli Stati membri, compresi la Danimarca, il Regno Unito e l'Irl</w:t>
      </w:r>
      <w:r>
        <w:rPr>
          <w:noProof/>
        </w:rPr>
        <w:t>anda, hanno partecipato a tale regolamento, che era basato sull'articolo 100, lettera c), del trattato CE introdotto a Maastricht. Con l'entrata in vigore del trattato di Amsterdam, il 1° maggio 1999, l'acquis di Schengen è stato integrato nell'Unione e la</w:t>
      </w:r>
      <w:r>
        <w:rPr>
          <w:noProof/>
        </w:rPr>
        <w:t xml:space="preserve"> "geometria variabile" è stata introdotta nel diritto dell'Unione.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Il regolamento (CE) n. 1683/95 riprende il modello adottato dagli Stati Schengen e stabilisce nei considerando che il modello uniforme per i visti deve contenere tutte le informazioni nece</w:t>
      </w:r>
      <w:r>
        <w:rPr>
          <w:noProof/>
        </w:rPr>
        <w:t>ssarie e soddisfare requisiti tecnici molto elevati, in particolare per quanto attiene alle garanzie contro la contraffazione e la falsificazione. Dette misure sono state adottate al fine di combattere la migrazione irregolare.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Dall'introduzione del model</w:t>
      </w:r>
      <w:r>
        <w:rPr>
          <w:noProof/>
        </w:rPr>
        <w:t>lo uniforme per i visti, il regolamento iniziale è stato oggetto di due modifiche sostanziali che hanno contribuito al rilascio di documenti sicuri rispondenti a requisiti tecnici molto elevati. La prima modifica è stata introdotta con regolamento (CE) n. </w:t>
      </w:r>
      <w:r>
        <w:rPr>
          <w:noProof/>
        </w:rPr>
        <w:t>334/2002, che ha inserito una fotografia che risponde a elevati requisiti di sicurezza come primo passo verso l'applicazione di caratteristiche che stabiliscano un collegamento più affidabile tra il visto adesivo e il suo titolare, e come elemento importan</w:t>
      </w:r>
      <w:r>
        <w:rPr>
          <w:noProof/>
        </w:rPr>
        <w:t>te per garantire la protezione del modello uniforme per i visti anche contro l'uso fraudolento. La seconda modifica, introdotta con regolamento (CE) n. 856/2008, prevede innanzitutto un adeguamento della numerazione al fine di soddisfare i requisiti del si</w:t>
      </w:r>
      <w:r>
        <w:rPr>
          <w:noProof/>
        </w:rPr>
        <w:t>stema di informazione visti (VIS).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Il concetto di sicurezza relativo al modello uniforme per i visti risale al 1995, integrato con le modifiche di cui sopra; tuttavia recentemente sono state individuate in più Stati membri contraffazioni di alta qualità. </w:t>
      </w:r>
      <w:r>
        <w:rPr>
          <w:noProof/>
        </w:rPr>
        <w:t xml:space="preserve">Occorre pertanto sviluppare un nuovo concetto di sicurezza e ideare per il futuro un visto più sicuro. 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Per un futuro concetto di visto è importante tenere presente che l'attuale documento di visto dell'UE fa parte dell'intero sistema dei visti, comprende</w:t>
      </w:r>
      <w:r>
        <w:rPr>
          <w:noProof/>
        </w:rPr>
        <w:t>nte il sistema di informazione visti (VIS) che è ancora in fase di rodaggio.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A prescindere dal sistema della banca dati, è tuttora necessario disporre di un documento materiale per il visto. Occorre ancora un visto adesivo, in primo luogo in considerazion</w:t>
      </w:r>
      <w:r>
        <w:rPr>
          <w:noProof/>
        </w:rPr>
        <w:t>e di tutti i visti per ingressi multipli con un periodo di validità lungo emessi prima dell'introduzione completa del VIS, e in secondo luogo perché il modello uniforme per i visti è utilizzato anche per i visti per soggiorni di lunga durata (D), che non s</w:t>
      </w:r>
      <w:r>
        <w:rPr>
          <w:noProof/>
        </w:rPr>
        <w:t>ono conservati nel VIS e rimangono validi per molti anni.</w:t>
      </w:r>
      <w:r>
        <w:rPr>
          <w:noProof/>
        </w:rPr>
        <w:tab/>
      </w:r>
      <w:r>
        <w:rPr>
          <w:noProof/>
        </w:rPr>
        <w:br/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Di conseguenza, per i prossimi anni sarà ancora necessario un documento materiale per il visto adesivo.</w:t>
      </w:r>
    </w:p>
    <w:p w:rsidR="0008451E" w:rsidRDefault="0008451E">
      <w:pPr>
        <w:spacing w:before="0" w:after="0"/>
        <w:rPr>
          <w:rFonts w:eastAsia="Times New Roman"/>
          <w:noProof/>
          <w:szCs w:val="24"/>
        </w:rPr>
      </w:pPr>
    </w:p>
    <w:p w:rsidR="0008451E" w:rsidRDefault="002F5C8C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Occorre inoltre introdurre ulteriori miglioramenti inerenti alla sicurezza complessiva </w:t>
      </w:r>
      <w:r>
        <w:rPr>
          <w:noProof/>
        </w:rPr>
        <w:t>dell'attuale visto adesivo, senza aumentare i costi del documento stesso.</w:t>
      </w:r>
    </w:p>
    <w:p w:rsidR="0008451E" w:rsidRDefault="002F5C8C"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CONSULTAZIONE DELLE PARTI INTERESSATE E VALUTAZIONI D'IMPATTO</w:t>
      </w:r>
    </w:p>
    <w:p w:rsidR="0008451E" w:rsidRDefault="002F5C8C">
      <w:pPr>
        <w:rPr>
          <w:noProof/>
        </w:rPr>
      </w:pPr>
      <w:r>
        <w:rPr>
          <w:noProof/>
        </w:rPr>
        <w:t>In un caso molto recente di contraffazione sono stati imitati visti adesivi spagnoli, austriaci, tedeschi, cechi e it</w:t>
      </w:r>
      <w:r>
        <w:rPr>
          <w:noProof/>
        </w:rPr>
        <w:t>aliani.</w:t>
      </w:r>
    </w:p>
    <w:p w:rsidR="0008451E" w:rsidRDefault="002F5C8C">
      <w:pPr>
        <w:rPr>
          <w:noProof/>
        </w:rPr>
      </w:pPr>
      <w:r>
        <w:rPr>
          <w:noProof/>
        </w:rPr>
        <w:t>Le contraffazioni hanno in comune alcune caratteristiche: tutti i Kinegram sono autentici e sono stati staccati da documenti autentici, quindi sulle contraffazioni sono visibili parti della stampa calcografica e delle fibre originali; non si notano</w:t>
      </w:r>
      <w:r>
        <w:rPr>
          <w:noProof/>
        </w:rPr>
        <w:t xml:space="preserve"> differenze significative negli elementi grafici visibili, che sono stati digitalizzati tramite scanner; sono state imitate le stampe offset visibili sullo sfondo; la stampa UV trasparente è stata realizzata con stampa a iride mediante una sola lastra di s</w:t>
      </w:r>
      <w:r>
        <w:rPr>
          <w:noProof/>
        </w:rPr>
        <w:t xml:space="preserve">tampa; su alcune contraffazioni le fibre multicolori visibili ai raggi UV sono state imitate con stampa offset. </w:t>
      </w:r>
    </w:p>
    <w:p w:rsidR="0008451E" w:rsidRDefault="002F5C8C">
      <w:pPr>
        <w:rPr>
          <w:noProof/>
        </w:rPr>
      </w:pPr>
      <w:r>
        <w:rPr>
          <w:noProof/>
        </w:rPr>
        <w:t>Gli specialisti degli Stati membri ritengono pertanto che il visto adesivo nel suo attuale disegno sia compromesso. Ne consegue che è urgente e</w:t>
      </w:r>
      <w:r>
        <w:rPr>
          <w:noProof/>
        </w:rPr>
        <w:t>laborare un nuovo disegno dotato di migliori elementi di sicurezza per l'adesivo.</w:t>
      </w:r>
    </w:p>
    <w:p w:rsidR="0008451E" w:rsidRDefault="002F5C8C">
      <w:pPr>
        <w:rPr>
          <w:noProof/>
        </w:rPr>
      </w:pPr>
      <w:r>
        <w:rPr>
          <w:noProof/>
        </w:rPr>
        <w:t>Il comitato istituito dall'articolo 6 del regolamento (CE) n. 1683/1995 ha già dato vita nel 2009 a un sottocomitato incaricato di sviluppare una nuova bozza di disegno con e</w:t>
      </w:r>
      <w:r>
        <w:rPr>
          <w:noProof/>
        </w:rPr>
        <w:t>lementi di sicurezza comuni. Tale sottogruppo si è riunito due o tre volte all'anno per preparare un contributo incisivo per il nuovo disegno.</w:t>
      </w:r>
    </w:p>
    <w:p w:rsidR="0008451E" w:rsidRDefault="002F5C8C">
      <w:pPr>
        <w:rPr>
          <w:noProof/>
        </w:rPr>
      </w:pPr>
      <w:r>
        <w:rPr>
          <w:noProof/>
        </w:rPr>
        <w:t xml:space="preserve">Le future prescrizioni tecniche consentiranno agli Stati membri di produrre un nuovo visto adesivo con lo stesso </w:t>
      </w:r>
      <w:r>
        <w:rPr>
          <w:noProof/>
        </w:rPr>
        <w:t>disegno (uniforme), la stessa carta e gli stessi elementi di sicurezza. Nel nuovo disegno gli elementi di sicurezza sono tolti dai bordi dell'adesivo e posti in luoghi da cui non possono essere rimossi facilmente. Inoltre, per citare alcuni dei suggeriment</w:t>
      </w:r>
      <w:r>
        <w:rPr>
          <w:noProof/>
        </w:rPr>
        <w:t>i per il nuovo disegno, si propone di inserire due numeri sull'adesivo, di cui uno verticale, vicino alla fotografia, scritto con caratteri tipografici diversi, in aggiunta a quello orizzontale nell'angolo superiore destro. Il Kinegram sarà sovrapposto all</w:t>
      </w:r>
      <w:r>
        <w:rPr>
          <w:noProof/>
        </w:rPr>
        <w:t>o spazio dedicato alla foto e sovrascritto con stampa UV. Tali suggerimenti sono stati formulati dagli Stati membri dopo accurata analisi dei tipi più comuni di frode relativa ai visti adesivi, e dovrebbero aumentare notevolmente il livello di sicurezza di</w:t>
      </w:r>
      <w:r>
        <w:rPr>
          <w:noProof/>
        </w:rPr>
        <w:t xml:space="preserve"> questi ultimi.</w:t>
      </w:r>
    </w:p>
    <w:p w:rsidR="0008451E" w:rsidRDefault="002F5C8C">
      <w:pPr>
        <w:rPr>
          <w:noProof/>
        </w:rPr>
      </w:pPr>
      <w:r>
        <w:rPr>
          <w:noProof/>
        </w:rPr>
        <w:t xml:space="preserve">Il costo del futuro visto adesivo sarà lo stesso dell'attuale, poiché alcuni fornitori accettano di vendere i prodotti allo stesso prezzo. Potrebbe però essere addebitato una tantum un costo supplementare per i singoli produttori di alcuni </w:t>
      </w:r>
      <w:r>
        <w:rPr>
          <w:noProof/>
        </w:rPr>
        <w:t>Stati membri che devono adeguare la produzione ai nuovi requisiti.</w:t>
      </w:r>
    </w:p>
    <w:p w:rsidR="0008451E" w:rsidRDefault="002F5C8C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ELEMENTI GIURIDICI DELLA PROPOSTA</w:t>
      </w:r>
    </w:p>
    <w:p w:rsidR="0008451E" w:rsidRDefault="002F5C8C">
      <w:pPr>
        <w:rPr>
          <w:noProof/>
          <w:u w:val="single"/>
        </w:rPr>
      </w:pPr>
      <w:r>
        <w:rPr>
          <w:noProof/>
          <w:u w:val="single"/>
        </w:rPr>
        <w:t>Perché non si propone una rifusione?</w:t>
      </w:r>
    </w:p>
    <w:p w:rsidR="0008451E" w:rsidRDefault="002F5C8C">
      <w:pPr>
        <w:rPr>
          <w:noProof/>
        </w:rPr>
      </w:pPr>
      <w:r>
        <w:rPr>
          <w:noProof/>
        </w:rPr>
        <w:t>In linea di massima, una terza modifica sostanziale (contando gli adeguamenti tecnici introdotti in occasione delle</w:t>
      </w:r>
      <w:r>
        <w:rPr>
          <w:noProof/>
        </w:rPr>
        <w:t xml:space="preserve"> adesioni dei nuovi Stati membri e dell'adozione del codice dei visti, l'attuale proposta costituisce la </w:t>
      </w:r>
      <w:r>
        <w:rPr>
          <w:i/>
          <w:noProof/>
        </w:rPr>
        <w:t>sesta</w:t>
      </w:r>
      <w:r>
        <w:rPr>
          <w:noProof/>
        </w:rPr>
        <w:t xml:space="preserve"> modifica) dovrebbe offrire l'occasione per proporre una rifusione. </w:t>
      </w:r>
    </w:p>
    <w:p w:rsidR="0008451E" w:rsidRDefault="002F5C8C">
      <w:pPr>
        <w:rPr>
          <w:noProof/>
        </w:rPr>
      </w:pPr>
      <w:r>
        <w:rPr>
          <w:noProof/>
        </w:rPr>
        <w:t xml:space="preserve">Nel presente caso vi sono motivi per derogare a questa regola. I cambiamenti </w:t>
      </w:r>
      <w:r>
        <w:rPr>
          <w:noProof/>
        </w:rPr>
        <w:t>principali saranno contenuti nella decisione di attuazione della Commissione, che stabilisce le prescrizioni tecniche segrete per la produzione del nuovo visto adesivo - segrete per evitare ai truffatori di accedervi. Non si prevedono modifiche sostanziali</w:t>
      </w:r>
      <w:r>
        <w:rPr>
          <w:noProof/>
        </w:rPr>
        <w:t xml:space="preserve"> all'articolato del regolamento: è soltanto sostituito l'allegato che mostra il nuovo disegno. Occorre un rapido intervento legislativo perché i truffatori sono in vantaggio; il modello per i visti deve diventare più resistente alle frodi. Inoltre, il pres</w:t>
      </w:r>
      <w:r>
        <w:rPr>
          <w:noProof/>
        </w:rPr>
        <w:t xml:space="preserve">ente regolamento riveste un interesse limitato per il </w:t>
      </w:r>
      <w:r>
        <w:rPr>
          <w:noProof/>
        </w:rPr>
        <w:lastRenderedPageBreak/>
        <w:t>pubblico, a differenza di regolamenti fondamentali come il codice dei visti. Una codificazione del regolamento che istituisce un modello uniforme per i visti potrà essere effettuata dopo l'adozione dell</w:t>
      </w:r>
      <w:r>
        <w:rPr>
          <w:noProof/>
        </w:rPr>
        <w:t>a modifica qui proposta, che è urgente.</w:t>
      </w:r>
    </w:p>
    <w:p w:rsidR="0008451E" w:rsidRDefault="002F5C8C">
      <w:pPr>
        <w:rPr>
          <w:noProof/>
          <w:u w:val="single"/>
        </w:rPr>
      </w:pPr>
      <w:r>
        <w:rPr>
          <w:noProof/>
          <w:u w:val="single"/>
        </w:rPr>
        <w:t>Principio di sussidiarietà</w:t>
      </w:r>
    </w:p>
    <w:p w:rsidR="0008451E" w:rsidRDefault="002F5C8C">
      <w:pPr>
        <w:rPr>
          <w:noProof/>
        </w:rPr>
      </w:pPr>
      <w:r>
        <w:rPr>
          <w:noProof/>
        </w:rPr>
        <w:t>L'articolo 77, paragrafo 2, lettera a), del TFUE conferisce al Parlamento europeo e al Consiglio la facoltà di adottare misure riguardanti "la politica comune dei visti e di altri titoli di</w:t>
      </w:r>
      <w:r>
        <w:rPr>
          <w:noProof/>
        </w:rPr>
        <w:t xml:space="preserve"> soggiorno di breve durata".</w:t>
      </w:r>
    </w:p>
    <w:p w:rsidR="0008451E" w:rsidRDefault="002F5C8C">
      <w:pPr>
        <w:rPr>
          <w:noProof/>
        </w:rPr>
      </w:pPr>
      <w:r>
        <w:rPr>
          <w:noProof/>
        </w:rPr>
        <w:t xml:space="preserve">Tali misure comprendono, come prevedeva implicitamente il precedente testo dell'articolo 62, paragrafo 2, lettera b), punto iii), del trattato CE e dell'articolo 100 </w:t>
      </w:r>
      <w:r>
        <w:rPr>
          <w:i/>
          <w:noProof/>
        </w:rPr>
        <w:t>ter</w:t>
      </w:r>
      <w:r>
        <w:rPr>
          <w:noProof/>
        </w:rPr>
        <w:t xml:space="preserve">, paragrafo 3, del trattato CE, un modello uniforme per i </w:t>
      </w:r>
      <w:r>
        <w:rPr>
          <w:noProof/>
        </w:rPr>
        <w:t xml:space="preserve">visti. </w:t>
      </w:r>
    </w:p>
    <w:p w:rsidR="0008451E" w:rsidRDefault="002F5C8C">
      <w:pPr>
        <w:rPr>
          <w:noProof/>
        </w:rPr>
      </w:pPr>
      <w:r>
        <w:rPr>
          <w:noProof/>
        </w:rPr>
        <w:t>L'attuale proposta rientra nei limiti stabiliti da tali disposizioni del trattato e non modifica la portata della legislazione dell'UE.</w:t>
      </w:r>
    </w:p>
    <w:p w:rsidR="0008451E" w:rsidRDefault="002F5C8C">
      <w:pPr>
        <w:rPr>
          <w:noProof/>
        </w:rPr>
      </w:pPr>
      <w:r>
        <w:rPr>
          <w:noProof/>
        </w:rPr>
        <w:t xml:space="preserve">L'obiettivo della presente proposta è quello di rendere più sicuro e migliorare il modello uniforme per i visti </w:t>
      </w:r>
      <w:r>
        <w:rPr>
          <w:noProof/>
        </w:rPr>
        <w:t>alla luce delle evoluzioni delle pratiche fraudolente. Tale obiettivo non può essere conseguito in misura sufficiente dai soli Stati membri, poiché il modello uniforme dev'essere, appunto, uniforme e solo l'Unione può modificare un proprio atto legislativo</w:t>
      </w:r>
      <w:r>
        <w:rPr>
          <w:noProof/>
        </w:rPr>
        <w:t xml:space="preserve"> vigente.</w:t>
      </w:r>
    </w:p>
    <w:p w:rsidR="0008451E" w:rsidRDefault="002F5C8C">
      <w:pPr>
        <w:rPr>
          <w:noProof/>
          <w:u w:val="single"/>
        </w:rPr>
      </w:pPr>
      <w:r>
        <w:rPr>
          <w:noProof/>
          <w:u w:val="single"/>
        </w:rPr>
        <w:t>Principio di proporzionalità</w:t>
      </w:r>
    </w:p>
    <w:p w:rsidR="0008451E" w:rsidRDefault="002F5C8C">
      <w:pPr>
        <w:rPr>
          <w:noProof/>
        </w:rPr>
      </w:pPr>
      <w:r>
        <w:rPr>
          <w:noProof/>
        </w:rPr>
        <w:t>L'articolo 5, paragrafo 4, del TUE stabilisce che il contenuto e la forma dell'azione dell'Unione devono limitarsi a quanto necessario per il conseguimento degli obiettivi dei trattati. La forma prescelta per quest'azione deve permettere alla proposta di r</w:t>
      </w:r>
      <w:r>
        <w:rPr>
          <w:noProof/>
        </w:rPr>
        <w:t xml:space="preserve">aggiungere il suo obiettivo ed essere attuata il più efficacemente possibile. </w:t>
      </w:r>
    </w:p>
    <w:p w:rsidR="0008451E" w:rsidRDefault="002F5C8C">
      <w:pPr>
        <w:rPr>
          <w:noProof/>
        </w:rPr>
      </w:pPr>
      <w:r>
        <w:rPr>
          <w:noProof/>
        </w:rPr>
        <w:t>L'istituzione del modello uniforme per i visti ha assunto la forma di un regolamento per garantirne l'applicazione uniforme da parte di tutti gli Stati membri. La presente propo</w:t>
      </w:r>
      <w:r>
        <w:rPr>
          <w:noProof/>
        </w:rPr>
        <w:t>sta costituisce una modifica di un regolamento esistente e deve pertanto adottare la forma di un regolamento. Per quanto riguarda il contenuto, l'iniziativa si limita a introdurre miglioramenti del regolamento esistente e si basa sull'obiettivo politico de</w:t>
      </w:r>
      <w:r>
        <w:rPr>
          <w:noProof/>
        </w:rPr>
        <w:t>lla lotta alla migrazione irregolare, rendendo i documenti più sicuri contro la contraffazione e la falsificazione. La proposta è pertanto conforme al principio di proporzionalità.</w:t>
      </w:r>
    </w:p>
    <w:p w:rsidR="0008451E" w:rsidRDefault="002F5C8C">
      <w:pPr>
        <w:rPr>
          <w:noProof/>
          <w:u w:val="single"/>
        </w:rPr>
      </w:pPr>
      <w:r>
        <w:rPr>
          <w:noProof/>
          <w:u w:val="single"/>
        </w:rPr>
        <w:t>Scelta degli strumenti</w:t>
      </w:r>
    </w:p>
    <w:p w:rsidR="0008451E" w:rsidRDefault="002F5C8C">
      <w:pPr>
        <w:rPr>
          <w:noProof/>
        </w:rPr>
      </w:pPr>
      <w:r>
        <w:rPr>
          <w:noProof/>
        </w:rPr>
        <w:t>La presente proposta modifica il regolamento (CE) n.</w:t>
      </w:r>
      <w:r>
        <w:rPr>
          <w:noProof/>
        </w:rPr>
        <w:t> 1683/95 che istituisce un modello uniforme per i visti. Pertanto solo un regolamento può essere scelto come strumento giuridico.</w:t>
      </w:r>
    </w:p>
    <w:p w:rsidR="0008451E" w:rsidRDefault="002F5C8C">
      <w:pPr>
        <w:rPr>
          <w:noProof/>
          <w:u w:val="single"/>
        </w:rPr>
      </w:pPr>
      <w:r>
        <w:rPr>
          <w:noProof/>
          <w:u w:val="single"/>
        </w:rPr>
        <w:t>Modalità</w:t>
      </w:r>
    </w:p>
    <w:p w:rsidR="0008451E" w:rsidRDefault="002F5C8C">
      <w:pPr>
        <w:rPr>
          <w:noProof/>
        </w:rPr>
      </w:pPr>
      <w:r>
        <w:rPr>
          <w:noProof/>
        </w:rPr>
        <w:t>Il regolamento modificativo si basa sull'articolo 77, paragrafo 2, lettera a), del TFUE, che ha sostituito l'articolo</w:t>
      </w:r>
      <w:r>
        <w:rPr>
          <w:noProof/>
        </w:rPr>
        <w:t xml:space="preserve"> 62, paragrafo 2, lettera b), punto iii), del trattato CE. </w:t>
      </w:r>
    </w:p>
    <w:p w:rsidR="0008451E" w:rsidRDefault="002F5C8C">
      <w:pPr>
        <w:rPr>
          <w:noProof/>
        </w:rPr>
      </w:pPr>
      <w:r>
        <w:rPr>
          <w:noProof/>
        </w:rPr>
        <w:t>1. Partecipazione della Danimarca, dell'Irlanda e del Regno Unito</w:t>
      </w:r>
    </w:p>
    <w:p w:rsidR="0008451E" w:rsidRDefault="002F5C8C">
      <w:pPr>
        <w:rPr>
          <w:noProof/>
        </w:rPr>
      </w:pPr>
      <w:r>
        <w:rPr>
          <w:noProof/>
        </w:rPr>
        <w:t>A norma dell'articolo 6 del protocollo n. 22 sulla posizione della Danimarca, gli articoli 1, 2 e 3 di detto protocollo non si app</w:t>
      </w:r>
      <w:r>
        <w:rPr>
          <w:noProof/>
        </w:rPr>
        <w:t>licano alle misure relative all'instaurazione di un modello uniforme per i visti. Pertanto non è stato inserito alcun considerando relativo alla Danimarca, in quanto essa si trova nella stessa posizione degli altri Stati membri non citati nei considerando:</w:t>
      </w:r>
      <w:r>
        <w:rPr>
          <w:noProof/>
        </w:rPr>
        <w:t xml:space="preserve"> quando sarà adottata, la proposta si applicherà alla Danimarca.</w:t>
      </w:r>
    </w:p>
    <w:p w:rsidR="0008451E" w:rsidRDefault="002F5C8C">
      <w:pPr>
        <w:rPr>
          <w:noProof/>
        </w:rPr>
      </w:pPr>
      <w:r>
        <w:rPr>
          <w:noProof/>
        </w:rPr>
        <w:t xml:space="preserve">A norma dell'articolo 4 bis, paragrafo 1, del protocollo n. 21 sulla posizione del Regno Unito e dell'Irlanda rispetto allo spazio di libertà, sicurezza e giustizia, allegato ai trattati, le </w:t>
      </w:r>
      <w:r>
        <w:rPr>
          <w:noProof/>
        </w:rPr>
        <w:t xml:space="preserve">disposizioni di detto protocollo si applicano anche alle misure proposte o adottate a norma </w:t>
      </w:r>
      <w:r>
        <w:rPr>
          <w:noProof/>
        </w:rPr>
        <w:lastRenderedPageBreak/>
        <w:t xml:space="preserve">della parte terza, titolo V, del TFUE per modificare una misura in vigore vincolante per tali paesi. Il Regno Unito e l'Irlanda sono vincolati dal regolamento (CE) </w:t>
      </w:r>
      <w:r>
        <w:rPr>
          <w:noProof/>
        </w:rPr>
        <w:t>n. 1683/95, che la presente proposta intende modificare. Si applicano pertanto le disposizioni del protocollo n. 21. Ciò significa che il Regno Unito e l'Irlanda non partecipano all'adozione del regolamento proposto (in base all'articolo 1 del protocollo n</w:t>
      </w:r>
      <w:r>
        <w:rPr>
          <w:noProof/>
        </w:rPr>
        <w:t>. 21), fatta salva la loro facoltà, in virtù dell'articolo 3 del protocollo n. 21, di notificare entro tre mesi dalla presentazione della proposta al Consiglio che desiderano partecipare all'adozione e all'applicazione della presente misura. Si applica ino</w:t>
      </w:r>
      <w:r>
        <w:rPr>
          <w:noProof/>
        </w:rPr>
        <w:t>ltre l'articolo 4 del protocollo n. 21, che consente al Regno Unito e all'Irlanda di accettare la misura dopo la sua adozione da parte del Parlamento europeo e del Consiglio, se ne hanno manifestato l'intenzione entro un termine di tre mesi a decorrere dal</w:t>
      </w:r>
      <w:r>
        <w:rPr>
          <w:noProof/>
        </w:rPr>
        <w:t>l'adozione della proposta. Per tenere conto delle possibili scelte che faranno l'Irlanda e il Regno Unito durante i tre mesi successivi all'adozione della proposta, sono inseriti sei possibili testi di considerando tra parentesi quadre, dei quali uno o due</w:t>
      </w:r>
      <w:r>
        <w:rPr>
          <w:noProof/>
        </w:rPr>
        <w:t xml:space="preserve"> saranno scelti come appropriati dal Parlamento europeo e dal Consiglio, sulla base delle suddette scelte.</w:t>
      </w:r>
    </w:p>
    <w:p w:rsidR="0008451E" w:rsidRDefault="0008451E">
      <w:pPr>
        <w:rPr>
          <w:noProof/>
        </w:rPr>
      </w:pPr>
    </w:p>
    <w:p w:rsidR="0008451E" w:rsidRDefault="002F5C8C">
      <w:pPr>
        <w:rPr>
          <w:noProof/>
        </w:rPr>
      </w:pPr>
      <w:r>
        <w:rPr>
          <w:noProof/>
        </w:rPr>
        <w:t>2. Sviluppo dell'acquis di Schengen in direzione di accordi di associazione</w:t>
      </w:r>
    </w:p>
    <w:p w:rsidR="0008451E" w:rsidRDefault="002F5C8C">
      <w:pPr>
        <w:rPr>
          <w:noProof/>
        </w:rPr>
      </w:pPr>
      <w:r>
        <w:rPr>
          <w:noProof/>
        </w:rPr>
        <w:t>Il regolamento (CE) n. 1683/95 fa parte dell'acquis di Schengen al quale</w:t>
      </w:r>
      <w:r>
        <w:rPr>
          <w:noProof/>
        </w:rPr>
        <w:t xml:space="preserve"> la Norvegia, l'Islanda, la Svizzera e il Liechtenstein sono associati sulla base dei rispettivi accordi di associazione. Le modifiche proposte dovrebbero pertanto applicarsi anche a tali paesi associati.</w:t>
      </w:r>
    </w:p>
    <w:p w:rsidR="0008451E" w:rsidRDefault="0008451E">
      <w:pPr>
        <w:rPr>
          <w:noProof/>
        </w:rPr>
      </w:pPr>
    </w:p>
    <w:p w:rsidR="0008451E" w:rsidRDefault="002F5C8C">
      <w:pPr>
        <w:rPr>
          <w:noProof/>
        </w:rPr>
      </w:pPr>
      <w:r>
        <w:rPr>
          <w:noProof/>
        </w:rPr>
        <w:t>3. Articolato</w:t>
      </w:r>
    </w:p>
    <w:p w:rsidR="0008451E" w:rsidRDefault="002F5C8C">
      <w:pPr>
        <w:rPr>
          <w:noProof/>
        </w:rPr>
      </w:pPr>
      <w:r>
        <w:rPr>
          <w:noProof/>
        </w:rPr>
        <w:t>Articolo 1</w:t>
      </w:r>
    </w:p>
    <w:p w:rsidR="0008451E" w:rsidRDefault="002F5C8C">
      <w:pPr>
        <w:rPr>
          <w:noProof/>
        </w:rPr>
      </w:pPr>
      <w:r>
        <w:rPr>
          <w:noProof/>
        </w:rPr>
        <w:t>La disposizione prevede c</w:t>
      </w:r>
      <w:r>
        <w:rPr>
          <w:noProof/>
        </w:rPr>
        <w:t>he l'allegato del regolamento (CE) n. 1683/1995 sia sostituito dal nuovo allegato, contenente l'immagine e la descrizione generale del nuovo visto adesivo.</w:t>
      </w:r>
    </w:p>
    <w:p w:rsidR="0008451E" w:rsidRDefault="002F5C8C">
      <w:pPr>
        <w:rPr>
          <w:noProof/>
        </w:rPr>
      </w:pPr>
      <w:r>
        <w:rPr>
          <w:noProof/>
        </w:rPr>
        <w:t>Articolo 2</w:t>
      </w:r>
    </w:p>
    <w:p w:rsidR="0008451E" w:rsidRDefault="002F5C8C">
      <w:pPr>
        <w:rPr>
          <w:noProof/>
        </w:rPr>
      </w:pPr>
      <w:r>
        <w:rPr>
          <w:noProof/>
        </w:rPr>
        <w:t xml:space="preserve">Per consentire di esaurire le scorte esistenti, è previsto un periodo transitorio di sei </w:t>
      </w:r>
      <w:r>
        <w:rPr>
          <w:noProof/>
        </w:rPr>
        <w:t>mesi entro il quale gli Stati membri possono continuare a usare i precedenti visti adesivi.</w:t>
      </w:r>
    </w:p>
    <w:p w:rsidR="0008451E" w:rsidRDefault="002F5C8C">
      <w:pPr>
        <w:rPr>
          <w:noProof/>
        </w:rPr>
      </w:pPr>
      <w:r>
        <w:rPr>
          <w:noProof/>
        </w:rPr>
        <w:t>Articolo 3</w:t>
      </w:r>
    </w:p>
    <w:p w:rsidR="0008451E" w:rsidRDefault="002F5C8C">
      <w:pPr>
        <w:rPr>
          <w:noProof/>
        </w:rPr>
      </w:pPr>
      <w:r>
        <w:rPr>
          <w:noProof/>
        </w:rPr>
        <w:t>L'articolo contiene in primo luogo l'abituale disposizione relativa all'entrata in vigore del regolamento.</w:t>
      </w:r>
    </w:p>
    <w:p w:rsidR="0008451E" w:rsidRDefault="002F5C8C">
      <w:pPr>
        <w:rPr>
          <w:noProof/>
        </w:rPr>
      </w:pPr>
      <w:r>
        <w:rPr>
          <w:noProof/>
        </w:rPr>
        <w:t xml:space="preserve">Prevede in secondo luogo che gli Stati membri </w:t>
      </w:r>
      <w:r>
        <w:rPr>
          <w:noProof/>
        </w:rPr>
        <w:t>introducano il nuovo visto adesivo nove mesi dopo l'adozione, da parte della Commissione, di una decisione di attuazione sulle prescrizioni tecniche complementari.</w:t>
      </w:r>
    </w:p>
    <w:p w:rsidR="0008451E" w:rsidRDefault="002F5C8C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INCIDENZA SUL BILANCIO</w:t>
      </w:r>
    </w:p>
    <w:p w:rsidR="0008451E" w:rsidRDefault="002F5C8C">
      <w:pPr>
        <w:rPr>
          <w:noProof/>
        </w:rPr>
      </w:pPr>
      <w:r>
        <w:rPr>
          <w:noProof/>
        </w:rPr>
        <w:t xml:space="preserve">Nessuna. </w:t>
      </w:r>
    </w:p>
    <w:p w:rsidR="0008451E" w:rsidRDefault="0008451E">
      <w:pPr>
        <w:rPr>
          <w:noProof/>
        </w:rPr>
        <w:sectPr w:rsidR="0008451E" w:rsidSect="002F5C8C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08451E" w:rsidRDefault="002F5C8C" w:rsidP="002F5C8C">
      <w:pPr>
        <w:pStyle w:val="Rfrenceinterinstitutionnelle"/>
        <w:rPr>
          <w:noProof/>
        </w:rPr>
      </w:pPr>
      <w:r w:rsidRPr="002F5C8C">
        <w:lastRenderedPageBreak/>
        <w:t>2015/0134 (COD)</w:t>
      </w:r>
    </w:p>
    <w:p w:rsidR="0008451E" w:rsidRDefault="002F5C8C" w:rsidP="002F5C8C">
      <w:pPr>
        <w:pStyle w:val="Statut"/>
        <w:rPr>
          <w:noProof/>
        </w:rPr>
      </w:pPr>
      <w:r w:rsidRPr="002F5C8C">
        <w:t>Proposta di</w:t>
      </w:r>
    </w:p>
    <w:p w:rsidR="0008451E" w:rsidRDefault="002F5C8C" w:rsidP="002F5C8C">
      <w:pPr>
        <w:pStyle w:val="Typedudocument"/>
        <w:rPr>
          <w:noProof/>
        </w:rPr>
      </w:pPr>
      <w:r w:rsidRPr="002F5C8C">
        <w:t>REGOLAMENTO DEL PARLAMENTO EUROPEO E DEL CONSIGLIO</w:t>
      </w:r>
    </w:p>
    <w:p w:rsidR="0008451E" w:rsidRDefault="002F5C8C" w:rsidP="002F5C8C">
      <w:pPr>
        <w:pStyle w:val="Titreobjet"/>
        <w:rPr>
          <w:noProof/>
        </w:rPr>
      </w:pPr>
      <w:r w:rsidRPr="002F5C8C">
        <w:t>che modifica il regolamento (CE) n. 1683/1995 del Consiglio, del 29 maggio 1995, che</w:t>
      </w:r>
      <w:r>
        <w:t> </w:t>
      </w:r>
      <w:r w:rsidRPr="002F5C8C">
        <w:t xml:space="preserve">istituisce un modello uniforme per i visti </w:t>
      </w:r>
      <w:r w:rsidRPr="002F5C8C">
        <w:br/>
      </w:r>
      <w:r w:rsidRPr="002F5C8C">
        <w:br/>
        <w:t xml:space="preserve"> </w:t>
      </w:r>
    </w:p>
    <w:p w:rsidR="0008451E" w:rsidRDefault="002F5C8C">
      <w:pPr>
        <w:pStyle w:val="Institutionquiagit"/>
        <w:rPr>
          <w:noProof/>
        </w:rPr>
      </w:pPr>
      <w:r>
        <w:rPr>
          <w:noProof/>
        </w:rPr>
        <w:t>IL PARLAMENTO EUROPEO E IL CONSIGLIO DELL'UNIONE EUROPEA,</w:t>
      </w:r>
    </w:p>
    <w:p w:rsidR="0008451E" w:rsidRDefault="002F5C8C">
      <w:pPr>
        <w:rPr>
          <w:noProof/>
        </w:rPr>
      </w:pPr>
      <w:r>
        <w:rPr>
          <w:noProof/>
        </w:rPr>
        <w:t>visto il trattato sul funzionamento dell'Unione europea, in particolare l'articolo 77, paragrafo 2, lettera a),</w:t>
      </w:r>
    </w:p>
    <w:p w:rsidR="0008451E" w:rsidRDefault="002F5C8C">
      <w:pPr>
        <w:rPr>
          <w:noProof/>
        </w:rPr>
      </w:pPr>
      <w:r>
        <w:rPr>
          <w:noProof/>
        </w:rPr>
        <w:t>vista la proposta della Commissione europea,</w:t>
      </w:r>
    </w:p>
    <w:p w:rsidR="0008451E" w:rsidRDefault="002F5C8C">
      <w:pPr>
        <w:rPr>
          <w:noProof/>
        </w:rPr>
      </w:pPr>
      <w:r>
        <w:rPr>
          <w:noProof/>
        </w:rPr>
        <w:t>previa trasmissione del progetto d</w:t>
      </w:r>
      <w:r>
        <w:rPr>
          <w:noProof/>
        </w:rPr>
        <w:t>i atto legislativo ai parlamenti nazionali,</w:t>
      </w:r>
    </w:p>
    <w:p w:rsidR="0008451E" w:rsidRDefault="002F5C8C">
      <w:pPr>
        <w:rPr>
          <w:noProof/>
        </w:rPr>
      </w:pPr>
      <w:r>
        <w:rPr>
          <w:noProof/>
        </w:rPr>
        <w:t>deliberando secondo la procedura legislativa ordinaria,</w:t>
      </w:r>
    </w:p>
    <w:p w:rsidR="0008451E" w:rsidRDefault="002F5C8C">
      <w:pPr>
        <w:rPr>
          <w:noProof/>
        </w:rPr>
      </w:pPr>
      <w:r>
        <w:rPr>
          <w:noProof/>
        </w:rPr>
        <w:t>considerando quanto segue: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 regolamento (CE) n. 1683/95 del Consiglio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istituisce un modello uniforme per i visti.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L'attuale visto adesivo, in </w:t>
      </w:r>
      <w:r>
        <w:rPr>
          <w:noProof/>
        </w:rPr>
        <w:t>circolazione da 20 anni, dev'essere considerato compromesso a causa di gravi casi di contraffazione e frode.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Occorre pertanto istituire un nuovo disegno comune con elementi di sicurezza più moderni, per rendere più sicuro il visto adesivo e impedire le</w:t>
      </w:r>
      <w:r>
        <w:rPr>
          <w:noProof/>
        </w:rPr>
        <w:t xml:space="preserve"> falsificazioni.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Il presente regolamento rispetta i diritti fondamentali e osserva i principi riconosciuti nella Carta dei diritti fondamentali dell'Unione europea.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[A norma degli articoli 1 e 2 e dell'articolo 4 bis, paragrafo 1, del protocollo n.</w:t>
      </w:r>
      <w:r>
        <w:rPr>
          <w:noProof/>
        </w:rPr>
        <w:t xml:space="preserve"> 21 sulla posizione del Regno Unito e dell'Irlanda rispetto allo spazio di libertà, sicurezza e giustizia, allegato al trattato sull'Unione europea e al trattato sul funzionamento dell'Unione europea, e fatto salvo l'articolo 4 di tale protocollo, detti St</w:t>
      </w:r>
      <w:r>
        <w:rPr>
          <w:noProof/>
        </w:rPr>
        <w:t xml:space="preserve">ati membri non partecipano all'adozione del presente regolamento, non sono da esso vincolati, né sono soggetti alla sua applicazione.] 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[A norma degli articoli 1 e 2 e dell'articolo 4 bis, paragrafo 1, del protocollo n. 21 sulla posizione del Regno Uni</w:t>
      </w:r>
      <w:r>
        <w:rPr>
          <w:noProof/>
        </w:rPr>
        <w:t>to e dell'Irlanda rispetto allo spazio di libertà, sicurezza e giustizia, allegato al trattato sull'Unione europea e al trattato sul funzionamento dell'Unione europea, e fatto salvo l'articolo 4 di tale protocollo, il Regno Unito non partecipa all'adozione</w:t>
      </w:r>
      <w:r>
        <w:rPr>
          <w:noProof/>
        </w:rPr>
        <w:t xml:space="preserve"> del presente regolamento, non è da esso vincolato, né è soggetto alla sua applicazione.] 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[A norma degli articoli 1 e 2 e dell'articolo 4 bis, paragrafo 1, del protocollo n. 21 sulla posizione del Regno Unito e dell'Irlanda rispetto allo spazio di lib</w:t>
      </w:r>
      <w:r>
        <w:rPr>
          <w:noProof/>
        </w:rPr>
        <w:t xml:space="preserve">ertà, sicurezza e giustizia, allegato al trattato sull'Unione europea e al trattato sul funzionamento </w:t>
      </w:r>
      <w:r>
        <w:rPr>
          <w:noProof/>
        </w:rPr>
        <w:lastRenderedPageBreak/>
        <w:t>dell'Unione europea, e fatto salvo l'articolo 4 di tale protocollo, l'Irlanda non partecipa all'adozione del presente regolamento, non è da esso vincolata</w:t>
      </w:r>
      <w:r>
        <w:rPr>
          <w:noProof/>
        </w:rPr>
        <w:t xml:space="preserve">, né è soggetta alla sua applicazione.] 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[A norma dell'articolo 3 e dell'articolo 4 bis, paragrafo 1, del protocollo n. 21 sulla posizione del Regno Unito e dell'Irlanda rispetto allo spazio di libertà, sicurezza e giustizia, allegato al trattato sull'</w:t>
      </w:r>
      <w:r>
        <w:rPr>
          <w:noProof/>
        </w:rPr>
        <w:t>Unione europea e al trattato sul funzionamento dell'Unione europea, detti Stati membri hanno notificato che desiderano partecipare all'adozione e all'applicazione del presente regolamento.]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[A norma dell'articolo 3 e dell'articolo 4 bis, paragrafo 1, d</w:t>
      </w:r>
      <w:r>
        <w:rPr>
          <w:noProof/>
        </w:rPr>
        <w:t>el protocollo n. 21 sulla posizione del Regno Unito e dell'Irlanda rispetto allo spazio di libertà, sicurezza e giustizia, allegato al trattato sull'Unione europea e al trattato sul funzionamento dell'Unione europea, (con lettera del ...) il Regno Unito ha</w:t>
      </w:r>
      <w:r>
        <w:rPr>
          <w:noProof/>
        </w:rPr>
        <w:t xml:space="preserve"> notificato che desidera partecipare all'adozione e all'applicazione del presente regolamento.]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[A norma dell'articolo 3 e dell'articolo 4 bis, paragrafo 1, del protocollo n. 21 sulla posizione del Regno Unito e dell'Irlanda rispetto allo spazio di li</w:t>
      </w:r>
      <w:r>
        <w:rPr>
          <w:noProof/>
        </w:rPr>
        <w:t>bertà, sicurezza e giustizia, allegato al trattato sull'Unione europea e al trattato sul funzionamento dell'Unione europea, (con lettera del ...) l'Irlanda ha notificato che desidera partecipare all'adozione e all'applicazione del presente regolamento.]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</w:t>
      </w:r>
      <w:r>
        <w:rPr>
          <w:noProof/>
        </w:rPr>
        <w:t>1)</w:t>
      </w:r>
      <w:r>
        <w:rPr>
          <w:noProof/>
        </w:rPr>
        <w:tab/>
        <w:t>Il presente regolamento costituisce un atto basato sull'acquis di Schengen o ad esso altrimenti connesso, rispettivamente, ai sensi dell'articolo 3, paragrafo 1, dell'atto di adesione del 2003, dell'articolo 4, paragrafo 1, dell'atto di adesione del 200</w:t>
      </w:r>
      <w:r>
        <w:rPr>
          <w:noProof/>
        </w:rPr>
        <w:t>5 e dell'articolo 4, paragrafo 1, dell'atto di adesione del 2011.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Per quanto riguarda l'Islanda e la Norvegia, il presente regolamento costituisce uno sviluppo delle disposizioni dell'acquis di Schengen ai sensi dell'accordo concluso dal Consiglio del</w:t>
      </w:r>
      <w:r>
        <w:rPr>
          <w:noProof/>
        </w:rPr>
        <w:t>l'Unione europea con la Repubblica d'Islanda e il Regno di Norvegia sulla loro associazione all'attuazione, all'applicazione e allo sviluppo dell'acquis di Schengen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che rientrano nel settore di cui all'articolo 1, lettera B, della decisione 1999/437/CE de</w:t>
      </w:r>
      <w:r>
        <w:rPr>
          <w:noProof/>
        </w:rPr>
        <w:t>l Consiglio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Per quanto riguarda la Svizzera, il presente regolamento costituisce uno sviluppo delle disposizioni dell'acquis di Schengen ai sensi dell'accordo tra l'Unione europea, la Comunità europea e la Confederazione svizzera riguardante l'assoc</w:t>
      </w:r>
      <w:r>
        <w:rPr>
          <w:noProof/>
        </w:rPr>
        <w:t>iazione di quest'ultima all'attuazione, all'applicazione e allo sviluppo dell'acquis di Schengen</w:t>
      </w:r>
      <w:r>
        <w:rPr>
          <w:rStyle w:val="FootnoteReference"/>
          <w:noProof/>
        </w:rPr>
        <w:footnoteReference w:id="4"/>
      </w:r>
      <w:r>
        <w:rPr>
          <w:noProof/>
        </w:rPr>
        <w:t>, che rientrano nel settore di cui all'articolo 1, lettera B, della decisione 1999/437/CE, in combinato disposto con l'articolo 3 della decisione 2008/146/CE d</w:t>
      </w:r>
      <w:r>
        <w:rPr>
          <w:noProof/>
        </w:rPr>
        <w:t>el Consiglio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08451E" w:rsidRDefault="002F5C8C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Per quanto riguarda il Liechtenstein, il presente regolamento costituisce uno sviluppo delle disposizioni dell'acquis di Schengen ai sensi del protocollo tra l'Unione europea, la Comunità europea, la Confederazione svizzera e il Princip</w:t>
      </w:r>
      <w:r>
        <w:rPr>
          <w:noProof/>
        </w:rPr>
        <w:t xml:space="preserve">ato del Liechtenstein sull'adesione del Principato del Liechtenstein all'accordo tra l'Unione europea, la </w:t>
      </w:r>
      <w:r>
        <w:rPr>
          <w:noProof/>
        </w:rPr>
        <w:lastRenderedPageBreak/>
        <w:t>Comunità europea e la Confederazione svizzera riguardante l'associazione della Confederazione svizzera all'attuazione, all'applicazione e allo svilupp</w:t>
      </w:r>
      <w:r>
        <w:rPr>
          <w:noProof/>
        </w:rPr>
        <w:t>o dell'acquis di Schengen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che rientrano nel settore di cui all'articolo 1, lettera B, della decisione 1999/437/CE, in combinato disposto con l'articolo 3 della decisione 2011/350/UE del Consiglio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 w:rsidR="0008451E" w:rsidRDefault="002F5C8C">
      <w:pPr>
        <w:pStyle w:val="Formuledadoption"/>
        <w:rPr>
          <w:noProof/>
        </w:rPr>
      </w:pPr>
      <w:r>
        <w:rPr>
          <w:noProof/>
        </w:rPr>
        <w:t>HANNO ADOTTATO IL PRESENTE REGOLAMENTO:</w:t>
      </w:r>
    </w:p>
    <w:p w:rsidR="0008451E" w:rsidRDefault="002F5C8C">
      <w:pPr>
        <w:pStyle w:val="Titrearticle"/>
        <w:rPr>
          <w:noProof/>
        </w:rPr>
      </w:pPr>
      <w:r>
        <w:rPr>
          <w:noProof/>
        </w:rPr>
        <w:t>Articolo 1</w:t>
      </w:r>
    </w:p>
    <w:p w:rsidR="0008451E" w:rsidRDefault="002F5C8C">
      <w:pPr>
        <w:rPr>
          <w:noProof/>
        </w:rPr>
      </w:pPr>
      <w:r>
        <w:rPr>
          <w:noProof/>
        </w:rPr>
        <w:t>L'alle</w:t>
      </w:r>
      <w:r>
        <w:rPr>
          <w:noProof/>
        </w:rPr>
        <w:t>gato del regolamento (CE) n. 1683/95 è sostituito dal testo di cui all'allegato del presente regolamento.</w:t>
      </w:r>
    </w:p>
    <w:p w:rsidR="0008451E" w:rsidRDefault="002F5C8C">
      <w:pPr>
        <w:pStyle w:val="Titrearticle"/>
        <w:rPr>
          <w:noProof/>
        </w:rPr>
      </w:pPr>
      <w:r>
        <w:rPr>
          <w:noProof/>
        </w:rPr>
        <w:t>Articolo 2</w:t>
      </w:r>
    </w:p>
    <w:p w:rsidR="0008451E" w:rsidRDefault="002F5C8C">
      <w:pPr>
        <w:rPr>
          <w:noProof/>
        </w:rPr>
      </w:pPr>
      <w:r>
        <w:rPr>
          <w:noProof/>
        </w:rPr>
        <w:t>I visti adesivi conformi alle prescrizioni di cui all'allegato del regolamento (CE) n. 1683/95, applicabili fino alla data di cui all'artic</w:t>
      </w:r>
      <w:r>
        <w:rPr>
          <w:noProof/>
        </w:rPr>
        <w:t>olo 3, secondo comma, possono essere usati per i visti rilasciati fino a sei mesi dopo tale data.</w:t>
      </w:r>
    </w:p>
    <w:p w:rsidR="0008451E" w:rsidRDefault="002F5C8C">
      <w:pPr>
        <w:pStyle w:val="Titrearticle"/>
        <w:rPr>
          <w:noProof/>
        </w:rPr>
      </w:pPr>
      <w:r>
        <w:rPr>
          <w:noProof/>
        </w:rPr>
        <w:t>Articolo 3</w:t>
      </w:r>
    </w:p>
    <w:p w:rsidR="0008451E" w:rsidRDefault="002F5C8C">
      <w:pPr>
        <w:rPr>
          <w:noProof/>
        </w:rPr>
      </w:pPr>
      <w:r>
        <w:rPr>
          <w:noProof/>
        </w:rPr>
        <w:t xml:space="preserve">Il presente regolamento entra in vigore il ventesimo giorno successivo alla pubblicazione nella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 w:rsidR="0008451E" w:rsidRDefault="002F5C8C">
      <w:pPr>
        <w:rPr>
          <w:noProof/>
        </w:rPr>
      </w:pPr>
      <w:r>
        <w:rPr>
          <w:noProof/>
        </w:rPr>
        <w:t>Esso si app</w:t>
      </w:r>
      <w:r>
        <w:rPr>
          <w:noProof/>
        </w:rPr>
        <w:t>lica nove mesi dopo l'adozione delle prescrizioni tecniche complementari di cui all'articolo 2 del regolamento (CE) n. 1683/95</w:t>
      </w:r>
    </w:p>
    <w:p w:rsidR="0008451E" w:rsidRDefault="002F5C8C">
      <w:pPr>
        <w:rPr>
          <w:noProof/>
        </w:rPr>
      </w:pPr>
      <w:r>
        <w:rPr>
          <w:noProof/>
        </w:rPr>
        <w:t>Il presente regolamento è obbligatorio in tutti i suoi elementi e direttamente applicabile negli Stati membri conformemente ai tr</w:t>
      </w:r>
      <w:r>
        <w:rPr>
          <w:noProof/>
        </w:rPr>
        <w:t>attati.</w:t>
      </w:r>
    </w:p>
    <w:p w:rsidR="0008451E" w:rsidRDefault="002F5C8C" w:rsidP="002F5C8C">
      <w:pPr>
        <w:pStyle w:val="Fait"/>
        <w:rPr>
          <w:noProof/>
        </w:rPr>
      </w:pPr>
      <w:r w:rsidRPr="002F5C8C">
        <w:t>Fatto a Bruxelles, il</w:t>
      </w:r>
    </w:p>
    <w:p w:rsidR="0008451E" w:rsidRDefault="002F5C8C">
      <w:pPr>
        <w:pStyle w:val="Institutionquisigne"/>
        <w:rPr>
          <w:noProof/>
        </w:rPr>
      </w:pPr>
      <w:r>
        <w:rPr>
          <w:noProof/>
        </w:rPr>
        <w:t>Per il Parlamento europeo</w:t>
      </w:r>
      <w:r>
        <w:rPr>
          <w:noProof/>
        </w:rPr>
        <w:tab/>
        <w:t>Per il Consiglio</w:t>
      </w:r>
    </w:p>
    <w:p w:rsidR="0008451E" w:rsidRDefault="002F5C8C">
      <w:pPr>
        <w:pStyle w:val="Personnequisigne"/>
        <w:rPr>
          <w:noProof/>
        </w:rPr>
      </w:pPr>
      <w:r>
        <w:rPr>
          <w:noProof/>
        </w:rPr>
        <w:t>Il presidente</w:t>
      </w:r>
      <w:r>
        <w:rPr>
          <w:noProof/>
        </w:rPr>
        <w:tab/>
        <w:t>Il presidente</w:t>
      </w:r>
    </w:p>
    <w:sectPr w:rsidR="0008451E" w:rsidSect="002F5C8C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1E" w:rsidRDefault="002F5C8C">
      <w:pPr>
        <w:spacing w:before="0" w:after="0"/>
      </w:pPr>
      <w:r>
        <w:separator/>
      </w:r>
    </w:p>
  </w:endnote>
  <w:endnote w:type="continuationSeparator" w:id="0">
    <w:p w:rsidR="0008451E" w:rsidRDefault="002F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1E" w:rsidRPr="002F5C8C" w:rsidRDefault="002F5C8C" w:rsidP="002F5C8C">
    <w:pPr>
      <w:pStyle w:val="Footer"/>
      <w:rPr>
        <w:rFonts w:ascii="Arial" w:hAnsi="Arial" w:cs="Arial"/>
        <w:b/>
        <w:sz w:val="48"/>
      </w:rPr>
    </w:pPr>
    <w:r w:rsidRPr="002F5C8C">
      <w:rPr>
        <w:rFonts w:ascii="Arial" w:hAnsi="Arial" w:cs="Arial"/>
        <w:b/>
        <w:sz w:val="48"/>
      </w:rPr>
      <w:t>IT</w:t>
    </w:r>
    <w:r w:rsidRPr="002F5C8C">
      <w:rPr>
        <w:rFonts w:ascii="Arial" w:hAnsi="Arial" w:cs="Arial"/>
        <w:b/>
        <w:sz w:val="48"/>
      </w:rPr>
      <w:tab/>
    </w:r>
    <w:r w:rsidRPr="002F5C8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2F5C8C">
      <w:tab/>
    </w:r>
    <w:r w:rsidRPr="002F5C8C"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1E" w:rsidRPr="002F5C8C" w:rsidRDefault="002F5C8C" w:rsidP="002F5C8C">
    <w:pPr>
      <w:pStyle w:val="Footer"/>
      <w:rPr>
        <w:rFonts w:ascii="Arial" w:hAnsi="Arial" w:cs="Arial"/>
        <w:b/>
        <w:sz w:val="48"/>
      </w:rPr>
    </w:pPr>
    <w:r w:rsidRPr="002F5C8C">
      <w:rPr>
        <w:rFonts w:ascii="Arial" w:hAnsi="Arial" w:cs="Arial"/>
        <w:b/>
        <w:sz w:val="48"/>
      </w:rPr>
      <w:t>IT</w:t>
    </w:r>
    <w:r w:rsidRPr="002F5C8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F5C8C">
      <w:tab/>
    </w:r>
    <w:r w:rsidRPr="002F5C8C"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1E" w:rsidRDefault="002F5C8C">
      <w:pPr>
        <w:spacing w:before="0" w:after="0"/>
      </w:pPr>
      <w:r>
        <w:separator/>
      </w:r>
    </w:p>
  </w:footnote>
  <w:footnote w:type="continuationSeparator" w:id="0">
    <w:p w:rsidR="0008451E" w:rsidRDefault="002F5C8C">
      <w:pPr>
        <w:spacing w:before="0" w:after="0"/>
      </w:pPr>
      <w:r>
        <w:continuationSeparator/>
      </w:r>
    </w:p>
  </w:footnote>
  <w:footnote w:id="1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Regolamento (CE) n. 1683/95 del Consiglio, del 29 maggio 1995, che istituisce un modello uniforme per i visti (GU L 164 del 14.7.1995, pag. 1).</w:t>
      </w:r>
    </w:p>
  </w:footnote>
  <w:footnote w:id="2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 xml:space="preserve">GU </w:t>
      </w:r>
      <w:r>
        <w:t>L 176 del 10.7.1999, pag. 36.</w:t>
      </w:r>
    </w:p>
  </w:footnote>
  <w:footnote w:id="3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Decisione 1999/437/CE del Consiglio, del 17 maggio 1999, relativa a talune modalità di applicazione dell'accordo concluso dal Consiglio dell'Unione europea con la Repubblica d'Islanda e il Regno di Norvegia sull'associazione</w:t>
      </w:r>
      <w:r>
        <w:t xml:space="preserve"> di questi due Stati all'attuazione, all'applicazione e allo sviluppo dell'acquis di Schengen (GU L 176 del 10.7.1999, pag. 31).</w:t>
      </w:r>
    </w:p>
  </w:footnote>
  <w:footnote w:id="4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GU L 53 del 27.2.2008, pag. 52.</w:t>
      </w:r>
    </w:p>
  </w:footnote>
  <w:footnote w:id="5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Decisione 2008/146/CE del Consiglio, del 28 gennaio 2008, relativa alla conclusione, a nome</w:t>
      </w:r>
      <w:r>
        <w:t xml:space="preserve"> della Comunità europea, dell'accordo tra l'Unione europea, la Comunità europea e la Confederazione svizzera, riguardante l'associazione della Confederazione svizzera all'attuazione, all'applicazione e allo sviluppo dell'acquis di Schengen (GU L 53 del 27.</w:t>
      </w:r>
      <w:r>
        <w:t>2.2008, pag. 1).</w:t>
      </w:r>
    </w:p>
  </w:footnote>
  <w:footnote w:id="6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GU L 160 del 18.6.2011, pag. 21.</w:t>
      </w:r>
    </w:p>
  </w:footnote>
  <w:footnote w:id="7">
    <w:p w:rsidR="0008451E" w:rsidRDefault="002F5C8C">
      <w:pPr>
        <w:pStyle w:val="FootnoteText"/>
      </w:pPr>
      <w:r>
        <w:rPr>
          <w:rStyle w:val="FootnoteReference"/>
        </w:rPr>
        <w:footnoteRef/>
      </w:r>
      <w:r>
        <w:tab/>
        <w:t>Decisione 2011/350/UE del Consiglio, del 7 marzo 2011, sulla conclusione, a nome dell'Unione europea, del protocollo tra l'Unione europea, la Comunità europea, la Confederazione svizzera e il Principato</w:t>
      </w:r>
      <w:r>
        <w:t xml:space="preserve"> del Liechtenstein sull'adesione del Principato del Liechtenstein all'accordo tra l'Unione europea, la Comunità europea e la Confederazione svizzera riguardante l'associazione della Confederazione svizzera all'attuazione, all'applicazione e allo sviluppo d</w:t>
      </w:r>
      <w:r>
        <w:t>ell'acquis di Schengen, con particolare riguardo alla soppressione dei controlli alle frontiere interne e alla circolazione delle persone (</w:t>
      </w:r>
      <w:r>
        <w:rPr>
          <w:rStyle w:val="CRMinorChangeAdded"/>
          <w:u w:val="none"/>
        </w:rPr>
        <w:t>GU L 160 del 18.6.2011, pag. 19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C" w:rsidRPr="002F5C8C" w:rsidRDefault="002F5C8C" w:rsidP="002F5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D1485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5B44B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E361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CC47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51EB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6C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6F27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021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07-02 17:29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/EU RESTRICTED"/>
    <w:docVar w:name="LW_CORRIGENDUM" w:val="Annule et remplace le document COM(2015) 303 final du 24.6.2015._x000b_La modification concerne uniquement l'annexe dans toutes ses versions linguistiques (remplacement de l'image à la page 2 par l'image plus lisible)._x000b_"/>
    <w:docVar w:name="LW_COVERPAGE_GUID" w:val="1E183DADD2534A199D2F193A313D2085"/>
    <w:docVar w:name="LW_CROSSREFERENCE" w:val="&lt;UNUSED&gt;"/>
    <w:docVar w:name="LW_DocType" w:val="COM"/>
    <w:docVar w:name="LW_EMISSION" w:val="3.7.2015"/>
    <w:docVar w:name="LW_EMISSION_ISODATE" w:val="2015-07-03"/>
    <w:docVar w:name="LW_EMISSION_LOCATION" w:val="BRX"/>
    <w:docVar w:name="LW_EMISSION_PREFIX" w:val="Bruxelle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IT"/>
    <w:docVar w:name="LW_MARKING" w:val="&lt;UNUSED&gt;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34"/>
    <w:docVar w:name="LW_REF.II.NEW.CP_YEAR" w:val="2015"/>
    <w:docVar w:name="LW_REF.INST.NEW" w:val="COM"/>
    <w:docVar w:name="LW_REF.INST.NEW_ADOPTED" w:val="final/ 2"/>
    <w:docVar w:name="LW_REF.INST.NEW_TEXT" w:val="(2015) 303"/>
    <w:docVar w:name="LW_REF.INTERNE" w:val="&lt;UNUSED&gt;"/>
    <w:docVar w:name="LW_SOUS.TITRE.OBJ.CP" w:val="&lt;UNUSED&gt;"/>
    <w:docVar w:name="LW_STATUT.CP" w:val="Proposta di"/>
    <w:docVar w:name="LW_SUPERTITRE" w:val="&lt;UNUSED&gt;"/>
    <w:docVar w:name="LW_TITRE.OBJ.CP" w:val="che modifica il regolamento (CE) n. 1683/1995 del Consiglio, del 29 maggio 1995, che istituisce un modello uniforme per i visti _x000b__x000b_ "/>
    <w:docVar w:name="LW_TYPE.DOC.CP" w:val="REGOLAMENTO DEL PARLAMENTO EUROPEO E DEL CONSIGLIO"/>
  </w:docVars>
  <w:rsids>
    <w:rsidRoot w:val="0008451E"/>
    <w:rsid w:val="0008451E"/>
    <w:rsid w:val="002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CRDeleted">
    <w:name w:val="CR Deleted"/>
    <w:rPr>
      <w:rFonts w:cs="Times New Roman"/>
      <w:dstrike/>
      <w:lang w:val="it-IT" w:eastAsia="it-IT"/>
    </w:rPr>
  </w:style>
  <w:style w:type="character" w:customStyle="1" w:styleId="CRMinorChangeAdded">
    <w:name w:val="CR Minor Change Added"/>
    <w:rPr>
      <w:rFonts w:cs="Times New Roman"/>
      <w:u w:val="double"/>
      <w:lang w:val="it-IT" w:eastAsia="it-IT"/>
    </w:rPr>
  </w:style>
  <w:style w:type="character" w:customStyle="1" w:styleId="CRMinorChangeDeleted">
    <w:name w:val="CR Minor Change Deleted"/>
    <w:rPr>
      <w:rFonts w:cs="Times New Roman"/>
      <w:dstrike/>
      <w:u w:val="double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F5C8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sid w:val="002F5C8C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F5C8C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A410-85BB-44FF-80BD-5108019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8</Pages>
  <Words>2830</Words>
  <Characters>16500</Characters>
  <Application>Microsoft Office Word</Application>
  <DocSecurity>0</DocSecurity>
  <Lines>279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KUDRYK Katarzyna (SG)</cp:lastModifiedBy>
  <cp:revision>34</cp:revision>
  <cp:lastPrinted>2015-03-26T09:32:00Z</cp:lastPrinted>
  <dcterms:created xsi:type="dcterms:W3CDTF">2015-05-08T10:45:00Z</dcterms:created>
  <dcterms:modified xsi:type="dcterms:W3CDTF">2015-07-03T10:03:00Z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02)</vt:lpwstr>
  </property>
</Properties>
</file>