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6A" w:rsidRDefault="00BA3780">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8283AF0E3CB44E3E9CAE030776C6AAC9" style="width:450.25pt;height:423.4pt">
            <v:imagedata r:id="rId9" o:title=""/>
          </v:shape>
        </w:pict>
      </w:r>
    </w:p>
    <w:p w:rsidR="00221D6A" w:rsidRDefault="00221D6A">
      <w:pPr>
        <w:rPr>
          <w:noProof/>
        </w:rPr>
        <w:sectPr w:rsidR="00221D6A">
          <w:footerReference w:type="default" r:id="rId10"/>
          <w:pgSz w:w="11907" w:h="16839"/>
          <w:pgMar w:top="1134" w:right="1417" w:bottom="1134" w:left="1417" w:header="709" w:footer="709" w:gutter="0"/>
          <w:pgNumType w:start="1"/>
          <w:cols w:space="720"/>
          <w:docGrid w:linePitch="360"/>
        </w:sectPr>
      </w:pPr>
    </w:p>
    <w:p w:rsidR="00221D6A" w:rsidRDefault="00BA3780">
      <w:pPr>
        <w:pStyle w:val="Exposdesmotifstitre"/>
        <w:rPr>
          <w:noProof/>
        </w:rPr>
      </w:pPr>
      <w:r>
        <w:rPr>
          <w:noProof/>
        </w:rPr>
        <w:lastRenderedPageBreak/>
        <w:t>AIŠKINAMASIS MEMORANDUMAS</w:t>
      </w:r>
    </w:p>
    <w:p w:rsidR="00221D6A" w:rsidRDefault="00BA3780">
      <w:pPr>
        <w:pStyle w:val="ManualHeading1"/>
        <w:rPr>
          <w:noProof/>
        </w:rPr>
      </w:pPr>
      <w:r>
        <w:rPr>
          <w:noProof/>
        </w:rPr>
        <w:t>1.</w:t>
      </w:r>
      <w:r>
        <w:rPr>
          <w:noProof/>
        </w:rPr>
        <w:tab/>
        <w:t>PASIŪLYMO APLINKYBĖS</w:t>
      </w:r>
    </w:p>
    <w:p w:rsidR="00221D6A" w:rsidRDefault="00BA3780">
      <w:pPr>
        <w:pStyle w:val="ManualHeading2"/>
        <w:rPr>
          <w:noProof/>
        </w:rPr>
      </w:pPr>
      <w:r>
        <w:rPr>
          <w:noProof/>
        </w:rPr>
        <w:t>1.1.</w:t>
      </w:r>
      <w:r>
        <w:rPr>
          <w:noProof/>
        </w:rPr>
        <w:tab/>
        <w:t>Pasiūlymo pagrindas ir tikslai</w:t>
      </w:r>
    </w:p>
    <w:p w:rsidR="00221D6A" w:rsidRDefault="00BA3780">
      <w:pPr>
        <w:rPr>
          <w:noProof/>
        </w:rPr>
      </w:pPr>
      <w:r>
        <w:rPr>
          <w:noProof/>
        </w:rPr>
        <w:t xml:space="preserve">2015 m. vasario </w:t>
      </w:r>
      <w:r>
        <w:rPr>
          <w:noProof/>
        </w:rPr>
        <w:t>25 d. komunikate „Atsparios energetikos sąjungos ir perspektyvios klimato kaitos politikos pagrindų strategija“ Komisija paskelbė apie Energijos suvartojimo ženklinimo direktyvos peržiūrą siekiant labiau išnaudoti energijos vartojimo efektyvumo galimybes e</w:t>
      </w:r>
      <w:r>
        <w:rPr>
          <w:noProof/>
        </w:rPr>
        <w:t>nergijos paklausai mažinti ir taip sumažinti Europos Sąjungos energetinę priklausomybę.</w:t>
      </w:r>
    </w:p>
    <w:p w:rsidR="00221D6A" w:rsidRDefault="00BA3780">
      <w:pPr>
        <w:rPr>
          <w:noProof/>
        </w:rPr>
      </w:pPr>
      <w:r>
        <w:rPr>
          <w:noProof/>
        </w:rPr>
        <w:t>Energijos suvartojimo ženklinimas naudingas aplinkai, nes pirkėjai visoje Sąjungoje gali gauti tikslią, svarbią ir palyginamą informaciją apie su energija susijusių gam</w:t>
      </w:r>
      <w:r>
        <w:rPr>
          <w:noProof/>
        </w:rPr>
        <w:t xml:space="preserve">inių energijos vartojimo efektyvumą ir sąnaudas, todėl gali priimti informacija pagrįstus ekonomiškus ir aplinką tausojančius pirkimo sprendimus, kurie ne tik naudingi aplinkai, bet ir padeda sutaupyti lėšų. </w:t>
      </w:r>
    </w:p>
    <w:p w:rsidR="00221D6A" w:rsidRDefault="00BA3780">
      <w:pPr>
        <w:pStyle w:val="ManualHeading2"/>
        <w:rPr>
          <w:noProof/>
          <w:color w:val="000000"/>
          <w:u w:color="000000"/>
          <w:bdr w:val="nil"/>
        </w:rPr>
      </w:pPr>
      <w:r>
        <w:rPr>
          <w:noProof/>
        </w:rPr>
        <w:t>1.2.</w:t>
      </w:r>
      <w:r>
        <w:rPr>
          <w:noProof/>
        </w:rPr>
        <w:tab/>
        <w:t>Derėjimas su galiojančiomis šios politikos</w:t>
      </w:r>
      <w:r>
        <w:rPr>
          <w:noProof/>
        </w:rPr>
        <w:t xml:space="preserve"> srities nuostatomis</w:t>
      </w:r>
    </w:p>
    <w:p w:rsidR="00221D6A" w:rsidRDefault="00BA3780">
      <w:pPr>
        <w:rPr>
          <w:noProof/>
        </w:rPr>
      </w:pPr>
      <w:r>
        <w:rPr>
          <w:noProof/>
        </w:rPr>
        <w:t>2014 m. spalio mėn. Europos Vadovų Taryba nustatė ES orientacinį 2030 m. tikslą bent 27 proc. pagerinti energijos vartojimo efektyvumą; iki 2020 m. tikslas bus peržiūrėtas, turint omenyje 30 proc. efektyvumo lygį ES. Be to, Europos Vad</w:t>
      </w:r>
      <w:r>
        <w:rPr>
          <w:noProof/>
        </w:rPr>
        <w:t>ovų Taryba nustatė tikslą iki 2030 m. 40 proc. sumažinti išmetamų šiltnamio efektą sukeliančių dujų kiekį.</w:t>
      </w:r>
    </w:p>
    <w:p w:rsidR="00221D6A" w:rsidRDefault="00BA3780">
      <w:pPr>
        <w:rPr>
          <w:noProof/>
        </w:rPr>
      </w:pPr>
      <w:r>
        <w:rPr>
          <w:noProof/>
        </w:rPr>
        <w:t>Šiame pasiūlyme atsižvelgiama į Energetikos sąjungos pagrindų strategiją ir ketinama vietoj Direktyvos 2010/30/ES dėl su energija susijusių gaminių s</w:t>
      </w:r>
      <w:r>
        <w:rPr>
          <w:noProof/>
        </w:rPr>
        <w:t>uvartojamos energijos ir kitų išteklių nurodymo ženklinant gaminį ir apie jį pateikiant standartinę informaciją priimti kitą teisės aktą. Šis pasiūlymas dabar pateikiamas po direktyvos</w:t>
      </w:r>
      <w:r>
        <w:rPr>
          <w:rStyle w:val="FootnoteReference"/>
          <w:noProof/>
        </w:rPr>
        <w:footnoteReference w:id="2"/>
      </w:r>
      <w:r>
        <w:rPr>
          <w:noProof/>
        </w:rPr>
        <w:t xml:space="preserve"> vertinimo. Pagal direktyvą priimti reglamentai dėl konkrečių gaminių g</w:t>
      </w:r>
      <w:r>
        <w:rPr>
          <w:noProof/>
        </w:rPr>
        <w:t>alioja toliau, bet bus peržiūrėti.</w:t>
      </w:r>
    </w:p>
    <w:p w:rsidR="00221D6A" w:rsidRDefault="00BA3780">
      <w:pPr>
        <w:spacing w:before="0" w:after="0"/>
        <w:rPr>
          <w:noProof/>
        </w:rPr>
      </w:pPr>
      <w:r>
        <w:rPr>
          <w:noProof/>
        </w:rPr>
        <w:t>Ši iniciatyva atitinka Sąjungos energetikos ir klimato politiką, nes ja esamas energijos vartojimo efektyvumo ženklinimo acquis atnaujinamas ir padaromas efektyvesnis.</w:t>
      </w:r>
    </w:p>
    <w:p w:rsidR="00221D6A" w:rsidRDefault="00BA3780">
      <w:pPr>
        <w:pStyle w:val="ManualHeading2"/>
        <w:rPr>
          <w:noProof/>
        </w:rPr>
      </w:pPr>
      <w:r>
        <w:rPr>
          <w:noProof/>
        </w:rPr>
        <w:t>1.3.</w:t>
      </w:r>
      <w:r>
        <w:rPr>
          <w:noProof/>
        </w:rPr>
        <w:tab/>
        <w:t>Derėjimas su kitomis Sąjungos politikos sritimis</w:t>
      </w:r>
    </w:p>
    <w:p w:rsidR="00221D6A" w:rsidRDefault="00BA3780">
      <w:pPr>
        <w:spacing w:before="0" w:after="0"/>
        <w:rPr>
          <w:noProof/>
        </w:rPr>
      </w:pPr>
      <w:r>
        <w:rPr>
          <w:noProof/>
        </w:rPr>
        <w:t>Ženklinant energijos vartojimo efektyvumą gaminiai laisviau juda rinkoje, nes užtikrinama, kad valstybėse narėse nebūtų naudojamos nacionalinės energijos vartojimo efektyvumo ženklinimo etiketės. Tai padeda stiprinti Europos įmonių konkurencingumą, nes jo</w:t>
      </w:r>
      <w:r>
        <w:rPr>
          <w:noProof/>
        </w:rPr>
        <w:t>s skatinamos kurti naujoves, joms užtikrinamas pradininko pranašumas, dėl griežtesnės rinkos priežiūros joms ir trečiųjų šalių gamintojams sudaromos vienodos sąlygos, leidžiamas didesnis energiją efektyviai vartojančių gaminių, kurie yra brangesni, bet per</w:t>
      </w:r>
      <w:r>
        <w:rPr>
          <w:noProof/>
        </w:rPr>
        <w:t xml:space="preserve"> savo gyvavimo ciklą galutiniams naudotojams padeda sutaupyti lėšų, pelningumas.</w:t>
      </w:r>
    </w:p>
    <w:p w:rsidR="00221D6A" w:rsidRDefault="00BA3780">
      <w:pPr>
        <w:pStyle w:val="ManualHeading1"/>
        <w:rPr>
          <w:noProof/>
        </w:rPr>
      </w:pPr>
      <w:r>
        <w:rPr>
          <w:noProof/>
        </w:rPr>
        <w:t>2.</w:t>
      </w:r>
      <w:r>
        <w:rPr>
          <w:noProof/>
        </w:rPr>
        <w:tab/>
        <w:t>TEISINIS PAGRINDAS, SUBSIDIARUMO IR PROPORCINGUMO PRINCIPAI</w:t>
      </w:r>
    </w:p>
    <w:p w:rsidR="00221D6A" w:rsidRDefault="00BA3780">
      <w:pPr>
        <w:pStyle w:val="ManualHeading2"/>
        <w:rPr>
          <w:noProof/>
          <w:u w:color="000000"/>
          <w:bdr w:val="nil"/>
        </w:rPr>
      </w:pPr>
      <w:r>
        <w:rPr>
          <w:noProof/>
        </w:rPr>
        <w:t>2.1.</w:t>
      </w:r>
      <w:r>
        <w:rPr>
          <w:noProof/>
        </w:rPr>
        <w:tab/>
        <w:t>Teisinis pagrindas</w:t>
      </w:r>
    </w:p>
    <w:p w:rsidR="00221D6A" w:rsidRDefault="00BA3780">
      <w:pPr>
        <w:rPr>
          <w:noProof/>
        </w:rPr>
      </w:pPr>
      <w:r>
        <w:rPr>
          <w:noProof/>
        </w:rPr>
        <w:t>Pasiūlymas grindžiamas Sutarties dėl Europos Sąjungos veikimo 194 straipsnio 2 dalimi, k</w:t>
      </w:r>
      <w:r>
        <w:rPr>
          <w:noProof/>
        </w:rPr>
        <w:t>uri yra su energija susijusių priemonių teisinis pagrindas. Nors atrodytų įmanoma, kad energijos vartojimo efektyvumo ženklinimo teisinis pagrindas būtų 114 straipsnis (tokiu teisiniu pagrindu buvo priimta 1992 m. Energijos suvartojimo ženklinimo direktyva</w:t>
      </w:r>
      <w:r>
        <w:rPr>
          <w:rStyle w:val="FootnoteReference"/>
          <w:noProof/>
        </w:rPr>
        <w:footnoteReference w:id="3"/>
      </w:r>
      <w:r>
        <w:rPr>
          <w:noProof/>
        </w:rPr>
        <w:t xml:space="preserve">, nes Sutartyje </w:t>
      </w:r>
      <w:r>
        <w:rPr>
          <w:noProof/>
        </w:rPr>
        <w:lastRenderedPageBreak/>
        <w:t>nebuvo nuostatos dėl energijos), yra pavojus, kad taip galėtų būti netyčia apribotos valstybių narių galimybės priimti teisės aktus dėl informacijos apie su energija susijusius gaminius, kuri papildytų energijos vartojimo efektyvumo etiket</w:t>
      </w:r>
      <w:r>
        <w:rPr>
          <w:noProof/>
        </w:rPr>
        <w:t>ėje pateikiamą informaciją, teikimo</w:t>
      </w:r>
      <w:r>
        <w:rPr>
          <w:rStyle w:val="FootnoteReference"/>
          <w:noProof/>
        </w:rPr>
        <w:footnoteReference w:id="4"/>
      </w:r>
      <w:r>
        <w:rPr>
          <w:noProof/>
        </w:rPr>
        <w:t>. Ženklinant energijos vartojimo efektyvumą apsiribojama tik energija ir ištekliais gaminio naudojimo etapu. Be to, Sutartyje yra specialus teisinis pagrindas dėl energijos, todėl manoma, kad juo pasinaudoti tinkama.</w:t>
      </w:r>
    </w:p>
    <w:p w:rsidR="00221D6A" w:rsidRDefault="00BA3780">
      <w:pPr>
        <w:pStyle w:val="ManualHeading2"/>
        <w:rPr>
          <w:noProof/>
        </w:rPr>
      </w:pPr>
      <w:r>
        <w:rPr>
          <w:noProof/>
        </w:rPr>
        <w:t>2.2</w:t>
      </w:r>
      <w:r>
        <w:rPr>
          <w:noProof/>
        </w:rPr>
        <w:t>.</w:t>
      </w:r>
      <w:r>
        <w:rPr>
          <w:noProof/>
        </w:rPr>
        <w:tab/>
        <w:t>Subsidiarumas</w:t>
      </w:r>
    </w:p>
    <w:p w:rsidR="00221D6A" w:rsidRDefault="00BA3780">
      <w:pPr>
        <w:rPr>
          <w:noProof/>
        </w:rPr>
      </w:pPr>
      <w:r>
        <w:rPr>
          <w:noProof/>
        </w:rPr>
        <w:t>ES lygmeniu priimtos energijos vartojimo efektyvumo priemonės atspindi vis didesnę energijos, kaip politikos ir ekonomikos uždavinio, svarbą ir jos glaudų ryšį su energijos tiekimo saugumo, klimato kaitos, tvarumo, aplinkos, vidaus rinkos i</w:t>
      </w:r>
      <w:r>
        <w:rPr>
          <w:noProof/>
        </w:rPr>
        <w:t>r ekonomikos plėtros politikos kryptimis. Iki šiol valstybės narės negalėjo pakankamai pasiekti energijos vartojimo efektyvumo tikslų, todėl, norint sudaryti sąlygas imtis nacionalinio lygmens veiksmų, juos palengvinti ir remti, reikia imtis Sąjungos lygme</w:t>
      </w:r>
      <w:r>
        <w:rPr>
          <w:noProof/>
        </w:rPr>
        <w:t>ns veiksmų.</w:t>
      </w:r>
    </w:p>
    <w:p w:rsidR="00221D6A" w:rsidRDefault="00BA3780">
      <w:pPr>
        <w:rPr>
          <w:noProof/>
        </w:rPr>
      </w:pPr>
      <w:r>
        <w:rPr>
          <w:noProof/>
        </w:rPr>
        <w:t xml:space="preserve">Svarbu užtikrinti, kad pirkėjams teikiamos informacijos apie konkretaus visoje ES vidaus rinkoje parduodamo gaminio energijos sąnaudas atžvilgiu gamintojams ir prekiautojams būtų sudarytos vienodos sąlygos. Todėl būtina nustatyti visoje ES </w:t>
      </w:r>
      <w:r>
        <w:rPr>
          <w:noProof/>
        </w:rPr>
        <w:t>teisiškai privalomas taisykles.</w:t>
      </w:r>
    </w:p>
    <w:p w:rsidR="00221D6A" w:rsidRDefault="00BA3780">
      <w:pPr>
        <w:spacing w:before="0" w:after="0"/>
        <w:rPr>
          <w:noProof/>
          <w:szCs w:val="24"/>
        </w:rPr>
      </w:pPr>
      <w:r>
        <w:rPr>
          <w:noProof/>
        </w:rPr>
        <w:t xml:space="preserve">Rinkos priežiūrą vykdo Europos Sąjungos valstybių narių valdžios institucijos. Kad rinkos priežiūra būtų veiksminga, visoje Europos Sąjungoje ji turi būti vykdoma nuosekliai, nes kitaip būtų pakenkta vidaus rinkai ir įmonės </w:t>
      </w:r>
      <w:r>
        <w:rPr>
          <w:noProof/>
        </w:rPr>
        <w:t>būtų atgrasomos investuoti išteklius į energiją taupančių gaminių projektavimą, gamybą ir pardavimą. Gaminių duomenų bazės sukūrimas padėtų rinkos priežiūrą vykdyti veiksmingiau.</w:t>
      </w:r>
    </w:p>
    <w:p w:rsidR="00221D6A" w:rsidRDefault="00BA3780">
      <w:pPr>
        <w:pStyle w:val="ManualHeading2"/>
        <w:rPr>
          <w:noProof/>
          <w:u w:color="000000"/>
          <w:bdr w:val="nil"/>
        </w:rPr>
      </w:pPr>
      <w:r>
        <w:rPr>
          <w:noProof/>
        </w:rPr>
        <w:t>2.3.</w:t>
      </w:r>
      <w:r>
        <w:rPr>
          <w:noProof/>
        </w:rPr>
        <w:tab/>
        <w:t>Proporcingumas</w:t>
      </w:r>
    </w:p>
    <w:p w:rsidR="00221D6A" w:rsidRDefault="00BA3780">
      <w:pPr>
        <w:rPr>
          <w:noProof/>
        </w:rPr>
      </w:pPr>
      <w:r>
        <w:rPr>
          <w:noProof/>
        </w:rPr>
        <w:t xml:space="preserve">Pagal proporcingumo principą siūlomais pakeitimais </w:t>
      </w:r>
      <w:r>
        <w:rPr>
          <w:noProof/>
        </w:rPr>
        <w:t>neviršijama to, kas būtina nustatytiems tikslams pasiekti. Reglamentu padaryti galiojančių pagrindinių teisės aktų pakeitimai padės padaryti juos aiškesnius ir veiksmingesnius. Tiekėjams į naują gaminių duomenų bazę teks įrašyti įvairios informacijos, tači</w:t>
      </w:r>
      <w:r>
        <w:rPr>
          <w:noProof/>
        </w:rPr>
        <w:t>au tai yra informacija, kurią šiuo metu jie jau turi teikti nacionalinėms rinkos priežiūros institucijoms jų prašymu, todėl manoma, kad papildoma našta bus minimali ir proporcinga atitikties reikalavimams užtikrinimo ir skaidrumo naudai, kurios tikimasi ga</w:t>
      </w:r>
      <w:r>
        <w:rPr>
          <w:noProof/>
        </w:rPr>
        <w:t>uti sukūrus duomenų bazę. Pasiūlymo proporcingumas išsamiau aptartas poveikio vertinimo 8 skyriuje.</w:t>
      </w:r>
    </w:p>
    <w:p w:rsidR="00221D6A" w:rsidRDefault="00BA3780">
      <w:pPr>
        <w:pStyle w:val="ManualHeading2"/>
        <w:rPr>
          <w:noProof/>
          <w:u w:color="000000"/>
          <w:bdr w:val="nil"/>
        </w:rPr>
      </w:pPr>
      <w:r>
        <w:rPr>
          <w:noProof/>
        </w:rPr>
        <w:t>2.4.</w:t>
      </w:r>
      <w:r>
        <w:rPr>
          <w:noProof/>
        </w:rPr>
        <w:tab/>
        <w:t>Priemonės pasirinkimas</w:t>
      </w:r>
    </w:p>
    <w:p w:rsidR="00221D6A" w:rsidRDefault="00BA3780">
      <w:pPr>
        <w:rPr>
          <w:noProof/>
          <w:szCs w:val="24"/>
        </w:rPr>
      </w:pPr>
      <w:r>
        <w:rPr>
          <w:noProof/>
        </w:rPr>
        <w:t>Siūlymu kaip priemonę naudoti ne direktyvą, o reglamentą atsižvelgiama į Komisijos bendrąjį tikslą paprastinti reglamentavimo są</w:t>
      </w:r>
      <w:r>
        <w:rPr>
          <w:noProof/>
        </w:rPr>
        <w:t>lygas valstybėms narėms ir ūkinės veiklos vykdytojams ir poreikį užtikrinti vienodą siūlomų teisės aktų taikymą ir įgyvendinimą visoje Sąjungoje.</w:t>
      </w:r>
    </w:p>
    <w:p w:rsidR="00221D6A" w:rsidRDefault="00221D6A">
      <w:pPr>
        <w:spacing w:before="0" w:after="0"/>
        <w:rPr>
          <w:noProof/>
        </w:rPr>
      </w:pPr>
    </w:p>
    <w:p w:rsidR="00221D6A" w:rsidRDefault="00BA3780">
      <w:pPr>
        <w:pStyle w:val="ManualHeading1"/>
        <w:rPr>
          <w:noProof/>
        </w:rPr>
      </w:pPr>
      <w:r>
        <w:rPr>
          <w:noProof/>
        </w:rPr>
        <w:t>3.</w:t>
      </w:r>
      <w:r>
        <w:rPr>
          <w:noProof/>
        </w:rPr>
        <w:tab/>
        <w:t>KONSULTACIJŲ SU SUINTERESUOTOSIOMIS ŠALIMIS IR POVEIKIO VERTINIMO REZULTATAI</w:t>
      </w:r>
    </w:p>
    <w:p w:rsidR="00221D6A" w:rsidRDefault="00BA3780">
      <w:pPr>
        <w:pStyle w:val="ManualHeading2"/>
        <w:rPr>
          <w:noProof/>
          <w:u w:color="000000"/>
          <w:bdr w:val="nil"/>
        </w:rPr>
      </w:pPr>
      <w:r>
        <w:rPr>
          <w:noProof/>
        </w:rPr>
        <w:t>3.1.</w:t>
      </w:r>
      <w:r>
        <w:rPr>
          <w:noProof/>
        </w:rPr>
        <w:tab/>
        <w:t xml:space="preserve">Galiojančių teisės aktų </w:t>
      </w:r>
      <w:r>
        <w:rPr>
          <w:i/>
          <w:noProof/>
        </w:rPr>
        <w:t>ex-post</w:t>
      </w:r>
      <w:r>
        <w:rPr>
          <w:noProof/>
        </w:rPr>
        <w:t xml:space="preserve"> vertinimas</w:t>
      </w:r>
    </w:p>
    <w:p w:rsidR="00221D6A" w:rsidRDefault="00BA3780">
      <w:pPr>
        <w:rPr>
          <w:noProof/>
          <w:szCs w:val="24"/>
        </w:rPr>
      </w:pPr>
      <w:r>
        <w:rPr>
          <w:noProof/>
        </w:rPr>
        <w:t xml:space="preserve">Prie šio pasiūlymo pridedamame tarnybų darbiniame dokumente (SWD(2015) 143) Komisija pateikia Energijos suvartojimo ženklinimo direktyvos ir konkrečių Ekologinio projektavimo direktyvos aspektų </w:t>
      </w:r>
      <w:r>
        <w:rPr>
          <w:i/>
          <w:noProof/>
        </w:rPr>
        <w:t>ex-post</w:t>
      </w:r>
      <w:r>
        <w:rPr>
          <w:noProof/>
        </w:rPr>
        <w:t xml:space="preserve"> vertinimą. Pagrindinės išvados:</w:t>
      </w:r>
    </w:p>
    <w:p w:rsidR="00221D6A" w:rsidRDefault="00BA3780">
      <w:pPr>
        <w:pStyle w:val="ManualNumPar1"/>
        <w:rPr>
          <w:noProof/>
        </w:rPr>
      </w:pPr>
      <w:r>
        <w:rPr>
          <w:noProof/>
        </w:rPr>
        <w:lastRenderedPageBreak/>
        <w:t>1.</w:t>
      </w:r>
      <w:r>
        <w:rPr>
          <w:noProof/>
        </w:rPr>
        <w:tab/>
      </w:r>
      <w:r>
        <w:rPr>
          <w:noProof/>
        </w:rPr>
        <w:t>nustatytos ekologinio projektavimo ir energijos suvartojimo ženklinimo priemonės yra veiksmingos, nes jas pritaikius sutaupoma daug energijos ir lėšų</w:t>
      </w:r>
      <w:r>
        <w:rPr>
          <w:rStyle w:val="FootnoteReference"/>
          <w:noProof/>
        </w:rPr>
        <w:footnoteReference w:id="5"/>
      </w:r>
      <w:r>
        <w:rPr>
          <w:noProof/>
        </w:rPr>
        <w:t>;</w:t>
      </w:r>
    </w:p>
    <w:p w:rsidR="00221D6A" w:rsidRDefault="00BA3780">
      <w:pPr>
        <w:pStyle w:val="ManualNumPar1"/>
        <w:rPr>
          <w:noProof/>
        </w:rPr>
      </w:pPr>
      <w:r>
        <w:rPr>
          <w:noProof/>
        </w:rPr>
        <w:t>2.</w:t>
      </w:r>
      <w:r>
        <w:rPr>
          <w:noProof/>
        </w:rPr>
        <w:tab/>
        <w:t>kliūčių laisvam su energija susijusių gaminių judėjimui Europos Sąjungos vidaus rinkoje nėra;</w:t>
      </w:r>
    </w:p>
    <w:p w:rsidR="00221D6A" w:rsidRDefault="00BA3780">
      <w:pPr>
        <w:pStyle w:val="ManualNumPar1"/>
        <w:rPr>
          <w:noProof/>
        </w:rPr>
      </w:pPr>
      <w:r>
        <w:rPr>
          <w:noProof/>
        </w:rPr>
        <w:t>3.</w:t>
      </w:r>
      <w:r>
        <w:rPr>
          <w:noProof/>
        </w:rPr>
        <w:tab/>
        <w:t>naud</w:t>
      </w:r>
      <w:r>
        <w:rPr>
          <w:noProof/>
        </w:rPr>
        <w:t>a nusveria išlaidas, tiek verslui, tiek visai visuomenei</w:t>
      </w:r>
      <w:r>
        <w:rPr>
          <w:rStyle w:val="FootnoteReference"/>
          <w:noProof/>
        </w:rPr>
        <w:footnoteReference w:id="6"/>
      </w:r>
      <w:r>
        <w:rPr>
          <w:noProof/>
        </w:rPr>
        <w:t>. Energijos vartojimo efektyvumo ženklinimas, kartu su vartotojų paklausa ir konkurencija, yra pagrindinis inovacijų skatinimo veiksnys. Kuo didesnio užmojo reikalavimai keliami aukščiausioms klasėms</w:t>
      </w:r>
      <w:r>
        <w:rPr>
          <w:noProof/>
        </w:rPr>
        <w:t>, tuo daugiau galimybių suteikiama įmonėms teigiamai išskirti savo gaminius ir taip skatinamos inovacijos;</w:t>
      </w:r>
    </w:p>
    <w:p w:rsidR="00221D6A" w:rsidRDefault="00BA3780">
      <w:pPr>
        <w:pStyle w:val="ManualNumPar1"/>
        <w:rPr>
          <w:noProof/>
        </w:rPr>
      </w:pPr>
      <w:r>
        <w:rPr>
          <w:noProof/>
        </w:rPr>
        <w:t>4.</w:t>
      </w:r>
      <w:r>
        <w:rPr>
          <w:noProof/>
        </w:rPr>
        <w:tab/>
        <w:t>dauguma vartotojų atpažįsta ir supranta energijos vartojimo efektyvumo etiketę ir naudodamiesi ja priima pirkimo sprendimus;</w:t>
      </w:r>
    </w:p>
    <w:p w:rsidR="00221D6A" w:rsidRDefault="00BA3780">
      <w:pPr>
        <w:pStyle w:val="ManualNumPar1"/>
        <w:rPr>
          <w:noProof/>
        </w:rPr>
      </w:pPr>
      <w:r>
        <w:rPr>
          <w:noProof/>
        </w:rPr>
        <w:t>5.</w:t>
      </w:r>
      <w:r>
        <w:rPr>
          <w:noProof/>
        </w:rPr>
        <w:tab/>
        <w:t>pagal 2010 m. Ener</w:t>
      </w:r>
      <w:r>
        <w:rPr>
          <w:noProof/>
        </w:rPr>
        <w:t>gijos suvartojimo ženklinimo direktyvą įvedus A+ ir aukštesnes klases, energijos vartojimo efektyvumo etiketės veiksmingumas skatinti vartotojus pirkti efektyvesnius gaminius sumažėjo</w:t>
      </w:r>
      <w:r>
        <w:rPr>
          <w:rStyle w:val="FootnoteReference"/>
          <w:noProof/>
        </w:rPr>
        <w:footnoteReference w:id="7"/>
      </w:r>
      <w:r>
        <w:rPr>
          <w:noProof/>
        </w:rPr>
        <w:t xml:space="preserve">. Be to, etiketėje sunku suprasti kai kurias kitus parametrus žyminčias </w:t>
      </w:r>
      <w:r>
        <w:rPr>
          <w:noProof/>
        </w:rPr>
        <w:t>piktogramas;</w:t>
      </w:r>
    </w:p>
    <w:p w:rsidR="00221D6A" w:rsidRDefault="00BA3780">
      <w:pPr>
        <w:pStyle w:val="ManualNumPar1"/>
        <w:rPr>
          <w:noProof/>
        </w:rPr>
      </w:pPr>
      <w:r>
        <w:rPr>
          <w:noProof/>
        </w:rPr>
        <w:t>6.</w:t>
      </w:r>
      <w:r>
        <w:rPr>
          <w:noProof/>
        </w:rPr>
        <w:tab/>
        <w:t xml:space="preserve">pastebima tendencija pirkti didesnius gaminius, kurie energiją vartoja efektyviau, nors jų absoliučiosios energijos sąnaudos yra didesnės nei mažesnių to paties tipo prietaisų; </w:t>
      </w:r>
    </w:p>
    <w:p w:rsidR="00221D6A" w:rsidRDefault="00BA3780">
      <w:pPr>
        <w:pStyle w:val="ManualNumPar1"/>
        <w:rPr>
          <w:noProof/>
        </w:rPr>
      </w:pPr>
      <w:r>
        <w:rPr>
          <w:noProof/>
        </w:rPr>
        <w:t>7.</w:t>
      </w:r>
      <w:r>
        <w:rPr>
          <w:noProof/>
        </w:rPr>
        <w:tab/>
        <w:t>nacionalinės rinkos priežiūros institucijos nepakankamai už</w:t>
      </w:r>
      <w:r>
        <w:rPr>
          <w:noProof/>
        </w:rPr>
        <w:t>tikrina atitiktį reikalavimams; apskaičiuota, kad dėl neatitikties reikalavimams energijos sutaupoma 10 proc. mažiau nei numatyta. Žr. taip pat 3 skirsnį;</w:t>
      </w:r>
    </w:p>
    <w:p w:rsidR="00221D6A" w:rsidRDefault="00BA3780">
      <w:pPr>
        <w:pStyle w:val="ManualNumPar1"/>
        <w:rPr>
          <w:noProof/>
        </w:rPr>
      </w:pPr>
      <w:r>
        <w:rPr>
          <w:noProof/>
        </w:rPr>
        <w:t>8.</w:t>
      </w:r>
      <w:r>
        <w:rPr>
          <w:noProof/>
        </w:rPr>
        <w:tab/>
        <w:t>paaiškėjo, kad tam tikriems gaminiams priemonių užmojis yra pernelyg mažas, palyginti su tuo, ką t</w:t>
      </w:r>
      <w:r>
        <w:rPr>
          <w:noProof/>
        </w:rPr>
        <w:t>echniškai ir ekonomiškai įmanoma pasiekti;</w:t>
      </w:r>
    </w:p>
    <w:p w:rsidR="00221D6A" w:rsidRDefault="00BA3780">
      <w:pPr>
        <w:pStyle w:val="ManualNumPar1"/>
        <w:rPr>
          <w:noProof/>
        </w:rPr>
      </w:pPr>
      <w:r>
        <w:rPr>
          <w:noProof/>
        </w:rPr>
        <w:t>9.</w:t>
      </w:r>
      <w:r>
        <w:rPr>
          <w:noProof/>
        </w:rPr>
        <w:tab/>
        <w:t>kitokio poveikio nei energijos suvartojimas, kurį aplinkai daro naudojamas gaminys, klausimai buvo sprendžiami kai kuriomis priemonėmis, yra galimybių tą poveikį dar labiau sumažinti</w:t>
      </w:r>
      <w:r>
        <w:rPr>
          <w:rStyle w:val="FootnoteReference"/>
          <w:noProof/>
        </w:rPr>
        <w:footnoteReference w:id="8"/>
      </w:r>
      <w:r>
        <w:rPr>
          <w:noProof/>
        </w:rPr>
        <w:t>;</w:t>
      </w:r>
    </w:p>
    <w:p w:rsidR="00221D6A" w:rsidRDefault="00BA3780">
      <w:pPr>
        <w:pStyle w:val="ManualNumPar1"/>
        <w:rPr>
          <w:noProof/>
        </w:rPr>
      </w:pPr>
      <w:r>
        <w:rPr>
          <w:noProof/>
        </w:rPr>
        <w:t>10.</w:t>
      </w:r>
      <w:r>
        <w:rPr>
          <w:noProof/>
        </w:rPr>
        <w:tab/>
        <w:t xml:space="preserve">efektyvumo atžvilgiu </w:t>
      </w:r>
      <w:r>
        <w:rPr>
          <w:noProof/>
        </w:rPr>
        <w:t>taisyklės rengiamos per ilgai (vidutiniškai 49 mėnesiai), todėl kartais techninio ir parengiamojo darbo rezultatai pasensta anksčiau nei priimami politikos sprendimai, ypač kai jie susiję su sparčiai tobulinamais elektroniniais gaminiais;</w:t>
      </w:r>
    </w:p>
    <w:p w:rsidR="00221D6A" w:rsidRDefault="00BA3780">
      <w:pPr>
        <w:pStyle w:val="ManualNumPar1"/>
        <w:rPr>
          <w:noProof/>
        </w:rPr>
      </w:pPr>
      <w:r>
        <w:rPr>
          <w:noProof/>
        </w:rPr>
        <w:t>11.</w:t>
      </w:r>
      <w:r>
        <w:rPr>
          <w:noProof/>
        </w:rPr>
        <w:tab/>
        <w:t>abi direktyvo</w:t>
      </w:r>
      <w:r>
        <w:rPr>
          <w:noProof/>
        </w:rPr>
        <w:t xml:space="preserve">s viena kitą papildo ir įgyvendinamos iš esmės nuosekliai; </w:t>
      </w:r>
    </w:p>
    <w:p w:rsidR="00221D6A" w:rsidRDefault="00BA3780">
      <w:pPr>
        <w:pStyle w:val="ManualNumPar1"/>
        <w:rPr>
          <w:noProof/>
        </w:rPr>
      </w:pPr>
      <w:r>
        <w:rPr>
          <w:noProof/>
        </w:rPr>
        <w:t>12.</w:t>
      </w:r>
      <w:r>
        <w:rPr>
          <w:noProof/>
        </w:rPr>
        <w:tab/>
        <w:t>kai kurių gaminių energijos suvartojimo ženklinimo etiketėje žemesnės efektyvumo klasės lieka tuščios, nes ekologinio projektavimo priemonėmis prastesnių veikimo rodiklių modeliai uždrausti, o</w:t>
      </w:r>
      <w:r>
        <w:rPr>
          <w:noProof/>
        </w:rPr>
        <w:t xml:space="preserve"> dėl technologijų pažangos gamintojai gamina vis efektyvesnius gaminius. Kai negalima palyginti visos A–G skalės, etiketė vartotojams tampa mažiau svarbi;</w:t>
      </w:r>
    </w:p>
    <w:p w:rsidR="00221D6A" w:rsidRDefault="00BA3780">
      <w:pPr>
        <w:pStyle w:val="ManualNumPar1"/>
        <w:rPr>
          <w:noProof/>
        </w:rPr>
      </w:pPr>
      <w:r>
        <w:rPr>
          <w:noProof/>
        </w:rPr>
        <w:t>13.</w:t>
      </w:r>
      <w:r>
        <w:rPr>
          <w:noProof/>
        </w:rPr>
        <w:tab/>
        <w:t>ES pridėtinę vertę lemia suderinta reguliavimo sistema, padedanti mažinti gamintojų išlaidas ir s</w:t>
      </w:r>
      <w:r>
        <w:rPr>
          <w:noProof/>
        </w:rPr>
        <w:t>iekti, kad ES pavyzdžiu būtų sekama nustatant tarptautines taisykles ir standartus;</w:t>
      </w:r>
    </w:p>
    <w:p w:rsidR="00221D6A" w:rsidRDefault="00BA3780">
      <w:pPr>
        <w:pStyle w:val="ManualNumPar1"/>
        <w:rPr>
          <w:noProof/>
        </w:rPr>
      </w:pPr>
      <w:r>
        <w:rPr>
          <w:noProof/>
        </w:rPr>
        <w:t>14.</w:t>
      </w:r>
      <w:r>
        <w:rPr>
          <w:noProof/>
        </w:rPr>
        <w:tab/>
        <w:t xml:space="preserve">ši politika išlieka svarbi siekiant ES energijos vartojimo efektyvumo tikslo po 2020 m. Ji taip pat gali prisidėti prie efektyvaus išteklių naudojimo ir uždarojo ciklo </w:t>
      </w:r>
      <w:r>
        <w:rPr>
          <w:noProof/>
        </w:rPr>
        <w:t>ekonomikos;</w:t>
      </w:r>
    </w:p>
    <w:p w:rsidR="00221D6A" w:rsidRDefault="00BA3780">
      <w:pPr>
        <w:pStyle w:val="ManualNumPar1"/>
        <w:rPr>
          <w:noProof/>
        </w:rPr>
      </w:pPr>
      <w:r>
        <w:rPr>
          <w:noProof/>
        </w:rPr>
        <w:t>15.</w:t>
      </w:r>
      <w:r>
        <w:rPr>
          <w:noProof/>
        </w:rPr>
        <w:tab/>
        <w:t xml:space="preserve">skaitmeniniame amžiuje vartotojų informavimas išlieka itin svarbus. Neseniai energijos suvartojimo ženklinimo reglamentai pritaikyti taip, kad energijos vartojimo efektyvumo etiketė būtų rodoma ir internete; </w:t>
      </w:r>
    </w:p>
    <w:p w:rsidR="00221D6A" w:rsidRDefault="00BA3780">
      <w:pPr>
        <w:pStyle w:val="ManualNumPar1"/>
        <w:rPr>
          <w:noProof/>
        </w:rPr>
      </w:pPr>
      <w:r>
        <w:rPr>
          <w:noProof/>
        </w:rPr>
        <w:t>16.</w:t>
      </w:r>
      <w:r>
        <w:rPr>
          <w:noProof/>
        </w:rPr>
        <w:tab/>
        <w:t>reikalavimo reklamoje patei</w:t>
      </w:r>
      <w:r>
        <w:rPr>
          <w:noProof/>
        </w:rPr>
        <w:t>kti nuorodą į energijos vartojimo efektyvumo klasę (4 straipsnio c punktas) poveikio negalima išmatuoti, tačiau vertinant nustatyta, kad jis padėjo išspręsti informacijos trūkumo rinkoje klausimą;</w:t>
      </w:r>
    </w:p>
    <w:p w:rsidR="00221D6A" w:rsidRDefault="00BA3780">
      <w:pPr>
        <w:pStyle w:val="ManualNumPar1"/>
        <w:rPr>
          <w:noProof/>
        </w:rPr>
      </w:pPr>
      <w:r>
        <w:rPr>
          <w:noProof/>
        </w:rPr>
        <w:t>17.</w:t>
      </w:r>
      <w:r>
        <w:rPr>
          <w:noProof/>
        </w:rPr>
        <w:tab/>
        <w:t>reikalavimai, nustatyti viešajam pirkimui (9 straipsnio</w:t>
      </w:r>
      <w:r>
        <w:rPr>
          <w:noProof/>
        </w:rPr>
        <w:t xml:space="preserve"> 1 dalis), buvo įvertinti 2011 m.; remiantis tuo vertinimu, jie iš dalies pakeisti ir iš Energijos suvartojimo ženklinimo direktyvos perkelti į Energijos vartojimo efektyvumo direktyvą</w:t>
      </w:r>
      <w:r>
        <w:rPr>
          <w:rStyle w:val="FootnoteReference"/>
          <w:noProof/>
        </w:rPr>
        <w:footnoteReference w:id="9"/>
      </w:r>
      <w:r>
        <w:rPr>
          <w:noProof/>
        </w:rPr>
        <w:t>;</w:t>
      </w:r>
    </w:p>
    <w:p w:rsidR="00221D6A" w:rsidRDefault="00BA3780">
      <w:pPr>
        <w:pStyle w:val="ManualNumPar1"/>
        <w:rPr>
          <w:noProof/>
        </w:rPr>
      </w:pPr>
      <w:r>
        <w:rPr>
          <w:noProof/>
        </w:rPr>
        <w:t>18.</w:t>
      </w:r>
      <w:r>
        <w:rPr>
          <w:noProof/>
        </w:rPr>
        <w:tab/>
        <w:t>iš pranešimų žiniasklaidoje pastaraisiais metais akivaizdu, kad a</w:t>
      </w:r>
      <w:r>
        <w:rPr>
          <w:noProof/>
        </w:rPr>
        <w:t>pie politikos naudą visuomenė nebuvo pakankamai informuota.</w:t>
      </w:r>
    </w:p>
    <w:p w:rsidR="00221D6A" w:rsidRDefault="00BA3780">
      <w:pPr>
        <w:pStyle w:val="ManualHeading2"/>
        <w:rPr>
          <w:noProof/>
        </w:rPr>
      </w:pPr>
      <w:r>
        <w:rPr>
          <w:noProof/>
        </w:rPr>
        <w:t>3.2.</w:t>
      </w:r>
      <w:r>
        <w:rPr>
          <w:noProof/>
        </w:rPr>
        <w:tab/>
        <w:t>Konsultacijos su suinteresuotosiomis šalimis</w:t>
      </w:r>
    </w:p>
    <w:p w:rsidR="00221D6A" w:rsidRDefault="00BA3780">
      <w:pPr>
        <w:rPr>
          <w:noProof/>
        </w:rPr>
      </w:pPr>
      <w:r>
        <w:rPr>
          <w:noProof/>
        </w:rPr>
        <w:t>Viešos konsultacijos vyko 2013 m. rugpjūčio 31 – lapkričio 30 d. tinklalapyje „Jūsų balsas Europoje“. Tikslinėms interesų grupėms ir vyriausybinėms organizacijoms pateiktas išplėstas klausimyno variantas, o trumpesnis – vartotojams, individualiems mažmenin</w:t>
      </w:r>
      <w:r>
        <w:rPr>
          <w:noProof/>
        </w:rPr>
        <w:t>inkams ir gamintojams. Į išplėstą klausimyną atsakė 138 respondentai, iš jų 58 gamintojai ir jų interesų grupių respondentai, 20 vyriausybinių organizacijų, 13 respondentų iš aplinkosaugos interesų grupių ir 9 respondentai iš vartotojų interesų grupių. Į t</w:t>
      </w:r>
      <w:r>
        <w:rPr>
          <w:noProof/>
        </w:rPr>
        <w:t>rumpesnį klausimyną atsakė 197 respondentai, iš jų 127 vartotojai, 40 mažmenininkų ir 30 gamintojų. Išsami respondentų ir gautų atsakymų santrauka paskelbta 2014 m. vasario mėn.</w:t>
      </w:r>
      <w:r>
        <w:rPr>
          <w:rStyle w:val="FootnoteReference"/>
          <w:noProof/>
        </w:rPr>
        <w:footnoteReference w:id="10"/>
      </w:r>
      <w:r>
        <w:rPr>
          <w:noProof/>
        </w:rPr>
        <w:t>.</w:t>
      </w:r>
    </w:p>
    <w:p w:rsidR="00221D6A" w:rsidRDefault="00BA3780">
      <w:pPr>
        <w:rPr>
          <w:noProof/>
        </w:rPr>
      </w:pPr>
      <w:r>
        <w:rPr>
          <w:noProof/>
        </w:rPr>
        <w:t>Organizuoti trys susitikimai su suinteresuotosiomis šalimis: 2013 m. birželi</w:t>
      </w:r>
      <w:r>
        <w:rPr>
          <w:noProof/>
        </w:rPr>
        <w:t>o 27 d., 2013 m. spalio 14 d. ir 2014 m. vasario 18 d. Kartu su paskutiniu rangovų susitikimu, 2014 m. vasario 19 d. Komisija organizavo suinteresuotųjų šalių susitikimą dėl preliminaraus energijos naudojimo efektyvumo etiketės projektų rinkinio bandymo re</w:t>
      </w:r>
      <w:r>
        <w:rPr>
          <w:noProof/>
        </w:rPr>
        <w:t>zultatų ir tolesniems bandymams siūlomų energijos vartojimo efektyvumo etiketės projektų.</w:t>
      </w:r>
    </w:p>
    <w:p w:rsidR="00221D6A" w:rsidRDefault="00BA3780">
      <w:pPr>
        <w:pStyle w:val="ManualHeading2"/>
        <w:rPr>
          <w:noProof/>
          <w:u w:color="000000"/>
          <w:bdr w:val="nil"/>
        </w:rPr>
      </w:pPr>
      <w:r>
        <w:rPr>
          <w:noProof/>
        </w:rPr>
        <w:t>3.3.</w:t>
      </w:r>
      <w:r>
        <w:rPr>
          <w:noProof/>
        </w:rPr>
        <w:tab/>
        <w:t>Tiriamųjų duomenų rinkimas ir naudojimas</w:t>
      </w:r>
    </w:p>
    <w:p w:rsidR="00221D6A" w:rsidRDefault="00BA3780">
      <w:pPr>
        <w:pStyle w:val="Text1"/>
        <w:ind w:left="0"/>
        <w:rPr>
          <w:noProof/>
        </w:rPr>
      </w:pPr>
      <w:r>
        <w:rPr>
          <w:noProof/>
        </w:rPr>
        <w:t>Rengiantis peržiūrai specialiai užsakyti du tyrimai:</w:t>
      </w:r>
    </w:p>
    <w:p w:rsidR="00221D6A" w:rsidRDefault="00BA3780">
      <w:pPr>
        <w:pStyle w:val="Tiret1"/>
        <w:numPr>
          <w:ilvl w:val="0"/>
          <w:numId w:val="15"/>
        </w:numPr>
        <w:rPr>
          <w:noProof/>
        </w:rPr>
      </w:pPr>
      <w:r>
        <w:rPr>
          <w:noProof/>
        </w:rPr>
        <w:t>su Energijos suvartojimo ženklinimo direktyvos ir konkrečių Ekologi</w:t>
      </w:r>
      <w:r>
        <w:rPr>
          <w:noProof/>
        </w:rPr>
        <w:t>nio projektavimo direktyvos aspektų vertinimu susijęs tyrimas, užbaigtas 2014 m. birželio mėn.;</w:t>
      </w:r>
    </w:p>
    <w:p w:rsidR="00221D6A" w:rsidRDefault="00BA3780">
      <w:pPr>
        <w:pStyle w:val="Tiret1"/>
        <w:rPr>
          <w:noProof/>
        </w:rPr>
      </w:pPr>
      <w:r>
        <w:rPr>
          <w:noProof/>
        </w:rPr>
        <w:t xml:space="preserve">energijos vartojimo efektyvumo etiketės suprantamumo vartotojams bei įtakos pirkimo sprendimams ir etiketės keitimo galimybių tyrimas, užbaigtas 2014 m. spalio </w:t>
      </w:r>
      <w:r>
        <w:rPr>
          <w:noProof/>
        </w:rPr>
        <w:t>mėn.</w:t>
      </w:r>
    </w:p>
    <w:p w:rsidR="00221D6A" w:rsidRDefault="00BA3780">
      <w:pPr>
        <w:rPr>
          <w:noProof/>
        </w:rPr>
      </w:pPr>
      <w:r>
        <w:rPr>
          <w:noProof/>
        </w:rPr>
        <w:t>Abiejų tyrimų rezultatai paskelbti  Komisijos svetainėje „Europa“</w:t>
      </w:r>
      <w:r>
        <w:rPr>
          <w:rStyle w:val="FootnoteReference"/>
          <w:noProof/>
        </w:rPr>
        <w:footnoteReference w:id="11"/>
      </w:r>
      <w:r>
        <w:rPr>
          <w:noProof/>
        </w:rPr>
        <w:t>.</w:t>
      </w:r>
    </w:p>
    <w:p w:rsidR="00221D6A" w:rsidRDefault="00BA3780">
      <w:pPr>
        <w:pStyle w:val="ManualHeading2"/>
        <w:rPr>
          <w:noProof/>
        </w:rPr>
      </w:pPr>
      <w:r>
        <w:rPr>
          <w:noProof/>
        </w:rPr>
        <w:t>3.4.</w:t>
      </w:r>
      <w:r>
        <w:rPr>
          <w:noProof/>
        </w:rPr>
        <w:tab/>
        <w:t>Poveikio vertinimas</w:t>
      </w:r>
    </w:p>
    <w:p w:rsidR="00221D6A" w:rsidRDefault="00BA3780">
      <w:pPr>
        <w:rPr>
          <w:noProof/>
        </w:rPr>
      </w:pPr>
      <w:r>
        <w:rPr>
          <w:noProof/>
        </w:rPr>
        <w:t>Poveikio vertinimas (SWD(2015) 139) pridedamas prie šio pasiūlymo ir paskelbtas Komisijos svetainėje „Europa“</w:t>
      </w:r>
      <w:r>
        <w:rPr>
          <w:rStyle w:val="FootnoteReference"/>
          <w:noProof/>
        </w:rPr>
        <w:footnoteReference w:id="12"/>
      </w:r>
      <w:r>
        <w:rPr>
          <w:noProof/>
        </w:rPr>
        <w:t xml:space="preserve"> kartu su teigiama 2015 m. birželio 16 d. priimta Reglamentavimo patikros valdybos nuomone (SEC(2015) 323). </w:t>
      </w:r>
    </w:p>
    <w:p w:rsidR="00221D6A" w:rsidRDefault="00BA3780">
      <w:pPr>
        <w:rPr>
          <w:noProof/>
        </w:rPr>
      </w:pPr>
      <w:r>
        <w:rPr>
          <w:noProof/>
        </w:rPr>
        <w:t>Po minėto vertinimo atliekant paskesnį poveikio vertinimą nagrinėtos dabar galiojančios direktyvos problemos ir kai kurie konkretūs Ekologinio proj</w:t>
      </w:r>
      <w:r>
        <w:rPr>
          <w:noProof/>
        </w:rPr>
        <w:t xml:space="preserve">ektavimo direktyvos klausimai. Manoma, kad šiame etape tolesnių su pastarąja direktyva susijusių teisėkūros veiksmų imtis nereikėtų. </w:t>
      </w:r>
    </w:p>
    <w:p w:rsidR="00221D6A" w:rsidRDefault="00BA3780">
      <w:pPr>
        <w:rPr>
          <w:noProof/>
        </w:rPr>
      </w:pPr>
      <w:r>
        <w:rPr>
          <w:noProof/>
        </w:rPr>
        <w:t>Svarbiausios dvi su Energijos suvartojimo ženklinimo direktyva susijusios problemos yra sumažėjęs energijos vartojimo efek</w:t>
      </w:r>
      <w:r>
        <w:rPr>
          <w:noProof/>
        </w:rPr>
        <w:t>tyvumo etiketės veiksmingumas ir neatitiktis reikalavimams dėl netinkamo atitikties reikalavimams užtikrinimo. Nustatyta ir tai, kad taisyklės rengiamos per ilgai, todėl techninio ir parengiamojo darbo rezultatai pasensta.</w:t>
      </w:r>
    </w:p>
    <w:p w:rsidR="00221D6A" w:rsidRDefault="00BA3780">
      <w:pPr>
        <w:rPr>
          <w:noProof/>
        </w:rPr>
      </w:pPr>
      <w:r>
        <w:rPr>
          <w:noProof/>
        </w:rPr>
        <w:t>Galiausiai pasirinkta galimybė pa</w:t>
      </w:r>
      <w:r>
        <w:rPr>
          <w:noProof/>
        </w:rPr>
        <w:t>gerinti galiojančią energijos vartojimo efektyvumo ženklinimo reguliavimo sistemą, reikalauti, kad paženklinti gaminiai būtų registruojami naujoje duomenų bazėje, pagerinti teisinę struktūrą, t. y. dabar galiojančią Energijos suvartojimo ženklinimo direkty</w:t>
      </w:r>
      <w:r>
        <w:rPr>
          <w:noProof/>
        </w:rPr>
        <w:t>vą pakeisti reglamentu, kad derėtų su rinkos priežiūros reglamentu</w:t>
      </w:r>
      <w:r>
        <w:rPr>
          <w:rStyle w:val="FootnoteReference"/>
          <w:noProof/>
        </w:rPr>
        <w:footnoteReference w:id="13"/>
      </w:r>
      <w:r>
        <w:rPr>
          <w:noProof/>
        </w:rPr>
        <w:t>, ir finansuoti bendrą ES rinkos priežiūrą.</w:t>
      </w:r>
    </w:p>
    <w:p w:rsidR="00221D6A" w:rsidRDefault="00BA3780">
      <w:pPr>
        <w:rPr>
          <w:noProof/>
        </w:rPr>
      </w:pPr>
      <w:r>
        <w:rPr>
          <w:noProof/>
        </w:rPr>
        <w:t>Šiuo pasiūlymu įgyvendinama poveikio vertinime pasirinktos galimybės teisėkūros dalis. Prie šio pasiūlymo pridėtoje ataskaitoje Europos Parlament</w:t>
      </w:r>
      <w:r>
        <w:rPr>
          <w:noProof/>
        </w:rPr>
        <w:t>ui ir Tarybai bendrais bruožais apibūdinti tolesni ne teisėkūros veiksmai, kurių planuojama imtis įgyvendinant tą galimybę.</w:t>
      </w:r>
    </w:p>
    <w:p w:rsidR="00221D6A" w:rsidRDefault="00BA3780">
      <w:pPr>
        <w:pStyle w:val="ManualHeading2"/>
        <w:rPr>
          <w:noProof/>
          <w:u w:color="000000"/>
          <w:bdr w:val="nil"/>
        </w:rPr>
      </w:pPr>
      <w:r>
        <w:rPr>
          <w:noProof/>
        </w:rPr>
        <w:t>3.5.</w:t>
      </w:r>
      <w:r>
        <w:rPr>
          <w:noProof/>
        </w:rPr>
        <w:tab/>
        <w:t>Reglamentavimo kokybė ir paprastinimas</w:t>
      </w:r>
    </w:p>
    <w:p w:rsidR="00221D6A" w:rsidRDefault="00BA3780">
      <w:pPr>
        <w:pBdr>
          <w:top w:val="nil"/>
          <w:left w:val="nil"/>
          <w:bottom w:val="nil"/>
          <w:right w:val="nil"/>
          <w:between w:val="nil"/>
          <w:bar w:val="nil"/>
        </w:pBdr>
        <w:spacing w:before="0" w:after="240"/>
        <w:rPr>
          <w:rFonts w:eastAsia="Arial Unicode MS"/>
          <w:noProof/>
        </w:rPr>
      </w:pPr>
      <w:r>
        <w:rPr>
          <w:noProof/>
        </w:rPr>
        <w:t>Padidėjusios pajamos (apskaičiuota, kad 2030 m. jos bus 34 mlrd. EUR per metus) vienodai</w:t>
      </w:r>
      <w:r>
        <w:rPr>
          <w:noProof/>
        </w:rPr>
        <w:t xml:space="preserve"> paveiks dideles įmones, mažąsias ir vidutines įmones ir labai mažas įmones. Kitokio režimo labai mažoms / mažosioms ir vidutinėms įmonėms negalima pagrįsti. Visiems mažmenininkams turėtų būti taikomos tos pačios taisyklės, nes energijos vartojimo efektyvu</w:t>
      </w:r>
      <w:r>
        <w:rPr>
          <w:noProof/>
        </w:rPr>
        <w:t>mo etiketės vartotojams naudingos tik tuo atveju, jei bus paženklinti visi gaminiai visose mažmeninės prekybos vietose. Bus paveikta labai nedaug mažųjų ir vidutinių įmonių, o labai mažos įmonės nebus paveiktos. Tos pačios taisyklės turėtų būti taikomos vi</w:t>
      </w:r>
      <w:r>
        <w:rPr>
          <w:noProof/>
        </w:rPr>
        <w:t>siems, kad bendrojoje rinkoje būtų užtikrinta sąžininga konkurencija, o vartotojams būtų teikiama aiški ir nuosekli informacija. Apskaičiuota, kad 2030 m. vartotojai sutaupytų 10–30 mlrd. EUR per metus (priklausomai nuo prielaidų dėl energijos kainų raidos</w:t>
      </w:r>
      <w:r>
        <w:rPr>
          <w:noProof/>
        </w:rPr>
        <w:t xml:space="preserve"> ateityje).</w:t>
      </w:r>
    </w:p>
    <w:p w:rsidR="00221D6A" w:rsidRDefault="00BA3780">
      <w:pPr>
        <w:pBdr>
          <w:top w:val="nil"/>
          <w:left w:val="nil"/>
          <w:bottom w:val="nil"/>
          <w:right w:val="nil"/>
          <w:between w:val="nil"/>
          <w:bar w:val="nil"/>
        </w:pBdr>
        <w:spacing w:before="0" w:after="240"/>
        <w:rPr>
          <w:noProof/>
        </w:rPr>
      </w:pPr>
      <w:r>
        <w:rPr>
          <w:noProof/>
        </w:rPr>
        <w:t>Būtų stiprinamas Europos įmonių konkurencingumas, nes jos būtų skatinamos kurti naujoves, joms būtų užtikrinamas pradininko pranašumas, dėl griežtesnės rinkos priežiūros joms ir trečiųjų šalių gamintojams būtų sudarytos vienodos sąlygos, būtų l</w:t>
      </w:r>
      <w:r>
        <w:rPr>
          <w:noProof/>
        </w:rPr>
        <w:t>eidžiamas didesnis efektyvesnių gaminių, kurie yra brangesni, bet per savo gyvavimo ciklą galutiniams naudotojams padeda sutaupyti lėšų, pelningumas.</w:t>
      </w:r>
    </w:p>
    <w:p w:rsidR="00221D6A" w:rsidRDefault="00BA3780">
      <w:pPr>
        <w:pBdr>
          <w:top w:val="nil"/>
          <w:left w:val="nil"/>
          <w:bottom w:val="nil"/>
          <w:right w:val="nil"/>
          <w:between w:val="nil"/>
          <w:bar w:val="nil"/>
        </w:pBdr>
        <w:spacing w:before="0" w:after="240"/>
        <w:rPr>
          <w:noProof/>
        </w:rPr>
      </w:pPr>
      <w:r>
        <w:rPr>
          <w:noProof/>
        </w:rPr>
        <w:t>Apskaičiuota, kad bendros prekiautojų administracinės išlaidos visų gaminių etiketėms pakeisti visoje ES p</w:t>
      </w:r>
      <w:r>
        <w:rPr>
          <w:noProof/>
        </w:rPr>
        <w:t>er dešimties metų laikotarpį būtų 10 mln. EUR. Taip pat apskaičiuota, kad bendros gamintojų išlaidos per dešimties metų laikotarpį būtų 50 mln. EUR. Tai reiškia, kad kiekvieno parduodamo gaminio etiketei tektų 2 euro centai. Apskaičiuota, kad administracin</w:t>
      </w:r>
      <w:r>
        <w:rPr>
          <w:noProof/>
        </w:rPr>
        <w:t>ės gaminių registravimo išlaidos visai pramonei būtų 1,5 mln. EUR per metus, maždaug 0,5 euro cento kiekvienam parduodamam gaminiui. Faktinės išlaidos dėl reikalavimo registruoti gaminius būtų mažesnės arba nulinės, nes nebebūtų reikalaujama, kad gamintoja</w:t>
      </w:r>
      <w:r>
        <w:rPr>
          <w:noProof/>
        </w:rPr>
        <w:t xml:space="preserve">i saugotų techninius dokumentus penkerius metus po paskutinio gaminio pagaminimo ir pateiktų juos rinkos priežiūros institucijoms pastarųjų prašymu. </w:t>
      </w:r>
    </w:p>
    <w:p w:rsidR="00221D6A" w:rsidRDefault="00BA3780">
      <w:pPr>
        <w:pBdr>
          <w:top w:val="nil"/>
          <w:left w:val="nil"/>
          <w:bottom w:val="nil"/>
          <w:right w:val="nil"/>
          <w:between w:val="nil"/>
          <w:bar w:val="nil"/>
        </w:pBdr>
        <w:spacing w:before="0" w:after="240"/>
        <w:rPr>
          <w:noProof/>
        </w:rPr>
      </w:pPr>
      <w:r>
        <w:rPr>
          <w:noProof/>
        </w:rPr>
        <w:t>Gamintojai ir prekiautojai šias administracines išlaidas galėtų perkelti vartotojams, kuriems jas su kaupu</w:t>
      </w:r>
      <w:r>
        <w:rPr>
          <w:noProof/>
        </w:rPr>
        <w:t xml:space="preserve"> kompensuotų mažesnės efektyvesnių gaminių, kuriuos jie pirktų dėl reglamento taikymo poveikio, energijos sąnaudos.</w:t>
      </w:r>
    </w:p>
    <w:p w:rsidR="00221D6A" w:rsidRDefault="00BA3780">
      <w:pPr>
        <w:rPr>
          <w:noProof/>
        </w:rPr>
      </w:pPr>
      <w:r>
        <w:rPr>
          <w:noProof/>
        </w:rPr>
        <w:t>Pasiūlymas pritaikytas internetui, nes jame numatyta sukurti internetinę gaminių duomenų bazę, todėl gamintojams, mažmenininkams ir rinkos p</w:t>
      </w:r>
      <w:r>
        <w:rPr>
          <w:noProof/>
        </w:rPr>
        <w:t>riežiūros institucijoms informaciją apie gaminius būtų paprasčiau, greičiau ir geriau perduoti vieni kitiems ir galutiniams vartotojams.</w:t>
      </w:r>
    </w:p>
    <w:p w:rsidR="00221D6A" w:rsidRDefault="00BA3780">
      <w:pPr>
        <w:pStyle w:val="ManualHeading1"/>
        <w:rPr>
          <w:noProof/>
        </w:rPr>
      </w:pPr>
      <w:r>
        <w:rPr>
          <w:noProof/>
        </w:rPr>
        <w:t>4.</w:t>
      </w:r>
      <w:r>
        <w:rPr>
          <w:noProof/>
        </w:rPr>
        <w:tab/>
        <w:t xml:space="preserve">POVEIKIS BIUDŽETUI </w:t>
      </w:r>
    </w:p>
    <w:p w:rsidR="00221D6A" w:rsidRDefault="00BA3780">
      <w:pPr>
        <w:rPr>
          <w:noProof/>
        </w:rPr>
      </w:pPr>
      <w:r>
        <w:rPr>
          <w:noProof/>
        </w:rPr>
        <w:t>Šiuo pasiūlymu pakeičiama galiojanti Energijos suvartojimo ženklinimo direktyva, todėl numatoma,</w:t>
      </w:r>
      <w:r>
        <w:rPr>
          <w:noProof/>
        </w:rPr>
        <w:t xml:space="preserve"> kad susijusios valstybių narių administracinės išlaidos būtų nedidelės, nes didžioji dalis būtinų struktūrų ir taisyklių jau yra.</w:t>
      </w:r>
    </w:p>
    <w:p w:rsidR="00221D6A" w:rsidRDefault="00BA3780">
      <w:pPr>
        <w:rPr>
          <w:noProof/>
          <w:color w:val="1F497D"/>
        </w:rPr>
      </w:pPr>
      <w:r>
        <w:rPr>
          <w:noProof/>
        </w:rPr>
        <w:t xml:space="preserve">Šiai iniciatyvai įgyvendinti papildomų ES biudžeto išteklių nereikia. Gaminių duomenų bazės sukūrimo išlaidos (1 500 000 EUR </w:t>
      </w:r>
      <w:r>
        <w:rPr>
          <w:noProof/>
        </w:rPr>
        <w:t>2016 m. ir 150 000 EUR per metus techninės priežiūros išlaidų vėlesniais metais) ir konkrečių gaminių grupių etikečių suprantamumo vartotojams tyrimai (300 000 EUR per metus nuo 2017 m.) finansuojami perskirstant esamą gaminių energijos vartojimo efektyvum</w:t>
      </w:r>
      <w:r>
        <w:rPr>
          <w:noProof/>
        </w:rPr>
        <w:t>o politikos įgyvendinimo biudžetą, kuriame numatytas techninės pagalbos ir (arba) tyrimų siekiant įvertinti deleguotųjų aktų gaminių grupių aspektus finansavimas ir parama standartizavimui. Šis biudžetas priskiriamas prie programos „Horizontas 2020“ visuom</w:t>
      </w:r>
      <w:r>
        <w:rPr>
          <w:noProof/>
        </w:rPr>
        <w:t xml:space="preserve">enės uždavinių temos įsisavinimo rinkoje ir inovacijų dalių. </w:t>
      </w:r>
    </w:p>
    <w:p w:rsidR="00221D6A" w:rsidRDefault="00BA3780">
      <w:pPr>
        <w:pStyle w:val="ManualHeading1"/>
        <w:rPr>
          <w:noProof/>
        </w:rPr>
      </w:pPr>
      <w:r>
        <w:rPr>
          <w:noProof/>
        </w:rPr>
        <w:t>5.</w:t>
      </w:r>
      <w:r>
        <w:rPr>
          <w:noProof/>
        </w:rPr>
        <w:tab/>
        <w:t>KITI ASPEKTAI</w:t>
      </w:r>
    </w:p>
    <w:p w:rsidR="00221D6A" w:rsidRDefault="00BA3780">
      <w:pPr>
        <w:pStyle w:val="ManualHeading2"/>
        <w:rPr>
          <w:noProof/>
          <w:u w:color="000000"/>
          <w:bdr w:val="nil"/>
        </w:rPr>
      </w:pPr>
      <w:r>
        <w:rPr>
          <w:noProof/>
        </w:rPr>
        <w:t>5.1.</w:t>
      </w:r>
      <w:r>
        <w:rPr>
          <w:noProof/>
        </w:rPr>
        <w:tab/>
        <w:t>Stebėjimo, vertinimo ir atskaitų teikimo tvarka</w:t>
      </w:r>
    </w:p>
    <w:p w:rsidR="00221D6A" w:rsidRDefault="00BA3780">
      <w:pPr>
        <w:pStyle w:val="Text1"/>
        <w:ind w:left="0"/>
        <w:rPr>
          <w:noProof/>
        </w:rPr>
      </w:pPr>
      <w:r>
        <w:rPr>
          <w:noProof/>
        </w:rPr>
        <w:t>Kitą energijos vartojimo efektyvumo ženklinimo pagrindų vertinimą numatoma atlikti po 8 metų. Jis turėtų būti atliekamas rem</w:t>
      </w:r>
      <w:r>
        <w:rPr>
          <w:noProof/>
        </w:rPr>
        <w:t xml:space="preserve">iantis konkrečių gaminių tyrimų </w:t>
      </w:r>
      <w:r>
        <w:rPr>
          <w:i/>
          <w:noProof/>
        </w:rPr>
        <w:t>ex-post</w:t>
      </w:r>
      <w:r>
        <w:rPr>
          <w:noProof/>
        </w:rPr>
        <w:t xml:space="preserve"> vertinimu atliekant pagal šiuos pagrindinius teisės aktus priimtų deleguotųjų aktų peržiūrą ir per jį turėtų būti vertinamas pagrindų efektyvumas siekiant užtikrinti laisvą prekių judėjimą (pvz., ar valstybės narės n</w:t>
      </w:r>
      <w:r>
        <w:rPr>
          <w:noProof/>
        </w:rPr>
        <w:t>esiūlė nacionalinių teisės aktų dėl gaminių energijos vartojimo efektyvumo ženklinimo). Turėtų būti vertinamas gaminių energijos sąnaudų ir kito svarbaus poveikio aplinkai mažinimas, ypač koks rinkos persitvarkymo laipsnis pasiektas naudojant pakeistos ska</w:t>
      </w:r>
      <w:r>
        <w:rPr>
          <w:noProof/>
        </w:rPr>
        <w:t>lės etiketes. Rinkos priežiūros ir reikalavimų laikymosi pagerėjimą dėl gaminių duomenų bazės būtų galima įvertinti iš valstybių narių pagal rinkos priežiūros reglamentą teikiamų rinkos priežiūros rezultatų ataskaitų.</w:t>
      </w:r>
    </w:p>
    <w:p w:rsidR="00221D6A" w:rsidRDefault="00BA3780">
      <w:pPr>
        <w:pStyle w:val="ManualHeading2"/>
        <w:rPr>
          <w:noProof/>
          <w:u w:color="000000"/>
          <w:bdr w:val="nil"/>
        </w:rPr>
      </w:pPr>
      <w:r>
        <w:rPr>
          <w:noProof/>
        </w:rPr>
        <w:t>5.2.</w:t>
      </w:r>
      <w:r>
        <w:rPr>
          <w:noProof/>
        </w:rPr>
        <w:tab/>
        <w:t>Išsamus konkrečių šio pasiūlymo n</w:t>
      </w:r>
      <w:r>
        <w:rPr>
          <w:noProof/>
        </w:rPr>
        <w:t>uostatų paaiškinimas</w:t>
      </w:r>
    </w:p>
    <w:p w:rsidR="00221D6A" w:rsidRDefault="00BA3780">
      <w:pPr>
        <w:rPr>
          <w:noProof/>
        </w:rPr>
      </w:pPr>
      <w:r>
        <w:rPr>
          <w:noProof/>
        </w:rPr>
        <w:t>Pasiūlyme išlaikyti galiojančios Energijos suvartojimo ženklinimo direktyvos tikslai ir pagrindiniai principai, tačiau aiškiau išdėstytos ir sutvirtintos jos nuostatos ir išplėsta taikymo sritis:</w:t>
      </w:r>
    </w:p>
    <w:p w:rsidR="00221D6A" w:rsidRDefault="00BA3780">
      <w:pPr>
        <w:pStyle w:val="Bullet0"/>
        <w:numPr>
          <w:ilvl w:val="0"/>
          <w:numId w:val="16"/>
        </w:numPr>
        <w:rPr>
          <w:noProof/>
        </w:rPr>
      </w:pPr>
      <w:r>
        <w:rPr>
          <w:noProof/>
        </w:rPr>
        <w:t xml:space="preserve">atnaujinta etiketė ir leidžiama keisti </w:t>
      </w:r>
      <w:r>
        <w:rPr>
          <w:noProof/>
        </w:rPr>
        <w:t>jos skalę;</w:t>
      </w:r>
    </w:p>
    <w:p w:rsidR="00221D6A" w:rsidRDefault="00BA3780">
      <w:pPr>
        <w:pStyle w:val="Bullet0"/>
        <w:rPr>
          <w:noProof/>
        </w:rPr>
      </w:pPr>
      <w:r>
        <w:rPr>
          <w:noProof/>
        </w:rPr>
        <w:t>geriau užtikrinama atitiktis reikalavimams;</w:t>
      </w:r>
    </w:p>
    <w:p w:rsidR="00221D6A" w:rsidRDefault="00BA3780">
      <w:pPr>
        <w:pStyle w:val="Bullet0"/>
        <w:rPr>
          <w:noProof/>
        </w:rPr>
      </w:pPr>
      <w:r>
        <w:rPr>
          <w:noProof/>
        </w:rPr>
        <w:t>sukuriama gaminių, kuriems taikomi ženklinimo įpareigojimai, duomenų bazė;</w:t>
      </w:r>
    </w:p>
    <w:p w:rsidR="00221D6A" w:rsidRDefault="00BA3780">
      <w:pPr>
        <w:pStyle w:val="Bullet0"/>
        <w:rPr>
          <w:noProof/>
        </w:rPr>
      </w:pPr>
      <w:r>
        <w:rPr>
          <w:noProof/>
        </w:rPr>
        <w:t>aiškiau nustatomos įvairių šalių pareigos;</w:t>
      </w:r>
    </w:p>
    <w:p w:rsidR="00221D6A" w:rsidRDefault="00BA3780">
      <w:pPr>
        <w:pStyle w:val="Bullet0"/>
        <w:rPr>
          <w:noProof/>
        </w:rPr>
      </w:pPr>
      <w:r>
        <w:rPr>
          <w:noProof/>
        </w:rPr>
        <w:t>geriau susiejami energijos vartojimo efektyvumo ženklinimo ir matavimo standartai.</w:t>
      </w:r>
    </w:p>
    <w:p w:rsidR="00221D6A" w:rsidRDefault="00BA3780">
      <w:pPr>
        <w:pStyle w:val="ManualHeading3"/>
        <w:rPr>
          <w:noProof/>
        </w:rPr>
      </w:pPr>
      <w:r>
        <w:rPr>
          <w:noProof/>
        </w:rPr>
        <w:t>5.2.1.</w:t>
      </w:r>
      <w:r>
        <w:rPr>
          <w:noProof/>
        </w:rPr>
        <w:tab/>
        <w:t>Etiketės atnaujinimas ir galimybė keisti jos skalę</w:t>
      </w:r>
    </w:p>
    <w:p w:rsidR="00221D6A" w:rsidRDefault="00BA3780">
      <w:pPr>
        <w:rPr>
          <w:noProof/>
        </w:rPr>
      </w:pPr>
      <w:r>
        <w:rPr>
          <w:noProof/>
        </w:rPr>
        <w:t>Energijos suvartojimo ženklinimas veiksmingai paskatino gaminti vis efektyviau energiją vartojančius gaminius, todėl etiketės galimybės jau beveik išnaudotos. Daugelyje gaminių grupių dauguma modeli</w:t>
      </w:r>
      <w:r>
        <w:rPr>
          <w:noProof/>
        </w:rPr>
        <w:t>ų sutelkta aukščiausiose energijos vartojimo efektyvumo klasėse, todėl atskirti įvairius modelius sunku. Nors 2010 m. etiketė papildyta A+ – A+++ energijos vartojimo efektyvumo klasėmis, tam tikrose gaminių grupėse visi modeliai jau priskiriami toms naujom</w:t>
      </w:r>
      <w:r>
        <w:rPr>
          <w:noProof/>
        </w:rPr>
        <w:t>s klasėms, o žemesnės klasės tuščios. Yra faktinis poreikis keisti gaminiams keliamų reikalavimų skalę ir grįžti prie pradinės A–G energijos vartojimo efektyvumo etiketės skalės, kurią, kaip rodo tyrimai, vartotojai supranta geriausiai. Nors dabar galiojan</w:t>
      </w:r>
      <w:r>
        <w:rPr>
          <w:noProof/>
        </w:rPr>
        <w:t>čioje direktyvoje numatyta galimybė perklasifikuoti gaminius priimant specialius deleguotuosius aktus, šiame pasiūlyme poreikis keisti energijos vartojimo efektyvumo etiketės skalę išspręstas sistemiškiau. Jame aiškiai nustatomos tiekėjų bei prekiautojų pa</w:t>
      </w:r>
      <w:r>
        <w:rPr>
          <w:noProof/>
        </w:rPr>
        <w:t>reigos skalės keitimo ir etiketės pakeitimo etapu.</w:t>
      </w:r>
    </w:p>
    <w:p w:rsidR="00221D6A" w:rsidRDefault="00BA3780">
      <w:pPr>
        <w:rPr>
          <w:noProof/>
        </w:rPr>
      </w:pPr>
      <w:r>
        <w:rPr>
          <w:noProof/>
        </w:rPr>
        <w:t>Komisija per penkerius metus nuo šio reglamento įsigaliojimo peržiūrės esamas etiketes, kad nuspręstų, ar reikia keisti jų skalę. Pirmiausia bus nagrinėjamos tos gaminių grupės, kurių gaminiai rinkoje susi</w:t>
      </w:r>
      <w:r>
        <w:rPr>
          <w:noProof/>
        </w:rPr>
        <w:t>telkę aukščiausiose klasėse. Pats skalės pakeitimas būtų atliekamas praėjus keliems metams po peržiūros.</w:t>
      </w:r>
    </w:p>
    <w:p w:rsidR="00221D6A" w:rsidRDefault="00BA3780">
      <w:pPr>
        <w:rPr>
          <w:noProof/>
          <w:szCs w:val="24"/>
        </w:rPr>
      </w:pPr>
      <w:r>
        <w:rPr>
          <w:noProof/>
        </w:rPr>
        <w:t>Keičiant skalę reikės pereinamojo laikotarpio, kurį parduotuvėse bus rodoma ir seno pavyzdžio (iki skalės pakeitimo), ir nauja pakeistos skalės to pati</w:t>
      </w:r>
      <w:r>
        <w:rPr>
          <w:noProof/>
        </w:rPr>
        <w:t>es gaminio etiketė. Siekiant vartotojams užtikrinti kuo mažesnę painiavos riziką, o tiekėjams ir prekiautojams – mažesnes reikalavimų laikymosi išlaidas ir kuo didesnį teisinį tikrumą, reglamento projekte numatytas toks metodas:</w:t>
      </w:r>
    </w:p>
    <w:p w:rsidR="00221D6A" w:rsidRDefault="00BA3780">
      <w:pPr>
        <w:pStyle w:val="ListNumber"/>
        <w:ind w:left="709"/>
        <w:rPr>
          <w:noProof/>
        </w:rPr>
      </w:pPr>
      <w:r>
        <w:rPr>
          <w:noProof/>
        </w:rPr>
        <w:t>deleguotasis aktas dėl pake</w:t>
      </w:r>
      <w:r>
        <w:rPr>
          <w:noProof/>
        </w:rPr>
        <w:t xml:space="preserve">istos skalės etiketės būtų paskelbtas ir po 20 dienų įsigaliotų (kaip yra dabar). Deleguotuoju aktu energijos vartojimo efektyvumo reikalavimai būtų nustatomi taip, kad jokie šiuo metu rinkoje esantys gaminiai nebūtų priskiriami prie aukščiausių klasių ir </w:t>
      </w:r>
      <w:r>
        <w:rPr>
          <w:noProof/>
        </w:rPr>
        <w:t>taip būtų skatinama technologijų pažanga ir inovacijos ir sudaromos sąlygos pripažinti vis efektyvesnius gaminius. Deleguotajame akte būtų nustatyta konkreti data (pakeitimo data), nuo kurios vietoj seno pavyzdžio etiketės turėtų būti naudojama nauja pakei</w:t>
      </w:r>
      <w:r>
        <w:rPr>
          <w:noProof/>
        </w:rPr>
        <w:t xml:space="preserve">stos skalės etiketė; </w:t>
      </w:r>
    </w:p>
    <w:p w:rsidR="00221D6A" w:rsidRDefault="00BA3780">
      <w:pPr>
        <w:pStyle w:val="ListNumber"/>
        <w:ind w:left="709"/>
        <w:rPr>
          <w:noProof/>
        </w:rPr>
      </w:pPr>
      <w:r>
        <w:rPr>
          <w:noProof/>
        </w:rPr>
        <w:t>šešis mėnesius po deleguotojo akto įsigaliojimo, bet pakeitimo datai neatėjus, tiekėjai pakeistos skalės etiketę dėtų į gaminio dėžę kartu su ankstesne etikete;</w:t>
      </w:r>
    </w:p>
    <w:p w:rsidR="00221D6A" w:rsidRDefault="00BA3780">
      <w:pPr>
        <w:pStyle w:val="ListNumber"/>
        <w:ind w:left="709"/>
        <w:rPr>
          <w:noProof/>
        </w:rPr>
      </w:pPr>
      <w:r>
        <w:rPr>
          <w:noProof/>
        </w:rPr>
        <w:t xml:space="preserve">atėjus pakeitimo datai, būtų reikalaujama, kad prekiautojai visų parduotuvėse demonstruojamų gaminių seno pavyzdžio etiketę pakeistų nauja. Visas etiketes pakeisti naujomis jie turėtų per vieną savaitę; </w:t>
      </w:r>
    </w:p>
    <w:p w:rsidR="00221D6A" w:rsidRDefault="00BA3780">
      <w:pPr>
        <w:pStyle w:val="ListNumber"/>
        <w:ind w:left="709"/>
        <w:rPr>
          <w:noProof/>
        </w:rPr>
      </w:pPr>
      <w:r>
        <w:rPr>
          <w:noProof/>
        </w:rPr>
        <w:t>naujas gaminių, kurie prieš prasidedant 6 mėnesių la</w:t>
      </w:r>
      <w:r>
        <w:rPr>
          <w:noProof/>
        </w:rPr>
        <w:t>ikotarpiui jau buvo parduotuvėje, etiketes prekiautojai turėtų gauti iš tiekėjo (jos taip pat galėtų būti pateikiamos atsisiųsti internetu iš tiekėjų interneto svetainių);</w:t>
      </w:r>
    </w:p>
    <w:p w:rsidR="00221D6A" w:rsidRDefault="00BA3780">
      <w:pPr>
        <w:pStyle w:val="ListNumber"/>
        <w:ind w:left="709"/>
        <w:rPr>
          <w:noProof/>
        </w:rPr>
      </w:pPr>
      <w:r>
        <w:rPr>
          <w:noProof/>
        </w:rPr>
        <w:t>būtų reikalaujama, kad valstybės narės informuotų vartotojus apie skalės pakeitimą t</w:t>
      </w:r>
      <w:r>
        <w:rPr>
          <w:noProof/>
        </w:rPr>
        <w:t>uo tikslu vykdydamos populiarinimo informacinę kampaniją.</w:t>
      </w:r>
    </w:p>
    <w:p w:rsidR="00221D6A" w:rsidRDefault="00BA3780">
      <w:pPr>
        <w:rPr>
          <w:noProof/>
        </w:rPr>
      </w:pPr>
      <w:r>
        <w:rPr>
          <w:noProof/>
        </w:rPr>
        <w:t>Tokiu būdu ketinama kuo labiau sutrumpinti laikotarpį, kai parduotuvėse demonstruojami to paties tipo gaminiai bus kartu žymimi seno ir naujo pavyzdžio etiketėmis, skalės pakeitimą padaryti kuo prak</w:t>
      </w:r>
      <w:r>
        <w:rPr>
          <w:noProof/>
        </w:rPr>
        <w:t>tiškesnį, o tai savo ruožtu padidintų etiketės veiksmingumą ir vartotojams padėtų sutaupyti energijos ir lėšų. Palyginti su dabar galiojančia sistema, nereikėtų iš esmės keisti pagrindinio etiketės platinimo sistemos, kuri iki šiol pasiteisino.</w:t>
      </w:r>
    </w:p>
    <w:p w:rsidR="00221D6A" w:rsidRDefault="00BA3780">
      <w:pPr>
        <w:pStyle w:val="ManualHeading3"/>
        <w:rPr>
          <w:noProof/>
        </w:rPr>
      </w:pPr>
      <w:r>
        <w:rPr>
          <w:noProof/>
        </w:rPr>
        <w:t>5.2.2.</w:t>
      </w:r>
      <w:r>
        <w:rPr>
          <w:noProof/>
        </w:rPr>
        <w:tab/>
        <w:t>Gere</w:t>
      </w:r>
      <w:r>
        <w:rPr>
          <w:noProof/>
        </w:rPr>
        <w:t>snis atitikties reikalavimams užtikrinimas sukuriant gaminių, kuriems taikomi ženklinimo įpareigojimai, duomenų bazę</w:t>
      </w:r>
    </w:p>
    <w:p w:rsidR="00221D6A" w:rsidRDefault="00BA3780">
      <w:pPr>
        <w:rPr>
          <w:noProof/>
        </w:rPr>
      </w:pPr>
      <w:r>
        <w:rPr>
          <w:noProof/>
        </w:rPr>
        <w:t>Manoma, kad bendras neatitikties reikalavimams lygis rinkoje yra 20 proc., todėl prarandama 10 proc. numatytos energijos ekonomijos. Atitik</w:t>
      </w:r>
      <w:r>
        <w:rPr>
          <w:noProof/>
        </w:rPr>
        <w:t>tis reikalavimams nepakankamai užtikrinama (bent iš dalies) dėl to, kad nacionalinėms rinkos priežiūros institucijoms sunku laiku gauti techninius dokumentus, o dar labiau problemą sunkina neaiškumas dėl to, kad tas pats modelis įvairiose valstybėse narėse</w:t>
      </w:r>
      <w:r>
        <w:rPr>
          <w:noProof/>
        </w:rPr>
        <w:t xml:space="preserve"> žymimas skirtingais numeriais. Nauja gaminių registravimo duomenų bazė rinkos priežiūros institucijoms užtikrins galimybę daug greičiau gauti būtiną informaciją. </w:t>
      </w:r>
    </w:p>
    <w:p w:rsidR="00221D6A" w:rsidRDefault="00BA3780">
      <w:pPr>
        <w:rPr>
          <w:noProof/>
        </w:rPr>
      </w:pPr>
      <w:r>
        <w:rPr>
          <w:noProof/>
        </w:rPr>
        <w:t>Be to, gaminių duomenų bazėje bus pateikiami naujausi rinkos duomenys ir informacija apie en</w:t>
      </w:r>
      <w:r>
        <w:rPr>
          <w:noProof/>
        </w:rPr>
        <w:t>ergijos vartojimo efektyvumą, o tai paspartins parengiamuosius / peržiūros tyrimus ir tolesnį reguliavimo procesą, todėl priimant deleguotuosius aktus taikomas dabartinis ilgas reglamentavimo procesas sutrumpės.</w:t>
      </w:r>
    </w:p>
    <w:p w:rsidR="00221D6A" w:rsidRDefault="00BA3780">
      <w:pPr>
        <w:rPr>
          <w:noProof/>
        </w:rPr>
      </w:pPr>
      <w:r>
        <w:rPr>
          <w:noProof/>
        </w:rPr>
        <w:t>Panašu, kad registravimo duomenų bazės labai</w:t>
      </w:r>
      <w:r>
        <w:rPr>
          <w:noProof/>
        </w:rPr>
        <w:t xml:space="preserve"> reikia dėl Energijos suvartojimo ženklinimo direktyvos, nes energijos vartojimo efektyvumo etiketėmis daugiausia žymimi buitiniai prietaisai – jų rinkoje labiau pasireiškia nepakankamos priežiūros poveikis ir yra didesnis lygiaverčių modelių skaičius.</w:t>
      </w:r>
    </w:p>
    <w:p w:rsidR="00221D6A" w:rsidRDefault="00BA3780">
      <w:pPr>
        <w:rPr>
          <w:noProof/>
        </w:rPr>
      </w:pPr>
      <w:r>
        <w:rPr>
          <w:noProof/>
        </w:rPr>
        <w:t xml:space="preserve">Be </w:t>
      </w:r>
      <w:r>
        <w:rPr>
          <w:noProof/>
        </w:rPr>
        <w:t>to, kad duomenų bazė padės pašalinti galiojančios sistemos trūkumus, ateityje ją būtų galima panaudoti kaip naujovišką energijos vartojimo efektyvumo etikečių platinimo prekiautojams būdą, nes tokioje duomenų bazėje būtų ir seno pavyzdžio energijos vartoji</w:t>
      </w:r>
      <w:r>
        <w:rPr>
          <w:noProof/>
        </w:rPr>
        <w:t>mo efektyvumo ženklinimo etiketė, ir pakeistos skalės etiketė. Pasiūlyme taip pat atnaujinti direktyvos reikalavimai: numatytas reikalavimas pateikti etiketes elektroniniu būdu ir reikalavimas tiekėjams pateikti etiketes savo interneto svetainėje.</w:t>
      </w:r>
    </w:p>
    <w:p w:rsidR="00221D6A" w:rsidRDefault="00BA3780">
      <w:pPr>
        <w:rPr>
          <w:bCs/>
          <w:noProof/>
        </w:rPr>
      </w:pPr>
      <w:r>
        <w:rPr>
          <w:noProof/>
        </w:rPr>
        <w:t>Palygint</w:t>
      </w:r>
      <w:r>
        <w:rPr>
          <w:noProof/>
        </w:rPr>
        <w:t>i su galiojančiais gaminio informacijos reikalavimais tiekėjams, sukūrus gaminių registravimo duomenų bazę atsiras tik naujas įpareigojimas registruoti gaminio modelį ir įkelti informaciją, kurios jau dabar reikalaujama pagal įvairius galiojančios sistemos</w:t>
      </w:r>
      <w:r>
        <w:rPr>
          <w:noProof/>
        </w:rPr>
        <w:t xml:space="preserve"> deleguotuosius aktus. </w:t>
      </w:r>
    </w:p>
    <w:p w:rsidR="00221D6A" w:rsidRDefault="00BA3780">
      <w:pPr>
        <w:rPr>
          <w:bCs/>
          <w:noProof/>
        </w:rPr>
      </w:pPr>
      <w:r>
        <w:rPr>
          <w:noProof/>
        </w:rPr>
        <w:t>Apskaičiuota, kad administracinės gaminių registravimo išlaidos visai pramonei būtų 1,5 mln. EUR per metus, maždaug 0,5 euro cento kiekvienam parduodamam gaminiui. Faktinės išlaidos būtų mažesnės arba nulinės, nes nebebūtų reikalauj</w:t>
      </w:r>
      <w:r>
        <w:rPr>
          <w:noProof/>
        </w:rPr>
        <w:t>ama, kad tiekėjai saugotų techninius dokumentus penkerius metus po paskutinio gaminio pagaminimo ir pateiktų juos rinkos priežiūros institucijoms pastarųjų prašymu. Šiuo metu rinkos priežiūros institucijos turi prašyti tiekėjų pateikti techninius dokumentu</w:t>
      </w:r>
      <w:r>
        <w:rPr>
          <w:noProof/>
        </w:rPr>
        <w:t>s, o prekiautojai, jei jiems dėl kokios nors priežasties reikia gauti etikečių, taip pat turi kreiptis į tiekėjus. Duomenų bazėje bus kaupiami ir rinkos priežiūrai būtini techniniai dokumentai, ir prekiautojams būtinos etiketės.</w:t>
      </w:r>
    </w:p>
    <w:p w:rsidR="00221D6A" w:rsidRDefault="00BA3780">
      <w:pPr>
        <w:pStyle w:val="ManualHeading3"/>
        <w:rPr>
          <w:noProof/>
        </w:rPr>
      </w:pPr>
      <w:r>
        <w:rPr>
          <w:noProof/>
        </w:rPr>
        <w:t>5.2.3.</w:t>
      </w:r>
      <w:r>
        <w:rPr>
          <w:noProof/>
        </w:rPr>
        <w:tab/>
        <w:t>Aiškiau nustatytos į</w:t>
      </w:r>
      <w:r>
        <w:rPr>
          <w:noProof/>
        </w:rPr>
        <w:t>vairių subjektų pareigos</w:t>
      </w:r>
    </w:p>
    <w:p w:rsidR="00221D6A" w:rsidRDefault="00BA3780">
      <w:pPr>
        <w:rPr>
          <w:noProof/>
        </w:rPr>
      </w:pPr>
      <w:r>
        <w:rPr>
          <w:noProof/>
        </w:rPr>
        <w:t xml:space="preserve">Pasiūlyme pergrupuoti atitinkami įpareigojimai valstybėms narėms, tiekėjams ir prekiautojams, todėl jie nuoseklesni ir paprastesni. </w:t>
      </w:r>
    </w:p>
    <w:p w:rsidR="00221D6A" w:rsidRDefault="00BA3780">
      <w:pPr>
        <w:rPr>
          <w:noProof/>
        </w:rPr>
      </w:pPr>
      <w:r>
        <w:rPr>
          <w:noProof/>
        </w:rPr>
        <w:t>Direktyvos pakeitimas reglamentu reiškia mažesnę administracinę naštą valstybėms narėms (nors joms</w:t>
      </w:r>
      <w:r>
        <w:rPr>
          <w:noProof/>
        </w:rPr>
        <w:t xml:space="preserve"> vis tiek reikės panaikinti priemones, kuriomis Direktyva 2010/30/ES buvo perkelta į nacionalinę teisę) ir tiesiogiai taikomus reikalavimus tiekėjams ir prekiautojams, todėl užtikrinamas visiškas suderinimas visoje ES.</w:t>
      </w:r>
    </w:p>
    <w:p w:rsidR="00221D6A" w:rsidRDefault="00BA3780">
      <w:pPr>
        <w:pStyle w:val="ManualHeading3"/>
        <w:rPr>
          <w:noProof/>
        </w:rPr>
      </w:pPr>
      <w:r>
        <w:rPr>
          <w:noProof/>
        </w:rPr>
        <w:t>5.2.4.</w:t>
      </w:r>
      <w:r>
        <w:rPr>
          <w:noProof/>
        </w:rPr>
        <w:tab/>
        <w:t>Geriau susieti energijos varto</w:t>
      </w:r>
      <w:r>
        <w:rPr>
          <w:noProof/>
        </w:rPr>
        <w:t>jimo efektyvumo ženklinimo ir matavimo standartai</w:t>
      </w:r>
    </w:p>
    <w:p w:rsidR="00221D6A" w:rsidRDefault="00BA3780">
      <w:pPr>
        <w:rPr>
          <w:noProof/>
        </w:rPr>
      </w:pPr>
      <w:r>
        <w:rPr>
          <w:noProof/>
        </w:rPr>
        <w:t>Pasiūlyme aiškiai nurodoma, kad, nustačius gaminio atitiktį reikalavimams pagal atitinkamame darniajame standarte nustatytus matavimo ir skaičiavimo metodus, laikoma, jog jis atitinka ir taikomo deleguotojo</w:t>
      </w:r>
      <w:r>
        <w:rPr>
          <w:noProof/>
        </w:rPr>
        <w:t xml:space="preserve"> akto nuostatas.</w:t>
      </w:r>
    </w:p>
    <w:p w:rsidR="00221D6A" w:rsidRDefault="00221D6A">
      <w:pPr>
        <w:rPr>
          <w:noProof/>
        </w:rPr>
        <w:sectPr w:rsidR="00221D6A">
          <w:footerReference w:type="default" r:id="rId11"/>
          <w:footerReference w:type="first" r:id="rId12"/>
          <w:pgSz w:w="11907" w:h="16839"/>
          <w:pgMar w:top="1134" w:right="1417" w:bottom="1134" w:left="1417" w:header="709" w:footer="709" w:gutter="0"/>
          <w:cols w:space="708"/>
          <w:docGrid w:linePitch="360"/>
        </w:sectPr>
      </w:pPr>
    </w:p>
    <w:p w:rsidR="00221D6A" w:rsidRDefault="00BA3780">
      <w:pPr>
        <w:pStyle w:val="Rfrenceinterinstitutionnelle"/>
        <w:rPr>
          <w:noProof/>
        </w:rPr>
      </w:pPr>
      <w:r>
        <w:rPr>
          <w:noProof/>
        </w:rPr>
        <w:t>2015/0149 (COD)</w:t>
      </w:r>
    </w:p>
    <w:p w:rsidR="00221D6A" w:rsidRDefault="00BA3780">
      <w:pPr>
        <w:pStyle w:val="Statut"/>
        <w:rPr>
          <w:noProof/>
        </w:rPr>
      </w:pPr>
      <w:r>
        <w:rPr>
          <w:noProof/>
        </w:rPr>
        <w:t>Pasiūlymas</w:t>
      </w:r>
    </w:p>
    <w:p w:rsidR="00221D6A" w:rsidRDefault="00BA3780">
      <w:pPr>
        <w:pStyle w:val="Typedudocument"/>
        <w:rPr>
          <w:noProof/>
        </w:rPr>
      </w:pPr>
      <w:r>
        <w:rPr>
          <w:noProof/>
        </w:rPr>
        <w:t>EUROPOS PARLAMENTO IR TARYBOS REGLAMENTAS</w:t>
      </w:r>
    </w:p>
    <w:p w:rsidR="00221D6A" w:rsidRDefault="00BA3780">
      <w:pPr>
        <w:pStyle w:val="Titreobjet"/>
        <w:rPr>
          <w:noProof/>
        </w:rPr>
      </w:pPr>
      <w:r>
        <w:rPr>
          <w:noProof/>
        </w:rPr>
        <w:t>kuriuo nustatomi energijos vartojimo efektyvumo ženklinimo pagrindai</w:t>
      </w:r>
      <w:r>
        <w:rPr>
          <w:noProof/>
        </w:rPr>
        <w:t xml:space="preserve"> </w:t>
      </w:r>
      <w:r>
        <w:rPr>
          <w:noProof/>
        </w:rPr>
        <w:br/>
        <w:t>ir panaikinama Direktyva 2010/30/ES</w:t>
      </w:r>
    </w:p>
    <w:p w:rsidR="00221D6A" w:rsidRDefault="00BA3780">
      <w:pPr>
        <w:pStyle w:val="IntrtEEE"/>
        <w:rPr>
          <w:noProof/>
        </w:rPr>
      </w:pPr>
      <w:r>
        <w:rPr>
          <w:noProof/>
        </w:rPr>
        <w:t>(Tekstas svarbus EEE)</w:t>
      </w:r>
    </w:p>
    <w:p w:rsidR="00221D6A" w:rsidRDefault="00BA3780">
      <w:pPr>
        <w:pStyle w:val="Institutionquiagit"/>
        <w:rPr>
          <w:noProof/>
        </w:rPr>
      </w:pPr>
      <w:r>
        <w:rPr>
          <w:noProof/>
        </w:rPr>
        <w:t>EUROPOS PARLAMENTAS IR EUROPOS SĄJUNGOS TARYBA,</w:t>
      </w:r>
    </w:p>
    <w:p w:rsidR="00221D6A" w:rsidRDefault="00BA3780">
      <w:pPr>
        <w:rPr>
          <w:noProof/>
        </w:rPr>
      </w:pPr>
      <w:r>
        <w:rPr>
          <w:noProof/>
        </w:rPr>
        <w:t>atsižvelgdami į Sutartį dėl Europos Sąjungos veikimo, ypač į jos 194 straipsnio 2 dalį,</w:t>
      </w:r>
    </w:p>
    <w:p w:rsidR="00221D6A" w:rsidRDefault="00BA3780">
      <w:pPr>
        <w:rPr>
          <w:noProof/>
        </w:rPr>
      </w:pPr>
      <w:r>
        <w:rPr>
          <w:noProof/>
        </w:rPr>
        <w:t>atsižvelgdami į Europos Komisijos pasiūlymą,</w:t>
      </w:r>
    </w:p>
    <w:p w:rsidR="00221D6A" w:rsidRDefault="00BA3780">
      <w:pPr>
        <w:rPr>
          <w:noProof/>
        </w:rPr>
      </w:pPr>
      <w:r>
        <w:rPr>
          <w:noProof/>
        </w:rPr>
        <w:t>teisėkūros proc</w:t>
      </w:r>
      <w:r>
        <w:rPr>
          <w:noProof/>
        </w:rPr>
        <w:t>edūra priimamo akto projektą perdavus nacionaliniams parlamentams,</w:t>
      </w:r>
    </w:p>
    <w:p w:rsidR="00221D6A" w:rsidRDefault="00BA3780">
      <w:pPr>
        <w:rPr>
          <w:noProof/>
        </w:rPr>
      </w:pPr>
      <w:r>
        <w:rPr>
          <w:noProof/>
        </w:rPr>
        <w:t>atsižvelgdami į Europos ekonomikos ir socialinių reikalų komiteto nuomonę</w:t>
      </w:r>
      <w:r>
        <w:rPr>
          <w:rStyle w:val="FootnoteReference"/>
          <w:noProof/>
        </w:rPr>
        <w:footnoteReference w:id="14"/>
      </w:r>
      <w:r>
        <w:rPr>
          <w:noProof/>
        </w:rPr>
        <w:t>,</w:t>
      </w:r>
    </w:p>
    <w:p w:rsidR="00221D6A" w:rsidRDefault="00BA3780">
      <w:pPr>
        <w:rPr>
          <w:noProof/>
        </w:rPr>
      </w:pPr>
      <w:r>
        <w:rPr>
          <w:noProof/>
        </w:rPr>
        <w:t>atsižvelgdami į Regionų komiteto nuomonę</w:t>
      </w:r>
      <w:r>
        <w:rPr>
          <w:rStyle w:val="FootnoteReference"/>
          <w:noProof/>
        </w:rPr>
        <w:footnoteReference w:id="15"/>
      </w:r>
      <w:r>
        <w:rPr>
          <w:noProof/>
        </w:rPr>
        <w:t>,</w:t>
      </w:r>
    </w:p>
    <w:p w:rsidR="00221D6A" w:rsidRDefault="00BA3780">
      <w:pPr>
        <w:rPr>
          <w:noProof/>
        </w:rPr>
      </w:pPr>
      <w:r>
        <w:rPr>
          <w:noProof/>
        </w:rPr>
        <w:t>laikydamiesi įprastos teisėkūros procedūros,</w:t>
      </w:r>
    </w:p>
    <w:p w:rsidR="00221D6A" w:rsidRDefault="00BA3780">
      <w:pPr>
        <w:rPr>
          <w:noProof/>
        </w:rPr>
      </w:pPr>
      <w:r>
        <w:rPr>
          <w:noProof/>
        </w:rPr>
        <w:t>kadangi:</w:t>
      </w:r>
    </w:p>
    <w:p w:rsidR="00221D6A" w:rsidRDefault="00BA3780">
      <w:pPr>
        <w:pStyle w:val="ManualConsidrant"/>
        <w:rPr>
          <w:noProof/>
        </w:rPr>
      </w:pPr>
      <w:r>
        <w:rPr>
          <w:noProof/>
        </w:rPr>
        <w:t>(1)</w:t>
      </w:r>
      <w:r>
        <w:rPr>
          <w:noProof/>
        </w:rPr>
        <w:tab/>
        <w:t>Europos Sąju</w:t>
      </w:r>
      <w:r>
        <w:rPr>
          <w:noProof/>
        </w:rPr>
        <w:t>nga įsipareigojusi sukurti pažangia klimato politika grindžiamą energetikos sąjungą. Energijos vartojimo efektyvumas yra esminis Europos Sąjungos 2030 m. klimato ir energetikos politikos elementas ir vienas iš svarbiausių energijos poreikio mažinimo veiksn</w:t>
      </w:r>
      <w:r>
        <w:rPr>
          <w:noProof/>
        </w:rPr>
        <w:t xml:space="preserve">ių; </w:t>
      </w:r>
    </w:p>
    <w:p w:rsidR="00221D6A" w:rsidRDefault="00BA3780">
      <w:pPr>
        <w:pStyle w:val="ManualConsidrant"/>
        <w:rPr>
          <w:noProof/>
        </w:rPr>
      </w:pPr>
      <w:r>
        <w:rPr>
          <w:noProof/>
        </w:rPr>
        <w:t>(2)</w:t>
      </w:r>
      <w:r>
        <w:rPr>
          <w:noProof/>
        </w:rPr>
        <w:tab/>
        <w:t>energijos vartojimo efektyvumo ženklinimas užtikrins galimybę vartotojams priimti informacija apie gaminių energijos sąnaudas grindžiamus sprendimus ir taip skatins inovacijas;</w:t>
      </w:r>
    </w:p>
    <w:p w:rsidR="00221D6A" w:rsidRDefault="00BA3780">
      <w:pPr>
        <w:pStyle w:val="ManualConsidrant"/>
        <w:rPr>
          <w:noProof/>
          <w:szCs w:val="24"/>
        </w:rPr>
      </w:pPr>
      <w:r>
        <w:rPr>
          <w:noProof/>
        </w:rPr>
        <w:t>(3)</w:t>
      </w:r>
      <w:r>
        <w:rPr>
          <w:noProof/>
        </w:rPr>
        <w:tab/>
        <w:t>įvertintas Europos Parlamento ir Tarybos direktyvos 2010/30/ES</w:t>
      </w:r>
      <w:r>
        <w:rPr>
          <w:rStyle w:val="FootnoteReference"/>
          <w:noProof/>
        </w:rPr>
        <w:footnoteReference w:id="16"/>
      </w:r>
      <w:r>
        <w:rPr>
          <w:noProof/>
        </w:rPr>
        <w:t xml:space="preserve"> veiksmingumas</w:t>
      </w:r>
      <w:r>
        <w:rPr>
          <w:rStyle w:val="FootnoteReference"/>
          <w:noProof/>
        </w:rPr>
        <w:footnoteReference w:id="17"/>
      </w:r>
      <w:r>
        <w:rPr>
          <w:noProof/>
        </w:rPr>
        <w:t>. Vertinant nustatyta, kad reikia atnaujinti energijos vartojimo efektyvumo ženklinimo pagrindus siekiant padidinti jų veiksmingumą;</w:t>
      </w:r>
    </w:p>
    <w:p w:rsidR="00221D6A" w:rsidRDefault="00BA3780">
      <w:pPr>
        <w:pStyle w:val="ManualConsidrant"/>
        <w:rPr>
          <w:noProof/>
          <w:szCs w:val="24"/>
        </w:rPr>
      </w:pPr>
      <w:r>
        <w:rPr>
          <w:noProof/>
        </w:rPr>
        <w:t>(4)</w:t>
      </w:r>
      <w:r>
        <w:rPr>
          <w:noProof/>
        </w:rPr>
        <w:tab/>
        <w:t xml:space="preserve">Direktyvą 2010/30/ES dera pakeisti reglamentu, kurio taikymo sritis būtų ta pati, tačiau būtų iš dalies </w:t>
      </w:r>
      <w:r>
        <w:rPr>
          <w:noProof/>
        </w:rPr>
        <w:t xml:space="preserve">pakeistos ir sustiprintos kai kurios direktyvos nuostatos, siekiant jas išdėstyti aiškiau ir atnaujinti jų turinį. Reglamentas yra tinkama teisinė priemonė, nes juo nustatomos aiškios ir išsamios taisyklės, kurių valstybės narės negali skirtingai perkelti </w:t>
      </w:r>
      <w:r>
        <w:rPr>
          <w:noProof/>
        </w:rPr>
        <w:t>į nacionalinę teisę, todėl užtikrinamas aukštas suderinimo visoje Sąjungoje laipsnis. Jei reguliavimo pagrindai derinami Sąjungos, o ne valstybių narių lygmeniu, sumažėja išlaidos gamintojams ir užtikrinamos vienodos sąlygos. Suderinimas visoje Sąjungoje r</w:t>
      </w:r>
      <w:r>
        <w:rPr>
          <w:noProof/>
        </w:rPr>
        <w:t xml:space="preserve">eiškia laisvą prekių judėjimą visoje bendrojoje rinkoje; </w:t>
      </w:r>
    </w:p>
    <w:p w:rsidR="00221D6A" w:rsidRDefault="00BA3780">
      <w:pPr>
        <w:pStyle w:val="ManualConsidrant"/>
        <w:rPr>
          <w:noProof/>
        </w:rPr>
      </w:pPr>
      <w:r>
        <w:rPr>
          <w:noProof/>
        </w:rPr>
        <w:t>(5)</w:t>
      </w:r>
      <w:r>
        <w:rPr>
          <w:noProof/>
        </w:rPr>
        <w:tab/>
        <w:t>energijos poreikio mažinimas pripažįstamas kaip vienas svarbiausių Europos energetinio saugumo strategijos</w:t>
      </w:r>
      <w:r>
        <w:rPr>
          <w:rStyle w:val="FootnoteReference"/>
          <w:noProof/>
        </w:rPr>
        <w:footnoteReference w:id="18"/>
      </w:r>
      <w:r>
        <w:rPr>
          <w:noProof/>
        </w:rPr>
        <w:t xml:space="preserve"> veiksmų. Energetikos sąjungos pagrindų strategijoje</w:t>
      </w:r>
      <w:r>
        <w:rPr>
          <w:rStyle w:val="FootnoteReference"/>
          <w:noProof/>
        </w:rPr>
        <w:footnoteReference w:id="19"/>
      </w:r>
      <w:r>
        <w:rPr>
          <w:noProof/>
        </w:rPr>
        <w:t xml:space="preserve"> dar labiau pabrėžtas poreikis pir</w:t>
      </w:r>
      <w:r>
        <w:rPr>
          <w:noProof/>
        </w:rPr>
        <w:t>miausia didinti energijos vartojimo efektyvumą ir iki galo įgyvendinti galiojančius Sąjungos energetikos teisės aktus. Strategijos veiksmų plane numatyta 2015 m. peržiūrėti gaminių energijos vartojimo efektyvumo pagrindus. Šiuo reglamentu bus pagerinti tei</w:t>
      </w:r>
      <w:r>
        <w:rPr>
          <w:noProof/>
        </w:rPr>
        <w:t>siniai energijos vartojimo efektyvumo ženklinimo pagrindai ir geriau užtikrinama atitiktis reikalavimams;</w:t>
      </w:r>
    </w:p>
    <w:p w:rsidR="00221D6A" w:rsidRDefault="00BA3780">
      <w:pPr>
        <w:pStyle w:val="ManualConsidrant"/>
        <w:rPr>
          <w:noProof/>
        </w:rPr>
      </w:pPr>
      <w:r>
        <w:rPr>
          <w:noProof/>
        </w:rPr>
        <w:t>(7)</w:t>
      </w:r>
      <w:r>
        <w:rPr>
          <w:noProof/>
        </w:rPr>
        <w:tab/>
        <w:t>su energija susijusių gaminių energijos vartojimo efektyvumo didinimas suteikiant vartotojams informaciją, kad jie galėtų pasirinkti gaminius, yra</w:t>
      </w:r>
      <w:r>
        <w:rPr>
          <w:noProof/>
        </w:rPr>
        <w:t xml:space="preserve"> naudingas visai Sąjungos ekonomikai, skatina inovacijas ir padės siekti Sąjungos 2020 m. ir 2030 m. energijos vartojimo efektyvumo tikslų. Be to, jis padės vartotojams taupyti pinigus;</w:t>
      </w:r>
    </w:p>
    <w:p w:rsidR="00221D6A" w:rsidRDefault="00BA3780">
      <w:pPr>
        <w:pStyle w:val="ManualConsidrant"/>
        <w:rPr>
          <w:noProof/>
        </w:rPr>
      </w:pPr>
      <w:r>
        <w:rPr>
          <w:noProof/>
        </w:rPr>
        <w:t>(8)</w:t>
      </w:r>
      <w:r>
        <w:rPr>
          <w:noProof/>
        </w:rPr>
        <w:tab/>
        <w:t>2014 m. spalio 23 ir 24 d. Europos Vadovų Tarybos išvadose nustaty</w:t>
      </w:r>
      <w:r>
        <w:rPr>
          <w:noProof/>
        </w:rPr>
        <w:t>tas Sąjungos orientacinis 2030 m. tikslas bent 27 proc. pagerinti energijos vartojimo efektyvumą, palyginti su prognozuojamomis būsimomis energijos sąnaudomis. Šis tikslas bus peržiūrėtas 2020 m., turint omenyje 30 proc. efektyvumo lygį Sąjungoje. Jose nus</w:t>
      </w:r>
      <w:r>
        <w:rPr>
          <w:noProof/>
        </w:rPr>
        <w:t>tatytas ir privalomas tikslas iki 2030 m. Europos Sąjungoje išmetamų šiltnamio efektą sukeliančių dujų kiekį sumažinti bent 40 proc., palyginti su 1990 m., įskaitant 30 proc. sumažinimą sektoriuose, kuriems netaikoma apyvartinių taršos leidimų prekybos sis</w:t>
      </w:r>
      <w:r>
        <w:rPr>
          <w:noProof/>
        </w:rPr>
        <w:t>tema;</w:t>
      </w:r>
    </w:p>
    <w:p w:rsidR="00221D6A" w:rsidRDefault="00BA3780">
      <w:pPr>
        <w:pStyle w:val="ManualConsidrant"/>
        <w:rPr>
          <w:noProof/>
        </w:rPr>
      </w:pPr>
      <w:r>
        <w:rPr>
          <w:noProof/>
        </w:rPr>
        <w:t>(9)</w:t>
      </w:r>
      <w:r>
        <w:rPr>
          <w:noProof/>
        </w:rPr>
        <w:tab/>
        <w:t>tikslios, svarbios ir palyginamos informacijos apie konkrečių su energija susijusių gaminių energijos sąnaudas teikimas pirkėjams padėtų rinktis gaminius, kurių naudojimo etapu energijos ir kitų svarbių išteklių suvartojama mažiau. Standartizuota</w:t>
      </w:r>
      <w:r>
        <w:rPr>
          <w:noProof/>
        </w:rPr>
        <w:t xml:space="preserve"> privaloma etiketė yra veiksminga palyginamos informacijos apie su energija susijusių gaminių energijos sąnaudas pateikimo potencialiems pirkėjams priemonė. Ją turėtų papildyti gaminio informacijos lapas. Etiketė turėtų būti lengvai atpažįstama, paprasta i</w:t>
      </w:r>
      <w:r>
        <w:rPr>
          <w:noProof/>
        </w:rPr>
        <w:t>r glausta. Todėl informuojant pirkėjus apie gaminių energijos vartojimo efektyvumą reikėtų remtis dabartine tamsiai žalios–raudonos spalvų skale. Paaiškėjo, kad pirkėjams veiksmingiausias klasių žymėjimas A–G raidėmis. Tais atvejais, kai dėl ekologinio pro</w:t>
      </w:r>
      <w:r>
        <w:rPr>
          <w:noProof/>
        </w:rPr>
        <w:t xml:space="preserve">jektavimo priemonių pagal Direktyvą 2009/125/EB gaminių nebegalima priskirti F–G klasėms, etiketėje tos klasės turėtų būti nerodomos. Ypatingais atvejais šis principas turėtų būti taikomas ir D ir E klasėms, nors tokia padėtis mažai tikėtina, nes daugumai </w:t>
      </w:r>
      <w:r>
        <w:rPr>
          <w:noProof/>
        </w:rPr>
        <w:t>gaminių modelių susitelkus dviejose aukščiausiose klasėse etiketės skalė būtų pakeičiama;</w:t>
      </w:r>
    </w:p>
    <w:p w:rsidR="00221D6A" w:rsidRDefault="00BA3780">
      <w:pPr>
        <w:pStyle w:val="ManualConsidrant"/>
        <w:rPr>
          <w:noProof/>
        </w:rPr>
      </w:pPr>
      <w:r>
        <w:rPr>
          <w:noProof/>
        </w:rPr>
        <w:t>(10)</w:t>
      </w:r>
      <w:r>
        <w:rPr>
          <w:noProof/>
        </w:rPr>
        <w:tab/>
        <w:t>skaitmeninių technologijų pažanga užtikrino galimybę pateikti ir rodyti etiketes elektroniniu būdu, pvz., internete, bet taip pat ir parduotuvėse elektroniniuose</w:t>
      </w:r>
      <w:r>
        <w:rPr>
          <w:noProof/>
        </w:rPr>
        <w:t xml:space="preserve"> ekranuose. Kad būtų galima pasinaudoti tokios pažangos privalumais, šiuo reglamentu be fizinės energijos vartojimo efektyvumo etiketės turėtų būti leidžiama papildomai arba kaip pakaitalą naudoti elektroninę etiketę. Tais atvejais, kai energijos vartojimo</w:t>
      </w:r>
      <w:r>
        <w:rPr>
          <w:noProof/>
        </w:rPr>
        <w:t xml:space="preserve"> efektyvumo etiketės rodyti neįmanoma, pvz., taikant tam tikrus nuotolinio pardavimo būdus, taip pat reklamoje ir techninėje reklaminėje medžiagoje, potencialiems pirkėjams turėtų būti nurodoma bent gaminio energijos vartojimo efektyvumo klasė; </w:t>
      </w:r>
    </w:p>
    <w:p w:rsidR="00221D6A" w:rsidRDefault="00BA3780">
      <w:pPr>
        <w:pStyle w:val="ManualConsidrant"/>
        <w:rPr>
          <w:noProof/>
        </w:rPr>
      </w:pPr>
      <w:r>
        <w:rPr>
          <w:noProof/>
        </w:rPr>
        <w:t>(11)</w:t>
      </w:r>
      <w:r>
        <w:rPr>
          <w:noProof/>
        </w:rPr>
        <w:tab/>
        <w:t>gamin</w:t>
      </w:r>
      <w:r>
        <w:rPr>
          <w:noProof/>
        </w:rPr>
        <w:t>tojus energijos vartojimo efektyvumo etiketė skatina kurti vis efektyvesnius gaminius. Dėl šios technologijų plėtros gaminiai ilgainiui daugiausia priskiriami prie aukščiausių energijos vartojimo efektyvumo etiketės klasių. Kad gaminius pirkėjai galėtų tin</w:t>
      </w:r>
      <w:r>
        <w:rPr>
          <w:noProof/>
        </w:rPr>
        <w:t>kamai palyginti, gali reikėti smulkiau juos suskirstyti, taigi pakeisti etiketės skalę. Kad gamintojams nebūtų užkraunama per didelė našta, tinkamas tokio skalės keitimo periodiškumas turėtų būti maždaug dešimt metų. Todėl, siekiant kuo didesnio teisinio t</w:t>
      </w:r>
      <w:r>
        <w:rPr>
          <w:noProof/>
        </w:rPr>
        <w:t>ikrumo tiekėjams ir prekiautojams, šiame reglamente turėtų būti nustatyta išsami skalės keitimo tvarka. Naujos pakeistos skalės etiketės aukščiausios klasės turėtų būti tuščios, kad būtų skatinama technologijų pažanga ir būtų sudarytos sąlygos kurti ir pri</w:t>
      </w:r>
      <w:r>
        <w:rPr>
          <w:noProof/>
        </w:rPr>
        <w:t>pažinti vis efektyvesnius gaminius. Siekiant išvengti painiavos pirkėjams, pakeitus etiketės skalę, per trumpą laiką turėtų būti pakeičiamos visos etiketės;</w:t>
      </w:r>
    </w:p>
    <w:p w:rsidR="00221D6A" w:rsidRDefault="00BA3780">
      <w:pPr>
        <w:pStyle w:val="ManualConsidrant"/>
        <w:rPr>
          <w:noProof/>
        </w:rPr>
      </w:pPr>
      <w:r>
        <w:rPr>
          <w:noProof/>
        </w:rPr>
        <w:t>(12)</w:t>
      </w:r>
      <w:r>
        <w:rPr>
          <w:noProof/>
        </w:rPr>
        <w:tab/>
        <w:t xml:space="preserve">jei etiketės skalė pakeičiama, tiekėjai tam tikrą laiką prekiautojams turėtų pateikti ir seno </w:t>
      </w:r>
      <w:r>
        <w:rPr>
          <w:noProof/>
        </w:rPr>
        <w:t>pavyzdžio, ir pakeistos skalės etiketę. Demonstruojamų, įskaitant internete, gaminių seno pavyzdžio etiketės po deleguotajame akte, kuriuo keičiama etiketės skalė, nustatytos pakeitimo datos turėtų būti kuo greičiau pakeistos naujos skalės etiketėmis. Prek</w:t>
      </w:r>
      <w:r>
        <w:rPr>
          <w:noProof/>
        </w:rPr>
        <w:t>iautojai pakeistos skalės etiketės iki pakeitimo dienos turėtų nerodyti;</w:t>
      </w:r>
    </w:p>
    <w:p w:rsidR="00221D6A" w:rsidRDefault="00BA3780">
      <w:pPr>
        <w:pStyle w:val="ManualConsidrant"/>
        <w:rPr>
          <w:noProof/>
        </w:rPr>
      </w:pPr>
      <w:r>
        <w:rPr>
          <w:noProof/>
        </w:rPr>
        <w:t>(13)</w:t>
      </w:r>
      <w:r>
        <w:rPr>
          <w:noProof/>
        </w:rPr>
        <w:tab/>
        <w:t>būtina aiškiai ir proporcingai paskirstyti pareigas, atsižvelgiant į kiekvieno ūkinės veiklos vykdytojo funkcijas tiekimo ir platinimo procese. Ūkinės veiklos vykdytojai turėtų b</w:t>
      </w:r>
      <w:r>
        <w:rPr>
          <w:noProof/>
        </w:rPr>
        <w:t>ūti atsakingi už reikalavimų laikymąsi pagal atitinkamą savo funkciją tiekimo grandinėje ir turėtų imtis atitinkamų priemonių siekdami užtikrinti, kad rinkai tiektų tik šio reglamento ir jo deleguotųjų aktų reikalavimus atitinkančius gaminius;</w:t>
      </w:r>
    </w:p>
    <w:p w:rsidR="00221D6A" w:rsidRDefault="00BA3780">
      <w:pPr>
        <w:pStyle w:val="ManualConsidrant"/>
        <w:rPr>
          <w:noProof/>
        </w:rPr>
      </w:pPr>
      <w:r>
        <w:rPr>
          <w:noProof/>
        </w:rPr>
        <w:t>(14)</w:t>
      </w:r>
      <w:r>
        <w:rPr>
          <w:noProof/>
        </w:rPr>
        <w:tab/>
        <w:t>siekian</w:t>
      </w:r>
      <w:r>
        <w:rPr>
          <w:noProof/>
        </w:rPr>
        <w:t>t išsaugoti pirkėjų pasitikėjimą energijos vartojimo efektyvumo etikete, neturėtų būti leidžiama su energija susijusius gaminius ženklinti kitomis ją imituojančiomis etiketėmis. Neturėtų būti leidžiamos ir papildomos etiketės, ženklai, simboliai arba užraš</w:t>
      </w:r>
      <w:r>
        <w:rPr>
          <w:noProof/>
        </w:rPr>
        <w:t>ai, kurie gali klaidinti ar painioti pirkėjus energijos sąnaudų atžvilgiu;</w:t>
      </w:r>
    </w:p>
    <w:p w:rsidR="00221D6A" w:rsidRDefault="00BA3780">
      <w:pPr>
        <w:pStyle w:val="ManualConsidrant"/>
        <w:rPr>
          <w:noProof/>
        </w:rPr>
      </w:pPr>
      <w:r>
        <w:rPr>
          <w:noProof/>
        </w:rPr>
        <w:t>(15)</w:t>
      </w:r>
      <w:r>
        <w:rPr>
          <w:noProof/>
        </w:rPr>
        <w:tab/>
        <w:t>siekiant užtikrinti teisinį tikrumą, būtina patikslinti, kad su energija susijusiems gaminiams taikomos Europos Parlamento ir Tarybos reglamentu (EB) Nr. 765/2008</w:t>
      </w:r>
      <w:r>
        <w:rPr>
          <w:rStyle w:val="FootnoteReference"/>
          <w:noProof/>
        </w:rPr>
        <w:footnoteReference w:id="20"/>
      </w:r>
      <w:r>
        <w:rPr>
          <w:noProof/>
        </w:rPr>
        <w:t xml:space="preserve"> nustatytos S</w:t>
      </w:r>
      <w:r>
        <w:rPr>
          <w:noProof/>
        </w:rPr>
        <w:t>ąjungos rinkos priežiūros ir į Sąjungos rinką įvežamų gaminių kontrolės taisyklės. Atsižvelgiant į laisvo prekių judėjimo principą, būtina, kad valstybių narių rinkos priežiūros institucijos tarpusavyje veiksmingai bendradarbiautų. Tokį su energijos suvart</w:t>
      </w:r>
      <w:r>
        <w:rPr>
          <w:noProof/>
        </w:rPr>
        <w:t>ojimo ženklinimu susijusį bendradarbiavimą turėtų stiprinti ir remti Komisija;</w:t>
      </w:r>
    </w:p>
    <w:p w:rsidR="00221D6A" w:rsidRDefault="00BA3780">
      <w:pPr>
        <w:pStyle w:val="ManualConsidrant"/>
        <w:rPr>
          <w:noProof/>
        </w:rPr>
      </w:pPr>
      <w:r>
        <w:rPr>
          <w:noProof/>
        </w:rPr>
        <w:t>(16)</w:t>
      </w:r>
      <w:r>
        <w:rPr>
          <w:noProof/>
        </w:rPr>
        <w:tab/>
        <w:t>siekiant palengvinti reikalavimų laikymosi stebėjimą ir užtikrinti, kad vykdant su konkrečių gaminių etikečių ir informacijos lapų persvarstymu susijusį reglamentavimo proc</w:t>
      </w:r>
      <w:r>
        <w:rPr>
          <w:noProof/>
        </w:rPr>
        <w:t>esą būtų prieinami naujausi rinkos duomenys, tiekėjai informaciją apie savo gaminių atitiktį turėtų pateikti elektroniniu būdu Komisijos sukurtoje duomenų bazėje. Informacija turėtų būti viešai prieinama, kad ją būtų galima teikti pirkėjams ir kad prekiaut</w:t>
      </w:r>
      <w:r>
        <w:rPr>
          <w:noProof/>
        </w:rPr>
        <w:t>ojai galėtų gauti etiketes alternatyviais būdais. Duomenų bazėje saugoma informacija turėtų galėti naudotis rinkos priežiūros institucijos;</w:t>
      </w:r>
    </w:p>
    <w:p w:rsidR="00221D6A" w:rsidRDefault="00BA3780">
      <w:pPr>
        <w:pStyle w:val="ManualConsidrant"/>
        <w:rPr>
          <w:noProof/>
        </w:rPr>
      </w:pPr>
      <w:r>
        <w:rPr>
          <w:noProof/>
        </w:rPr>
        <w:t>(17)</w:t>
      </w:r>
      <w:r>
        <w:rPr>
          <w:noProof/>
        </w:rPr>
        <w:tab/>
        <w:t>sankcijos už šio reglamento ir pagal jį priimtų deleguotųjų aktų nuostatų pažeidimus turėtų būti veiksmingos, p</w:t>
      </w:r>
      <w:r>
        <w:rPr>
          <w:noProof/>
        </w:rPr>
        <w:t>roporcingos ir atgrasančios;</w:t>
      </w:r>
    </w:p>
    <w:p w:rsidR="00221D6A" w:rsidRDefault="00BA3780">
      <w:pPr>
        <w:pStyle w:val="ManualConsidrant"/>
        <w:rPr>
          <w:noProof/>
        </w:rPr>
      </w:pPr>
      <w:r>
        <w:rPr>
          <w:noProof/>
        </w:rPr>
        <w:t>(18)</w:t>
      </w:r>
      <w:r>
        <w:rPr>
          <w:noProof/>
        </w:rPr>
        <w:tab/>
        <w:t>siekiant skatinti efektyviau vartoti energiją, švelninti klimato kaitą ir geriau saugoti aplinką, valstybės narės turėtų galėti sukurti paskatas naudoti efektyviai energiją vartojančius gaminius. Valstybės narės gali pačio</w:t>
      </w:r>
      <w:r>
        <w:rPr>
          <w:noProof/>
        </w:rPr>
        <w:t>s nuspręsti, koks turėtų būti tokių paskatų pobūdis. Tokios paskatos turėtų atitikti Sąjungos valstybės pagalbos taisykles ir jomis neturėtų būti sudaroma nepagrįstų kliūčių patekti į rinką. Šis reglamentas nenulemia jokių valstybės pagalbos procedūrų, kur</w:t>
      </w:r>
      <w:r>
        <w:rPr>
          <w:noProof/>
        </w:rPr>
        <w:t>ių dėl tokių paskatų ateityje gali būti imamasi pagal Sutarties dėl Europos Sąjungos veikimo 107 ir 108 straipsnius, rezultatų;</w:t>
      </w:r>
    </w:p>
    <w:p w:rsidR="00221D6A" w:rsidRDefault="00BA3780">
      <w:pPr>
        <w:pStyle w:val="ManualConsidrant"/>
        <w:rPr>
          <w:noProof/>
        </w:rPr>
      </w:pPr>
      <w:r>
        <w:rPr>
          <w:noProof/>
        </w:rPr>
        <w:t>(19)</w:t>
      </w:r>
      <w:r>
        <w:rPr>
          <w:noProof/>
        </w:rPr>
        <w:tab/>
        <w:t xml:space="preserve">energijos sąnaudos ir kiti duomenys apie gaminius, kuriems pagal šį reglamentą taikomi konkretūs reikalavimai, turėtų būti </w:t>
      </w:r>
      <w:r>
        <w:rPr>
          <w:noProof/>
        </w:rPr>
        <w:t xml:space="preserve">nustatomi patikimais, tiksliais ir pakartojamais metodais, kuriuose atsižvelgiama į visuotinai pripažintus pažangiausius matavimo ir skaičiavimo metodus. Vidaus rinkos veikimui yra naudinga, kad standartai būtų suderinti Sąjungos lygmeniu. Jeigu pradedant </w:t>
      </w:r>
      <w:r>
        <w:rPr>
          <w:noProof/>
        </w:rPr>
        <w:t xml:space="preserve">tam tikriems gaminiams taikyti reikalavimus paskelbtų standartų nėra, Europos Sąjungos oficialiajame leidinyje Komisija turėtų paskelbti pereinamuoju laikotarpiu taikomus su tais reikalavimais susijusius matavimo ir skaičiavimo metodus. Kai nuoroda į tokį </w:t>
      </w:r>
      <w:r>
        <w:rPr>
          <w:noProof/>
        </w:rPr>
        <w:t xml:space="preserve">standartą paskelbiama </w:t>
      </w:r>
      <w:r>
        <w:rPr>
          <w:i/>
          <w:noProof/>
        </w:rPr>
        <w:t>Europos Sąjungos oficialiajame leidinyje</w:t>
      </w:r>
      <w:r>
        <w:rPr>
          <w:noProof/>
        </w:rPr>
        <w:t>, pagal jį nustatyta gaminių atitiktis reikalavimams laikoma lygiaverte atitikčiai, nustatytai taikant pagal šį reglamentą priimtus matavimo metodus, susijusius su tais konkretiems gaminiams tai</w:t>
      </w:r>
      <w:r>
        <w:rPr>
          <w:noProof/>
        </w:rPr>
        <w:t>komais reikalavimais;</w:t>
      </w:r>
    </w:p>
    <w:p w:rsidR="00221D6A" w:rsidRDefault="00BA3780">
      <w:pPr>
        <w:pStyle w:val="ManualConsidrant"/>
        <w:rPr>
          <w:noProof/>
        </w:rPr>
      </w:pPr>
      <w:r>
        <w:rPr>
          <w:noProof/>
        </w:rPr>
        <w:t>(20)</w:t>
      </w:r>
      <w:r>
        <w:rPr>
          <w:noProof/>
        </w:rPr>
        <w:tab/>
        <w:t>Komisija turėtų numatyti konkrečių gaminių etikečių persvarstymo planą ir sudaryti orientacinį sąrašą su energija susijusių gaminių, kuriems būtų galima nustatyti energijos vartojimo efektyvumo etiketę; Įgyvendinant darbo planą p</w:t>
      </w:r>
      <w:r>
        <w:rPr>
          <w:noProof/>
        </w:rPr>
        <w:t>irmiausia turėtų būti atlikta techninė, aplinkos apsaugos ir ekonominė atitinkamų gaminių grupių analizė. Siekiant skatinti uždarojo ciklo ekonomiką, atliekant šią analizę reikėtų atsižvelgti ir į papildomą informaciją, įskaitant galimybę vartotojams teikt</w:t>
      </w:r>
      <w:r>
        <w:rPr>
          <w:noProof/>
        </w:rPr>
        <w:t>i informaciją apie su energija susijusio gaminio veikimo charakteristikas, kaip antai jo absoliučiąsias energijos sąnaudas, ir su tokiu informacijos teikimu susijusias išlaidas. Tokia papildoma informacija turėtų padėti vartotojams lengviau suprasti etiket</w:t>
      </w:r>
      <w:r>
        <w:rPr>
          <w:noProof/>
        </w:rPr>
        <w:t>ę, padaryti ją veiksmingesnę ir nedaryti jiems jokio neigiamo poveikio;</w:t>
      </w:r>
    </w:p>
    <w:p w:rsidR="00221D6A" w:rsidRDefault="00BA3780">
      <w:pPr>
        <w:pStyle w:val="ManualConsidrant"/>
        <w:rPr>
          <w:noProof/>
        </w:rPr>
      </w:pPr>
      <w:r>
        <w:rPr>
          <w:noProof/>
        </w:rPr>
        <w:t>(21)</w:t>
      </w:r>
      <w:r>
        <w:rPr>
          <w:noProof/>
        </w:rPr>
        <w:tab/>
        <w:t>kad būtų galima nustatyti konkrečių gaminių etiketes, informacijos lapus ir su gaminių duomenų baze susijusius išsamius veiklos duomenis, Komisijai turėtų būti suteikti įgaliojima</w:t>
      </w:r>
      <w:r>
        <w:rPr>
          <w:noProof/>
        </w:rPr>
        <w:t>i priimti teisės aktus pagal Sutarties dėl Europos Sąjungos veikimo 290 straipsnį. Ypač svarbu, kad Komisija per parengiamąjį darbą tinkamai konsultuotųsi, įskaitant su ekspertais ir Ekologinio projektavimo konsultacijų forumu;</w:t>
      </w:r>
    </w:p>
    <w:p w:rsidR="00221D6A" w:rsidRDefault="00BA3780">
      <w:pPr>
        <w:pStyle w:val="ManualConsidrant"/>
        <w:rPr>
          <w:noProof/>
        </w:rPr>
      </w:pPr>
      <w:r>
        <w:rPr>
          <w:noProof/>
        </w:rPr>
        <w:t>(22)</w:t>
      </w:r>
      <w:r>
        <w:rPr>
          <w:noProof/>
        </w:rPr>
        <w:tab/>
        <w:t>šis reglamentas nenulem</w:t>
      </w:r>
      <w:r>
        <w:rPr>
          <w:noProof/>
        </w:rPr>
        <w:t>ia valstybių narių pareigų, susijusių su Direktyvos 2010/30/ES perkėlimo į nacionalinę teisę ir taikymo pradžios terminais;</w:t>
      </w:r>
    </w:p>
    <w:p w:rsidR="00221D6A" w:rsidRDefault="00BA3780">
      <w:pPr>
        <w:pStyle w:val="ManualConsidrant"/>
        <w:rPr>
          <w:noProof/>
        </w:rPr>
      </w:pPr>
      <w:r>
        <w:rPr>
          <w:noProof/>
        </w:rPr>
        <w:t>(23)</w:t>
      </w:r>
      <w:r>
        <w:rPr>
          <w:noProof/>
        </w:rPr>
        <w:tab/>
        <w:t>Direktyva 2010/30/ES turėtų būti panaikinta,</w:t>
      </w:r>
    </w:p>
    <w:p w:rsidR="00221D6A" w:rsidRDefault="00BA3780">
      <w:pPr>
        <w:pStyle w:val="Formuledadoption"/>
        <w:rPr>
          <w:noProof/>
        </w:rPr>
      </w:pPr>
      <w:r>
        <w:rPr>
          <w:noProof/>
        </w:rPr>
        <w:t>PRIĖMĖ ŠĮ REGLAMENTĄ:</w:t>
      </w:r>
    </w:p>
    <w:p w:rsidR="00221D6A" w:rsidRDefault="00BA3780">
      <w:pPr>
        <w:pStyle w:val="Titrearticle"/>
        <w:rPr>
          <w:b/>
          <w:i w:val="0"/>
          <w:noProof/>
        </w:rPr>
      </w:pPr>
      <w:r>
        <w:rPr>
          <w:noProof/>
        </w:rPr>
        <w:t>1 straipsnis</w:t>
      </w:r>
      <w:r>
        <w:rPr>
          <w:noProof/>
        </w:rPr>
        <w:br/>
      </w:r>
      <w:r>
        <w:rPr>
          <w:b/>
          <w:i w:val="0"/>
          <w:noProof/>
        </w:rPr>
        <w:t>Dalykas ir taikymo sritis</w:t>
      </w:r>
    </w:p>
    <w:p w:rsidR="00221D6A" w:rsidRDefault="00BA3780">
      <w:pPr>
        <w:pStyle w:val="ManualNumPar1"/>
        <w:rPr>
          <w:noProof/>
        </w:rPr>
      </w:pPr>
      <w:r>
        <w:rPr>
          <w:noProof/>
        </w:rPr>
        <w:t>1.</w:t>
      </w:r>
      <w:r>
        <w:rPr>
          <w:noProof/>
        </w:rPr>
        <w:tab/>
        <w:t>Šiuo reglamentu nu</w:t>
      </w:r>
      <w:r>
        <w:rPr>
          <w:noProof/>
        </w:rPr>
        <w:t>statoma su energija susijusių gaminių energijos ir kitų išteklių suvartojimo gaminio naudojimo etapu nurodymo ženklinant gaminius ir pateikiant apie juos standartinę informaciją sistema ir papildoma informacija apie juos, kad pirkėjai galėtų rinktis efekty</w:t>
      </w:r>
      <w:r>
        <w:rPr>
          <w:noProof/>
        </w:rPr>
        <w:t xml:space="preserve">vesnius gaminius. </w:t>
      </w:r>
    </w:p>
    <w:p w:rsidR="00221D6A" w:rsidRDefault="00BA3780">
      <w:pPr>
        <w:pStyle w:val="ManualNumPar1"/>
        <w:rPr>
          <w:noProof/>
        </w:rPr>
      </w:pPr>
      <w:r>
        <w:rPr>
          <w:noProof/>
        </w:rPr>
        <w:t>2.</w:t>
      </w:r>
      <w:r>
        <w:rPr>
          <w:noProof/>
        </w:rPr>
        <w:tab/>
        <w:t>Šis reglamentas netaikomas:</w:t>
      </w:r>
    </w:p>
    <w:p w:rsidR="00221D6A" w:rsidRDefault="00BA3780">
      <w:pPr>
        <w:pStyle w:val="Point1letter"/>
        <w:numPr>
          <w:ilvl w:val="3"/>
          <w:numId w:val="5"/>
        </w:numPr>
        <w:rPr>
          <w:noProof/>
        </w:rPr>
      </w:pPr>
      <w:r>
        <w:rPr>
          <w:noProof/>
        </w:rPr>
        <w:t>naudotiems gaminiams;</w:t>
      </w:r>
    </w:p>
    <w:p w:rsidR="00221D6A" w:rsidRDefault="00BA3780">
      <w:pPr>
        <w:pStyle w:val="Point1letter"/>
        <w:numPr>
          <w:ilvl w:val="3"/>
          <w:numId w:val="14"/>
        </w:numPr>
        <w:rPr>
          <w:noProof/>
        </w:rPr>
      </w:pPr>
      <w:r>
        <w:rPr>
          <w:noProof/>
        </w:rPr>
        <w:t>keleivinio ir krovininio transporto priemonėms, išskyrus varomas stacionariu varikliu.</w:t>
      </w:r>
    </w:p>
    <w:p w:rsidR="00221D6A" w:rsidRDefault="00BA3780">
      <w:pPr>
        <w:pStyle w:val="Titrearticle"/>
        <w:rPr>
          <w:b/>
          <w:i w:val="0"/>
          <w:noProof/>
        </w:rPr>
      </w:pPr>
      <w:r>
        <w:rPr>
          <w:noProof/>
        </w:rPr>
        <w:t>2 straipsnis</w:t>
      </w:r>
      <w:r>
        <w:rPr>
          <w:noProof/>
        </w:rPr>
        <w:br/>
      </w:r>
      <w:r>
        <w:rPr>
          <w:b/>
          <w:i w:val="0"/>
          <w:noProof/>
        </w:rPr>
        <w:t>Apibrėžtys</w:t>
      </w:r>
    </w:p>
    <w:p w:rsidR="00221D6A" w:rsidRDefault="00BA3780">
      <w:pPr>
        <w:rPr>
          <w:noProof/>
        </w:rPr>
      </w:pPr>
      <w:r>
        <w:rPr>
          <w:noProof/>
        </w:rPr>
        <w:t>Šiame reglamente vartojamų terminų apibrėžtys:</w:t>
      </w:r>
    </w:p>
    <w:p w:rsidR="00221D6A" w:rsidRDefault="00BA3780">
      <w:pPr>
        <w:pStyle w:val="Point0number"/>
        <w:numPr>
          <w:ilvl w:val="0"/>
          <w:numId w:val="22"/>
        </w:numPr>
        <w:rPr>
          <w:noProof/>
        </w:rPr>
      </w:pPr>
      <w:r>
        <w:rPr>
          <w:noProof/>
        </w:rPr>
        <w:t xml:space="preserve">pirkėjas – fizinis arba </w:t>
      </w:r>
      <w:r>
        <w:rPr>
          <w:noProof/>
        </w:rPr>
        <w:t>juridinis asmuo, perkantis arba išsinuomojantis gaminį, kuriam taikomas šis reglamentas, naudoti savo tikslais, nesvarbu, ar tie tikslai yra susiję su jo prekyba, verslu, amatu arba profesija;</w:t>
      </w:r>
    </w:p>
    <w:p w:rsidR="00221D6A" w:rsidRDefault="00BA3780">
      <w:pPr>
        <w:pStyle w:val="Point0number"/>
        <w:numPr>
          <w:ilvl w:val="0"/>
          <w:numId w:val="14"/>
        </w:numPr>
        <w:rPr>
          <w:noProof/>
        </w:rPr>
      </w:pPr>
      <w:r>
        <w:rPr>
          <w:noProof/>
        </w:rPr>
        <w:t>pateikimas rinkai – gaminio tiekimas Sąjungos rinkai pirmą kart</w:t>
      </w:r>
      <w:r>
        <w:rPr>
          <w:noProof/>
        </w:rPr>
        <w:t>ą;</w:t>
      </w:r>
    </w:p>
    <w:p w:rsidR="00221D6A" w:rsidRDefault="00BA3780">
      <w:pPr>
        <w:pStyle w:val="Point0number"/>
        <w:numPr>
          <w:ilvl w:val="0"/>
          <w:numId w:val="14"/>
        </w:numPr>
        <w:rPr>
          <w:noProof/>
        </w:rPr>
      </w:pPr>
      <w:r>
        <w:rPr>
          <w:noProof/>
        </w:rPr>
        <w:t>tiekimas rinkai – gaminio, skirto platinti ar naudoti Sąjungos rinkoje, tiekimas vykdant komercinę veiklą už atlygį arba nemokamai;</w:t>
      </w:r>
    </w:p>
    <w:p w:rsidR="00221D6A" w:rsidRDefault="00BA3780">
      <w:pPr>
        <w:pStyle w:val="Point0number"/>
        <w:numPr>
          <w:ilvl w:val="0"/>
          <w:numId w:val="14"/>
        </w:numPr>
        <w:rPr>
          <w:noProof/>
        </w:rPr>
      </w:pPr>
      <w:r>
        <w:rPr>
          <w:noProof/>
        </w:rPr>
        <w:t>pradėjimas naudoti – gaminio panaudojimas pagal paskirtį Sąjungos rinkoje pirmą kartą;</w:t>
      </w:r>
    </w:p>
    <w:p w:rsidR="00221D6A" w:rsidRDefault="00BA3780">
      <w:pPr>
        <w:pStyle w:val="Point0number"/>
        <w:numPr>
          <w:ilvl w:val="0"/>
          <w:numId w:val="14"/>
        </w:numPr>
        <w:rPr>
          <w:noProof/>
        </w:rPr>
      </w:pPr>
      <w:r>
        <w:rPr>
          <w:noProof/>
        </w:rPr>
        <w:t>tiekėjas – Sąjungoje įsisteigęs ga</w:t>
      </w:r>
      <w:r>
        <w:rPr>
          <w:noProof/>
        </w:rPr>
        <w:t>mintojas, gamintojo, kuris nėra įsisteigęs Sąjungoje, įgaliotasis atstovas arba importuotojas, pateikiantis gaminius, kuriems taikomas šis reglamentas, rinkai Sąjungoje;</w:t>
      </w:r>
    </w:p>
    <w:p w:rsidR="00221D6A" w:rsidRDefault="00BA3780">
      <w:pPr>
        <w:pStyle w:val="Point0number"/>
        <w:numPr>
          <w:ilvl w:val="0"/>
          <w:numId w:val="14"/>
        </w:numPr>
        <w:rPr>
          <w:noProof/>
        </w:rPr>
      </w:pPr>
      <w:r>
        <w:rPr>
          <w:noProof/>
        </w:rPr>
        <w:t>gamintojas – fizinis arba juridinis asmuo, gaminantis su energija susijusį gaminį arba</w:t>
      </w:r>
      <w:r>
        <w:rPr>
          <w:noProof/>
        </w:rPr>
        <w:t xml:space="preserve"> užsakantis suprojektuoti arba pagaminti tokį gaminį ir pateikiantis jį rinkai savo vardu arba su savo prekės ženklu;</w:t>
      </w:r>
    </w:p>
    <w:p w:rsidR="00221D6A" w:rsidRDefault="00BA3780">
      <w:pPr>
        <w:pStyle w:val="Point0number"/>
        <w:numPr>
          <w:ilvl w:val="0"/>
          <w:numId w:val="14"/>
        </w:numPr>
        <w:rPr>
          <w:noProof/>
        </w:rPr>
      </w:pPr>
      <w:r>
        <w:rPr>
          <w:noProof/>
        </w:rPr>
        <w:t>įgaliotasis atstovas – Sąjungoje įsisteigęs fizinis arba juridinis asmuo, gavęs rašytinį gamintojo įgaliojimą veikti jo vardu ir atlikti n</w:t>
      </w:r>
      <w:r>
        <w:rPr>
          <w:noProof/>
        </w:rPr>
        <w:t>urodytas užduotis;</w:t>
      </w:r>
    </w:p>
    <w:p w:rsidR="00221D6A" w:rsidRDefault="00BA3780">
      <w:pPr>
        <w:pStyle w:val="Point0number"/>
        <w:numPr>
          <w:ilvl w:val="0"/>
          <w:numId w:val="14"/>
        </w:numPr>
        <w:rPr>
          <w:noProof/>
        </w:rPr>
      </w:pPr>
      <w:r>
        <w:rPr>
          <w:noProof/>
        </w:rPr>
        <w:t>importuotojas – Sąjungoje įsisteigęs fizinis arba juridinis asmuo, kuris su energija susijusį gaminį iš trečiosios šalies pateikia Sąjungos rinkai;</w:t>
      </w:r>
    </w:p>
    <w:p w:rsidR="00221D6A" w:rsidRDefault="00BA3780">
      <w:pPr>
        <w:pStyle w:val="Point0number"/>
        <w:numPr>
          <w:ilvl w:val="0"/>
          <w:numId w:val="14"/>
        </w:numPr>
        <w:rPr>
          <w:noProof/>
        </w:rPr>
      </w:pPr>
      <w:r>
        <w:rPr>
          <w:noProof/>
        </w:rPr>
        <w:t>prekiautojas – parduodantis, nuomojantis, siūlantis pirkti išsimokėtinai ar pirkėjams dem</w:t>
      </w:r>
      <w:r>
        <w:rPr>
          <w:noProof/>
        </w:rPr>
        <w:t>onstruojantis gaminius mažmenininkas ar kitas asmuo;</w:t>
      </w:r>
    </w:p>
    <w:p w:rsidR="00221D6A" w:rsidRDefault="00BA3780">
      <w:pPr>
        <w:pStyle w:val="Point0number"/>
        <w:numPr>
          <w:ilvl w:val="0"/>
          <w:numId w:val="14"/>
        </w:numPr>
        <w:rPr>
          <w:noProof/>
        </w:rPr>
      </w:pPr>
      <w:r>
        <w:rPr>
          <w:noProof/>
        </w:rPr>
        <w:t>nuotolinė prekyba – pardavimas, nuomojimas arba pardavimas išsimokėtinai paštu, iš katalogo, internetu, telerinkodaros priemonėmis ar bet kokiu kitu būdu, kai nesitikima, kad potencialus galutinis naudot</w:t>
      </w:r>
      <w:r>
        <w:rPr>
          <w:noProof/>
        </w:rPr>
        <w:t>ojas matys demonstruojamą gaminį;</w:t>
      </w:r>
    </w:p>
    <w:p w:rsidR="00221D6A" w:rsidRDefault="00BA3780">
      <w:pPr>
        <w:pStyle w:val="Point0number"/>
        <w:numPr>
          <w:ilvl w:val="0"/>
          <w:numId w:val="14"/>
        </w:numPr>
        <w:rPr>
          <w:noProof/>
        </w:rPr>
      </w:pPr>
      <w:r>
        <w:rPr>
          <w:noProof/>
        </w:rPr>
        <w:t>su energija susijęs gaminys – Sąjungoje rinkai pateikiamas arba pradedamas naudoti gaminys, sistema ar paslauga, kurį (kurią) naudojant daromas poveikis energijos sąnaudoms, taip pat į tuos gaminius įmontuoti skirtos dalys</w:t>
      </w:r>
      <w:r>
        <w:rPr>
          <w:noProof/>
        </w:rPr>
        <w:t>, pateikiamos rinkai ir pradedamos naudoti;</w:t>
      </w:r>
    </w:p>
    <w:p w:rsidR="00221D6A" w:rsidRDefault="00BA3780">
      <w:pPr>
        <w:pStyle w:val="Point0number"/>
        <w:numPr>
          <w:ilvl w:val="0"/>
          <w:numId w:val="14"/>
        </w:numPr>
        <w:rPr>
          <w:noProof/>
        </w:rPr>
      </w:pPr>
      <w:r>
        <w:rPr>
          <w:noProof/>
        </w:rPr>
        <w:t>darnusis standartas – Europos standartas, apibrėžtas Reglamento (ES) Nr. 1025/2012</w:t>
      </w:r>
      <w:r>
        <w:rPr>
          <w:rStyle w:val="FootnoteReference"/>
          <w:noProof/>
        </w:rPr>
        <w:footnoteReference w:id="21"/>
      </w:r>
      <w:r>
        <w:rPr>
          <w:noProof/>
        </w:rPr>
        <w:t xml:space="preserve"> 2 straipsnio 1 dalies c punkte;</w:t>
      </w:r>
    </w:p>
    <w:p w:rsidR="00221D6A" w:rsidRDefault="00BA3780">
      <w:pPr>
        <w:pStyle w:val="Point0number"/>
        <w:numPr>
          <w:ilvl w:val="0"/>
          <w:numId w:val="14"/>
        </w:numPr>
        <w:rPr>
          <w:noProof/>
        </w:rPr>
      </w:pPr>
      <w:r>
        <w:rPr>
          <w:noProof/>
        </w:rPr>
        <w:t>etiketė – grafinė diagrama, kurioje energijos suvartojimas žymimas A–G raidėmis septynių skirtin</w:t>
      </w:r>
      <w:r>
        <w:rPr>
          <w:noProof/>
        </w:rPr>
        <w:t>gų spalvų skalėje nuo tamsiai žalios iki raudonos;</w:t>
      </w:r>
    </w:p>
    <w:p w:rsidR="00221D6A" w:rsidRDefault="00BA3780">
      <w:pPr>
        <w:pStyle w:val="Point0number"/>
        <w:numPr>
          <w:ilvl w:val="0"/>
          <w:numId w:val="14"/>
        </w:numPr>
        <w:rPr>
          <w:noProof/>
        </w:rPr>
      </w:pPr>
      <w:r>
        <w:rPr>
          <w:noProof/>
        </w:rPr>
        <w:t>modelis – tam tikra gaminio versija; visiems versijos gaminio vienetams būdingos tos pačios etiketėje ir gaminio informacijos lape nurodomos techninės savybės ir naudojamas tas pats modelio žymuo;</w:t>
      </w:r>
    </w:p>
    <w:p w:rsidR="00221D6A" w:rsidRDefault="00BA3780">
      <w:pPr>
        <w:pStyle w:val="Point0number"/>
        <w:numPr>
          <w:ilvl w:val="0"/>
          <w:numId w:val="14"/>
        </w:numPr>
        <w:rPr>
          <w:noProof/>
        </w:rPr>
      </w:pPr>
      <w:r>
        <w:rPr>
          <w:noProof/>
        </w:rPr>
        <w:t xml:space="preserve">modelio </w:t>
      </w:r>
      <w:r>
        <w:rPr>
          <w:noProof/>
        </w:rPr>
        <w:t>žymuo – paprastai raidinis ir skaitmeninis kodas, pagal kurį tam tikro gaminio modelį įmanoma atskirti nuo kitų to paties prekės ženklo ar to paties tiekėjo pavadinimo modelių;</w:t>
      </w:r>
    </w:p>
    <w:p w:rsidR="00221D6A" w:rsidRDefault="00BA3780">
      <w:pPr>
        <w:pStyle w:val="Point0number"/>
        <w:numPr>
          <w:ilvl w:val="0"/>
          <w:numId w:val="14"/>
        </w:numPr>
        <w:rPr>
          <w:noProof/>
        </w:rPr>
      </w:pPr>
      <w:r>
        <w:rPr>
          <w:noProof/>
        </w:rPr>
        <w:t>lygiavertis modelis – rinkai to paties tiekėjo pateikiamas modelis, kuriam būdi</w:t>
      </w:r>
      <w:r>
        <w:rPr>
          <w:noProof/>
        </w:rPr>
        <w:t>ngos tos pačios kaip kito modelio etiketėje ir gaminio informacijos lape nurodomos techninės savybės, bet naudojamas kitas modelio žymuo;</w:t>
      </w:r>
    </w:p>
    <w:p w:rsidR="00221D6A" w:rsidRDefault="00BA3780">
      <w:pPr>
        <w:pStyle w:val="Point0number"/>
        <w:numPr>
          <w:ilvl w:val="0"/>
          <w:numId w:val="14"/>
        </w:numPr>
        <w:rPr>
          <w:noProof/>
        </w:rPr>
      </w:pPr>
      <w:r>
        <w:rPr>
          <w:noProof/>
        </w:rPr>
        <w:t>gaminio informacijos lapas – standartinė su gaminiu susijusios informacijos lentelė;</w:t>
      </w:r>
    </w:p>
    <w:p w:rsidR="00221D6A" w:rsidRDefault="00BA3780">
      <w:pPr>
        <w:pStyle w:val="Point0number"/>
        <w:numPr>
          <w:ilvl w:val="0"/>
          <w:numId w:val="14"/>
        </w:numPr>
        <w:rPr>
          <w:noProof/>
        </w:rPr>
      </w:pPr>
      <w:r>
        <w:rPr>
          <w:noProof/>
        </w:rPr>
        <w:t>skalės keitimas – periodiškas kon</w:t>
      </w:r>
      <w:r>
        <w:rPr>
          <w:noProof/>
        </w:rPr>
        <w:t xml:space="preserve">kretaus gaminio etiketėje nurodytos energijos vartojimo efektyvumo klasės reikalavimų griežtinimas, dėl kurio gali reikėti panaikinti tam tikras energijos vartojimo efektyvumo klases; </w:t>
      </w:r>
    </w:p>
    <w:p w:rsidR="00221D6A" w:rsidRDefault="00BA3780">
      <w:pPr>
        <w:pStyle w:val="Point0number"/>
        <w:numPr>
          <w:ilvl w:val="0"/>
          <w:numId w:val="14"/>
        </w:numPr>
        <w:rPr>
          <w:noProof/>
        </w:rPr>
      </w:pPr>
      <w:r>
        <w:rPr>
          <w:noProof/>
        </w:rPr>
        <w:t>pakeistos skalės etiketė – tam tikro gaminio etiketė, kurioje rodoma pa</w:t>
      </w:r>
      <w:r>
        <w:rPr>
          <w:noProof/>
        </w:rPr>
        <w:t>keista skalė;</w:t>
      </w:r>
    </w:p>
    <w:p w:rsidR="00221D6A" w:rsidRDefault="00BA3780">
      <w:pPr>
        <w:pStyle w:val="Point0number"/>
        <w:numPr>
          <w:ilvl w:val="0"/>
          <w:numId w:val="14"/>
        </w:numPr>
        <w:rPr>
          <w:noProof/>
        </w:rPr>
      </w:pPr>
      <w:r>
        <w:rPr>
          <w:noProof/>
        </w:rPr>
        <w:t xml:space="preserve">papildoma informacija – vienareikšmiška informacija apie gaminio, susijusio su energija, funkcines ir aplinkos apsaugos charakteristikas, kaip antai absoliučiąsias energijos sąnaudas ar patvarumą, pirkėjų atžvilgiu nedaranti didelio neigiamo </w:t>
      </w:r>
      <w:r>
        <w:rPr>
          <w:noProof/>
        </w:rPr>
        <w:t>poveikio visos etiketės aiškumui bei veiksmingumui ir grindžiama duomenimis, kuriuos gali išmatuoti rinkos priežiūros institucijos.</w:t>
      </w:r>
    </w:p>
    <w:p w:rsidR="00221D6A" w:rsidRDefault="00BA3780">
      <w:pPr>
        <w:pStyle w:val="Titrearticle"/>
        <w:spacing w:before="240"/>
        <w:rPr>
          <w:b/>
          <w:i w:val="0"/>
          <w:noProof/>
        </w:rPr>
      </w:pPr>
      <w:r>
        <w:rPr>
          <w:noProof/>
        </w:rPr>
        <w:t>3 straipsnis</w:t>
      </w:r>
      <w:r>
        <w:rPr>
          <w:noProof/>
        </w:rPr>
        <w:br/>
      </w:r>
      <w:r>
        <w:rPr>
          <w:b/>
          <w:i w:val="0"/>
          <w:noProof/>
        </w:rPr>
        <w:t>Tiekėjų ir prekiautojų pareigos</w:t>
      </w:r>
    </w:p>
    <w:p w:rsidR="00221D6A" w:rsidRDefault="00BA3780">
      <w:pPr>
        <w:pStyle w:val="ManualNumPar1"/>
        <w:rPr>
          <w:noProof/>
        </w:rPr>
      </w:pPr>
      <w:r>
        <w:rPr>
          <w:noProof/>
        </w:rPr>
        <w:t>1.</w:t>
      </w:r>
      <w:r>
        <w:rPr>
          <w:noProof/>
        </w:rPr>
        <w:tab/>
        <w:t>Tiekėjai laikosi šių reikalavimų:</w:t>
      </w:r>
    </w:p>
    <w:p w:rsidR="00221D6A" w:rsidRDefault="00BA3780">
      <w:pPr>
        <w:pStyle w:val="Point1letter"/>
        <w:numPr>
          <w:ilvl w:val="3"/>
          <w:numId w:val="5"/>
        </w:numPr>
        <w:rPr>
          <w:noProof/>
        </w:rPr>
      </w:pPr>
      <w:r>
        <w:rPr>
          <w:noProof/>
        </w:rPr>
        <w:t>jie užtikrina, kad gaminiai rinkai būtų ti</w:t>
      </w:r>
      <w:r>
        <w:rPr>
          <w:noProof/>
        </w:rPr>
        <w:t>ekiami su nemokamomis tiksliomis etiketėmis ir gaminių informacijos lapais, kaip nustatyta šiame reglamente ir susijusiuose deleguotuosiuose aktuose;</w:t>
      </w:r>
    </w:p>
    <w:p w:rsidR="00221D6A" w:rsidRDefault="00BA3780">
      <w:pPr>
        <w:pStyle w:val="Point1letter"/>
        <w:numPr>
          <w:ilvl w:val="3"/>
          <w:numId w:val="5"/>
        </w:numPr>
        <w:rPr>
          <w:noProof/>
        </w:rPr>
      </w:pPr>
      <w:r>
        <w:rPr>
          <w:noProof/>
        </w:rPr>
        <w:t xml:space="preserve">etiketes jie pateikia nedelsdami ir nemokamai, kai to paprašo prekiautojai; </w:t>
      </w:r>
    </w:p>
    <w:p w:rsidR="00221D6A" w:rsidRDefault="00BA3780">
      <w:pPr>
        <w:pStyle w:val="Point1letter"/>
        <w:rPr>
          <w:noProof/>
        </w:rPr>
      </w:pPr>
      <w:r>
        <w:rPr>
          <w:noProof/>
        </w:rPr>
        <w:t>jie užtikrina savo etikečių i</w:t>
      </w:r>
      <w:r>
        <w:rPr>
          <w:noProof/>
        </w:rPr>
        <w:t>r gaminių informacijos lapų tikslumą ir parengia techninius dokumentus, kurių užtektų tikslumui įvertinti;</w:t>
      </w:r>
    </w:p>
    <w:p w:rsidR="00221D6A" w:rsidRDefault="00BA3780">
      <w:pPr>
        <w:pStyle w:val="Point1letter"/>
        <w:rPr>
          <w:noProof/>
        </w:rPr>
      </w:pPr>
      <w:r>
        <w:rPr>
          <w:noProof/>
        </w:rPr>
        <w:t>prieš pateikdami gaminio modelį rinkai, jie į duomenų bazę, sukurtą pagal 8 straipsnį, įrašo I priede nustatytą informaciją.</w:t>
      </w:r>
    </w:p>
    <w:p w:rsidR="00221D6A" w:rsidRDefault="00BA3780">
      <w:pPr>
        <w:pStyle w:val="ManualNumPar1"/>
        <w:rPr>
          <w:noProof/>
        </w:rPr>
      </w:pPr>
      <w:r>
        <w:rPr>
          <w:noProof/>
        </w:rPr>
        <w:t>2.</w:t>
      </w:r>
      <w:r>
        <w:rPr>
          <w:noProof/>
        </w:rPr>
        <w:tab/>
        <w:t xml:space="preserve">Prekiautojai laikosi </w:t>
      </w:r>
      <w:r>
        <w:rPr>
          <w:noProof/>
        </w:rPr>
        <w:t>šių reikalavimų:</w:t>
      </w:r>
    </w:p>
    <w:p w:rsidR="00221D6A" w:rsidRDefault="00BA3780">
      <w:pPr>
        <w:pStyle w:val="Point1letter"/>
        <w:numPr>
          <w:ilvl w:val="3"/>
          <w:numId w:val="6"/>
        </w:numPr>
        <w:rPr>
          <w:noProof/>
        </w:rPr>
      </w:pPr>
      <w:r>
        <w:rPr>
          <w:noProof/>
        </w:rPr>
        <w:t>jie aiškiai rodo gaminio, kuriam taikomas deleguotasis aktas, etiketę, kurią pateikė tiekėjas arba kuri prieinama kitais būdais;</w:t>
      </w:r>
    </w:p>
    <w:p w:rsidR="00221D6A" w:rsidRDefault="00BA3780">
      <w:pPr>
        <w:pStyle w:val="Point1letter"/>
        <w:rPr>
          <w:noProof/>
        </w:rPr>
      </w:pPr>
      <w:r>
        <w:rPr>
          <w:noProof/>
        </w:rPr>
        <w:t xml:space="preserve">jei etiketės arba pakeistos skalės etiketės jie neturi: </w:t>
      </w:r>
    </w:p>
    <w:p w:rsidR="00221D6A" w:rsidRDefault="00BA3780">
      <w:pPr>
        <w:pStyle w:val="Point2"/>
        <w:rPr>
          <w:noProof/>
        </w:rPr>
      </w:pPr>
      <w:r>
        <w:rPr>
          <w:noProof/>
        </w:rPr>
        <w:t>i)</w:t>
      </w:r>
      <w:r>
        <w:rPr>
          <w:noProof/>
        </w:rPr>
        <w:tab/>
        <w:t>tiekėjo paprašo etiketės arba pakeistos skalės eti</w:t>
      </w:r>
      <w:r>
        <w:rPr>
          <w:noProof/>
        </w:rPr>
        <w:t>ketės;</w:t>
      </w:r>
    </w:p>
    <w:p w:rsidR="00221D6A" w:rsidRDefault="00BA3780">
      <w:pPr>
        <w:pStyle w:val="Point2"/>
        <w:rPr>
          <w:noProof/>
        </w:rPr>
      </w:pPr>
      <w:r>
        <w:rPr>
          <w:noProof/>
        </w:rPr>
        <w:t>ii)</w:t>
      </w:r>
      <w:r>
        <w:rPr>
          <w:noProof/>
        </w:rPr>
        <w:tab/>
        <w:t>išspausdina etiketę iš duomenų bazės, sukurtos pagal 8 straipsnį, jei tokia funkcija yra tam gaminiui, arba</w:t>
      </w:r>
    </w:p>
    <w:p w:rsidR="00221D6A" w:rsidRDefault="00BA3780">
      <w:pPr>
        <w:pStyle w:val="Point2"/>
        <w:rPr>
          <w:noProof/>
        </w:rPr>
      </w:pPr>
      <w:r>
        <w:rPr>
          <w:noProof/>
        </w:rPr>
        <w:t>iii)</w:t>
      </w:r>
      <w:r>
        <w:rPr>
          <w:noProof/>
        </w:rPr>
        <w:tab/>
        <w:t xml:space="preserve">išspausdina etiketę arba pakeistos skalės etiketę iš tiekėjo svetainės, jei tokia funkcija yra tam gaminiui; </w:t>
      </w:r>
    </w:p>
    <w:p w:rsidR="00221D6A" w:rsidRDefault="00BA3780">
      <w:pPr>
        <w:pStyle w:val="Point1letter"/>
        <w:rPr>
          <w:noProof/>
        </w:rPr>
      </w:pPr>
      <w:r>
        <w:rPr>
          <w:noProof/>
        </w:rPr>
        <w:t>gaminio informacijos l</w:t>
      </w:r>
      <w:r>
        <w:rPr>
          <w:noProof/>
        </w:rPr>
        <w:t>apą jie pateikia pirkėjams.</w:t>
      </w:r>
    </w:p>
    <w:p w:rsidR="00221D6A" w:rsidRDefault="00BA3780">
      <w:pPr>
        <w:pStyle w:val="ManualNumPar1"/>
        <w:rPr>
          <w:noProof/>
        </w:rPr>
      </w:pPr>
      <w:r>
        <w:rPr>
          <w:noProof/>
        </w:rPr>
        <w:t>3.</w:t>
      </w:r>
      <w:r>
        <w:rPr>
          <w:noProof/>
        </w:rPr>
        <w:tab/>
        <w:t>Tiekėjai ir prekiautojai laikosi šių reikalavimų:</w:t>
      </w:r>
    </w:p>
    <w:p w:rsidR="00221D6A" w:rsidRDefault="00BA3780">
      <w:pPr>
        <w:pStyle w:val="Point1letter"/>
        <w:numPr>
          <w:ilvl w:val="3"/>
          <w:numId w:val="7"/>
        </w:numPr>
        <w:rPr>
          <w:noProof/>
        </w:rPr>
      </w:pPr>
      <w:r>
        <w:rPr>
          <w:noProof/>
        </w:rPr>
        <w:t>pagal atitinkamą deleguotąjį aktą visoje tam tikro gaminio modelių reklamoje arba techninėje reklaminėje medžiagoje daro nuorodą į gaminio energijos vartojimo efektyvumo klasę</w:t>
      </w:r>
      <w:r>
        <w:rPr>
          <w:noProof/>
        </w:rPr>
        <w:t>;</w:t>
      </w:r>
    </w:p>
    <w:p w:rsidR="00221D6A" w:rsidRDefault="00BA3780">
      <w:pPr>
        <w:pStyle w:val="Point1letter"/>
        <w:rPr>
          <w:noProof/>
        </w:rPr>
      </w:pPr>
      <w:r>
        <w:rPr>
          <w:noProof/>
        </w:rPr>
        <w:t>bendradarbiauja su rinkos priežiūros institucijomis ir savo iniciatyva arba rinkos priežiūros institucijoms pareikalavus nedelsdami imasi priemonių, kad pašalintų visus šiame reglamente ir jo deleguotuosiuose aktuose nustatytų reikalavimų neatitikties at</w:t>
      </w:r>
      <w:r>
        <w:rPr>
          <w:noProof/>
        </w:rPr>
        <w:t>vejus, už kuriuos jie yra atsakingi;</w:t>
      </w:r>
    </w:p>
    <w:p w:rsidR="00221D6A" w:rsidRDefault="00BA3780">
      <w:pPr>
        <w:pStyle w:val="Point1letter"/>
        <w:rPr>
          <w:noProof/>
        </w:rPr>
      </w:pPr>
      <w:r>
        <w:rPr>
          <w:noProof/>
        </w:rPr>
        <w:t>jei gaminiams taikomas šis reglamentas, jie nepateikia arba nerodo kitokių etikečių, ženklų, simbolių arba užrašų, neatitinkančių šio reglamento ir susijusių deleguotųjų aktų reikalavimų, jei tokia informacija veikiausi</w:t>
      </w:r>
      <w:r>
        <w:rPr>
          <w:noProof/>
        </w:rPr>
        <w:t>ai suklaidintų arba supainiotų pirkėjus dėl to, kiek energijos arba kitų išteklių suvartoja naudojamas gaminys;</w:t>
      </w:r>
    </w:p>
    <w:p w:rsidR="00221D6A" w:rsidRDefault="00BA3780">
      <w:pPr>
        <w:pStyle w:val="Point1letter"/>
        <w:rPr>
          <w:noProof/>
        </w:rPr>
      </w:pPr>
      <w:r>
        <w:rPr>
          <w:noProof/>
        </w:rPr>
        <w:t>jei gaminiams šis reglamentas netaikomas, jie nepateikia arba nerodo jokių etikečių, kuriomis imituotų šiame reglamente nustatytas etiketes.</w:t>
      </w:r>
    </w:p>
    <w:p w:rsidR="00221D6A" w:rsidRDefault="00BA3780">
      <w:pPr>
        <w:pStyle w:val="Titrearticle"/>
        <w:rPr>
          <w:b/>
          <w:i w:val="0"/>
          <w:noProof/>
        </w:rPr>
      </w:pPr>
      <w:r>
        <w:rPr>
          <w:noProof/>
        </w:rPr>
        <w:t>4 s</w:t>
      </w:r>
      <w:r>
        <w:rPr>
          <w:noProof/>
        </w:rPr>
        <w:t>traipsnis</w:t>
      </w:r>
      <w:r>
        <w:rPr>
          <w:noProof/>
        </w:rPr>
        <w:br/>
      </w:r>
      <w:r>
        <w:rPr>
          <w:b/>
          <w:i w:val="0"/>
          <w:noProof/>
        </w:rPr>
        <w:t>Valstybių narių pareigos</w:t>
      </w:r>
    </w:p>
    <w:p w:rsidR="00221D6A" w:rsidRDefault="00BA3780">
      <w:pPr>
        <w:pStyle w:val="ManualNumPar1"/>
        <w:rPr>
          <w:noProof/>
        </w:rPr>
      </w:pPr>
      <w:r>
        <w:rPr>
          <w:noProof/>
        </w:rPr>
        <w:t>1.</w:t>
      </w:r>
      <w:r>
        <w:rPr>
          <w:noProof/>
        </w:rPr>
        <w:tab/>
        <w:t>Valstybės narės nedraudžia, neriboja arba netrukdo jų teritorijose pateikti rinkai arba pradėti naudoti su energija susijusius gaminius, atitinkančius šio reglamento ir su juo susijusių deleguotųjų aktų reikalavimus.</w:t>
      </w:r>
    </w:p>
    <w:p w:rsidR="00221D6A" w:rsidRDefault="00BA3780">
      <w:pPr>
        <w:pStyle w:val="ManualNumPar1"/>
        <w:rPr>
          <w:noProof/>
        </w:rPr>
      </w:pPr>
      <w:r>
        <w:rPr>
          <w:noProof/>
        </w:rPr>
        <w:t>2</w:t>
      </w:r>
      <w:r>
        <w:rPr>
          <w:noProof/>
        </w:rPr>
        <w:t>.</w:t>
      </w:r>
      <w:r>
        <w:rPr>
          <w:noProof/>
        </w:rPr>
        <w:tab/>
        <w:t>Valstybės narės imasi visų būtinų priemonių siekdamos užtikrinti, kad tiekėjai ir prekiautojai laikytųsi pareigų ir vykdytų reikalavimus, nustatytus šiame reglamente ir susijusiuose deleguotuosiuose aktuose.</w:t>
      </w:r>
    </w:p>
    <w:p w:rsidR="00221D6A" w:rsidRDefault="00BA3780">
      <w:pPr>
        <w:pStyle w:val="ManualNumPar1"/>
        <w:rPr>
          <w:noProof/>
        </w:rPr>
      </w:pPr>
      <w:r>
        <w:rPr>
          <w:noProof/>
        </w:rPr>
        <w:t>3.</w:t>
      </w:r>
      <w:r>
        <w:rPr>
          <w:noProof/>
        </w:rPr>
        <w:tab/>
        <w:t>Jei su energija susijusiam gaminiui, kuriam</w:t>
      </w:r>
      <w:r>
        <w:rPr>
          <w:noProof/>
        </w:rPr>
        <w:t xml:space="preserve"> taikomas šis reglamentas ir kuris nurodytas deleguotajame akte, valstybės narės numato paskatų, tokias paskatas jos skiria už aukščiausias energijos vartojimo efektyvumo klases, nustatytas taikomame deleguotajame akte.</w:t>
      </w:r>
    </w:p>
    <w:p w:rsidR="00221D6A" w:rsidRDefault="00BA3780">
      <w:pPr>
        <w:pStyle w:val="ManualNumPar1"/>
        <w:rPr>
          <w:noProof/>
        </w:rPr>
      </w:pPr>
      <w:r>
        <w:rPr>
          <w:noProof/>
        </w:rPr>
        <w:t>4.</w:t>
      </w:r>
      <w:r>
        <w:rPr>
          <w:noProof/>
        </w:rPr>
        <w:tab/>
        <w:t>Valstybės narės, bendradarbiaudam</w:t>
      </w:r>
      <w:r>
        <w:rPr>
          <w:noProof/>
        </w:rPr>
        <w:t>os, jei reikia, su prekiautojais, užtikrina, kad pradedant naudoti pakeistos skalės etiketes ir gaminių informacijos lapus būtų organizuojamos mokymo ir populiarinimo informacinės kampanijos, kurių tikslas – populiarinti efektyvų energijos vartojimą ir pir</w:t>
      </w:r>
      <w:r>
        <w:rPr>
          <w:noProof/>
        </w:rPr>
        <w:t>kėjus paraginti atsakingiau naudoti energiją.</w:t>
      </w:r>
    </w:p>
    <w:p w:rsidR="00221D6A" w:rsidRDefault="00BA3780">
      <w:pPr>
        <w:pStyle w:val="ManualNumPar1"/>
        <w:rPr>
          <w:noProof/>
        </w:rPr>
      </w:pPr>
      <w:r>
        <w:rPr>
          <w:noProof/>
        </w:rPr>
        <w:t>5.</w:t>
      </w:r>
      <w:r>
        <w:rPr>
          <w:noProof/>
        </w:rPr>
        <w:tab/>
        <w:t>Valstybės narės nustato sankcijų taikymo taisykles ir reikalavimų atitikties užtikrinimo tvarką, taikomą šio reglamento ir su juo susijusių deleguotųjų aktų reikalavimų pažeidimo atvejais, ir imasi visų būti</w:t>
      </w:r>
      <w:r>
        <w:rPr>
          <w:noProof/>
        </w:rPr>
        <w:t>nų priemonių, kad tos taisyklės ir tvarka būtų įgyvendintos. Sankcijos turi būti veiksmingos, proporcingos ir atgrasomosios. Valstybės narės Komisijai praneša apie šias nuostatas ir nedelsdamos ją informuoja apie visus vėlesnius su jomis susijusius pakeiti</w:t>
      </w:r>
      <w:r>
        <w:rPr>
          <w:noProof/>
        </w:rPr>
        <w:t>mus.</w:t>
      </w:r>
    </w:p>
    <w:p w:rsidR="00221D6A" w:rsidRDefault="00BA3780">
      <w:pPr>
        <w:pStyle w:val="Titrearticle"/>
        <w:rPr>
          <w:noProof/>
        </w:rPr>
      </w:pPr>
      <w:r>
        <w:rPr>
          <w:noProof/>
        </w:rPr>
        <w:t>5 straipsnis</w:t>
      </w:r>
    </w:p>
    <w:p w:rsidR="00221D6A" w:rsidRDefault="00BA3780">
      <w:pPr>
        <w:jc w:val="center"/>
        <w:rPr>
          <w:b/>
          <w:noProof/>
        </w:rPr>
      </w:pPr>
      <w:r>
        <w:rPr>
          <w:b/>
          <w:noProof/>
        </w:rPr>
        <w:t>Sąjungos rinkos priežiūra ir į Sąjungos rinką įvežamų su energija susijusių gaminių kontrolė</w:t>
      </w:r>
    </w:p>
    <w:p w:rsidR="00221D6A" w:rsidRDefault="00BA3780">
      <w:pPr>
        <w:pStyle w:val="ManualNumPar1"/>
        <w:rPr>
          <w:noProof/>
        </w:rPr>
      </w:pPr>
      <w:r>
        <w:rPr>
          <w:noProof/>
        </w:rPr>
        <w:t>1.</w:t>
      </w:r>
      <w:r>
        <w:rPr>
          <w:noProof/>
        </w:rPr>
        <w:tab/>
        <w:t xml:space="preserve">Su energija susijusiems gaminiams, kuriems taikomas šis reglamentas ir jo deleguotieji aktai, taikomi ir Reglamento (EB) Nr. 765/2008 16–29 </w:t>
      </w:r>
      <w:r>
        <w:rPr>
          <w:noProof/>
        </w:rPr>
        <w:t>straipsniai.</w:t>
      </w:r>
    </w:p>
    <w:p w:rsidR="00221D6A" w:rsidRDefault="00BA3780">
      <w:pPr>
        <w:pStyle w:val="ManualNumPar1"/>
        <w:rPr>
          <w:noProof/>
        </w:rPr>
      </w:pPr>
      <w:r>
        <w:rPr>
          <w:noProof/>
        </w:rPr>
        <w:t>2.</w:t>
      </w:r>
      <w:r>
        <w:rPr>
          <w:noProof/>
        </w:rPr>
        <w:tab/>
        <w:t>Komisija padeda valstybių narių nacionalinėms institucijoms, atsakingoms už rinkos priežiūrą arba išorės sienų kontrolę, bendradarbiauti ir keistis informacija, kaip rinkoje prižiūrimas su energija susijusių gaminių energijos vartojimo efek</w:t>
      </w:r>
      <w:r>
        <w:rPr>
          <w:noProof/>
        </w:rPr>
        <w:t>tyvumo ženklinimas, tarpusavyje ir su Komisija.</w:t>
      </w:r>
    </w:p>
    <w:p w:rsidR="00221D6A" w:rsidRDefault="00BA3780">
      <w:pPr>
        <w:pStyle w:val="Titrearticle"/>
        <w:rPr>
          <w:noProof/>
        </w:rPr>
      </w:pPr>
      <w:r>
        <w:rPr>
          <w:noProof/>
        </w:rPr>
        <w:t>6 straipsnis</w:t>
      </w:r>
    </w:p>
    <w:p w:rsidR="00221D6A" w:rsidRDefault="00BA3780">
      <w:pPr>
        <w:jc w:val="center"/>
        <w:rPr>
          <w:b/>
          <w:noProof/>
        </w:rPr>
      </w:pPr>
      <w:r>
        <w:rPr>
          <w:b/>
          <w:noProof/>
        </w:rPr>
        <w:t>Sąjungos apsaugos procedūra</w:t>
      </w:r>
    </w:p>
    <w:p w:rsidR="00221D6A" w:rsidRDefault="00BA3780">
      <w:pPr>
        <w:pStyle w:val="ManualNumPar1"/>
        <w:rPr>
          <w:noProof/>
        </w:rPr>
      </w:pPr>
      <w:r>
        <w:rPr>
          <w:noProof/>
        </w:rPr>
        <w:t>1.</w:t>
      </w:r>
      <w:r>
        <w:rPr>
          <w:noProof/>
        </w:rPr>
        <w:tab/>
        <w:t>Jei vienos valstybės narės rinkos priežiūros institucijos turi pakankamai priežasčių manyti, kad su energija susijęs gaminys, kuriam taikomas pagal šį reglamentą pr</w:t>
      </w:r>
      <w:r>
        <w:rPr>
          <w:noProof/>
        </w:rPr>
        <w:t>iimtas deleguotasis aktas, yra pavojingas visuomenės interesų apsaugos aspektais, kuriais taikomas šis reglamentas, tos institucijos atlieka su energija susijusio gaminio vertinimą, kuris apima visus šiuo reglamentu ir su juo susijusiais deleguotaisiais ak</w:t>
      </w:r>
      <w:r>
        <w:rPr>
          <w:noProof/>
        </w:rPr>
        <w:t>tais nustatytus reikalavimus. Tiekėjas tuo tikslu prireikus bendradarbiauja su rinkos priežiūros institucijomis.</w:t>
      </w:r>
    </w:p>
    <w:p w:rsidR="00221D6A" w:rsidRDefault="00BA3780">
      <w:pPr>
        <w:pStyle w:val="ManualNumPar1"/>
        <w:rPr>
          <w:noProof/>
        </w:rPr>
      </w:pPr>
      <w:r>
        <w:rPr>
          <w:noProof/>
        </w:rPr>
        <w:t>2.</w:t>
      </w:r>
      <w:r>
        <w:rPr>
          <w:noProof/>
        </w:rPr>
        <w:tab/>
        <w:t>Jei vertindamos gaminį rinkos priežiūros institucijos nustato, kad su energija susijęs gaminys neatitinka šiuo reglamentu ir su juo susijusi</w:t>
      </w:r>
      <w:r>
        <w:rPr>
          <w:noProof/>
        </w:rPr>
        <w:t>ais deleguotaisiais aktais nustatytų reikalavimų, atsižvelgusios į pavojaus pobūdį jos nedelsdamos atitinkamai reikalauja, kad tiekėjas imtųsi visų deramų taisomųjų priemonių, kad užtikrintų su energija susijusio gaminio atitiktį tiems reikalavimams, pašal</w:t>
      </w:r>
      <w:r>
        <w:rPr>
          <w:noProof/>
        </w:rPr>
        <w:t>intų su energija susijusį gaminį iš rinkos arba jį atšauktų per pagrįstą laikotarpį. Šioje pastraipoje nurodytoms priemonėms taikomas Reglamento (EB) Nr. 765/2008 21 straipsnis.</w:t>
      </w:r>
    </w:p>
    <w:p w:rsidR="00221D6A" w:rsidRDefault="00BA3780">
      <w:pPr>
        <w:pStyle w:val="ManualNumPar1"/>
        <w:rPr>
          <w:noProof/>
        </w:rPr>
      </w:pPr>
      <w:r>
        <w:rPr>
          <w:noProof/>
        </w:rPr>
        <w:t>3.</w:t>
      </w:r>
      <w:r>
        <w:rPr>
          <w:noProof/>
        </w:rPr>
        <w:tab/>
        <w:t xml:space="preserve">Jei rinkos priežiūros institucijos mano, kad reikalavimų neatitikties </w:t>
      </w:r>
      <w:r>
        <w:rPr>
          <w:noProof/>
        </w:rPr>
        <w:t>atvejis yra susijęs ne vien su jų valstybės teritorija, apie vertinimo rezultatus ir priemones, kurių imtis jos pareikalavo tiekėjo, jos informuoja Komisiją ir kitas valstybes nares.</w:t>
      </w:r>
    </w:p>
    <w:p w:rsidR="00221D6A" w:rsidRDefault="00BA3780">
      <w:pPr>
        <w:pStyle w:val="ManualNumPar1"/>
        <w:rPr>
          <w:noProof/>
        </w:rPr>
      </w:pPr>
      <w:r>
        <w:rPr>
          <w:noProof/>
        </w:rPr>
        <w:t>4.</w:t>
      </w:r>
      <w:r>
        <w:rPr>
          <w:noProof/>
        </w:rPr>
        <w:tab/>
        <w:t>Tiekėjas užtikrina, kad dėl visų atitinkamų su energija susijusių gami</w:t>
      </w:r>
      <w:r>
        <w:rPr>
          <w:noProof/>
        </w:rPr>
        <w:t>nių, kuriuos jis visoje Sąjungoje pateikė rinkai, būtų imtasi visų deramų taisomųjų priemonių.</w:t>
      </w:r>
    </w:p>
    <w:p w:rsidR="00221D6A" w:rsidRDefault="00BA3780">
      <w:pPr>
        <w:pStyle w:val="ManualNumPar1"/>
        <w:rPr>
          <w:noProof/>
        </w:rPr>
      </w:pPr>
      <w:r>
        <w:rPr>
          <w:noProof/>
        </w:rPr>
        <w:t>5.</w:t>
      </w:r>
      <w:r>
        <w:rPr>
          <w:noProof/>
        </w:rPr>
        <w:tab/>
        <w:t>Jei tiekėjas nesiima tinkamų taisomųjų priemonių per 2 dalyje nurodytą laikotarpį, rinkos priežiūros institucijos imasi visų deramų laikinųjų priemonių, kad u</w:t>
      </w:r>
      <w:r>
        <w:rPr>
          <w:noProof/>
        </w:rPr>
        <w:t>ždraustų arba apribotų to su energija susijusio gaminio tiekimą jų valstybės rinkai, jį pašalintų iš tos rinkos arba kad toks gaminys būtų atšauktas. Apie tokias priemones rinkos priežiūros institucijos nedelsdamos informuoja Komisiją ir kitas valstybes na</w:t>
      </w:r>
      <w:r>
        <w:rPr>
          <w:noProof/>
        </w:rPr>
        <w:t>res.</w:t>
      </w:r>
    </w:p>
    <w:p w:rsidR="00221D6A" w:rsidRDefault="00BA3780">
      <w:pPr>
        <w:pStyle w:val="ManualNumPar1"/>
        <w:rPr>
          <w:noProof/>
        </w:rPr>
      </w:pPr>
      <w:r>
        <w:rPr>
          <w:noProof/>
        </w:rPr>
        <w:t>6.</w:t>
      </w:r>
      <w:r>
        <w:rPr>
          <w:noProof/>
        </w:rPr>
        <w:tab/>
        <w:t>5 dalyje nurodyta informacija apima visas žinomas detales, ypač reikalavimų neatitinkančiam su energija susijusiam gaminiui identifikuoti būtinus duomenis, su energija susijusio gaminio kilmę, įtariamos reikalavimų neatitikties pobūdį, susijusį pav</w:t>
      </w:r>
      <w:r>
        <w:rPr>
          <w:noProof/>
        </w:rPr>
        <w:t>ojų, taikomų nacionalinių priemonių pobūdį bei taikymo trukmę ir tiekėjo pateiktus argumentus. Rinkos priežiūros institucijos pirmiausia nurodo, ar reikalavimų neatitikties priežastis yra tai, kad su energija susijęs gaminys neatitinka šiame reglamente nus</w:t>
      </w:r>
      <w:r>
        <w:rPr>
          <w:noProof/>
        </w:rPr>
        <w:t>tatytų reikalavimų visuomenės interesų apsaugos aspektais, ar tai, kad 9 straipsnyje, kuriuo daroma atitikties prielaida, nurodytuose darniuosiuose standartuose yra trūkumų.</w:t>
      </w:r>
    </w:p>
    <w:p w:rsidR="00221D6A" w:rsidRDefault="00BA3780">
      <w:pPr>
        <w:pStyle w:val="ManualNumPar1"/>
        <w:rPr>
          <w:noProof/>
        </w:rPr>
      </w:pPr>
      <w:r>
        <w:rPr>
          <w:noProof/>
        </w:rPr>
        <w:t>7.</w:t>
      </w:r>
      <w:r>
        <w:rPr>
          <w:noProof/>
        </w:rPr>
        <w:tab/>
        <w:t>Valstybės narės, išskyrus procedūrą pradėjusią valstybę narę, nedelsdamos infor</w:t>
      </w:r>
      <w:r>
        <w:rPr>
          <w:noProof/>
        </w:rPr>
        <w:t>muoja Komisiją ir kitas valstybes nares apie visas priimtas priemones ir pateikia visą turimą papildomą informaciją apie atitinkamo su energija susijusio gaminio neatitiktį reikalavimams, o jei nesutinka su nacionaline priemone, apie kurią pranešta, – savo</w:t>
      </w:r>
      <w:r>
        <w:rPr>
          <w:noProof/>
        </w:rPr>
        <w:t xml:space="preserve"> prieštaravimus.</w:t>
      </w:r>
    </w:p>
    <w:p w:rsidR="00221D6A" w:rsidRDefault="00BA3780">
      <w:pPr>
        <w:pStyle w:val="ManualNumPar1"/>
        <w:rPr>
          <w:noProof/>
        </w:rPr>
      </w:pPr>
      <w:r>
        <w:rPr>
          <w:noProof/>
        </w:rPr>
        <w:t>8.</w:t>
      </w:r>
      <w:r>
        <w:rPr>
          <w:noProof/>
        </w:rPr>
        <w:tab/>
        <w:t>Jei per 60 dienų nuo 5 dalyje nurodytos informacijos gavimo nei viena valstybė narė arba Komisija nepareiškia prieštaraujančios laikinajai priemonei, kurios ėmėsi valstybė narė, ta priemonė laikoma pagrįsta.</w:t>
      </w:r>
    </w:p>
    <w:p w:rsidR="00221D6A" w:rsidRDefault="00BA3780">
      <w:pPr>
        <w:pStyle w:val="ManualNumPar1"/>
        <w:rPr>
          <w:noProof/>
        </w:rPr>
      </w:pPr>
      <w:r>
        <w:rPr>
          <w:noProof/>
        </w:rPr>
        <w:t>9.</w:t>
      </w:r>
      <w:r>
        <w:rPr>
          <w:noProof/>
        </w:rPr>
        <w:tab/>
        <w:t>Valstybės narės užtikrina</w:t>
      </w:r>
      <w:r>
        <w:rPr>
          <w:noProof/>
        </w:rPr>
        <w:t>, kad atitinkamo su energija susijusio gaminio atžvilgiu nedelsiant būtų imtasi deramų ribojamųjų priemonių, pavyzdžiui, su energija susijusio gaminio pašalinimo iš savo rinkos.</w:t>
      </w:r>
    </w:p>
    <w:p w:rsidR="00221D6A" w:rsidRDefault="00BA3780">
      <w:pPr>
        <w:pStyle w:val="ManualNumPar1"/>
        <w:rPr>
          <w:noProof/>
        </w:rPr>
      </w:pPr>
      <w:r>
        <w:rPr>
          <w:noProof/>
        </w:rPr>
        <w:t>10.</w:t>
      </w:r>
      <w:r>
        <w:rPr>
          <w:noProof/>
        </w:rPr>
        <w:tab/>
        <w:t>Jei baigus 4 ir 5 dalyse nustatytą procedūrą pareiškiamas prieštaravimas d</w:t>
      </w:r>
      <w:r>
        <w:rPr>
          <w:noProof/>
        </w:rPr>
        <w:t>ėl priemonės, kurios ėmėsi valstybė narė, arba jei Komisija mano, kad nacionalinė priemonė nesuderinama su Sąjungos teisės aktais, Komisija nedelsdama pradeda konsultacijas su valstybėmis narėmis ir tiekėju ir įvertina nacionalinę priemonę. Remdamasi verti</w:t>
      </w:r>
      <w:r>
        <w:rPr>
          <w:noProof/>
        </w:rPr>
        <w:t>nimo rezultatais, Komisija sprendžia, ar nacionalinė priemonė pagrįsta ar ne.</w:t>
      </w:r>
    </w:p>
    <w:p w:rsidR="00221D6A" w:rsidRDefault="00BA3780">
      <w:pPr>
        <w:pStyle w:val="ManualNumPar1"/>
        <w:rPr>
          <w:noProof/>
        </w:rPr>
      </w:pPr>
      <w:r>
        <w:rPr>
          <w:noProof/>
        </w:rPr>
        <w:t>11.</w:t>
      </w:r>
      <w:r>
        <w:rPr>
          <w:noProof/>
        </w:rPr>
        <w:tab/>
        <w:t>Savo sprendimą Komisija skiria visoms valstybėms narėms ir jį nedelsdama praneša joms ir tiekėjui.</w:t>
      </w:r>
    </w:p>
    <w:p w:rsidR="00221D6A" w:rsidRDefault="00BA3780">
      <w:pPr>
        <w:pStyle w:val="ManualNumPar1"/>
        <w:rPr>
          <w:noProof/>
        </w:rPr>
      </w:pPr>
      <w:r>
        <w:rPr>
          <w:noProof/>
        </w:rPr>
        <w:t>12.</w:t>
      </w:r>
      <w:r>
        <w:rPr>
          <w:noProof/>
        </w:rPr>
        <w:tab/>
        <w:t>Jei nacionalinė priemonė pripažįstama pagrįsta, visos valstybės narės i</w:t>
      </w:r>
      <w:r>
        <w:rPr>
          <w:noProof/>
        </w:rPr>
        <w:t>masi priemonių, būtinų siekiant užtikrinti, kad reikalavimų neatitinkantis su energija susijęs gaminys būtų pašalintas iš jų rinkos, ir apie tai informuoja Komisiją. Jei nacionalinė priemonė pripažįstama nepagrįsta, atitinkama valstybė narė priemonę atšauk</w:t>
      </w:r>
      <w:r>
        <w:rPr>
          <w:noProof/>
        </w:rPr>
        <w:t>ia.</w:t>
      </w:r>
    </w:p>
    <w:p w:rsidR="00221D6A" w:rsidRDefault="00BA3780">
      <w:pPr>
        <w:pStyle w:val="ManualNumPar1"/>
        <w:rPr>
          <w:noProof/>
        </w:rPr>
      </w:pPr>
      <w:r>
        <w:rPr>
          <w:noProof/>
        </w:rPr>
        <w:t>13.</w:t>
      </w:r>
      <w:r>
        <w:rPr>
          <w:noProof/>
        </w:rPr>
        <w:tab/>
        <w:t>Jei nacionalinė priemonė pripažįstama pagrįsta, o su energija susijusio gaminio reikalavimų neatitikties priežastimi laikomi 6 dalyje nurodytų darniųjų standartų trūkumai, Komisija taiko Reglamento (ES) Nr. 1025/2012 11 straipsnyje numatytą procedū</w:t>
      </w:r>
      <w:r>
        <w:rPr>
          <w:noProof/>
        </w:rPr>
        <w:t>rą.</w:t>
      </w:r>
    </w:p>
    <w:p w:rsidR="00221D6A" w:rsidRDefault="00BA3780">
      <w:pPr>
        <w:pStyle w:val="Titrearticle"/>
        <w:rPr>
          <w:b/>
          <w:i w:val="0"/>
          <w:noProof/>
        </w:rPr>
      </w:pPr>
      <w:r>
        <w:rPr>
          <w:noProof/>
        </w:rPr>
        <w:t>7 straipsnis</w:t>
      </w:r>
      <w:r>
        <w:rPr>
          <w:noProof/>
        </w:rPr>
        <w:br/>
      </w:r>
      <w:r>
        <w:rPr>
          <w:b/>
          <w:i w:val="0"/>
          <w:noProof/>
        </w:rPr>
        <w:t xml:space="preserve">Etiketės ir skalės pakeitimas </w:t>
      </w:r>
    </w:p>
    <w:p w:rsidR="00221D6A" w:rsidRDefault="00BA3780">
      <w:pPr>
        <w:pStyle w:val="ManualNumPar1"/>
        <w:rPr>
          <w:noProof/>
        </w:rPr>
      </w:pPr>
      <w:r>
        <w:rPr>
          <w:noProof/>
        </w:rPr>
        <w:t>1.</w:t>
      </w:r>
      <w:r>
        <w:rPr>
          <w:noProof/>
        </w:rPr>
        <w:tab/>
        <w:t>Nustatyti etiketes arba pakeisti esamų etikečių skales Komisija gali pagal 12 ir 13 straipsnius priimtais deleguotaisiais aktais.</w:t>
      </w:r>
    </w:p>
    <w:p w:rsidR="00221D6A" w:rsidRDefault="00BA3780">
      <w:pPr>
        <w:pStyle w:val="ManualNumPar1"/>
        <w:rPr>
          <w:noProof/>
        </w:rPr>
      </w:pPr>
      <w:r>
        <w:rPr>
          <w:noProof/>
        </w:rPr>
        <w:t>2.</w:t>
      </w:r>
      <w:r>
        <w:rPr>
          <w:noProof/>
        </w:rPr>
        <w:tab/>
        <w:t>Jei dėl įgyvendinimo priemonės, priimtos pagal Direktyvą 2009/125/EB, ri</w:t>
      </w:r>
      <w:r>
        <w:rPr>
          <w:noProof/>
        </w:rPr>
        <w:t>nkai nebegalima tiekti tam tikros gaminių grupės modelių, priskiriamų prie D, E, F arba G energijos vartojimo efektyvumo klasių, ta klasė arba klasės etiketėje nerodomos.</w:t>
      </w:r>
    </w:p>
    <w:p w:rsidR="00221D6A" w:rsidRDefault="00BA3780">
      <w:pPr>
        <w:pStyle w:val="ManualNumPar1"/>
        <w:rPr>
          <w:noProof/>
        </w:rPr>
      </w:pPr>
      <w:r>
        <w:rPr>
          <w:noProof/>
        </w:rPr>
        <w:t>3.</w:t>
      </w:r>
      <w:r>
        <w:rPr>
          <w:noProof/>
        </w:rPr>
        <w:tab/>
        <w:t>Komisija užtikrina, kad nustatant etiketę arba pakeičiant jos skalę būtų priimti t</w:t>
      </w:r>
      <w:r>
        <w:rPr>
          <w:noProof/>
        </w:rPr>
        <w:t xml:space="preserve">okie reikalavimai, kad etiketės nustatymo momentu jokie gaminiai negalėtų būti priskirti prie A arba B energijos vartojimo efektyvumo klasių ir kad laikas, per kurį, kaip tikimasi, dauguma modelių būtų priskirti prie tų klasių, būtų bent dešimt metų. </w:t>
      </w:r>
    </w:p>
    <w:p w:rsidR="00221D6A" w:rsidRDefault="00BA3780">
      <w:pPr>
        <w:pStyle w:val="ManualNumPar1"/>
        <w:rPr>
          <w:noProof/>
        </w:rPr>
      </w:pPr>
      <w:r>
        <w:rPr>
          <w:noProof/>
        </w:rPr>
        <w:t>4.</w:t>
      </w:r>
      <w:r>
        <w:rPr>
          <w:noProof/>
        </w:rPr>
        <w:tab/>
        <w:t>E</w:t>
      </w:r>
      <w:r>
        <w:rPr>
          <w:noProof/>
        </w:rPr>
        <w:t>tikečių skalė keičiama periodiškai.</w:t>
      </w:r>
    </w:p>
    <w:p w:rsidR="00221D6A" w:rsidRDefault="00BA3780">
      <w:pPr>
        <w:pStyle w:val="ManualNumPar1"/>
        <w:rPr>
          <w:noProof/>
        </w:rPr>
      </w:pPr>
      <w:r>
        <w:rPr>
          <w:noProof/>
        </w:rPr>
        <w:t>5.</w:t>
      </w:r>
      <w:r>
        <w:rPr>
          <w:noProof/>
        </w:rPr>
        <w:tab/>
        <w:t xml:space="preserve">Jei etiketės skalė pakeičiama: </w:t>
      </w:r>
    </w:p>
    <w:p w:rsidR="00221D6A" w:rsidRDefault="00BA3780">
      <w:pPr>
        <w:pStyle w:val="Point1letter"/>
        <w:numPr>
          <w:ilvl w:val="3"/>
          <w:numId w:val="12"/>
        </w:numPr>
        <w:rPr>
          <w:noProof/>
        </w:rPr>
      </w:pPr>
      <w:r>
        <w:rPr>
          <w:noProof/>
        </w:rPr>
        <w:t>tiekėjai esamas ir pakeistos skalės etiketes prekiautojams teikia šešis mėnesius iki b punkte nurodytos datos;</w:t>
      </w:r>
    </w:p>
    <w:p w:rsidR="00221D6A" w:rsidRDefault="00BA3780">
      <w:pPr>
        <w:pStyle w:val="Point1letter"/>
        <w:rPr>
          <w:noProof/>
        </w:rPr>
      </w:pPr>
      <w:r>
        <w:rPr>
          <w:noProof/>
        </w:rPr>
        <w:t>esamas etiketes ant demonstruojamų, įskaitant internete, gaminių prekiauto</w:t>
      </w:r>
      <w:r>
        <w:rPr>
          <w:noProof/>
        </w:rPr>
        <w:t>jai pakeičia naujos skalės etiketėmis per vieną savaitę nuo datos, tuo tikslu nustatytos atitinkamame deleguotajame akte. Prekiautojai pakeistos skalės etiketės iki tos dienos nerodo.</w:t>
      </w:r>
    </w:p>
    <w:p w:rsidR="00221D6A" w:rsidRDefault="00BA3780">
      <w:pPr>
        <w:pStyle w:val="ManualNumPar1"/>
        <w:rPr>
          <w:noProof/>
        </w:rPr>
      </w:pPr>
      <w:r>
        <w:rPr>
          <w:noProof/>
        </w:rPr>
        <w:t>6.</w:t>
      </w:r>
      <w:r>
        <w:rPr>
          <w:noProof/>
        </w:rPr>
        <w:tab/>
        <w:t>Pagal Direktyvos 2010/30/ES 10 straipsnį priimtais deleguotaisiais ak</w:t>
      </w:r>
      <w:r>
        <w:rPr>
          <w:noProof/>
        </w:rPr>
        <w:t>tais iki šio reglamento taikymo dienos nustatytos etiketės laikomos šio reglamento tikslais naudojamomis etiketėmis. Tokias etiketes Komisija per penkerius metus nuo šio reglamento įsigaliojimo peržiūri, kad pakeistų jų skalę.</w:t>
      </w:r>
    </w:p>
    <w:p w:rsidR="00221D6A" w:rsidRDefault="00BA3780">
      <w:pPr>
        <w:pStyle w:val="Titrearticle"/>
        <w:spacing w:before="120" w:after="0"/>
        <w:rPr>
          <w:b/>
          <w:i w:val="0"/>
          <w:noProof/>
        </w:rPr>
      </w:pPr>
      <w:r>
        <w:rPr>
          <w:noProof/>
        </w:rPr>
        <w:t>8 straipsnis</w:t>
      </w:r>
      <w:r>
        <w:rPr>
          <w:noProof/>
        </w:rPr>
        <w:br/>
      </w:r>
      <w:r>
        <w:rPr>
          <w:b/>
          <w:i w:val="0"/>
          <w:noProof/>
        </w:rPr>
        <w:t xml:space="preserve">Gaminių duomenų </w:t>
      </w:r>
      <w:r>
        <w:rPr>
          <w:b/>
          <w:i w:val="0"/>
          <w:noProof/>
        </w:rPr>
        <w:t>bazė</w:t>
      </w:r>
    </w:p>
    <w:p w:rsidR="00221D6A" w:rsidRDefault="00BA3780">
      <w:pPr>
        <w:rPr>
          <w:i/>
          <w:noProof/>
        </w:rPr>
      </w:pPr>
      <w:r>
        <w:rPr>
          <w:noProof/>
        </w:rPr>
        <w:t>Komisija sukuria ir tvarko gaminių duomenų bazę, kurioje saugoma I priede nurodyta informacija. I priedo 1 punkto sąraše išvardyta informacija skelbiama viešai.</w:t>
      </w:r>
    </w:p>
    <w:p w:rsidR="00221D6A" w:rsidRDefault="00BA3780">
      <w:pPr>
        <w:pStyle w:val="Titrearticle"/>
        <w:rPr>
          <w:b/>
          <w:i w:val="0"/>
          <w:noProof/>
        </w:rPr>
      </w:pPr>
      <w:r>
        <w:rPr>
          <w:noProof/>
        </w:rPr>
        <w:t>9 straipsnis</w:t>
      </w:r>
      <w:r>
        <w:rPr>
          <w:noProof/>
        </w:rPr>
        <w:br/>
      </w:r>
      <w:r>
        <w:rPr>
          <w:b/>
          <w:i w:val="0"/>
          <w:noProof/>
        </w:rPr>
        <w:t>Darnieji standartai</w:t>
      </w:r>
    </w:p>
    <w:p w:rsidR="00221D6A" w:rsidRDefault="00BA3780">
      <w:pPr>
        <w:rPr>
          <w:noProof/>
        </w:rPr>
      </w:pPr>
      <w:r>
        <w:rPr>
          <w:noProof/>
        </w:rPr>
        <w:t>Pagal šį reglamentą priėmusi deleguotąjį aktą, kuriuo nus</w:t>
      </w:r>
      <w:r>
        <w:rPr>
          <w:noProof/>
        </w:rPr>
        <w:t>tatomi konkretūs pagal šio reglamento 13 straipsnį priimti energijos vartojimo efektyvumo ženklinimo reikalavimai, Komisija, laikydamasi Reglamento (ES) Nr. 1025/2012</w:t>
      </w:r>
      <w:r>
        <w:rPr>
          <w:rStyle w:val="FootnoteReference"/>
          <w:noProof/>
        </w:rPr>
        <w:footnoteReference w:id="22"/>
      </w:r>
      <w:r>
        <w:rPr>
          <w:noProof/>
        </w:rPr>
        <w:t xml:space="preserve">, </w:t>
      </w:r>
      <w:r>
        <w:rPr>
          <w:i/>
          <w:noProof/>
        </w:rPr>
        <w:t>Europos Sąjungos oficialiajame leidinyje</w:t>
      </w:r>
      <w:r>
        <w:rPr>
          <w:noProof/>
        </w:rPr>
        <w:t xml:space="preserve"> paskelbia nuorodas į darniuosius standartus, a</w:t>
      </w:r>
      <w:r>
        <w:rPr>
          <w:noProof/>
        </w:rPr>
        <w:t>titinkančius deleguotojo akto aktualius matavimo ir skaičiavimo reikalavimus.</w:t>
      </w:r>
    </w:p>
    <w:p w:rsidR="00221D6A" w:rsidRDefault="00BA3780">
      <w:pPr>
        <w:rPr>
          <w:noProof/>
        </w:rPr>
      </w:pPr>
      <w:r>
        <w:rPr>
          <w:noProof/>
        </w:rPr>
        <w:t>Jei gaminio atitiktis vertinama taikant tokius darniuosius standartus, laikoma, kad gaminys atitinka susijusius deleguotojo akto matavimo ir skaičiavimo reikalavimus.</w:t>
      </w:r>
    </w:p>
    <w:p w:rsidR="00221D6A" w:rsidRDefault="00BA3780">
      <w:pPr>
        <w:pStyle w:val="Titrearticle"/>
        <w:rPr>
          <w:b/>
          <w:i w:val="0"/>
          <w:noProof/>
        </w:rPr>
      </w:pPr>
      <w:r>
        <w:rPr>
          <w:noProof/>
        </w:rPr>
        <w:t>10 straipsn</w:t>
      </w:r>
      <w:r>
        <w:rPr>
          <w:noProof/>
        </w:rPr>
        <w:t>is</w:t>
      </w:r>
      <w:r>
        <w:rPr>
          <w:noProof/>
        </w:rPr>
        <w:br/>
      </w:r>
      <w:r>
        <w:rPr>
          <w:b/>
          <w:i w:val="0"/>
          <w:noProof/>
        </w:rPr>
        <w:t>Konsultacijos</w:t>
      </w:r>
    </w:p>
    <w:p w:rsidR="00221D6A" w:rsidRDefault="00BA3780">
      <w:pPr>
        <w:rPr>
          <w:noProof/>
        </w:rPr>
      </w:pPr>
      <w:r>
        <w:rPr>
          <w:noProof/>
        </w:rPr>
        <w:t>Vykdydama savo veiklą pagal šį reglamentą, Komisija dėl kiekvieno deleguotojo akto užtikrina subalansuotą valstybių narių atstovų ir su atitinkamu gaminiu susijusių suinteresuotųjų šalių, pavyzdžiui, pramonės atstovų (įskaitant mažąsias ir</w:t>
      </w:r>
      <w:r>
        <w:rPr>
          <w:noProof/>
        </w:rPr>
        <w:t xml:space="preserve"> vidutines įmones, taip pat amatininkus), profesinių sąjungų, prekybininkų, mažmenininkų, importuotojų, aplinkos apsaugos grupių ir vartotojų organizacijų, dalyvavimą. Tam Komisija įsteigia konsultacijų forumą, kuriame susitinka šios šalys. Šis konsultacij</w:t>
      </w:r>
      <w:r>
        <w:rPr>
          <w:noProof/>
        </w:rPr>
        <w:t>ų forumas gali būti sujungtas su Direktyvos 2009/125/EB 18 straipsnyje nurodytu forumu.</w:t>
      </w:r>
    </w:p>
    <w:p w:rsidR="00221D6A" w:rsidRDefault="00BA3780">
      <w:pPr>
        <w:rPr>
          <w:noProof/>
        </w:rPr>
      </w:pPr>
      <w:r>
        <w:rPr>
          <w:noProof/>
        </w:rPr>
        <w:t>Prieš priimdama deleguotuosius aktus, Komisija, jei reikia, su vartotojais išbando konkrečioms gaminių grupėms skirtų etikečių formą ir turinį, siekdama užtikrinti, kad</w:t>
      </w:r>
      <w:r>
        <w:rPr>
          <w:noProof/>
        </w:rPr>
        <w:t xml:space="preserve"> vartotojai aiškiai suprastų etiketes.</w:t>
      </w:r>
    </w:p>
    <w:p w:rsidR="00221D6A" w:rsidRDefault="00BA3780">
      <w:pPr>
        <w:pStyle w:val="Titrearticle"/>
        <w:rPr>
          <w:b/>
          <w:i w:val="0"/>
          <w:noProof/>
        </w:rPr>
      </w:pPr>
      <w:r>
        <w:rPr>
          <w:noProof/>
        </w:rPr>
        <w:t>11 straipsnis</w:t>
      </w:r>
      <w:r>
        <w:rPr>
          <w:noProof/>
        </w:rPr>
        <w:br/>
      </w:r>
      <w:r>
        <w:rPr>
          <w:b/>
          <w:i w:val="0"/>
          <w:noProof/>
        </w:rPr>
        <w:t>Darbo planas</w:t>
      </w:r>
    </w:p>
    <w:p w:rsidR="00221D6A" w:rsidRDefault="00BA3780">
      <w:pPr>
        <w:rPr>
          <w:noProof/>
        </w:rPr>
      </w:pPr>
      <w:r>
        <w:rPr>
          <w:noProof/>
        </w:rPr>
        <w:t>Pasitarusi su 10 straipsnyje nurodytu konsultacijų forumu, Komisija parengia ir viešai paskelbia darbo planą. Darbo plane pateikiamas orientacinis sąrašas gaminių grupių, kurioms deleguotiej</w:t>
      </w:r>
      <w:r>
        <w:rPr>
          <w:noProof/>
        </w:rPr>
        <w:t>i aktai priimami pirmiausia. Į darbo planą įrašomi ir gaminių arba gaminių grupių etikečių peržiūros ir jų skalės keitimo planai. Komisija gali, pasikonsultavusi su konsultacijų forumu, darbo planą iš dalies pakeisti. Darbo planas gali būti sujungtas su Di</w:t>
      </w:r>
      <w:r>
        <w:rPr>
          <w:noProof/>
        </w:rPr>
        <w:t>rektyvos 2009/125/EB 16 straipsnyje nurodytu darbo planu.</w:t>
      </w:r>
    </w:p>
    <w:p w:rsidR="00221D6A" w:rsidRDefault="00BA3780">
      <w:pPr>
        <w:pStyle w:val="Titrearticle"/>
        <w:rPr>
          <w:b/>
          <w:noProof/>
        </w:rPr>
      </w:pPr>
      <w:r>
        <w:rPr>
          <w:noProof/>
        </w:rPr>
        <w:t>12 straipsnis</w:t>
      </w:r>
      <w:r>
        <w:rPr>
          <w:noProof/>
        </w:rPr>
        <w:br/>
      </w:r>
      <w:r>
        <w:rPr>
          <w:b/>
          <w:i w:val="0"/>
          <w:noProof/>
        </w:rPr>
        <w:t>Deleguotieji aktai</w:t>
      </w:r>
    </w:p>
    <w:p w:rsidR="00221D6A" w:rsidRDefault="00BA3780">
      <w:pPr>
        <w:pStyle w:val="ManualNumPar1"/>
        <w:rPr>
          <w:noProof/>
        </w:rPr>
      </w:pPr>
      <w:r>
        <w:rPr>
          <w:noProof/>
        </w:rPr>
        <w:t>1.</w:t>
      </w:r>
      <w:r>
        <w:rPr>
          <w:noProof/>
        </w:rPr>
        <w:tab/>
        <w:t>Pagal 13 straipsnį Komisija įgaliojama priimti deleguotuosius aktus dėl išsamių reikalavimų, taikomų konkrečių grupių su energija susijusių gaminių (kitaip – konk</w:t>
      </w:r>
      <w:r>
        <w:rPr>
          <w:noProof/>
        </w:rPr>
        <w:t>rečių gaminių grupių) etiketėms.</w:t>
      </w:r>
    </w:p>
    <w:p w:rsidR="00221D6A" w:rsidRDefault="00BA3780">
      <w:pPr>
        <w:pStyle w:val="ManualNumPar1"/>
        <w:rPr>
          <w:noProof/>
        </w:rPr>
      </w:pPr>
      <w:r>
        <w:rPr>
          <w:noProof/>
        </w:rPr>
        <w:t>2.</w:t>
      </w:r>
      <w:r>
        <w:rPr>
          <w:noProof/>
        </w:rPr>
        <w:tab/>
        <w:t>Deleguotuosiuose aktuose nurodomos šiuos kriterijus atitinkančios gaminių grupės:</w:t>
      </w:r>
    </w:p>
    <w:p w:rsidR="00221D6A" w:rsidRDefault="00BA3780">
      <w:pPr>
        <w:pStyle w:val="Point1letter"/>
        <w:numPr>
          <w:ilvl w:val="3"/>
          <w:numId w:val="20"/>
        </w:numPr>
        <w:rPr>
          <w:noProof/>
        </w:rPr>
      </w:pPr>
      <w:r>
        <w:rPr>
          <w:noProof/>
        </w:rPr>
        <w:t>atsižvelgiant į naujausius turimus duomenis ir Sąjungos rinkai pateiktų gaminių kiekį, grupės gaminiai turi didelį energijos ir, kai tinka</w:t>
      </w:r>
      <w:r>
        <w:rPr>
          <w:noProof/>
        </w:rPr>
        <w:t>, kitų išteklių taupymo potencialą;</w:t>
      </w:r>
    </w:p>
    <w:p w:rsidR="00221D6A" w:rsidRDefault="00BA3780">
      <w:pPr>
        <w:pStyle w:val="Point1letter"/>
        <w:rPr>
          <w:noProof/>
        </w:rPr>
      </w:pPr>
      <w:r>
        <w:rPr>
          <w:noProof/>
        </w:rPr>
        <w:t>lygiavertes funkcijas turintys grupės gaminiai labai skiriasi atitinkamais veikimo rodiklių lygiais;</w:t>
      </w:r>
    </w:p>
    <w:p w:rsidR="00221D6A" w:rsidRDefault="00BA3780">
      <w:pPr>
        <w:pStyle w:val="Point1letter"/>
        <w:numPr>
          <w:ilvl w:val="3"/>
          <w:numId w:val="14"/>
        </w:numPr>
        <w:rPr>
          <w:noProof/>
        </w:rPr>
      </w:pPr>
      <w:r>
        <w:rPr>
          <w:noProof/>
        </w:rPr>
        <w:t xml:space="preserve">nėra didelio neigiamo poveikio grupės gaminių įperkamumui ir jų gyvavimo ciklo sąnaudoms. </w:t>
      </w:r>
    </w:p>
    <w:p w:rsidR="00221D6A" w:rsidRDefault="00BA3780">
      <w:pPr>
        <w:pStyle w:val="ManualNumPar1"/>
        <w:rPr>
          <w:noProof/>
        </w:rPr>
      </w:pPr>
      <w:r>
        <w:rPr>
          <w:noProof/>
        </w:rPr>
        <w:t>3.</w:t>
      </w:r>
      <w:r>
        <w:rPr>
          <w:noProof/>
        </w:rPr>
        <w:tab/>
        <w:t>Deleguotuosiuose aktuose,</w:t>
      </w:r>
      <w:r>
        <w:rPr>
          <w:noProof/>
        </w:rPr>
        <w:t xml:space="preserve"> susijusiuose su konkrečiomis gaminių grupėmis, visų pirma nustatoma:</w:t>
      </w:r>
    </w:p>
    <w:p w:rsidR="00221D6A" w:rsidRDefault="00BA3780">
      <w:pPr>
        <w:pStyle w:val="Point1letter"/>
        <w:numPr>
          <w:ilvl w:val="3"/>
          <w:numId w:val="21"/>
        </w:numPr>
        <w:rPr>
          <w:noProof/>
        </w:rPr>
      </w:pPr>
      <w:r>
        <w:rPr>
          <w:noProof/>
        </w:rPr>
        <w:t>konkreti gaminių grupė, kuriai taikoma 2 straipsnio 11 dalies apibrėžtis „su energija susijęs gaminys“;</w:t>
      </w:r>
    </w:p>
    <w:p w:rsidR="00221D6A" w:rsidRDefault="00BA3780">
      <w:pPr>
        <w:pStyle w:val="Point1letter"/>
        <w:rPr>
          <w:noProof/>
        </w:rPr>
      </w:pPr>
      <w:r>
        <w:rPr>
          <w:noProof/>
        </w:rPr>
        <w:t>etiketės forma ir turinys, įskaitant energijos suvartojimą rodančią skalę A–G, kur</w:t>
      </w:r>
      <w:r>
        <w:rPr>
          <w:noProof/>
        </w:rPr>
        <w:t>ios formos charakteristikos yra kuo vienodesnės visoms gaminių grupėms ir kuri visada yra aiški ir įskaitoma;</w:t>
      </w:r>
    </w:p>
    <w:p w:rsidR="00221D6A" w:rsidRDefault="00BA3780">
      <w:pPr>
        <w:pStyle w:val="Point1letter"/>
        <w:rPr>
          <w:noProof/>
        </w:rPr>
      </w:pPr>
      <w:r>
        <w:rPr>
          <w:noProof/>
        </w:rPr>
        <w:t>jei reikia, kitų išteklių vartojimas ir papildoma informacija apie su energija susijusius gaminius, todėl tokiais atvejais etiketėje pabrėžiamas g</w:t>
      </w:r>
      <w:r>
        <w:rPr>
          <w:noProof/>
        </w:rPr>
        <w:t xml:space="preserve">aminio energijos vartojimo efektyvumas; </w:t>
      </w:r>
    </w:p>
    <w:p w:rsidR="00221D6A" w:rsidRDefault="00BA3780">
      <w:pPr>
        <w:pStyle w:val="Point1letter"/>
        <w:rPr>
          <w:noProof/>
        </w:rPr>
      </w:pPr>
      <w:r>
        <w:rPr>
          <w:noProof/>
        </w:rPr>
        <w:t>etiketės rodymo vietos, pavyzdžiui, pritvirtinta prie gaminio, išspausdinta ant pakuotės, pateikiama elektroniniu formatu arba rodoma elektroninėmis priemonėmis;</w:t>
      </w:r>
    </w:p>
    <w:p w:rsidR="00221D6A" w:rsidRDefault="00BA3780">
      <w:pPr>
        <w:pStyle w:val="Point1letter"/>
        <w:rPr>
          <w:noProof/>
        </w:rPr>
      </w:pPr>
      <w:r>
        <w:rPr>
          <w:noProof/>
        </w:rPr>
        <w:t xml:space="preserve">jei reikia, elektroninės gaminių energijos vartojimo </w:t>
      </w:r>
      <w:r>
        <w:rPr>
          <w:noProof/>
        </w:rPr>
        <w:t>efektyvumo ženklinimo priemonės;</w:t>
      </w:r>
    </w:p>
    <w:p w:rsidR="00221D6A" w:rsidRDefault="00BA3780">
      <w:pPr>
        <w:pStyle w:val="Point1letter"/>
        <w:rPr>
          <w:noProof/>
        </w:rPr>
      </w:pPr>
      <w:r>
        <w:rPr>
          <w:noProof/>
        </w:rPr>
        <w:t>būdas, kuriais etiketė ir techninė informacija turi būti pateikiama nuotolinėje prekyboje;</w:t>
      </w:r>
    </w:p>
    <w:p w:rsidR="00221D6A" w:rsidRDefault="00BA3780">
      <w:pPr>
        <w:pStyle w:val="Point1letter"/>
        <w:rPr>
          <w:noProof/>
        </w:rPr>
      </w:pPr>
      <w:r>
        <w:rPr>
          <w:noProof/>
        </w:rPr>
        <w:t xml:space="preserve">techninių dokumentų ir gaminio informacijos lapo turinys ir, jei dera, formatas ir kitos detalės; </w:t>
      </w:r>
    </w:p>
    <w:p w:rsidR="00221D6A" w:rsidRDefault="00BA3780">
      <w:pPr>
        <w:pStyle w:val="Point1letter"/>
        <w:rPr>
          <w:noProof/>
        </w:rPr>
      </w:pPr>
      <w:r>
        <w:rPr>
          <w:noProof/>
        </w:rPr>
        <w:t>tai, kad tikrinant atitiktį reika</w:t>
      </w:r>
      <w:r>
        <w:rPr>
          <w:noProof/>
        </w:rPr>
        <w:t>lavimams galioja tik deleguotajame (-uose) akte (-uose) nustatytos tikrinimo nuokrypos;</w:t>
      </w:r>
    </w:p>
    <w:p w:rsidR="00221D6A" w:rsidRDefault="00BA3780">
      <w:pPr>
        <w:pStyle w:val="Point1letter"/>
        <w:rPr>
          <w:noProof/>
        </w:rPr>
      </w:pPr>
      <w:r>
        <w:rPr>
          <w:noProof/>
        </w:rPr>
        <w:t>su duomenų baze susijusios tiekėjų ir prekiautojų pareigos;</w:t>
      </w:r>
    </w:p>
    <w:p w:rsidR="00221D6A" w:rsidRDefault="00BA3780">
      <w:pPr>
        <w:pStyle w:val="Point1letter"/>
        <w:rPr>
          <w:noProof/>
        </w:rPr>
      </w:pPr>
      <w:r>
        <w:rPr>
          <w:noProof/>
        </w:rPr>
        <w:t xml:space="preserve">kaip energijos vartojimo efektyvumo klasė nurodoma reklamoje ir techninėje reklaminėje medžiagoje, taip pat </w:t>
      </w:r>
      <w:r>
        <w:rPr>
          <w:noProof/>
        </w:rPr>
        <w:t>reikalavimas, kad ši informacija būtų įskaitoma ir matoma;</w:t>
      </w:r>
    </w:p>
    <w:p w:rsidR="00221D6A" w:rsidRDefault="00BA3780">
      <w:pPr>
        <w:pStyle w:val="Point1letter"/>
        <w:rPr>
          <w:noProof/>
        </w:rPr>
      </w:pPr>
      <w:r>
        <w:rPr>
          <w:noProof/>
        </w:rPr>
        <w:t>atitikties vertinimo procedūros ir matavimo bei skaičiavimo metodai, kuriuos taikant gaunama etiketės ir gaminio informacijos lapo informacija;</w:t>
      </w:r>
    </w:p>
    <w:p w:rsidR="00221D6A" w:rsidRDefault="00BA3780">
      <w:pPr>
        <w:pStyle w:val="Point1letter"/>
        <w:rPr>
          <w:noProof/>
        </w:rPr>
      </w:pPr>
      <w:r>
        <w:rPr>
          <w:noProof/>
        </w:rPr>
        <w:t>tai, ar didesnių prietaisų energijos vartojimo efekty</w:t>
      </w:r>
      <w:r>
        <w:rPr>
          <w:noProof/>
        </w:rPr>
        <w:t>vumas turi būti aukštesnio lygio, kad tie prietaisai būtų priskiriami prie tam tikros energijos vartojimo efektyvumo klasės;</w:t>
      </w:r>
    </w:p>
    <w:p w:rsidR="00221D6A" w:rsidRDefault="00BA3780">
      <w:pPr>
        <w:pStyle w:val="Point1letter"/>
        <w:rPr>
          <w:noProof/>
        </w:rPr>
      </w:pPr>
      <w:r>
        <w:rPr>
          <w:noProof/>
        </w:rPr>
        <w:t xml:space="preserve">visų papildomų etiketėje pateikiamų nuorodų, kuriomis sekdami pirkėjai elektroninėmis priemonėmis gauna išsamios informacijos apie </w:t>
      </w:r>
      <w:r>
        <w:rPr>
          <w:noProof/>
        </w:rPr>
        <w:t>gaminio informacijos lape nurodytas veikimo charakteristikas, forma;</w:t>
      </w:r>
    </w:p>
    <w:p w:rsidR="00221D6A" w:rsidRDefault="00BA3780">
      <w:pPr>
        <w:pStyle w:val="Point1letter"/>
        <w:rPr>
          <w:noProof/>
        </w:rPr>
      </w:pPr>
      <w:r>
        <w:rPr>
          <w:noProof/>
        </w:rPr>
        <w:t>ar energijos vartojimo efektyvumo klasės, kuriomis apibūdinamos naudojamo gaminio energijos sąnaudos, turėtų būti rodomos pažangiuosiuose skaitikliuose arba gaminio interaktyviajame ekran</w:t>
      </w:r>
      <w:r>
        <w:rPr>
          <w:noProof/>
        </w:rPr>
        <w:t xml:space="preserve">e ir kaip jos turėtų būti rodomos; </w:t>
      </w:r>
    </w:p>
    <w:p w:rsidR="00221D6A" w:rsidRDefault="00BA3780">
      <w:pPr>
        <w:pStyle w:val="Point1letter"/>
        <w:rPr>
          <w:noProof/>
        </w:rPr>
      </w:pPr>
      <w:r>
        <w:rPr>
          <w:noProof/>
        </w:rPr>
        <w:t xml:space="preserve">deleguotojo akto vertinimo ir galimos peržiūros data. </w:t>
      </w:r>
    </w:p>
    <w:p w:rsidR="00221D6A" w:rsidRDefault="00BA3780">
      <w:pPr>
        <w:pStyle w:val="Text1"/>
        <w:rPr>
          <w:noProof/>
        </w:rPr>
      </w:pPr>
      <w:r>
        <w:rPr>
          <w:noProof/>
        </w:rPr>
        <w:t>Pirmos pastraipos b punkte nurodytos etiketės turinyje A–G skalės žingsnis reiškia didelę energijos ir sąnaudų ekonomiją pirkėjui.</w:t>
      </w:r>
    </w:p>
    <w:p w:rsidR="00221D6A" w:rsidRDefault="00BA3780">
      <w:pPr>
        <w:pStyle w:val="Text1"/>
        <w:rPr>
          <w:noProof/>
        </w:rPr>
      </w:pPr>
      <w:r>
        <w:rPr>
          <w:noProof/>
        </w:rPr>
        <w:t xml:space="preserve">Pirmos pastraipos m punkte minimų </w:t>
      </w:r>
      <w:r>
        <w:rPr>
          <w:noProof/>
        </w:rPr>
        <w:t>nuorodų forma gali būti interneto svetainės adresas, QR kodas, elektroninės etiketės saitas arba kitos deramos vartotojams skirtos priemonės.</w:t>
      </w:r>
    </w:p>
    <w:p w:rsidR="00221D6A" w:rsidRDefault="00BA3780">
      <w:pPr>
        <w:pStyle w:val="Text1"/>
        <w:rPr>
          <w:noProof/>
        </w:rPr>
      </w:pPr>
      <w:r>
        <w:rPr>
          <w:noProof/>
        </w:rPr>
        <w:t>Nustatant gaminio, kuriam bus taikomas deleguotasis aktas, etiketę nedaroma didelio neigiamo poveikio gaminio funk</w:t>
      </w:r>
      <w:r>
        <w:rPr>
          <w:noProof/>
        </w:rPr>
        <w:t>cijoms naudotojo požiūriu.</w:t>
      </w:r>
    </w:p>
    <w:p w:rsidR="00221D6A" w:rsidRDefault="00BA3780">
      <w:pPr>
        <w:pStyle w:val="Text1"/>
        <w:rPr>
          <w:noProof/>
        </w:rPr>
      </w:pPr>
      <w:r>
        <w:rPr>
          <w:noProof/>
        </w:rPr>
        <w:t>Pagal 13 straipsnį Komisija įgaliojama priimti deleguotuosius aktus, kuriais reguliuojamas gaminių duomenų bazės veikimas, įskaitant tiekėjų ir prekiautojų pareigas.</w:t>
      </w:r>
    </w:p>
    <w:p w:rsidR="00221D6A" w:rsidRDefault="00BA3780">
      <w:pPr>
        <w:pStyle w:val="Titrearticle"/>
        <w:rPr>
          <w:b/>
          <w:i w:val="0"/>
          <w:noProof/>
        </w:rPr>
      </w:pPr>
      <w:r>
        <w:rPr>
          <w:noProof/>
        </w:rPr>
        <w:t>13 straipsnis</w:t>
      </w:r>
      <w:r>
        <w:rPr>
          <w:noProof/>
        </w:rPr>
        <w:br/>
      </w:r>
      <w:r>
        <w:rPr>
          <w:b/>
          <w:i w:val="0"/>
          <w:noProof/>
        </w:rPr>
        <w:t xml:space="preserve">Įgaliojimų delegavimas </w:t>
      </w:r>
    </w:p>
    <w:p w:rsidR="00221D6A" w:rsidRDefault="00BA3780">
      <w:pPr>
        <w:pStyle w:val="ManualNumPar1"/>
        <w:rPr>
          <w:noProof/>
        </w:rPr>
      </w:pPr>
      <w:r>
        <w:rPr>
          <w:noProof/>
        </w:rPr>
        <w:t>1.</w:t>
      </w:r>
      <w:r>
        <w:rPr>
          <w:noProof/>
        </w:rPr>
        <w:tab/>
        <w:t>Įgaliojimai priimti de</w:t>
      </w:r>
      <w:r>
        <w:rPr>
          <w:noProof/>
        </w:rPr>
        <w:t>leguotuosius aktus Komisijai suteikiami šiame straipsnyje nustatytomis sąlygomis.</w:t>
      </w:r>
    </w:p>
    <w:p w:rsidR="00221D6A" w:rsidRDefault="00BA3780">
      <w:pPr>
        <w:pStyle w:val="ManualNumPar1"/>
        <w:rPr>
          <w:noProof/>
        </w:rPr>
      </w:pPr>
      <w:r>
        <w:rPr>
          <w:noProof/>
        </w:rPr>
        <w:t>2.</w:t>
      </w:r>
      <w:r>
        <w:rPr>
          <w:noProof/>
        </w:rPr>
        <w:tab/>
        <w:t>7 ir 12 straipsniuose nurodyti deleguotieji įgaliojimai Komisijai suteikiami neribotam laikotarpiui nuo šio reglamento taikymo pradžios dienos.</w:t>
      </w:r>
    </w:p>
    <w:p w:rsidR="00221D6A" w:rsidRDefault="00BA3780">
      <w:pPr>
        <w:pStyle w:val="ManualNumPar1"/>
        <w:rPr>
          <w:noProof/>
        </w:rPr>
      </w:pPr>
      <w:r>
        <w:rPr>
          <w:noProof/>
        </w:rPr>
        <w:t>3.</w:t>
      </w:r>
      <w:r>
        <w:rPr>
          <w:noProof/>
        </w:rPr>
        <w:tab/>
        <w:t>Europos Parlamentas arba</w:t>
      </w:r>
      <w:r>
        <w:rPr>
          <w:noProof/>
        </w:rPr>
        <w:t xml:space="preserve"> Taryba gali bet kuriuo metu atšaukti 7 ir 12 straipsniuose nurodytus deleguotuosius įgaliojimus. Sprendimu dėl įgaliojimų atšaukimo nutraukiami šiame reglamente nurodyti įgaliojimai priimti deleguotuosius aktus. Sprendimas įsigalioja kitą dieną po jo pask</w:t>
      </w:r>
      <w:r>
        <w:rPr>
          <w:noProof/>
        </w:rPr>
        <w:t xml:space="preserve">elbimo </w:t>
      </w:r>
      <w:r>
        <w:rPr>
          <w:i/>
          <w:noProof/>
        </w:rPr>
        <w:t>Europos Sąjungos oficialiajame leidinyje</w:t>
      </w:r>
      <w:r>
        <w:rPr>
          <w:noProof/>
        </w:rPr>
        <w:t xml:space="preserve"> arba vėlesnę jame nurodytą dieną. Jis nedaro poveikio jau galiojančių deleguotųjų aktų galiojimui. </w:t>
      </w:r>
    </w:p>
    <w:p w:rsidR="00221D6A" w:rsidRDefault="00BA3780">
      <w:pPr>
        <w:pStyle w:val="ManualNumPar1"/>
        <w:rPr>
          <w:noProof/>
        </w:rPr>
      </w:pPr>
      <w:r>
        <w:rPr>
          <w:noProof/>
        </w:rPr>
        <w:t>4.</w:t>
      </w:r>
      <w:r>
        <w:rPr>
          <w:noProof/>
        </w:rPr>
        <w:tab/>
        <w:t xml:space="preserve">Apie priimtą deleguotąjį aktą Komisija nedelsdama tuo pačiu metu praneša Europos Parlamentui ir Tarybai. </w:t>
      </w:r>
    </w:p>
    <w:p w:rsidR="00221D6A" w:rsidRDefault="00BA3780">
      <w:pPr>
        <w:pStyle w:val="ManualNumPar1"/>
        <w:rPr>
          <w:noProof/>
        </w:rPr>
      </w:pPr>
      <w:r>
        <w:rPr>
          <w:noProof/>
        </w:rPr>
        <w:t>5.</w:t>
      </w:r>
      <w:r>
        <w:rPr>
          <w:noProof/>
        </w:rPr>
        <w:tab/>
        <w:t>Pagal 7 ir 12 straipsnius priimtas deleguotasis aktas įsigalioja tik tuo atveju, jeigu per du mėnesius nuo pranešimo Europos Parlamentui ir Tarybai apie šį aktą dienos nei Europos Parlamentas, nei Taryba nepareiškia prieštaravimų arba jeigu dar nepasib</w:t>
      </w:r>
      <w:r>
        <w:rPr>
          <w:noProof/>
        </w:rPr>
        <w:t>aigus šiam laikotarpiui ir Europos Parlamentas, ir Taryba praneša Komisijai, kad prieštaravimų nereikš. Europos Parlamento arba Tarybos iniciatyva šis laikotarpis gali būti pratęsiamas dviem mėnesiais.</w:t>
      </w:r>
    </w:p>
    <w:p w:rsidR="00221D6A" w:rsidRDefault="00BA3780">
      <w:pPr>
        <w:pStyle w:val="Titrearticle"/>
        <w:rPr>
          <w:b/>
          <w:i w:val="0"/>
          <w:noProof/>
        </w:rPr>
      </w:pPr>
      <w:r>
        <w:rPr>
          <w:noProof/>
        </w:rPr>
        <w:t>14 straipsnis</w:t>
      </w:r>
      <w:r>
        <w:rPr>
          <w:noProof/>
        </w:rPr>
        <w:br/>
      </w:r>
      <w:r>
        <w:rPr>
          <w:b/>
          <w:i w:val="0"/>
          <w:noProof/>
        </w:rPr>
        <w:t>Vertinimas</w:t>
      </w:r>
    </w:p>
    <w:p w:rsidR="00221D6A" w:rsidRDefault="00BA3780">
      <w:pPr>
        <w:autoSpaceDE w:val="0"/>
        <w:autoSpaceDN w:val="0"/>
        <w:adjustRightInd w:val="0"/>
        <w:spacing w:before="0" w:after="0"/>
        <w:rPr>
          <w:noProof/>
        </w:rPr>
      </w:pPr>
      <w:r>
        <w:rPr>
          <w:noProof/>
        </w:rPr>
        <w:t xml:space="preserve">Ne vėliau kaip po aštuonerių </w:t>
      </w:r>
      <w:r>
        <w:rPr>
          <w:noProof/>
        </w:rPr>
        <w:t>metų nuo įsigaliojimo dienos Komisija įvertina šio reglamento taikymą ir perduoda ataskaitą Europos Parlamentui ir Tarybai. Atsižvelgiant į reglamento poveikį verslui, ataskaitoje vertinama, ar reglamentas veiksmingai padeda pirkėjams rinktis efektyviau en</w:t>
      </w:r>
      <w:r>
        <w:rPr>
          <w:noProof/>
        </w:rPr>
        <w:t>ergiją vartojančius gaminius.</w:t>
      </w:r>
    </w:p>
    <w:p w:rsidR="00221D6A" w:rsidRDefault="00BA3780">
      <w:pPr>
        <w:pStyle w:val="Titrearticle"/>
        <w:rPr>
          <w:b/>
          <w:i w:val="0"/>
          <w:noProof/>
        </w:rPr>
      </w:pPr>
      <w:r>
        <w:rPr>
          <w:noProof/>
        </w:rPr>
        <w:t>15 straipsnis</w:t>
      </w:r>
      <w:r>
        <w:rPr>
          <w:noProof/>
        </w:rPr>
        <w:br/>
      </w:r>
      <w:r>
        <w:rPr>
          <w:b/>
          <w:i w:val="0"/>
          <w:noProof/>
        </w:rPr>
        <w:t>Panaikinimas</w:t>
      </w:r>
    </w:p>
    <w:p w:rsidR="00221D6A" w:rsidRDefault="00BA3780">
      <w:pPr>
        <w:rPr>
          <w:noProof/>
        </w:rPr>
      </w:pPr>
      <w:r>
        <w:rPr>
          <w:noProof/>
        </w:rPr>
        <w:t xml:space="preserve">Direktyva 2010/30/ES panaikinama 2017 m. sausio 1 d. </w:t>
      </w:r>
    </w:p>
    <w:p w:rsidR="00221D6A" w:rsidRDefault="00BA3780">
      <w:pPr>
        <w:rPr>
          <w:noProof/>
        </w:rPr>
      </w:pPr>
      <w:r>
        <w:rPr>
          <w:noProof/>
        </w:rPr>
        <w:t>Nuorodos į Direktyvą 2010/30/ES laikomos nuorodomis į šį reglamentą ir skaitomos pagal II priede pateiktą atitikties lentelę.</w:t>
      </w:r>
    </w:p>
    <w:p w:rsidR="00221D6A" w:rsidRDefault="00BA3780">
      <w:pPr>
        <w:pStyle w:val="Titrearticle"/>
        <w:rPr>
          <w:b/>
          <w:i w:val="0"/>
          <w:noProof/>
        </w:rPr>
      </w:pPr>
      <w:r>
        <w:rPr>
          <w:noProof/>
        </w:rPr>
        <w:t>16 straipsnis</w:t>
      </w:r>
      <w:r>
        <w:rPr>
          <w:noProof/>
        </w:rPr>
        <w:br/>
      </w:r>
      <w:r>
        <w:rPr>
          <w:b/>
          <w:i w:val="0"/>
          <w:noProof/>
        </w:rPr>
        <w:t>Įsigaliojimas</w:t>
      </w:r>
    </w:p>
    <w:p w:rsidR="00221D6A" w:rsidRDefault="00BA3780">
      <w:pPr>
        <w:rPr>
          <w:noProof/>
        </w:rPr>
      </w:pPr>
      <w:r>
        <w:rPr>
          <w:noProof/>
        </w:rPr>
        <w:t xml:space="preserve">Šis reglamentas įsigalioja kitą dieną po jo paskelbimo </w:t>
      </w:r>
      <w:r>
        <w:rPr>
          <w:i/>
          <w:noProof/>
        </w:rPr>
        <w:t>Europos Sąjungos oficialiajame leidinyje</w:t>
      </w:r>
      <w:r>
        <w:rPr>
          <w:noProof/>
        </w:rPr>
        <w:t>.</w:t>
      </w:r>
    </w:p>
    <w:p w:rsidR="00221D6A" w:rsidRDefault="00BA3780">
      <w:pPr>
        <w:rPr>
          <w:noProof/>
        </w:rPr>
      </w:pPr>
      <w:r>
        <w:rPr>
          <w:noProof/>
        </w:rPr>
        <w:t xml:space="preserve">Jis taikomas nuo 2017 m. sausio 1 d. </w:t>
      </w:r>
    </w:p>
    <w:p w:rsidR="00221D6A" w:rsidRDefault="00BA3780">
      <w:pPr>
        <w:rPr>
          <w:noProof/>
        </w:rPr>
      </w:pPr>
      <w:r>
        <w:rPr>
          <w:noProof/>
        </w:rPr>
        <w:t>Tačiau 3 straipsnio 1 dalies d punktas taikomas nuo 2019 m. sausio 1 d.</w:t>
      </w:r>
    </w:p>
    <w:p w:rsidR="00221D6A" w:rsidRDefault="00BA3780">
      <w:pPr>
        <w:pStyle w:val="Applicationdirecte"/>
        <w:rPr>
          <w:noProof/>
        </w:rPr>
      </w:pPr>
      <w:r>
        <w:rPr>
          <w:noProof/>
        </w:rPr>
        <w:t>Šis reglamentas privalomas visas ir</w:t>
      </w:r>
      <w:r>
        <w:rPr>
          <w:noProof/>
        </w:rPr>
        <w:t xml:space="preserve"> tiesiogiai taikomas visose valstybėse narėse.</w:t>
      </w:r>
    </w:p>
    <w:p w:rsidR="00221D6A" w:rsidRDefault="00BA3780">
      <w:pPr>
        <w:pStyle w:val="Fait"/>
        <w:rPr>
          <w:noProof/>
        </w:rPr>
      </w:pPr>
      <w:r>
        <w:rPr>
          <w:noProof/>
        </w:rPr>
        <w:t>Priimta Briuselyje</w:t>
      </w:r>
    </w:p>
    <w:p w:rsidR="00221D6A" w:rsidRDefault="00BA3780">
      <w:pPr>
        <w:pStyle w:val="Institutionquisigne"/>
        <w:rPr>
          <w:noProof/>
        </w:rPr>
      </w:pPr>
      <w:r>
        <w:rPr>
          <w:noProof/>
        </w:rPr>
        <w:t>Europos Parlamento vardu</w:t>
      </w:r>
      <w:r>
        <w:rPr>
          <w:noProof/>
        </w:rPr>
        <w:tab/>
        <w:t>Tarybos vardu</w:t>
      </w:r>
    </w:p>
    <w:p w:rsidR="00221D6A" w:rsidRDefault="00BA3780">
      <w:pPr>
        <w:pStyle w:val="Personnequisigne"/>
        <w:rPr>
          <w:noProof/>
        </w:rPr>
        <w:sectPr w:rsidR="00221D6A" w:rsidSect="00BA3780">
          <w:pgSz w:w="11907" w:h="16839"/>
          <w:pgMar w:top="1134" w:right="1417" w:bottom="1134" w:left="1417" w:header="709" w:footer="709" w:gutter="0"/>
          <w:cols w:space="720"/>
          <w:docGrid w:linePitch="360"/>
        </w:sectPr>
      </w:pPr>
      <w:r>
        <w:rPr>
          <w:noProof/>
        </w:rPr>
        <w:t>Pirmininkas</w:t>
      </w:r>
      <w:r>
        <w:rPr>
          <w:noProof/>
        </w:rPr>
        <w:tab/>
        <w:t>Pirmininkas</w:t>
      </w:r>
    </w:p>
    <w:p w:rsidR="00221D6A" w:rsidRDefault="00BA3780">
      <w:pPr>
        <w:pStyle w:val="Fichefinanciretitre"/>
        <w:rPr>
          <w:noProof/>
        </w:rPr>
      </w:pPr>
      <w:r>
        <w:rPr>
          <w:noProof/>
        </w:rPr>
        <w:t>FINANSINĖ TEISĖS AKTO PASIŪLYMO PAŽYMA</w:t>
      </w:r>
    </w:p>
    <w:p w:rsidR="00221D6A" w:rsidRDefault="00BA3780">
      <w:pPr>
        <w:pStyle w:val="ManualHeading1"/>
        <w:rPr>
          <w:noProof/>
        </w:rPr>
      </w:pPr>
      <w:r>
        <w:rPr>
          <w:noProof/>
        </w:rPr>
        <w:t>1.</w:t>
      </w:r>
      <w:r>
        <w:rPr>
          <w:noProof/>
        </w:rPr>
        <w:tab/>
        <w:t xml:space="preserve">PASIŪLYMO (INICIATYVOS) STRUKTŪRA </w:t>
      </w:r>
    </w:p>
    <w:p w:rsidR="00221D6A" w:rsidRDefault="00BA3780">
      <w:pPr>
        <w:pStyle w:val="ManualHeading2"/>
        <w:rPr>
          <w:b w:val="0"/>
          <w:noProof/>
        </w:rPr>
      </w:pPr>
      <w:r>
        <w:rPr>
          <w:noProof/>
        </w:rPr>
        <w:tab/>
      </w:r>
      <w:r>
        <w:rPr>
          <w:b w:val="0"/>
          <w:noProof/>
        </w:rPr>
        <w:t>1.1.</w:t>
      </w:r>
      <w:r>
        <w:rPr>
          <w:noProof/>
        </w:rPr>
        <w:tab/>
      </w:r>
      <w:r>
        <w:rPr>
          <w:b w:val="0"/>
          <w:noProof/>
        </w:rPr>
        <w:t>Pasiūlymo (iniciatyvos</w:t>
      </w:r>
      <w:r>
        <w:rPr>
          <w:b w:val="0"/>
          <w:noProof/>
        </w:rPr>
        <w:t xml:space="preserve">) pavadinimas </w:t>
      </w:r>
    </w:p>
    <w:p w:rsidR="00221D6A" w:rsidRDefault="00BA3780">
      <w:pPr>
        <w:pStyle w:val="ManualHeading2"/>
        <w:rPr>
          <w:b w:val="0"/>
          <w:noProof/>
        </w:rPr>
      </w:pPr>
      <w:r>
        <w:rPr>
          <w:noProof/>
        </w:rPr>
        <w:tab/>
      </w:r>
      <w:r>
        <w:rPr>
          <w:b w:val="0"/>
          <w:noProof/>
        </w:rPr>
        <w:t>1.2.</w:t>
      </w:r>
      <w:r>
        <w:rPr>
          <w:noProof/>
        </w:rPr>
        <w:tab/>
      </w:r>
      <w:r>
        <w:rPr>
          <w:b w:val="0"/>
          <w:noProof/>
        </w:rPr>
        <w:t>Atitinkama (-os) politikos sritis (-ys) VGV / VGB sistemoje</w:t>
      </w:r>
    </w:p>
    <w:p w:rsidR="00221D6A" w:rsidRDefault="00BA3780">
      <w:pPr>
        <w:pStyle w:val="ManualHeading2"/>
        <w:rPr>
          <w:b w:val="0"/>
          <w:noProof/>
        </w:rPr>
      </w:pPr>
      <w:r>
        <w:rPr>
          <w:noProof/>
        </w:rPr>
        <w:tab/>
      </w:r>
      <w:r>
        <w:rPr>
          <w:b w:val="0"/>
          <w:noProof/>
        </w:rPr>
        <w:t>1.3.</w:t>
      </w:r>
      <w:r>
        <w:rPr>
          <w:noProof/>
        </w:rPr>
        <w:tab/>
      </w:r>
      <w:r>
        <w:rPr>
          <w:b w:val="0"/>
          <w:noProof/>
        </w:rPr>
        <w:t xml:space="preserve">Pasiūlymo (iniciatyvos) pobūdis </w:t>
      </w:r>
    </w:p>
    <w:p w:rsidR="00221D6A" w:rsidRDefault="00BA3780">
      <w:pPr>
        <w:pStyle w:val="ManualHeading2"/>
        <w:rPr>
          <w:b w:val="0"/>
          <w:noProof/>
        </w:rPr>
      </w:pPr>
      <w:r>
        <w:rPr>
          <w:noProof/>
        </w:rPr>
        <w:tab/>
      </w:r>
      <w:r>
        <w:rPr>
          <w:b w:val="0"/>
          <w:noProof/>
        </w:rPr>
        <w:t>1.4.</w:t>
      </w:r>
      <w:r>
        <w:rPr>
          <w:noProof/>
        </w:rPr>
        <w:tab/>
      </w:r>
      <w:r>
        <w:rPr>
          <w:b w:val="0"/>
          <w:noProof/>
        </w:rPr>
        <w:t xml:space="preserve">Tikslas (-ai) </w:t>
      </w:r>
    </w:p>
    <w:p w:rsidR="00221D6A" w:rsidRDefault="00BA3780">
      <w:pPr>
        <w:pStyle w:val="ManualHeading2"/>
        <w:rPr>
          <w:b w:val="0"/>
          <w:noProof/>
        </w:rPr>
      </w:pPr>
      <w:r>
        <w:rPr>
          <w:noProof/>
        </w:rPr>
        <w:tab/>
      </w:r>
      <w:r>
        <w:rPr>
          <w:b w:val="0"/>
          <w:noProof/>
        </w:rPr>
        <w:t>1.5.</w:t>
      </w:r>
      <w:r>
        <w:rPr>
          <w:noProof/>
        </w:rPr>
        <w:tab/>
      </w:r>
      <w:r>
        <w:rPr>
          <w:b w:val="0"/>
          <w:noProof/>
        </w:rPr>
        <w:t xml:space="preserve">Pasiūlymo (iniciatyvos) pagrindas </w:t>
      </w:r>
    </w:p>
    <w:p w:rsidR="00221D6A" w:rsidRDefault="00BA3780">
      <w:pPr>
        <w:pStyle w:val="ManualHeading2"/>
        <w:rPr>
          <w:b w:val="0"/>
          <w:noProof/>
        </w:rPr>
      </w:pPr>
      <w:r>
        <w:rPr>
          <w:noProof/>
        </w:rPr>
        <w:tab/>
      </w:r>
      <w:r>
        <w:rPr>
          <w:b w:val="0"/>
          <w:noProof/>
        </w:rPr>
        <w:t>1.6.</w:t>
      </w:r>
      <w:r>
        <w:rPr>
          <w:noProof/>
        </w:rPr>
        <w:tab/>
      </w:r>
      <w:r>
        <w:rPr>
          <w:b w:val="0"/>
          <w:noProof/>
        </w:rPr>
        <w:t xml:space="preserve">Trukmė ir finansinis poveikis </w:t>
      </w:r>
    </w:p>
    <w:p w:rsidR="00221D6A" w:rsidRDefault="00BA3780">
      <w:pPr>
        <w:pStyle w:val="ManualHeading2"/>
        <w:rPr>
          <w:b w:val="0"/>
          <w:noProof/>
        </w:rPr>
      </w:pPr>
      <w:r>
        <w:rPr>
          <w:noProof/>
        </w:rPr>
        <w:tab/>
      </w:r>
      <w:r>
        <w:rPr>
          <w:b w:val="0"/>
          <w:noProof/>
        </w:rPr>
        <w:t>1.7.</w:t>
      </w:r>
      <w:r>
        <w:rPr>
          <w:noProof/>
        </w:rPr>
        <w:tab/>
      </w:r>
      <w:r>
        <w:rPr>
          <w:b w:val="0"/>
          <w:noProof/>
        </w:rPr>
        <w:t xml:space="preserve">Numatytas (-i) valdymo būdas (-ai) </w:t>
      </w:r>
    </w:p>
    <w:p w:rsidR="00221D6A" w:rsidRDefault="00BA3780">
      <w:pPr>
        <w:pStyle w:val="ManualHeading1"/>
        <w:rPr>
          <w:noProof/>
        </w:rPr>
      </w:pPr>
      <w:r>
        <w:rPr>
          <w:noProof/>
        </w:rPr>
        <w:t>2.</w:t>
      </w:r>
      <w:r>
        <w:rPr>
          <w:noProof/>
        </w:rPr>
        <w:tab/>
        <w:t xml:space="preserve">VALDYMO PRIEMONĖS </w:t>
      </w:r>
    </w:p>
    <w:p w:rsidR="00221D6A" w:rsidRDefault="00BA3780">
      <w:pPr>
        <w:pStyle w:val="ManualHeading2"/>
        <w:rPr>
          <w:b w:val="0"/>
          <w:noProof/>
        </w:rPr>
      </w:pPr>
      <w:r>
        <w:rPr>
          <w:noProof/>
        </w:rPr>
        <w:tab/>
      </w:r>
      <w:r>
        <w:rPr>
          <w:b w:val="0"/>
          <w:noProof/>
        </w:rPr>
        <w:t>2.1.</w:t>
      </w:r>
      <w:r>
        <w:rPr>
          <w:noProof/>
        </w:rPr>
        <w:tab/>
      </w:r>
      <w:r>
        <w:rPr>
          <w:b w:val="0"/>
          <w:noProof/>
        </w:rPr>
        <w:t xml:space="preserve">Stebėsenos ir atskaitomybės taisyklės </w:t>
      </w:r>
    </w:p>
    <w:p w:rsidR="00221D6A" w:rsidRDefault="00BA3780">
      <w:pPr>
        <w:pStyle w:val="ManualHeading2"/>
        <w:rPr>
          <w:b w:val="0"/>
          <w:noProof/>
        </w:rPr>
      </w:pPr>
      <w:r>
        <w:rPr>
          <w:noProof/>
        </w:rPr>
        <w:tab/>
      </w:r>
      <w:r>
        <w:rPr>
          <w:b w:val="0"/>
          <w:noProof/>
        </w:rPr>
        <w:t>2.2.</w:t>
      </w:r>
      <w:r>
        <w:rPr>
          <w:noProof/>
        </w:rPr>
        <w:tab/>
      </w:r>
      <w:r>
        <w:rPr>
          <w:b w:val="0"/>
          <w:noProof/>
        </w:rPr>
        <w:t xml:space="preserve">Valdymo ir kontrolės sistema </w:t>
      </w:r>
    </w:p>
    <w:p w:rsidR="00221D6A" w:rsidRDefault="00BA3780">
      <w:pPr>
        <w:pStyle w:val="ManualHeading2"/>
        <w:rPr>
          <w:b w:val="0"/>
          <w:noProof/>
        </w:rPr>
      </w:pPr>
      <w:r>
        <w:rPr>
          <w:noProof/>
        </w:rPr>
        <w:tab/>
      </w:r>
      <w:r>
        <w:rPr>
          <w:b w:val="0"/>
          <w:noProof/>
        </w:rPr>
        <w:t>2.3.</w:t>
      </w:r>
      <w:r>
        <w:rPr>
          <w:noProof/>
        </w:rPr>
        <w:tab/>
      </w:r>
      <w:r>
        <w:rPr>
          <w:b w:val="0"/>
          <w:noProof/>
        </w:rPr>
        <w:t xml:space="preserve">Sukčiavimo ir pažeidimų prevencijos priemonės </w:t>
      </w:r>
    </w:p>
    <w:p w:rsidR="00221D6A" w:rsidRDefault="00BA3780">
      <w:pPr>
        <w:pStyle w:val="ManualHeading1"/>
        <w:rPr>
          <w:noProof/>
        </w:rPr>
      </w:pPr>
      <w:r>
        <w:rPr>
          <w:noProof/>
        </w:rPr>
        <w:t>3.</w:t>
      </w:r>
      <w:r>
        <w:rPr>
          <w:noProof/>
        </w:rPr>
        <w:tab/>
        <w:t xml:space="preserve">NUMATOMAS PASIŪLYMO (INICIATYVOS) FINANSINIS POVEIKIS </w:t>
      </w:r>
    </w:p>
    <w:p w:rsidR="00221D6A" w:rsidRDefault="00BA3780">
      <w:pPr>
        <w:pStyle w:val="ManualHeading2"/>
        <w:rPr>
          <w:b w:val="0"/>
          <w:noProof/>
        </w:rPr>
      </w:pPr>
      <w:r>
        <w:rPr>
          <w:noProof/>
        </w:rPr>
        <w:tab/>
      </w:r>
      <w:r>
        <w:rPr>
          <w:b w:val="0"/>
          <w:noProof/>
        </w:rPr>
        <w:t>3.1.</w:t>
      </w:r>
      <w:r>
        <w:rPr>
          <w:noProof/>
        </w:rPr>
        <w:tab/>
      </w:r>
      <w:r>
        <w:rPr>
          <w:b w:val="0"/>
          <w:noProof/>
        </w:rPr>
        <w:t xml:space="preserve">Atitinkama (-os) daugiametės finansinės programos išlaidų kategorija (-os) ir biudžeto išlaidų eilutė (-ės) </w:t>
      </w:r>
    </w:p>
    <w:p w:rsidR="00221D6A" w:rsidRDefault="00BA3780">
      <w:pPr>
        <w:pStyle w:val="ManualHeading2"/>
        <w:rPr>
          <w:noProof/>
        </w:rPr>
      </w:pPr>
      <w:r>
        <w:rPr>
          <w:noProof/>
        </w:rPr>
        <w:tab/>
      </w:r>
      <w:r>
        <w:rPr>
          <w:b w:val="0"/>
          <w:noProof/>
        </w:rPr>
        <w:t>3.2.</w:t>
      </w:r>
      <w:r>
        <w:rPr>
          <w:noProof/>
        </w:rPr>
        <w:tab/>
      </w:r>
      <w:r>
        <w:rPr>
          <w:b w:val="0"/>
          <w:noProof/>
        </w:rPr>
        <w:t xml:space="preserve">Numatomas poveikis išlaidoms </w:t>
      </w:r>
    </w:p>
    <w:p w:rsidR="00221D6A" w:rsidRDefault="00BA3780">
      <w:pPr>
        <w:pStyle w:val="ManualHeading3"/>
        <w:rPr>
          <w:noProof/>
        </w:rPr>
      </w:pPr>
      <w:r>
        <w:rPr>
          <w:noProof/>
        </w:rPr>
        <w:tab/>
        <w:t>3.2.1.</w:t>
      </w:r>
      <w:r>
        <w:rPr>
          <w:noProof/>
        </w:rPr>
        <w:tab/>
        <w:t xml:space="preserve">Numatomo poveikio išlaidoms santrauka </w:t>
      </w:r>
    </w:p>
    <w:p w:rsidR="00221D6A" w:rsidRDefault="00BA3780">
      <w:pPr>
        <w:pStyle w:val="ManualHeading3"/>
        <w:rPr>
          <w:noProof/>
        </w:rPr>
      </w:pPr>
      <w:r>
        <w:rPr>
          <w:noProof/>
        </w:rPr>
        <w:tab/>
        <w:t>3.2.2.</w:t>
      </w:r>
      <w:r>
        <w:rPr>
          <w:noProof/>
        </w:rPr>
        <w:tab/>
        <w:t xml:space="preserve">Numatomas poveikis veiklos asignavimams </w:t>
      </w:r>
    </w:p>
    <w:p w:rsidR="00221D6A" w:rsidRDefault="00BA3780">
      <w:pPr>
        <w:pStyle w:val="ManualHeading3"/>
        <w:rPr>
          <w:noProof/>
        </w:rPr>
      </w:pPr>
      <w:r>
        <w:rPr>
          <w:noProof/>
        </w:rPr>
        <w:tab/>
        <w:t>3.2.3.</w:t>
      </w:r>
      <w:r>
        <w:rPr>
          <w:noProof/>
        </w:rPr>
        <w:tab/>
        <w:t>Numatom</w:t>
      </w:r>
      <w:r>
        <w:rPr>
          <w:noProof/>
        </w:rPr>
        <w:t>as poveikis administracinio pobūdžio asignavimams</w:t>
      </w:r>
    </w:p>
    <w:p w:rsidR="00221D6A" w:rsidRDefault="00BA3780">
      <w:pPr>
        <w:pStyle w:val="ManualHeading3"/>
        <w:rPr>
          <w:noProof/>
        </w:rPr>
      </w:pPr>
      <w:r>
        <w:rPr>
          <w:noProof/>
        </w:rPr>
        <w:tab/>
        <w:t>3.2.4.</w:t>
      </w:r>
      <w:r>
        <w:rPr>
          <w:noProof/>
        </w:rPr>
        <w:tab/>
        <w:t>Suderinamumas su dabartine daugiamete finansine programa</w:t>
      </w:r>
    </w:p>
    <w:p w:rsidR="00221D6A" w:rsidRDefault="00BA3780">
      <w:pPr>
        <w:pStyle w:val="ManualHeading3"/>
        <w:rPr>
          <w:noProof/>
        </w:rPr>
      </w:pPr>
      <w:r>
        <w:rPr>
          <w:noProof/>
        </w:rPr>
        <w:tab/>
        <w:t>3.2.5.</w:t>
      </w:r>
      <w:r>
        <w:rPr>
          <w:noProof/>
        </w:rPr>
        <w:tab/>
        <w:t xml:space="preserve">Trečiųjų šalių įnašai </w:t>
      </w:r>
    </w:p>
    <w:p w:rsidR="00221D6A" w:rsidRDefault="00BA3780">
      <w:pPr>
        <w:pStyle w:val="ManualHeading2"/>
        <w:jc w:val="left"/>
        <w:rPr>
          <w:b w:val="0"/>
          <w:noProof/>
        </w:rPr>
        <w:sectPr w:rsidR="00221D6A">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Numatomas poveikis įplaukoms</w:t>
      </w:r>
    </w:p>
    <w:p w:rsidR="00221D6A" w:rsidRDefault="00BA3780">
      <w:pPr>
        <w:jc w:val="center"/>
        <w:rPr>
          <w:noProof/>
        </w:rPr>
      </w:pPr>
      <w:r>
        <w:rPr>
          <w:b/>
          <w:noProof/>
          <w:u w:val="single"/>
        </w:rPr>
        <w:t>FINANSINĖ TEISĖS AKTO PASIŪLYMO PAŽYMA</w:t>
      </w:r>
    </w:p>
    <w:p w:rsidR="00221D6A" w:rsidRDefault="00BA3780">
      <w:pPr>
        <w:pStyle w:val="ManualHeading1"/>
        <w:rPr>
          <w:noProof/>
        </w:rPr>
      </w:pPr>
      <w:r>
        <w:rPr>
          <w:noProof/>
        </w:rPr>
        <w:t>1.</w:t>
      </w:r>
      <w:r>
        <w:rPr>
          <w:noProof/>
        </w:rPr>
        <w:tab/>
        <w:t xml:space="preserve">PASIŪLYMO </w:t>
      </w:r>
      <w:r>
        <w:rPr>
          <w:noProof/>
        </w:rPr>
        <w:t xml:space="preserve">(INICIATYVOS) STRUKTŪRA </w:t>
      </w:r>
    </w:p>
    <w:p w:rsidR="00221D6A" w:rsidRDefault="00BA3780">
      <w:pPr>
        <w:pStyle w:val="ManualHeading2"/>
        <w:rPr>
          <w:noProof/>
        </w:rPr>
      </w:pPr>
      <w:r>
        <w:rPr>
          <w:noProof/>
        </w:rPr>
        <w:t>1.1.</w:t>
      </w:r>
      <w:r>
        <w:rPr>
          <w:noProof/>
        </w:rPr>
        <w:tab/>
        <w:t xml:space="preserve">Pasiūlymo (iniciatyvos) pavadinimas </w:t>
      </w:r>
    </w:p>
    <w:p w:rsidR="00221D6A" w:rsidRDefault="00BA3780">
      <w:pPr>
        <w:pStyle w:val="Text1"/>
        <w:pBdr>
          <w:top w:val="single" w:sz="4" w:space="1" w:color="auto"/>
          <w:left w:val="single" w:sz="4" w:space="4" w:color="auto"/>
          <w:bottom w:val="single" w:sz="4" w:space="1" w:color="auto"/>
          <w:right w:val="single" w:sz="4" w:space="4" w:color="auto"/>
        </w:pBdr>
        <w:rPr>
          <w:noProof/>
        </w:rPr>
      </w:pPr>
      <w:r>
        <w:rPr>
          <w:noProof/>
        </w:rPr>
        <w:t>Europos Parlamento ir Tarybos reglamento, kuriuo nustatomi energijos vartojimo efektyvumo ženklinimo pagrindai ir panaikinama Direktyva 2010/30/ES, pasiūlymas.</w:t>
      </w:r>
    </w:p>
    <w:p w:rsidR="00221D6A" w:rsidRDefault="00BA3780">
      <w:pPr>
        <w:pStyle w:val="ManualHeading2"/>
        <w:rPr>
          <w:noProof/>
          <w:szCs w:val="24"/>
        </w:rPr>
      </w:pPr>
      <w:r>
        <w:rPr>
          <w:noProof/>
        </w:rPr>
        <w:t>1.2.</w:t>
      </w:r>
      <w:r>
        <w:rPr>
          <w:noProof/>
        </w:rPr>
        <w:tab/>
        <w:t>Atitinkama (-os) politik</w:t>
      </w:r>
      <w:r>
        <w:rPr>
          <w:noProof/>
        </w:rPr>
        <w:t>os sritis (-ys) VGV / VGB sistemoje</w:t>
      </w:r>
      <w:r>
        <w:rPr>
          <w:rStyle w:val="FootnoteReference"/>
          <w:noProof/>
        </w:rPr>
        <w:footnoteReference w:id="23"/>
      </w:r>
      <w:r>
        <w:rPr>
          <w:noProof/>
        </w:rPr>
        <w:t xml:space="preserve"> </w:t>
      </w:r>
    </w:p>
    <w:p w:rsidR="00221D6A" w:rsidRDefault="00BA3780">
      <w:pPr>
        <w:pStyle w:val="Text1"/>
        <w:pBdr>
          <w:top w:val="single" w:sz="4" w:space="1" w:color="auto"/>
          <w:left w:val="single" w:sz="4" w:space="4" w:color="auto"/>
          <w:bottom w:val="single" w:sz="4" w:space="1" w:color="auto"/>
          <w:right w:val="single" w:sz="4" w:space="4" w:color="auto"/>
        </w:pBdr>
        <w:rPr>
          <w:noProof/>
        </w:rPr>
      </w:pPr>
      <w:r>
        <w:rPr>
          <w:noProof/>
        </w:rPr>
        <w:t>32 antraštinė dalis. Energetika</w:t>
      </w:r>
    </w:p>
    <w:p w:rsidR="00221D6A" w:rsidRDefault="00BA3780">
      <w:pPr>
        <w:pStyle w:val="Text1"/>
        <w:pBdr>
          <w:top w:val="single" w:sz="4" w:space="1" w:color="auto"/>
          <w:left w:val="single" w:sz="4" w:space="4" w:color="auto"/>
          <w:bottom w:val="single" w:sz="4" w:space="1" w:color="auto"/>
          <w:right w:val="single" w:sz="4" w:space="4" w:color="auto"/>
        </w:pBdr>
        <w:rPr>
          <w:noProof/>
        </w:rPr>
      </w:pPr>
      <w:r>
        <w:rPr>
          <w:noProof/>
        </w:rPr>
        <w:t>32 04 skyrius. „Horizontas 2020“. Su energetika susiję moksliniai tyrimai ir inovacijos</w:t>
      </w:r>
    </w:p>
    <w:p w:rsidR="00221D6A" w:rsidRDefault="00BA3780">
      <w:pPr>
        <w:pStyle w:val="ManualHeading2"/>
        <w:rPr>
          <w:bCs/>
          <w:noProof/>
          <w:szCs w:val="24"/>
        </w:rPr>
      </w:pPr>
      <w:r>
        <w:rPr>
          <w:noProof/>
        </w:rPr>
        <w:t>1.3.</w:t>
      </w:r>
      <w:r>
        <w:rPr>
          <w:noProof/>
        </w:rPr>
        <w:tab/>
        <w:t xml:space="preserve">Pasiūlymo (iniciatyvos) pobūdis </w:t>
      </w:r>
    </w:p>
    <w:p w:rsidR="00221D6A" w:rsidRDefault="00BA3780">
      <w:pPr>
        <w:pStyle w:val="Text1"/>
        <w:rPr>
          <w:noProof/>
          <w:sz w:val="22"/>
        </w:rPr>
      </w:pPr>
      <w:r>
        <w:rPr>
          <w:noProof/>
        </w:rPr>
        <w:t xml:space="preserve">Pasiūlymas (iniciatyva) susijęs (-usi) su </w:t>
      </w:r>
      <w:r>
        <w:rPr>
          <w:b/>
          <w:noProof/>
        </w:rPr>
        <w:t xml:space="preserve">esamos priemonės galiojimo pratęsimu </w:t>
      </w:r>
    </w:p>
    <w:p w:rsidR="00221D6A" w:rsidRDefault="00BA3780">
      <w:pPr>
        <w:pStyle w:val="ManualHeading2"/>
        <w:rPr>
          <w:bCs/>
          <w:noProof/>
          <w:szCs w:val="24"/>
        </w:rPr>
      </w:pPr>
      <w:r>
        <w:rPr>
          <w:noProof/>
        </w:rPr>
        <w:t>1.4.</w:t>
      </w:r>
      <w:r>
        <w:rPr>
          <w:noProof/>
        </w:rPr>
        <w:tab/>
        <w:t>Tikslas (-ai)</w:t>
      </w:r>
    </w:p>
    <w:p w:rsidR="00221D6A" w:rsidRDefault="00BA3780">
      <w:pPr>
        <w:pStyle w:val="ManualHeading3"/>
        <w:rPr>
          <w:noProof/>
        </w:rPr>
      </w:pPr>
      <w:r>
        <w:rPr>
          <w:noProof/>
        </w:rPr>
        <w:t>1.4.1.</w:t>
      </w:r>
      <w:r>
        <w:rPr>
          <w:noProof/>
        </w:rPr>
        <w:tab/>
        <w:t xml:space="preserve">Komisijos daugiametis (-čiai) strateginis (-iai) tikslas (-ai), kurio (-ių) siekiama šiuo pasiūlymu (šia iniciatyva) </w:t>
      </w:r>
    </w:p>
    <w:p w:rsidR="00221D6A" w:rsidRDefault="00BA3780">
      <w:pPr>
        <w:pStyle w:val="Text1"/>
        <w:pBdr>
          <w:top w:val="single" w:sz="4" w:space="1" w:color="auto"/>
          <w:left w:val="single" w:sz="4" w:space="4" w:color="auto"/>
          <w:bottom w:val="single" w:sz="4" w:space="1" w:color="auto"/>
          <w:right w:val="single" w:sz="4" w:space="4" w:color="auto"/>
        </w:pBdr>
        <w:rPr>
          <w:noProof/>
        </w:rPr>
      </w:pPr>
      <w:r>
        <w:rPr>
          <w:noProof/>
        </w:rPr>
        <w:t>Energetikos sąjunga</w:t>
      </w:r>
    </w:p>
    <w:p w:rsidR="00221D6A" w:rsidRDefault="00BA3780">
      <w:pPr>
        <w:pStyle w:val="ManualHeading3"/>
        <w:rPr>
          <w:bCs/>
          <w:noProof/>
          <w:szCs w:val="24"/>
        </w:rPr>
      </w:pPr>
      <w:r>
        <w:rPr>
          <w:noProof/>
        </w:rPr>
        <w:t>1.4.2.</w:t>
      </w:r>
      <w:r>
        <w:rPr>
          <w:noProof/>
        </w:rPr>
        <w:tab/>
        <w:t>Konkretus (-ūs) tikslas (-ai) ir atitinkama VGV</w:t>
      </w:r>
      <w:r>
        <w:rPr>
          <w:noProof/>
        </w:rPr>
        <w:t xml:space="preserve"> / VGB veikla </w:t>
      </w:r>
    </w:p>
    <w:p w:rsidR="00221D6A" w:rsidRDefault="00BA3780">
      <w:pPr>
        <w:pStyle w:val="Text1"/>
        <w:pBdr>
          <w:top w:val="single" w:sz="4" w:space="1" w:color="auto"/>
          <w:left w:val="single" w:sz="4" w:space="4" w:color="auto"/>
          <w:bottom w:val="single" w:sz="4" w:space="1" w:color="auto"/>
          <w:right w:val="single" w:sz="4" w:space="4" w:color="auto"/>
        </w:pBdr>
        <w:rPr>
          <w:noProof/>
          <w:u w:val="single"/>
        </w:rPr>
      </w:pPr>
      <w:r>
        <w:rPr>
          <w:noProof/>
          <w:u w:val="single"/>
        </w:rPr>
        <w:t>Konkretus tikslas</w:t>
      </w:r>
    </w:p>
    <w:p w:rsidR="00221D6A" w:rsidRDefault="00BA3780">
      <w:pPr>
        <w:pStyle w:val="Text1"/>
        <w:pBdr>
          <w:top w:val="single" w:sz="4" w:space="1" w:color="auto"/>
          <w:left w:val="single" w:sz="4" w:space="4" w:color="auto"/>
          <w:bottom w:val="single" w:sz="4" w:space="1" w:color="auto"/>
          <w:right w:val="single" w:sz="4" w:space="4" w:color="auto"/>
        </w:pBdr>
        <w:rPr>
          <w:noProof/>
          <w:highlight w:val="yellow"/>
        </w:rPr>
      </w:pPr>
      <w:r>
        <w:rPr>
          <w:noProof/>
        </w:rPr>
        <w:t>Skatinimas mažinti energijos poreikį</w:t>
      </w:r>
    </w:p>
    <w:p w:rsidR="00221D6A" w:rsidRDefault="00BA3780">
      <w:pPr>
        <w:pStyle w:val="Text1"/>
        <w:pBdr>
          <w:top w:val="single" w:sz="4" w:space="1" w:color="auto"/>
          <w:left w:val="single" w:sz="4" w:space="4" w:color="auto"/>
          <w:bottom w:val="single" w:sz="4" w:space="1" w:color="auto"/>
          <w:right w:val="single" w:sz="4" w:space="4" w:color="auto"/>
        </w:pBdr>
        <w:rPr>
          <w:noProof/>
          <w:u w:val="single"/>
        </w:rPr>
      </w:pPr>
      <w:r>
        <w:rPr>
          <w:noProof/>
          <w:u w:val="single"/>
        </w:rPr>
        <w:t>Atitinkama VGV / VGB veikla</w:t>
      </w:r>
    </w:p>
    <w:p w:rsidR="00221D6A" w:rsidRDefault="00BA3780">
      <w:pPr>
        <w:pStyle w:val="Text1"/>
        <w:pBdr>
          <w:top w:val="single" w:sz="4" w:space="1" w:color="auto"/>
          <w:left w:val="single" w:sz="4" w:space="4" w:color="auto"/>
          <w:bottom w:val="single" w:sz="4" w:space="1" w:color="auto"/>
          <w:right w:val="single" w:sz="4" w:space="4" w:color="auto"/>
        </w:pBdr>
        <w:rPr>
          <w:noProof/>
        </w:rPr>
      </w:pPr>
      <w:r>
        <w:rPr>
          <w:noProof/>
        </w:rPr>
        <w:t>2-asis VGB. Su energetika susiję moksliniai tyrimai ir inovacijos</w:t>
      </w:r>
    </w:p>
    <w:p w:rsidR="00221D6A" w:rsidRDefault="00BA3780">
      <w:pPr>
        <w:pStyle w:val="ManualHeading3"/>
        <w:rPr>
          <w:bCs/>
          <w:noProof/>
          <w:szCs w:val="24"/>
        </w:rPr>
      </w:pPr>
      <w:r>
        <w:rPr>
          <w:noProof/>
        </w:rPr>
        <w:br w:type="page"/>
        <w:t>1.4.3.</w:t>
      </w:r>
      <w:r>
        <w:rPr>
          <w:noProof/>
        </w:rPr>
        <w:tab/>
        <w:t>Numatomas (-i) rezultatas (-ai) ir poveikis</w:t>
      </w:r>
    </w:p>
    <w:p w:rsidR="00221D6A" w:rsidRDefault="00BA3780">
      <w:pPr>
        <w:pStyle w:val="Text1"/>
        <w:pBdr>
          <w:top w:val="single" w:sz="4" w:space="1" w:color="auto"/>
          <w:left w:val="single" w:sz="4" w:space="4" w:color="auto"/>
          <w:bottom w:val="single" w:sz="4" w:space="1" w:color="auto"/>
          <w:right w:val="single" w:sz="4" w:space="4" w:color="auto"/>
        </w:pBdr>
        <w:rPr>
          <w:noProof/>
        </w:rPr>
      </w:pPr>
      <w:r>
        <w:rPr>
          <w:noProof/>
        </w:rPr>
        <w:t>Tikimasi, kad įgyvendinus šią iniciatyvą</w:t>
      </w:r>
      <w:r>
        <w:rPr>
          <w:noProof/>
        </w:rPr>
        <w:t xml:space="preserve"> bus pagerinta energijos vartojimo efektyvumo ženklinimo Sąjungoje sistema, kurios veiksmingumas naudojimo, reikalavimų atitikties ir užmojo masto atžvilgiais šiuo metu neoptimalus.</w:t>
      </w:r>
    </w:p>
    <w:p w:rsidR="00221D6A" w:rsidRDefault="00BA3780">
      <w:pPr>
        <w:pStyle w:val="Text1"/>
        <w:pBdr>
          <w:top w:val="single" w:sz="4" w:space="1" w:color="auto"/>
          <w:left w:val="single" w:sz="4" w:space="4" w:color="auto"/>
          <w:bottom w:val="single" w:sz="4" w:space="1" w:color="auto"/>
          <w:right w:val="single" w:sz="4" w:space="4" w:color="auto"/>
        </w:pBdr>
        <w:rPr>
          <w:noProof/>
        </w:rPr>
      </w:pPr>
      <w:r>
        <w:rPr>
          <w:noProof/>
        </w:rPr>
        <w:t>Remiantis pasiūlymu bus nustatytos veiksmingesnės energijos vartojimo efek</w:t>
      </w:r>
      <w:r>
        <w:rPr>
          <w:noProof/>
        </w:rPr>
        <w:t>tyvumo etiketės ir geriau užtikrinama reikalavimų atitiktis, todėl vartotojai ir kiti su energija susijusių gaminių naudotojai bus geriau apsaugoti.</w:t>
      </w:r>
    </w:p>
    <w:p w:rsidR="00221D6A" w:rsidRDefault="00BA3780">
      <w:pPr>
        <w:pStyle w:val="Text1"/>
        <w:pBdr>
          <w:top w:val="single" w:sz="4" w:space="1" w:color="auto"/>
          <w:left w:val="single" w:sz="4" w:space="4" w:color="auto"/>
          <w:bottom w:val="single" w:sz="4" w:space="1" w:color="auto"/>
          <w:right w:val="single" w:sz="4" w:space="4" w:color="auto"/>
        </w:pBdr>
        <w:rPr>
          <w:noProof/>
        </w:rPr>
      </w:pPr>
      <w:r>
        <w:rPr>
          <w:noProof/>
        </w:rPr>
        <w:t>Pasiūlymas turės poveikio ūkinės veiklos vykdytojams, kurie ir toliau turės pateikti ir rodyti energijos va</w:t>
      </w:r>
      <w:r>
        <w:rPr>
          <w:noProof/>
        </w:rPr>
        <w:t xml:space="preserve">rtojimo efektyvumo etiketes ir (kitais kanalais) teikti rinkos priežiūrai reikalingą informaciją. </w:t>
      </w:r>
    </w:p>
    <w:p w:rsidR="00221D6A" w:rsidRDefault="00BA3780">
      <w:pPr>
        <w:pStyle w:val="Text1"/>
        <w:pBdr>
          <w:top w:val="single" w:sz="4" w:space="1" w:color="auto"/>
          <w:left w:val="single" w:sz="4" w:space="4" w:color="auto"/>
          <w:bottom w:val="single" w:sz="4" w:space="1" w:color="auto"/>
          <w:right w:val="single" w:sz="4" w:space="4" w:color="auto"/>
        </w:pBdr>
        <w:rPr>
          <w:noProof/>
        </w:rPr>
      </w:pPr>
      <w:r>
        <w:rPr>
          <w:noProof/>
        </w:rPr>
        <w:t>Pasiūlymas turės poveikio nacionalinėms institucijoms, kurios bus geriau pasirengusios imtis rinkos priežiūros veiksmų.</w:t>
      </w:r>
    </w:p>
    <w:p w:rsidR="00221D6A" w:rsidRDefault="00BA3780">
      <w:pPr>
        <w:pStyle w:val="ManualHeading3"/>
        <w:rPr>
          <w:bCs/>
          <w:noProof/>
          <w:szCs w:val="24"/>
        </w:rPr>
      </w:pPr>
      <w:r>
        <w:rPr>
          <w:noProof/>
        </w:rPr>
        <w:t>1.4.4.</w:t>
      </w:r>
      <w:r>
        <w:rPr>
          <w:noProof/>
        </w:rPr>
        <w:tab/>
        <w:t>Rezultatų ir poveikio rodiklia</w:t>
      </w:r>
      <w:r>
        <w:rPr>
          <w:noProof/>
        </w:rPr>
        <w:t xml:space="preserve">i </w:t>
      </w:r>
    </w:p>
    <w:p w:rsidR="00221D6A" w:rsidRDefault="00BA3780">
      <w:pPr>
        <w:pStyle w:val="Text1"/>
        <w:pBdr>
          <w:top w:val="single" w:sz="4" w:space="1" w:color="auto"/>
          <w:left w:val="single" w:sz="4" w:space="4" w:color="auto"/>
          <w:bottom w:val="single" w:sz="4" w:space="1" w:color="auto"/>
          <w:right w:val="single" w:sz="4" w:space="4" w:color="auto"/>
        </w:pBdr>
        <w:rPr>
          <w:noProof/>
        </w:rPr>
      </w:pPr>
      <w:r>
        <w:rPr>
          <w:noProof/>
        </w:rPr>
        <w:t>Prie energijos vartojimo efektyvumo etiketės A, B ir t. t. klasių priskiriamų gaminių dalis.</w:t>
      </w:r>
    </w:p>
    <w:p w:rsidR="00221D6A" w:rsidRDefault="00BA3780">
      <w:pPr>
        <w:pStyle w:val="Text1"/>
        <w:pBdr>
          <w:top w:val="single" w:sz="4" w:space="1" w:color="auto"/>
          <w:left w:val="single" w:sz="4" w:space="4" w:color="auto"/>
          <w:bottom w:val="single" w:sz="4" w:space="1" w:color="auto"/>
          <w:right w:val="single" w:sz="4" w:space="4" w:color="auto"/>
        </w:pBdr>
        <w:rPr>
          <w:noProof/>
        </w:rPr>
      </w:pPr>
      <w:r>
        <w:rPr>
          <w:noProof/>
        </w:rPr>
        <w:t>Pritaikius rinkos priežiūros priemones aptiktų reikalavimų neatitinkančių gaminių dalis.</w:t>
      </w:r>
    </w:p>
    <w:p w:rsidR="00221D6A" w:rsidRDefault="00BA3780">
      <w:pPr>
        <w:pStyle w:val="ManualHeading2"/>
        <w:rPr>
          <w:bCs/>
          <w:noProof/>
          <w:szCs w:val="24"/>
        </w:rPr>
      </w:pPr>
      <w:r>
        <w:rPr>
          <w:noProof/>
        </w:rPr>
        <w:t>1.5.</w:t>
      </w:r>
      <w:r>
        <w:rPr>
          <w:noProof/>
        </w:rPr>
        <w:tab/>
        <w:t xml:space="preserve">Pasiūlymo (iniciatyvos) pagrindas </w:t>
      </w:r>
    </w:p>
    <w:p w:rsidR="00221D6A" w:rsidRDefault="00BA3780">
      <w:pPr>
        <w:pStyle w:val="ManualHeading3"/>
        <w:rPr>
          <w:noProof/>
        </w:rPr>
      </w:pPr>
      <w:r>
        <w:rPr>
          <w:noProof/>
        </w:rPr>
        <w:t>1.5.1.</w:t>
      </w:r>
      <w:r>
        <w:rPr>
          <w:noProof/>
        </w:rPr>
        <w:tab/>
        <w:t>Trumpalaikiai arba ilgal</w:t>
      </w:r>
      <w:r>
        <w:rPr>
          <w:noProof/>
        </w:rPr>
        <w:t xml:space="preserve">aikiai poreikiai </w:t>
      </w:r>
    </w:p>
    <w:p w:rsidR="00221D6A" w:rsidRDefault="00BA3780">
      <w:pPr>
        <w:pStyle w:val="Text1"/>
        <w:pBdr>
          <w:top w:val="single" w:sz="4" w:space="1" w:color="auto"/>
          <w:left w:val="single" w:sz="4" w:space="4" w:color="auto"/>
          <w:bottom w:val="single" w:sz="4" w:space="1" w:color="auto"/>
          <w:right w:val="single" w:sz="4" w:space="4" w:color="auto"/>
        </w:pBdr>
        <w:rPr>
          <w:noProof/>
        </w:rPr>
      </w:pPr>
      <w:r>
        <w:rPr>
          <w:noProof/>
        </w:rPr>
        <w:t>Bendras šios iniciatyvos tikslas – užtikrinti vidaus rinkos veikimą sudarius sąlygas laisvam prekių, kurių aplinkos ir vartotojų apsaugos rodikliai aukšti, judėjimui.</w:t>
      </w:r>
    </w:p>
    <w:p w:rsidR="00221D6A" w:rsidRDefault="00BA3780">
      <w:pPr>
        <w:pStyle w:val="ManualHeading3"/>
        <w:rPr>
          <w:bCs/>
          <w:noProof/>
          <w:szCs w:val="24"/>
        </w:rPr>
      </w:pPr>
      <w:r>
        <w:rPr>
          <w:noProof/>
        </w:rPr>
        <w:t>1.5.2.</w:t>
      </w:r>
      <w:r>
        <w:rPr>
          <w:noProof/>
        </w:rPr>
        <w:tab/>
        <w:t>Papildoma ES dalyvavimo nauda</w:t>
      </w:r>
    </w:p>
    <w:p w:rsidR="00221D6A" w:rsidRDefault="00BA3780">
      <w:pPr>
        <w:pStyle w:val="Text1"/>
        <w:pBdr>
          <w:top w:val="single" w:sz="4" w:space="1" w:color="auto"/>
          <w:left w:val="single" w:sz="4" w:space="4" w:color="auto"/>
          <w:bottom w:val="single" w:sz="4" w:space="1" w:color="auto"/>
          <w:right w:val="single" w:sz="4" w:space="4" w:color="auto"/>
        </w:pBdr>
        <w:rPr>
          <w:noProof/>
        </w:rPr>
      </w:pPr>
      <w:r>
        <w:rPr>
          <w:noProof/>
        </w:rPr>
        <w:t xml:space="preserve">Tikslo, t. y. sumažinti neigiamą </w:t>
      </w:r>
      <w:r>
        <w:rPr>
          <w:noProof/>
        </w:rPr>
        <w:t>poveikį aplinkai, valstybės narės negali deramai pasiekti, nes turėdamos panašius uždavinius jos parengtų nevienodas nacionalines nuostatas ir procedūras, todėl pramonei (ir galiausiai vartotojams) atsirastų per didelių sąnaudų, o pačios nuostatos ir proce</w:t>
      </w:r>
      <w:r>
        <w:rPr>
          <w:noProof/>
        </w:rPr>
        <w:t>dūros trukdytų laisvam prekių judėjimui Europos Sąjungoje. Užtikrinti, kad to paties gaminio modelio energijos vartojimo efektyvumo klasė būtų skelbiama vienodai visoje Europos Sąjungoje, galima tik vienodomis ES energijos vartojimo efektyvumo ženklinimo t</w:t>
      </w:r>
      <w:r>
        <w:rPr>
          <w:noProof/>
        </w:rPr>
        <w:t>aisyklėmis ir matavimu bei bandymu, kuriais jos grindžiamos.</w:t>
      </w:r>
    </w:p>
    <w:p w:rsidR="00221D6A" w:rsidRDefault="00BA3780">
      <w:pPr>
        <w:pStyle w:val="Text1"/>
        <w:pBdr>
          <w:top w:val="single" w:sz="4" w:space="1" w:color="auto"/>
          <w:left w:val="single" w:sz="4" w:space="4" w:color="auto"/>
          <w:bottom w:val="single" w:sz="4" w:space="1" w:color="auto"/>
          <w:right w:val="single" w:sz="4" w:space="4" w:color="auto"/>
        </w:pBdr>
        <w:rPr>
          <w:noProof/>
        </w:rPr>
      </w:pPr>
      <w:r>
        <w:rPr>
          <w:noProof/>
        </w:rPr>
        <w:t>Jei ES teisės aktai nebūtų priimti, tikėtina, kad, norėdamos apsaugoti vartotojus ir sutaupyti energijos, visos valstybės narės priimtų energijos vartojimo efektyvumo etiketes toms pačioms gamini</w:t>
      </w:r>
      <w:r>
        <w:rPr>
          <w:noProof/>
        </w:rPr>
        <w:t>ų grupėms. ES lygmens priemonės yra vienintelis būdas suvienodinti rinkai tiekiamų gaminių etiketes visose valstybėse narėse ir taip užtikrinti Sutarties dėl Europos Sąjungos veikimo 26 straipsniu grindžiamos vidaus rinkos veikimą.</w:t>
      </w:r>
    </w:p>
    <w:p w:rsidR="00221D6A" w:rsidRDefault="00BA3780">
      <w:pPr>
        <w:pStyle w:val="ManualHeading3"/>
        <w:rPr>
          <w:bCs/>
          <w:noProof/>
          <w:szCs w:val="24"/>
        </w:rPr>
      </w:pPr>
      <w:r>
        <w:rPr>
          <w:noProof/>
        </w:rPr>
        <w:t>1.5.3.</w:t>
      </w:r>
      <w:r>
        <w:rPr>
          <w:noProof/>
        </w:rPr>
        <w:tab/>
        <w:t>Panašios patirtie</w:t>
      </w:r>
      <w:r>
        <w:rPr>
          <w:noProof/>
        </w:rPr>
        <w:t>s išvados</w:t>
      </w:r>
    </w:p>
    <w:p w:rsidR="00221D6A" w:rsidRDefault="00BA3780">
      <w:pPr>
        <w:pStyle w:val="Text1"/>
        <w:pBdr>
          <w:top w:val="single" w:sz="4" w:space="1" w:color="auto"/>
          <w:left w:val="single" w:sz="4" w:space="4" w:color="auto"/>
          <w:bottom w:val="single" w:sz="4" w:space="1" w:color="auto"/>
          <w:right w:val="single" w:sz="4" w:space="4" w:color="auto"/>
        </w:pBdr>
        <w:rPr>
          <w:noProof/>
        </w:rPr>
      </w:pPr>
      <w:r>
        <w:rPr>
          <w:noProof/>
        </w:rPr>
        <w:t xml:space="preserve">Europos Sąjungoje sukurta energijos vartojimo efektyvumo etikečių bendroji rinka, tačiau etiketes reikia atnaujinti, nes dėl technologijų pažangos daug gaminių modelių pasieks aukščiausiais klases, todėl vartotojams etiketės nepadės jų atskirti. </w:t>
      </w:r>
      <w:r>
        <w:rPr>
          <w:noProof/>
        </w:rPr>
        <w:t xml:space="preserve">Šią problemą tikėtasi išspręsti peržiūrėjus 2010 m. Energijos suvartojimo ženklinimo direktyvą ir prie etiketės A–G klasių skalės pridėjus A+, A++ ir A+++ klases. Direktyvos peržiūra parodė, kad vartotojams tokios klasės yra mažiau veiksmingos nei pradinė </w:t>
      </w:r>
      <w:r>
        <w:rPr>
          <w:noProof/>
        </w:rPr>
        <w:t>A–G klasių skalė. Todėl čia siūloma sugrįžti prie A–G klasių skalės ir ją periodiškai keisti.</w:t>
      </w:r>
    </w:p>
    <w:p w:rsidR="00221D6A" w:rsidRDefault="00BA3780">
      <w:pPr>
        <w:pStyle w:val="Text1"/>
        <w:pBdr>
          <w:top w:val="single" w:sz="4" w:space="1" w:color="auto"/>
          <w:left w:val="single" w:sz="4" w:space="4" w:color="auto"/>
          <w:bottom w:val="single" w:sz="4" w:space="1" w:color="auto"/>
          <w:right w:val="single" w:sz="4" w:space="4" w:color="auto"/>
        </w:pBdr>
        <w:rPr>
          <w:noProof/>
        </w:rPr>
      </w:pPr>
      <w:r>
        <w:rPr>
          <w:noProof/>
        </w:rPr>
        <w:t>Kaip laikomasi energijos vartojimo efektyvumo etiketės reikalavimų, tikrina rinkos priežiūros institucijos. Tačiau dėl reikalavimų neatitikties vis tiek prarandam</w:t>
      </w:r>
      <w:r>
        <w:rPr>
          <w:noProof/>
        </w:rPr>
        <w:t>a apie 10 proc. planuotos energijos (ir vartotojų sąnaudų) ekonomijos. Pateikusi naujo rinkos priežiūros reglamento pasiūlymą (COM(2013) 75), Komisija siekia visoje ES spręsti tokius gaminiams taikomų teisės aktų derinimo uždavinius. Tačiau energijos varto</w:t>
      </w:r>
      <w:r>
        <w:rPr>
          <w:noProof/>
        </w:rPr>
        <w:t>jimo efektyvumo ženklinimo srityje veikiančioms rinkos priežiūros institucijoms kyla problemų, kurios minėtame pasiūlyme nesprendžiamos: laiku gauti techninius dokumentus; identifikuoti užsienio gamintojus ir gauti jų informaciją ryšiams; nėra centrinės si</w:t>
      </w:r>
      <w:r>
        <w:rPr>
          <w:noProof/>
        </w:rPr>
        <w:t xml:space="preserve">stemos, kuria naudojantis būtų galima identifikuoti kitų rinkos priežiūros institucijų patikrintus lygiaverčius modelius. Be to, Komisijai sunku nustatyti kiekvienos gaminių grupės deramus etiketės klasių reikalavimus, nes trūksta viešos informacijos apie </w:t>
      </w:r>
      <w:r>
        <w:rPr>
          <w:noProof/>
        </w:rPr>
        <w:t>gaminių energijos vartojimo rodiklius. Dabar aišku, kad daugeliui gaminių nustatytos naujų etiketės A+, A++ ir A+++ klasių ribos buvo per mažos, todėl reikalavimus teko peržiūrėti anksčiau nei planuota. Kad nereikėtų dažnai peržiūrėti reikalavimų ir keisti</w:t>
      </w:r>
      <w:r>
        <w:rPr>
          <w:noProof/>
        </w:rPr>
        <w:t xml:space="preserve"> skalės, būtina turėti naujausius duomenis. Šias dvi problemas čia siūloma spręsti sukūrus rinkos priežiūros institucijoms ir Komisijai prieinamą centrinę gaminių registravimo duomenų bazę, kurioje gamintojai pateiktų savo gaminių energijos vartojimo rodik</w:t>
      </w:r>
      <w:r>
        <w:rPr>
          <w:noProof/>
        </w:rPr>
        <w:t>lius ir atitikties reikalavimams duomenis.</w:t>
      </w:r>
    </w:p>
    <w:p w:rsidR="00221D6A" w:rsidRDefault="00BA3780">
      <w:pPr>
        <w:pStyle w:val="ManualHeading3"/>
        <w:rPr>
          <w:bCs/>
          <w:noProof/>
          <w:szCs w:val="24"/>
        </w:rPr>
      </w:pPr>
      <w:r>
        <w:rPr>
          <w:noProof/>
        </w:rPr>
        <w:t>1.5.4.</w:t>
      </w:r>
      <w:r>
        <w:rPr>
          <w:noProof/>
        </w:rPr>
        <w:tab/>
        <w:t>Suderinamumas ir galima sąveika su kitomis atitinkamomis priemonėmis</w:t>
      </w:r>
    </w:p>
    <w:p w:rsidR="00221D6A" w:rsidRDefault="00BA3780">
      <w:pPr>
        <w:pStyle w:val="Text1"/>
        <w:pBdr>
          <w:top w:val="single" w:sz="4" w:space="1" w:color="auto"/>
          <w:left w:val="single" w:sz="4" w:space="4" w:color="auto"/>
          <w:bottom w:val="single" w:sz="4" w:space="1" w:color="auto"/>
          <w:right w:val="single" w:sz="4" w:space="4" w:color="auto"/>
        </w:pBdr>
        <w:rPr>
          <w:noProof/>
        </w:rPr>
      </w:pPr>
      <w:r>
        <w:rPr>
          <w:noProof/>
        </w:rPr>
        <w:t>Ši iniciatyva atitinka Ekologinio projektavimo direktyvą 2009/125/EB, kurioje su energija susijusiems gaminiams (kai kurie iš jų turi ene</w:t>
      </w:r>
      <w:r>
        <w:rPr>
          <w:noProof/>
        </w:rPr>
        <w:t>rgijos vartojimo efektyvumo etiketes) nustatyti būtinieji reikalavimai. Šia iniciatyva visų pirma užtikrinama, kad bus parengtas bendras darbo planas ir konsultacijų tvarka, kurios laikantis su suinteresuotosiomis šalimis tariamasi konkretiems gaminiams ta</w:t>
      </w:r>
      <w:r>
        <w:rPr>
          <w:noProof/>
        </w:rPr>
        <w:t>ikomų taisyklių kūrimo klausimais.</w:t>
      </w:r>
    </w:p>
    <w:p w:rsidR="00221D6A" w:rsidRDefault="00BA3780">
      <w:pPr>
        <w:pStyle w:val="Text1"/>
        <w:pBdr>
          <w:top w:val="single" w:sz="4" w:space="1" w:color="auto"/>
          <w:left w:val="single" w:sz="4" w:space="4" w:color="auto"/>
          <w:bottom w:val="single" w:sz="4" w:space="1" w:color="auto"/>
          <w:right w:val="single" w:sz="4" w:space="4" w:color="auto"/>
        </w:pBdr>
        <w:rPr>
          <w:noProof/>
        </w:rPr>
      </w:pPr>
      <w:r>
        <w:rPr>
          <w:noProof/>
        </w:rPr>
        <w:t>Ši iniciatyva atitinka Rinkos priežiūros reglamentą (EB) Nr. 765/2008, nes ją įgyvendinant iš visų ES teisės aktų, kuriais derinamos energijos vartojimo efektyvumo ženklinimo taisyklės, bus šalinamos tos sudvejintos nuost</w:t>
      </w:r>
      <w:r>
        <w:rPr>
          <w:noProof/>
        </w:rPr>
        <w:t>atos, kurios įrašytos į rinkos priežiūros reglamentą.</w:t>
      </w:r>
    </w:p>
    <w:p w:rsidR="00221D6A" w:rsidRDefault="00BA3780">
      <w:pPr>
        <w:pStyle w:val="Text1"/>
        <w:pBdr>
          <w:top w:val="single" w:sz="4" w:space="1" w:color="auto"/>
          <w:left w:val="single" w:sz="4" w:space="4" w:color="auto"/>
          <w:bottom w:val="single" w:sz="4" w:space="1" w:color="auto"/>
          <w:right w:val="single" w:sz="4" w:space="4" w:color="auto"/>
        </w:pBdr>
        <w:rPr>
          <w:noProof/>
        </w:rPr>
      </w:pPr>
      <w:r>
        <w:rPr>
          <w:noProof/>
        </w:rPr>
        <w:t>Sukūrus, kaip siūloma, gaminių registravimo duomenų bazę, būtų gauta jos ir kitų derinamųjų ES teisės aktų, kuriems tokios duomenų bazės sukurtos arba gali būti sukurtos ateityje (ypač Direktyvai 2014/5</w:t>
      </w:r>
      <w:r>
        <w:rPr>
          <w:noProof/>
        </w:rPr>
        <w:t xml:space="preserve">3/ES dėl valstybių narių įstatymų, susijusių su radijo įrenginių tiekimu rinkai, suderinimo), sinergija. </w:t>
      </w:r>
    </w:p>
    <w:p w:rsidR="00221D6A" w:rsidRDefault="00BA3780">
      <w:pPr>
        <w:pStyle w:val="ManualHeading2"/>
        <w:rPr>
          <w:bCs/>
          <w:noProof/>
          <w:szCs w:val="24"/>
        </w:rPr>
      </w:pPr>
      <w:r>
        <w:rPr>
          <w:noProof/>
        </w:rPr>
        <w:br w:type="page"/>
        <w:t>1.6.</w:t>
      </w:r>
      <w:r>
        <w:rPr>
          <w:noProof/>
        </w:rPr>
        <w:tab/>
        <w:t xml:space="preserve">Trukmė ir finansinis poveikis </w:t>
      </w:r>
    </w:p>
    <w:p w:rsidR="00221D6A" w:rsidRDefault="00BA3780">
      <w:pPr>
        <w:pStyle w:val="Text1"/>
        <w:rPr>
          <w:noProof/>
        </w:rPr>
      </w:pPr>
      <w:r>
        <w:rPr>
          <w:noProof/>
        </w:rPr>
        <w:t xml:space="preserve">Pasiūlymo (iniciatyvos) </w:t>
      </w:r>
      <w:r>
        <w:rPr>
          <w:b/>
          <w:noProof/>
        </w:rPr>
        <w:t>trukmė neribota</w:t>
      </w:r>
      <w:r>
        <w:rPr>
          <w:noProof/>
        </w:rPr>
        <w:t>:</w:t>
      </w:r>
    </w:p>
    <w:p w:rsidR="00221D6A" w:rsidRDefault="00BA3780">
      <w:pPr>
        <w:pStyle w:val="ListDash1"/>
        <w:rPr>
          <w:noProof/>
        </w:rPr>
      </w:pPr>
      <w:r>
        <w:rPr>
          <w:noProof/>
        </w:rPr>
        <w:t>įgyvendinimo pradinis laikotarpis – nuo 2016 m. liepos mėn.,</w:t>
      </w:r>
    </w:p>
    <w:p w:rsidR="00221D6A" w:rsidRDefault="00BA3780">
      <w:pPr>
        <w:pStyle w:val="ListDash1"/>
        <w:rPr>
          <w:noProof/>
        </w:rPr>
      </w:pPr>
      <w:r>
        <w:rPr>
          <w:noProof/>
        </w:rPr>
        <w:t>vėliau – vi</w:t>
      </w:r>
      <w:r>
        <w:rPr>
          <w:noProof/>
        </w:rPr>
        <w:t>suotinis taikymas.</w:t>
      </w:r>
    </w:p>
    <w:p w:rsidR="00221D6A" w:rsidRDefault="00BA3780">
      <w:pPr>
        <w:pStyle w:val="ManualHeading2"/>
        <w:rPr>
          <w:bCs/>
          <w:noProof/>
          <w:szCs w:val="24"/>
        </w:rPr>
      </w:pPr>
      <w:r>
        <w:rPr>
          <w:noProof/>
        </w:rPr>
        <w:t>1.7.</w:t>
      </w:r>
      <w:r>
        <w:rPr>
          <w:noProof/>
        </w:rPr>
        <w:tab/>
        <w:t>Numatytas (-i) valdymo būdas (-ai)</w:t>
      </w:r>
      <w:r>
        <w:rPr>
          <w:rStyle w:val="FootnoteReference"/>
          <w:noProof/>
        </w:rPr>
        <w:t xml:space="preserve"> </w:t>
      </w:r>
      <w:r>
        <w:rPr>
          <w:rStyle w:val="FootnoteReference"/>
          <w:noProof/>
        </w:rPr>
        <w:footnoteReference w:id="24"/>
      </w:r>
      <w:r>
        <w:rPr>
          <w:noProof/>
        </w:rPr>
        <w:t xml:space="preserve"> </w:t>
      </w:r>
    </w:p>
    <w:p w:rsidR="00221D6A" w:rsidRDefault="00BA3780">
      <w:pPr>
        <w:pStyle w:val="Text1"/>
        <w:rPr>
          <w:noProof/>
        </w:rPr>
      </w:pPr>
      <w:r>
        <w:rPr>
          <w:b/>
          <w:noProof/>
        </w:rPr>
        <w:t>Tiesioginis valdymas</w:t>
      </w:r>
      <w:r>
        <w:rPr>
          <w:noProof/>
        </w:rPr>
        <w:t>, vykdomas Komisijos:</w:t>
      </w:r>
    </w:p>
    <w:p w:rsidR="00221D6A" w:rsidRDefault="00BA3780">
      <w:pPr>
        <w:pStyle w:val="ListDash2"/>
        <w:rPr>
          <w:rFonts w:cs="EUAlbertina"/>
          <w:noProof/>
        </w:rPr>
      </w:pPr>
      <w:r>
        <w:rPr>
          <w:noProof/>
        </w:rPr>
        <w:t xml:space="preserve">Padalinių, įskaitant Sąjungos delegacijų darbuotojus. </w:t>
      </w:r>
    </w:p>
    <w:p w:rsidR="00221D6A" w:rsidRDefault="00BA3780">
      <w:pPr>
        <w:rPr>
          <w:noProof/>
        </w:rPr>
      </w:pPr>
      <w:r>
        <w:rPr>
          <w:noProof/>
        </w:rPr>
        <w:t xml:space="preserve">Pastabos </w:t>
      </w:r>
    </w:p>
    <w:p w:rsidR="00221D6A" w:rsidRDefault="00BA3780">
      <w:pPr>
        <w:pBdr>
          <w:top w:val="single" w:sz="4" w:space="1" w:color="auto"/>
          <w:left w:val="single" w:sz="4" w:space="4" w:color="auto"/>
          <w:bottom w:val="single" w:sz="4" w:space="1" w:color="auto"/>
          <w:right w:val="single" w:sz="4" w:space="4" w:color="auto"/>
        </w:pBdr>
        <w:rPr>
          <w:noProof/>
        </w:rPr>
      </w:pPr>
      <w:r>
        <w:rPr>
          <w:noProof/>
        </w:rPr>
        <w:t xml:space="preserve">Šiai iniciatyvai nereikia papildomų biudžeto išteklių. Pasiūlyta su energija susijusių </w:t>
      </w:r>
      <w:r>
        <w:rPr>
          <w:noProof/>
        </w:rPr>
        <w:t>gaminių registravimo duomenų bazė (2016 m. jai reikės apie 1 500 000 EUR ir po 150 000 EUR techninei priežiūrai paskesniais metais) bus finansuojama lėšomis, gautomis nustačius naujus prioritetus, kurių laikantis naudojami ištekliai, numatyti gaminių energ</w:t>
      </w:r>
      <w:r>
        <w:rPr>
          <w:noProof/>
        </w:rPr>
        <w:t>ijos vartojimo efektyvumo politikos įgyvendinimui pagal programos „Horizontas 2020“ visuomenės uždavinių temos įsisavinimo rinkoje ir inovacijų dalis (anksčiau – pagal programą „Pažangi energetika Europai“). Visai gaminių energijos vartojimo efektyvumo pol</w:t>
      </w:r>
      <w:r>
        <w:rPr>
          <w:noProof/>
        </w:rPr>
        <w:t>itikai (energijos vartojimo efektyvumo ženklinimui, ekologiniam projektavimui, „Energy Star“ ir padangų ženklinimui) 2015 m. reikės 2 500 000 EUR. Iš visos šios sumos apie 700 000 EUR yra susiję su technine pagalba ir energijos vartojimo efektyvumo ženklin</w:t>
      </w:r>
      <w:r>
        <w:rPr>
          <w:noProof/>
        </w:rPr>
        <w:t>imo tyrimais, ypač parengiamaisiais tyrimais, kuriais grindžiamos naujų gaminių grupių taisyklės arba tų taisyklių persvarstymas; tikėtina, kad šių lėšų reikės ir ateityje. Priėmus šį pasiūlymą, nuo 2017 m. dar 300 000 EUR per metus reikės konkrečių gamini</w:t>
      </w:r>
      <w:r>
        <w:rPr>
          <w:noProof/>
        </w:rPr>
        <w:t>ų grupių etikečių suprantamumo vartotojams tyrimams, kaip pasiūlyta šiame reglamente. Atėmus šias lėšas iš bendrų sudėtinių išteklių, skirtų gaminių energijos vartojimo efektyvumo politikai, gauto likučio užtenka gaminių registravimo duomenų bazės sąnaudom</w:t>
      </w:r>
      <w:r>
        <w:rPr>
          <w:noProof/>
        </w:rPr>
        <w:t>s padengti. Turint duomenis gaminių registravimo bazėje, gaminių, kuriems taikomi ir energijos vartojimo efektyvumo ženklinimo reikalavimai, parengiamųjų ekologinio projektavimo tyrimų sąnaudos sumažės, nes reikės surinkti mažiau duomenų.</w:t>
      </w:r>
    </w:p>
    <w:p w:rsidR="00221D6A" w:rsidRDefault="00BA3780">
      <w:pPr>
        <w:pBdr>
          <w:top w:val="single" w:sz="4" w:space="1" w:color="auto"/>
          <w:left w:val="single" w:sz="4" w:space="4" w:color="auto"/>
          <w:bottom w:val="single" w:sz="4" w:space="1" w:color="auto"/>
          <w:right w:val="single" w:sz="4" w:space="4" w:color="auto"/>
        </w:pBdr>
        <w:rPr>
          <w:noProof/>
        </w:rPr>
      </w:pPr>
      <w:r>
        <w:rPr>
          <w:noProof/>
        </w:rPr>
        <w:t>Pasiūlymo poveiki</w:t>
      </w:r>
      <w:r>
        <w:rPr>
          <w:noProof/>
        </w:rPr>
        <w:t>s biudžetui atitinka 2016 m. biudžeto projekte ir 2017–2020 m. finansinėse programose biudžeto eilutei 32 04 03 01 numatytą finansinį paketą.</w:t>
      </w:r>
    </w:p>
    <w:p w:rsidR="00221D6A" w:rsidRDefault="00BA3780">
      <w:pPr>
        <w:pBdr>
          <w:top w:val="single" w:sz="4" w:space="1" w:color="auto"/>
          <w:left w:val="single" w:sz="4" w:space="4" w:color="auto"/>
          <w:bottom w:val="single" w:sz="4" w:space="1" w:color="auto"/>
          <w:right w:val="single" w:sz="4" w:space="4" w:color="auto"/>
        </w:pBdr>
        <w:rPr>
          <w:noProof/>
        </w:rPr>
      </w:pPr>
      <w:r>
        <w:rPr>
          <w:noProof/>
        </w:rPr>
        <w:t xml:space="preserve">3.2.2 skirsnyje pateikta pirmiau minėtų sumų daugiametė perspektyva. </w:t>
      </w:r>
    </w:p>
    <w:p w:rsidR="00221D6A" w:rsidRDefault="00221D6A">
      <w:pPr>
        <w:pBdr>
          <w:top w:val="single" w:sz="4" w:space="1" w:color="auto"/>
          <w:left w:val="single" w:sz="4" w:space="4" w:color="auto"/>
          <w:bottom w:val="single" w:sz="4" w:space="1" w:color="auto"/>
          <w:right w:val="single" w:sz="4" w:space="4" w:color="auto"/>
        </w:pBdr>
        <w:rPr>
          <w:noProof/>
        </w:rPr>
        <w:sectPr w:rsidR="00221D6A">
          <w:pgSz w:w="11907" w:h="16840" w:code="9"/>
          <w:pgMar w:top="1134" w:right="1418" w:bottom="1134" w:left="1418" w:header="709" w:footer="709" w:gutter="0"/>
          <w:cols w:space="708"/>
          <w:docGrid w:linePitch="360"/>
        </w:sectPr>
      </w:pPr>
    </w:p>
    <w:p w:rsidR="00221D6A" w:rsidRDefault="00BA3780">
      <w:pPr>
        <w:pStyle w:val="ManualHeading1"/>
        <w:rPr>
          <w:bCs/>
          <w:noProof/>
          <w:szCs w:val="24"/>
        </w:rPr>
      </w:pPr>
      <w:r>
        <w:rPr>
          <w:noProof/>
        </w:rPr>
        <w:t>2.</w:t>
      </w:r>
      <w:r>
        <w:rPr>
          <w:noProof/>
        </w:rPr>
        <w:tab/>
      </w:r>
      <w:r>
        <w:rPr>
          <w:noProof/>
        </w:rPr>
        <w:t xml:space="preserve">VALDYMO PRIEMONĖS </w:t>
      </w:r>
    </w:p>
    <w:p w:rsidR="00221D6A" w:rsidRDefault="00BA3780">
      <w:pPr>
        <w:pStyle w:val="ManualHeading2"/>
        <w:rPr>
          <w:noProof/>
        </w:rPr>
      </w:pPr>
      <w:r>
        <w:rPr>
          <w:noProof/>
        </w:rPr>
        <w:t>2.1.</w:t>
      </w:r>
      <w:r>
        <w:rPr>
          <w:noProof/>
        </w:rPr>
        <w:tab/>
        <w:t xml:space="preserve">Stebėsenos ir atskaitomybės taisyklės </w:t>
      </w:r>
    </w:p>
    <w:p w:rsidR="00221D6A" w:rsidRDefault="00BA3780">
      <w:pPr>
        <w:pStyle w:val="Text1"/>
        <w:pBdr>
          <w:top w:val="single" w:sz="4" w:space="1" w:color="auto"/>
          <w:left w:val="single" w:sz="4" w:space="4" w:color="auto"/>
          <w:bottom w:val="single" w:sz="4" w:space="1" w:color="auto"/>
          <w:right w:val="single" w:sz="4" w:space="4" w:color="auto"/>
        </w:pBdr>
        <w:rPr>
          <w:noProof/>
        </w:rPr>
      </w:pPr>
      <w:r>
        <w:rPr>
          <w:noProof/>
        </w:rPr>
        <w:t>Konsultacijų forumas taps diskusijų apie tinkamą pasiūlyto reglamento nuostatų įgyvendinimą platforma.</w:t>
      </w:r>
    </w:p>
    <w:p w:rsidR="00221D6A" w:rsidRDefault="00BA3780">
      <w:pPr>
        <w:pStyle w:val="Text1"/>
        <w:pBdr>
          <w:top w:val="single" w:sz="4" w:space="1" w:color="auto"/>
          <w:left w:val="single" w:sz="4" w:space="4" w:color="auto"/>
          <w:bottom w:val="single" w:sz="4" w:space="1" w:color="auto"/>
          <w:right w:val="single" w:sz="4" w:space="4" w:color="auto"/>
        </w:pBdr>
        <w:rPr>
          <w:noProof/>
        </w:rPr>
      </w:pPr>
      <w:r>
        <w:rPr>
          <w:noProof/>
        </w:rPr>
        <w:t>Galutinėje nuostatoje siūloma, kad Komisija praėjus aštuoneriems metams nuo įsigaliojimo d</w:t>
      </w:r>
      <w:r>
        <w:rPr>
          <w:noProof/>
        </w:rPr>
        <w:t>ienos įvertintų įgyvendinimą ir parengtų ataskaitą. Joje turėtų būti išryškintos galimos reglamento problemos ir trūkumai; remiantis ataskaita būtų galima imtis tolesnių veiksmų, įskaitant galimą pasiūlymą iš dalies pakeisti reglamentą.</w:t>
      </w:r>
    </w:p>
    <w:p w:rsidR="00221D6A" w:rsidRDefault="00BA3780">
      <w:pPr>
        <w:pStyle w:val="ManualHeading2"/>
        <w:rPr>
          <w:bCs/>
          <w:noProof/>
          <w:szCs w:val="24"/>
        </w:rPr>
      </w:pPr>
      <w:r>
        <w:rPr>
          <w:noProof/>
        </w:rPr>
        <w:t>2.2.</w:t>
      </w:r>
      <w:r>
        <w:rPr>
          <w:noProof/>
        </w:rPr>
        <w:tab/>
        <w:t>Valdymo ir kon</w:t>
      </w:r>
      <w:r>
        <w:rPr>
          <w:noProof/>
        </w:rPr>
        <w:t xml:space="preserve">trolės sistema </w:t>
      </w:r>
    </w:p>
    <w:p w:rsidR="00221D6A" w:rsidRDefault="00BA3780">
      <w:pPr>
        <w:pStyle w:val="ManualHeading3"/>
        <w:rPr>
          <w:noProof/>
        </w:rPr>
      </w:pPr>
      <w:r>
        <w:rPr>
          <w:noProof/>
        </w:rPr>
        <w:t>2.2.1.</w:t>
      </w:r>
      <w:r>
        <w:rPr>
          <w:noProof/>
        </w:rPr>
        <w:tab/>
        <w:t xml:space="preserve">Nustatyta rizika </w:t>
      </w:r>
    </w:p>
    <w:p w:rsidR="00221D6A" w:rsidRDefault="00BA3780">
      <w:pPr>
        <w:pStyle w:val="Text1"/>
        <w:pBdr>
          <w:top w:val="single" w:sz="4" w:space="1" w:color="auto"/>
          <w:left w:val="single" w:sz="4" w:space="4" w:color="auto"/>
          <w:bottom w:val="single" w:sz="4" w:space="1" w:color="auto"/>
          <w:right w:val="single" w:sz="4" w:space="4" w:color="auto"/>
        </w:pBdr>
        <w:rPr>
          <w:noProof/>
        </w:rPr>
      </w:pPr>
      <w:r>
        <w:rPr>
          <w:noProof/>
        </w:rPr>
        <w:t>Gaminių registravimo duomenų bazės parengimas už apytiksliai 1 500 000 EUR (ir techninė priežiūra už 150 000 EUR kiekvienais metais).</w:t>
      </w:r>
    </w:p>
    <w:p w:rsidR="00221D6A" w:rsidRDefault="00BA3780">
      <w:pPr>
        <w:pStyle w:val="Text1"/>
        <w:pBdr>
          <w:top w:val="single" w:sz="4" w:space="1" w:color="auto"/>
          <w:left w:val="single" w:sz="4" w:space="4" w:color="auto"/>
          <w:bottom w:val="single" w:sz="4" w:space="1" w:color="auto"/>
          <w:right w:val="single" w:sz="4" w:space="4" w:color="auto"/>
        </w:pBdr>
        <w:rPr>
          <w:noProof/>
        </w:rPr>
      </w:pPr>
      <w:r>
        <w:rPr>
          <w:noProof/>
        </w:rPr>
        <w:t xml:space="preserve">Gaminių registravimo duomenų bazės veikimo rizika yra daugiausia susijusi su </w:t>
      </w:r>
      <w:r>
        <w:rPr>
          <w:noProof/>
        </w:rPr>
        <w:t>informacinių technologijų problemomis, kaip antai galimais sistemos gedimais ir slaptumo klausimais.</w:t>
      </w:r>
    </w:p>
    <w:p w:rsidR="00221D6A" w:rsidRDefault="00BA3780">
      <w:pPr>
        <w:pStyle w:val="ManualHeading3"/>
        <w:rPr>
          <w:bCs/>
          <w:noProof/>
          <w:szCs w:val="24"/>
        </w:rPr>
      </w:pPr>
      <w:r>
        <w:rPr>
          <w:noProof/>
        </w:rPr>
        <w:t>2.2.2.</w:t>
      </w:r>
      <w:r>
        <w:rPr>
          <w:noProof/>
        </w:rPr>
        <w:tab/>
        <w:t>Informacija apie įdiegtą vidaus kontrolės sistemą</w:t>
      </w:r>
    </w:p>
    <w:p w:rsidR="00221D6A" w:rsidRDefault="00BA3780">
      <w:pPr>
        <w:pStyle w:val="Text1"/>
        <w:pBdr>
          <w:top w:val="single" w:sz="4" w:space="1" w:color="auto"/>
          <w:left w:val="single" w:sz="4" w:space="4" w:color="auto"/>
          <w:bottom w:val="single" w:sz="4" w:space="1" w:color="auto"/>
          <w:right w:val="single" w:sz="4" w:space="4" w:color="auto"/>
        </w:pBdr>
        <w:rPr>
          <w:noProof/>
        </w:rPr>
      </w:pPr>
      <w:r>
        <w:rPr>
          <w:noProof/>
        </w:rPr>
        <w:t>Numatomi kontrolės metodai išdėstyti Finansiniame reglamente ir taikymo taisyklėse.</w:t>
      </w:r>
    </w:p>
    <w:p w:rsidR="00221D6A" w:rsidRDefault="00BA3780">
      <w:pPr>
        <w:pStyle w:val="ManualHeading2"/>
        <w:rPr>
          <w:bCs/>
          <w:noProof/>
          <w:szCs w:val="24"/>
        </w:rPr>
      </w:pPr>
      <w:r>
        <w:rPr>
          <w:noProof/>
        </w:rPr>
        <w:t>2.3.</w:t>
      </w:r>
      <w:r>
        <w:rPr>
          <w:noProof/>
        </w:rPr>
        <w:tab/>
        <w:t>Sukčiavim</w:t>
      </w:r>
      <w:r>
        <w:rPr>
          <w:noProof/>
        </w:rPr>
        <w:t xml:space="preserve">o ir pažeidimų prevencijos priemonės </w:t>
      </w:r>
    </w:p>
    <w:p w:rsidR="00221D6A" w:rsidRDefault="00BA3780">
      <w:pPr>
        <w:pStyle w:val="Text1"/>
        <w:pBdr>
          <w:top w:val="single" w:sz="4" w:space="1" w:color="auto"/>
          <w:left w:val="single" w:sz="4" w:space="4" w:color="auto"/>
          <w:bottom w:val="single" w:sz="4" w:space="1" w:color="auto"/>
          <w:right w:val="single" w:sz="4" w:space="4" w:color="auto"/>
        </w:pBdr>
        <w:rPr>
          <w:noProof/>
          <w:szCs w:val="24"/>
        </w:rPr>
      </w:pPr>
      <w:r>
        <w:rPr>
          <w:noProof/>
        </w:rPr>
        <w:t>Be Finansinio reglamento taikymo, daugiau jokių konkrečių priemonių.</w:t>
      </w:r>
    </w:p>
    <w:p w:rsidR="00221D6A" w:rsidRDefault="00BA3780">
      <w:pPr>
        <w:pStyle w:val="ManualHeading1"/>
        <w:rPr>
          <w:bCs/>
          <w:noProof/>
          <w:szCs w:val="24"/>
        </w:rPr>
      </w:pPr>
      <w:r>
        <w:rPr>
          <w:noProof/>
        </w:rPr>
        <w:t>3.</w:t>
      </w:r>
      <w:r>
        <w:rPr>
          <w:noProof/>
        </w:rPr>
        <w:tab/>
        <w:t xml:space="preserve">NUMATOMAS PASIŪLYMO (INICIATYVOS) FINANSINIS POVEIKIS </w:t>
      </w:r>
    </w:p>
    <w:p w:rsidR="00221D6A" w:rsidRDefault="00BA3780">
      <w:pPr>
        <w:pStyle w:val="ManualHeading2"/>
        <w:rPr>
          <w:noProof/>
        </w:rPr>
      </w:pPr>
      <w:r>
        <w:rPr>
          <w:noProof/>
        </w:rPr>
        <w:t>3.1.</w:t>
      </w:r>
      <w:r>
        <w:rPr>
          <w:noProof/>
        </w:rPr>
        <w:tab/>
        <w:t>Atitinkama (-os) daugiametės finansinės programos išlaidų kategorija (-os) ir biudžeto</w:t>
      </w:r>
      <w:r>
        <w:rPr>
          <w:noProof/>
        </w:rPr>
        <w:t xml:space="preserve"> išlaidų eilutė (-ės) </w:t>
      </w:r>
    </w:p>
    <w:p w:rsidR="00221D6A" w:rsidRDefault="00BA3780">
      <w:pPr>
        <w:pStyle w:val="ListBullet1"/>
        <w:rPr>
          <w:noProof/>
        </w:rPr>
      </w:pPr>
      <w:r>
        <w:rPr>
          <w:noProof/>
        </w:rPr>
        <w:t xml:space="preserve">Dabartinės biudžeto eilutės </w:t>
      </w:r>
    </w:p>
    <w:p w:rsidR="00221D6A" w:rsidRDefault="00BA3780">
      <w:pPr>
        <w:pStyle w:val="Text1"/>
        <w:rPr>
          <w:noProof/>
        </w:rPr>
      </w:pPr>
      <w:r>
        <w:rPr>
          <w:noProof/>
        </w:rPr>
        <w:t xml:space="preserve">Daugiametės finansinės programos išlaidų kategorijas ir biudžeto eilutes </w:t>
      </w:r>
      <w:r>
        <w:rPr>
          <w:noProof/>
          <w:u w:val="single"/>
        </w:rPr>
        <w:t>nurodyti eilės tvarka</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221D6A">
        <w:tc>
          <w:tcPr>
            <w:tcW w:w="1080" w:type="dxa"/>
            <w:vMerge w:val="restart"/>
            <w:vAlign w:val="center"/>
          </w:tcPr>
          <w:p w:rsidR="00221D6A" w:rsidRDefault="00BA3780">
            <w:pPr>
              <w:spacing w:before="60" w:after="60"/>
              <w:jc w:val="center"/>
              <w:rPr>
                <w:noProof/>
                <w:sz w:val="22"/>
              </w:rPr>
            </w:pPr>
            <w:r>
              <w:rPr>
                <w:noProof/>
                <w:sz w:val="18"/>
              </w:rPr>
              <w:t>Daugiametės finansinės programos išlaidų kategorija</w:t>
            </w:r>
          </w:p>
        </w:tc>
        <w:tc>
          <w:tcPr>
            <w:tcW w:w="3960" w:type="dxa"/>
            <w:vAlign w:val="center"/>
          </w:tcPr>
          <w:p w:rsidR="00221D6A" w:rsidRDefault="00BA3780">
            <w:pPr>
              <w:spacing w:before="60" w:after="60"/>
              <w:jc w:val="center"/>
              <w:rPr>
                <w:noProof/>
                <w:sz w:val="22"/>
              </w:rPr>
            </w:pPr>
            <w:r>
              <w:rPr>
                <w:noProof/>
                <w:sz w:val="20"/>
              </w:rPr>
              <w:t>Biudžeto eilutė</w:t>
            </w:r>
          </w:p>
        </w:tc>
        <w:tc>
          <w:tcPr>
            <w:tcW w:w="1080" w:type="dxa"/>
            <w:vAlign w:val="center"/>
          </w:tcPr>
          <w:p w:rsidR="00221D6A" w:rsidRDefault="00BA3780">
            <w:pPr>
              <w:spacing w:before="60" w:after="60"/>
              <w:jc w:val="center"/>
              <w:rPr>
                <w:noProof/>
                <w:sz w:val="22"/>
              </w:rPr>
            </w:pPr>
            <w:r>
              <w:rPr>
                <w:noProof/>
                <w:sz w:val="18"/>
              </w:rPr>
              <w:t>Išlaidų</w:t>
            </w:r>
            <w:r>
              <w:rPr>
                <w:noProof/>
                <w:sz w:val="22"/>
              </w:rPr>
              <w:br/>
            </w:r>
            <w:r>
              <w:rPr>
                <w:noProof/>
                <w:sz w:val="18"/>
              </w:rPr>
              <w:t>rūšis</w:t>
            </w:r>
          </w:p>
        </w:tc>
        <w:tc>
          <w:tcPr>
            <w:tcW w:w="4440" w:type="dxa"/>
            <w:gridSpan w:val="4"/>
            <w:vAlign w:val="center"/>
          </w:tcPr>
          <w:p w:rsidR="00221D6A" w:rsidRDefault="00BA3780">
            <w:pPr>
              <w:spacing w:before="60" w:after="60"/>
              <w:jc w:val="center"/>
              <w:rPr>
                <w:noProof/>
                <w:sz w:val="22"/>
              </w:rPr>
            </w:pPr>
            <w:r>
              <w:rPr>
                <w:noProof/>
                <w:sz w:val="20"/>
              </w:rPr>
              <w:t xml:space="preserve">Įnašas </w:t>
            </w:r>
          </w:p>
        </w:tc>
      </w:tr>
      <w:tr w:rsidR="00221D6A">
        <w:tc>
          <w:tcPr>
            <w:tcW w:w="1080" w:type="dxa"/>
            <w:vMerge/>
            <w:vAlign w:val="center"/>
          </w:tcPr>
          <w:p w:rsidR="00221D6A" w:rsidRDefault="00221D6A">
            <w:pPr>
              <w:jc w:val="center"/>
              <w:rPr>
                <w:noProof/>
                <w:sz w:val="22"/>
              </w:rPr>
            </w:pPr>
          </w:p>
        </w:tc>
        <w:tc>
          <w:tcPr>
            <w:tcW w:w="3960" w:type="dxa"/>
            <w:vAlign w:val="center"/>
          </w:tcPr>
          <w:p w:rsidR="00221D6A" w:rsidRDefault="00BA3780">
            <w:pPr>
              <w:rPr>
                <w:noProof/>
                <w:sz w:val="22"/>
              </w:rPr>
            </w:pPr>
            <w:r>
              <w:rPr>
                <w:noProof/>
                <w:sz w:val="20"/>
              </w:rPr>
              <w:t>Numeris</w:t>
            </w:r>
            <w:r>
              <w:rPr>
                <w:noProof/>
                <w:sz w:val="22"/>
              </w:rPr>
              <w:br/>
            </w:r>
            <w:r>
              <w:rPr>
                <w:noProof/>
                <w:sz w:val="20"/>
              </w:rPr>
              <w:t>[Išlaidų</w:t>
            </w:r>
            <w:r>
              <w:rPr>
                <w:noProof/>
                <w:sz w:val="20"/>
              </w:rPr>
              <w:t xml:space="preserve"> kategorija………………….……………]</w:t>
            </w:r>
          </w:p>
        </w:tc>
        <w:tc>
          <w:tcPr>
            <w:tcW w:w="1080" w:type="dxa"/>
            <w:vAlign w:val="center"/>
          </w:tcPr>
          <w:p w:rsidR="00221D6A" w:rsidRDefault="00BA3780">
            <w:pPr>
              <w:jc w:val="center"/>
              <w:rPr>
                <w:noProof/>
                <w:sz w:val="22"/>
              </w:rPr>
            </w:pPr>
            <w:r>
              <w:rPr>
                <w:noProof/>
                <w:sz w:val="18"/>
              </w:rPr>
              <w:t>DA / NDA</w:t>
            </w:r>
            <w:r>
              <w:rPr>
                <w:rStyle w:val="FootnoteReference"/>
                <w:noProof/>
                <w:sz w:val="18"/>
              </w:rPr>
              <w:footnoteReference w:id="25"/>
            </w:r>
          </w:p>
        </w:tc>
        <w:tc>
          <w:tcPr>
            <w:tcW w:w="956" w:type="dxa"/>
            <w:vAlign w:val="center"/>
          </w:tcPr>
          <w:p w:rsidR="00221D6A" w:rsidRDefault="00BA3780">
            <w:pPr>
              <w:jc w:val="center"/>
              <w:rPr>
                <w:noProof/>
                <w:sz w:val="22"/>
              </w:rPr>
            </w:pPr>
            <w:r>
              <w:rPr>
                <w:noProof/>
                <w:sz w:val="18"/>
              </w:rPr>
              <w:t>ELPA šalių</w:t>
            </w:r>
            <w:r>
              <w:rPr>
                <w:rStyle w:val="FootnoteReference"/>
                <w:noProof/>
                <w:sz w:val="18"/>
              </w:rPr>
              <w:footnoteReference w:id="26"/>
            </w:r>
          </w:p>
          <w:p w:rsidR="00221D6A" w:rsidRDefault="00221D6A">
            <w:pPr>
              <w:spacing w:before="0" w:after="0"/>
              <w:jc w:val="center"/>
              <w:rPr>
                <w:b/>
                <w:noProof/>
                <w:sz w:val="18"/>
              </w:rPr>
            </w:pPr>
          </w:p>
        </w:tc>
        <w:tc>
          <w:tcPr>
            <w:tcW w:w="1080" w:type="dxa"/>
            <w:vAlign w:val="center"/>
          </w:tcPr>
          <w:p w:rsidR="00221D6A" w:rsidRDefault="00BA3780">
            <w:pPr>
              <w:jc w:val="center"/>
              <w:rPr>
                <w:noProof/>
                <w:sz w:val="22"/>
              </w:rPr>
            </w:pPr>
            <w:r>
              <w:rPr>
                <w:noProof/>
                <w:sz w:val="18"/>
              </w:rPr>
              <w:t>šalių kandidačių</w:t>
            </w:r>
            <w:r>
              <w:rPr>
                <w:rStyle w:val="FootnoteReference"/>
                <w:noProof/>
                <w:sz w:val="18"/>
              </w:rPr>
              <w:footnoteReference w:id="27"/>
            </w:r>
          </w:p>
          <w:p w:rsidR="00221D6A" w:rsidRDefault="00221D6A">
            <w:pPr>
              <w:spacing w:before="0" w:after="0"/>
              <w:jc w:val="center"/>
              <w:rPr>
                <w:noProof/>
                <w:sz w:val="18"/>
              </w:rPr>
            </w:pPr>
          </w:p>
        </w:tc>
        <w:tc>
          <w:tcPr>
            <w:tcW w:w="956" w:type="dxa"/>
            <w:vAlign w:val="center"/>
          </w:tcPr>
          <w:p w:rsidR="00221D6A" w:rsidRDefault="00BA3780">
            <w:pPr>
              <w:jc w:val="center"/>
              <w:rPr>
                <w:noProof/>
                <w:sz w:val="18"/>
              </w:rPr>
            </w:pPr>
            <w:r>
              <w:rPr>
                <w:noProof/>
                <w:sz w:val="18"/>
              </w:rPr>
              <w:t>trečiųjų šalių</w:t>
            </w:r>
          </w:p>
        </w:tc>
        <w:tc>
          <w:tcPr>
            <w:tcW w:w="1448" w:type="dxa"/>
            <w:vAlign w:val="center"/>
          </w:tcPr>
          <w:p w:rsidR="00221D6A" w:rsidRDefault="00BA3780">
            <w:pPr>
              <w:jc w:val="center"/>
              <w:rPr>
                <w:noProof/>
                <w:sz w:val="22"/>
              </w:rPr>
            </w:pPr>
            <w:r>
              <w:rPr>
                <w:noProof/>
                <w:sz w:val="16"/>
              </w:rPr>
              <w:t xml:space="preserve">pagal Finansinio reglamento 21 straipsnio 2 dalies b punktą </w:t>
            </w:r>
          </w:p>
        </w:tc>
      </w:tr>
      <w:tr w:rsidR="00221D6A">
        <w:tc>
          <w:tcPr>
            <w:tcW w:w="1080" w:type="dxa"/>
            <w:vAlign w:val="center"/>
          </w:tcPr>
          <w:p w:rsidR="00221D6A" w:rsidRDefault="00BA3780">
            <w:pPr>
              <w:jc w:val="center"/>
              <w:rPr>
                <w:noProof/>
                <w:sz w:val="22"/>
              </w:rPr>
            </w:pPr>
            <w:r>
              <w:rPr>
                <w:noProof/>
                <w:sz w:val="22"/>
              </w:rPr>
              <w:t>1a. Konkurencingumas augimui ir darbo vietų kūrimui skatinti</w:t>
            </w:r>
          </w:p>
        </w:tc>
        <w:tc>
          <w:tcPr>
            <w:tcW w:w="3960" w:type="dxa"/>
            <w:vAlign w:val="center"/>
          </w:tcPr>
          <w:p w:rsidR="00221D6A" w:rsidRDefault="00BA3780">
            <w:pPr>
              <w:rPr>
                <w:noProof/>
                <w:sz w:val="20"/>
              </w:rPr>
            </w:pPr>
            <w:r>
              <w:rPr>
                <w:noProof/>
                <w:sz w:val="20"/>
              </w:rPr>
              <w:t>32 04 03 01</w:t>
            </w:r>
          </w:p>
          <w:p w:rsidR="00221D6A" w:rsidRDefault="00BA3780">
            <w:pPr>
              <w:rPr>
                <w:noProof/>
                <w:sz w:val="20"/>
              </w:rPr>
            </w:pPr>
            <w:r>
              <w:rPr>
                <w:noProof/>
                <w:sz w:val="20"/>
              </w:rPr>
              <w:t xml:space="preserve">„Horizontas 2020“. Su energetika </w:t>
            </w:r>
            <w:r>
              <w:rPr>
                <w:noProof/>
                <w:sz w:val="20"/>
              </w:rPr>
              <w:t>susiję moksliniai tyrimai ir inovacijos. Visuomenės uždaviniai. Perėjimo prie patikimos, tvarios ir konkurencingos energijos sistemos užtikrinimas</w:t>
            </w:r>
          </w:p>
        </w:tc>
        <w:tc>
          <w:tcPr>
            <w:tcW w:w="1080" w:type="dxa"/>
            <w:vAlign w:val="center"/>
          </w:tcPr>
          <w:p w:rsidR="00221D6A" w:rsidRDefault="00BA3780">
            <w:pPr>
              <w:jc w:val="center"/>
              <w:rPr>
                <w:noProof/>
                <w:sz w:val="22"/>
              </w:rPr>
            </w:pPr>
            <w:r>
              <w:rPr>
                <w:noProof/>
                <w:sz w:val="22"/>
              </w:rPr>
              <w:t>DA</w:t>
            </w:r>
          </w:p>
        </w:tc>
        <w:tc>
          <w:tcPr>
            <w:tcW w:w="956" w:type="dxa"/>
            <w:vAlign w:val="center"/>
          </w:tcPr>
          <w:p w:rsidR="00221D6A" w:rsidRDefault="00BA3780">
            <w:pPr>
              <w:jc w:val="center"/>
              <w:rPr>
                <w:noProof/>
                <w:sz w:val="22"/>
              </w:rPr>
            </w:pPr>
            <w:r>
              <w:rPr>
                <w:noProof/>
                <w:sz w:val="22"/>
              </w:rPr>
              <w:t>TAIP</w:t>
            </w:r>
          </w:p>
        </w:tc>
        <w:tc>
          <w:tcPr>
            <w:tcW w:w="1080" w:type="dxa"/>
            <w:vAlign w:val="center"/>
          </w:tcPr>
          <w:p w:rsidR="00221D6A" w:rsidRDefault="00BA3780">
            <w:pPr>
              <w:jc w:val="center"/>
              <w:rPr>
                <w:noProof/>
                <w:sz w:val="22"/>
              </w:rPr>
            </w:pPr>
            <w:r>
              <w:rPr>
                <w:noProof/>
                <w:sz w:val="22"/>
              </w:rPr>
              <w:t>NE</w:t>
            </w:r>
          </w:p>
        </w:tc>
        <w:tc>
          <w:tcPr>
            <w:tcW w:w="956" w:type="dxa"/>
            <w:vAlign w:val="center"/>
          </w:tcPr>
          <w:p w:rsidR="00221D6A" w:rsidRDefault="00BA3780">
            <w:pPr>
              <w:jc w:val="center"/>
              <w:rPr>
                <w:noProof/>
                <w:sz w:val="22"/>
              </w:rPr>
            </w:pPr>
            <w:r>
              <w:rPr>
                <w:noProof/>
                <w:sz w:val="22"/>
              </w:rPr>
              <w:t>TAIP</w:t>
            </w:r>
          </w:p>
        </w:tc>
        <w:tc>
          <w:tcPr>
            <w:tcW w:w="1448" w:type="dxa"/>
            <w:vAlign w:val="center"/>
          </w:tcPr>
          <w:p w:rsidR="00221D6A" w:rsidRDefault="00BA3780">
            <w:pPr>
              <w:jc w:val="center"/>
              <w:rPr>
                <w:noProof/>
                <w:sz w:val="22"/>
              </w:rPr>
            </w:pPr>
            <w:r>
              <w:rPr>
                <w:noProof/>
                <w:sz w:val="22"/>
              </w:rPr>
              <w:t>NE</w:t>
            </w:r>
          </w:p>
        </w:tc>
      </w:tr>
      <w:tr w:rsidR="00221D6A">
        <w:tc>
          <w:tcPr>
            <w:tcW w:w="1080" w:type="dxa"/>
            <w:vAlign w:val="center"/>
          </w:tcPr>
          <w:p w:rsidR="00221D6A" w:rsidRDefault="00BA3780">
            <w:pPr>
              <w:jc w:val="center"/>
              <w:rPr>
                <w:noProof/>
                <w:sz w:val="22"/>
              </w:rPr>
            </w:pPr>
            <w:r>
              <w:rPr>
                <w:noProof/>
                <w:sz w:val="22"/>
              </w:rPr>
              <w:t>5. Administravimas</w:t>
            </w:r>
          </w:p>
        </w:tc>
        <w:tc>
          <w:tcPr>
            <w:tcW w:w="3960" w:type="dxa"/>
            <w:vAlign w:val="center"/>
          </w:tcPr>
          <w:p w:rsidR="00221D6A" w:rsidRDefault="00BA3780">
            <w:pPr>
              <w:rPr>
                <w:noProof/>
                <w:sz w:val="20"/>
              </w:rPr>
            </w:pPr>
            <w:r>
              <w:rPr>
                <w:noProof/>
                <w:sz w:val="20"/>
              </w:rPr>
              <w:t>32 01 01</w:t>
            </w:r>
          </w:p>
          <w:p w:rsidR="00221D6A" w:rsidRDefault="00BA3780">
            <w:pPr>
              <w:spacing w:after="60"/>
              <w:rPr>
                <w:noProof/>
                <w:sz w:val="22"/>
              </w:rPr>
            </w:pPr>
            <w:r>
              <w:rPr>
                <w:noProof/>
                <w:sz w:val="20"/>
              </w:rPr>
              <w:t xml:space="preserve">Išlaidos energetikos politikos srities pareigūnams ir </w:t>
            </w:r>
            <w:r>
              <w:rPr>
                <w:noProof/>
                <w:sz w:val="20"/>
              </w:rPr>
              <w:t>laikiniesiems darbuotojams</w:t>
            </w:r>
          </w:p>
        </w:tc>
        <w:tc>
          <w:tcPr>
            <w:tcW w:w="1080" w:type="dxa"/>
            <w:vAlign w:val="center"/>
          </w:tcPr>
          <w:p w:rsidR="00221D6A" w:rsidRDefault="00BA3780">
            <w:pPr>
              <w:jc w:val="center"/>
              <w:rPr>
                <w:noProof/>
                <w:color w:val="0000FF"/>
                <w:sz w:val="22"/>
              </w:rPr>
            </w:pPr>
            <w:r>
              <w:rPr>
                <w:noProof/>
                <w:sz w:val="22"/>
              </w:rPr>
              <w:t>NDA</w:t>
            </w:r>
          </w:p>
        </w:tc>
        <w:tc>
          <w:tcPr>
            <w:tcW w:w="956" w:type="dxa"/>
            <w:vAlign w:val="center"/>
          </w:tcPr>
          <w:p w:rsidR="00221D6A" w:rsidRDefault="00BA3780">
            <w:pPr>
              <w:jc w:val="center"/>
              <w:rPr>
                <w:noProof/>
                <w:sz w:val="22"/>
              </w:rPr>
            </w:pPr>
            <w:r>
              <w:rPr>
                <w:noProof/>
                <w:sz w:val="22"/>
              </w:rPr>
              <w:t>NE</w:t>
            </w:r>
          </w:p>
        </w:tc>
        <w:tc>
          <w:tcPr>
            <w:tcW w:w="1080" w:type="dxa"/>
            <w:vAlign w:val="center"/>
          </w:tcPr>
          <w:p w:rsidR="00221D6A" w:rsidRDefault="00BA3780">
            <w:pPr>
              <w:jc w:val="center"/>
              <w:rPr>
                <w:noProof/>
                <w:sz w:val="22"/>
              </w:rPr>
            </w:pPr>
            <w:r>
              <w:rPr>
                <w:noProof/>
                <w:sz w:val="22"/>
              </w:rPr>
              <w:t>NE</w:t>
            </w:r>
          </w:p>
        </w:tc>
        <w:tc>
          <w:tcPr>
            <w:tcW w:w="956" w:type="dxa"/>
            <w:vAlign w:val="center"/>
          </w:tcPr>
          <w:p w:rsidR="00221D6A" w:rsidRDefault="00BA3780">
            <w:pPr>
              <w:jc w:val="center"/>
              <w:rPr>
                <w:noProof/>
                <w:sz w:val="22"/>
              </w:rPr>
            </w:pPr>
            <w:r>
              <w:rPr>
                <w:noProof/>
                <w:sz w:val="22"/>
              </w:rPr>
              <w:t>NE</w:t>
            </w:r>
          </w:p>
        </w:tc>
        <w:tc>
          <w:tcPr>
            <w:tcW w:w="1448" w:type="dxa"/>
            <w:vAlign w:val="center"/>
          </w:tcPr>
          <w:p w:rsidR="00221D6A" w:rsidRDefault="00BA3780">
            <w:pPr>
              <w:jc w:val="center"/>
              <w:rPr>
                <w:noProof/>
                <w:sz w:val="22"/>
              </w:rPr>
            </w:pPr>
            <w:r>
              <w:rPr>
                <w:noProof/>
                <w:sz w:val="22"/>
              </w:rPr>
              <w:t>NE</w:t>
            </w:r>
          </w:p>
        </w:tc>
      </w:tr>
      <w:tr w:rsidR="00221D6A">
        <w:tc>
          <w:tcPr>
            <w:tcW w:w="1080" w:type="dxa"/>
            <w:vAlign w:val="center"/>
          </w:tcPr>
          <w:p w:rsidR="00221D6A" w:rsidRDefault="00BA3780">
            <w:pPr>
              <w:jc w:val="center"/>
              <w:rPr>
                <w:noProof/>
                <w:sz w:val="22"/>
              </w:rPr>
            </w:pPr>
            <w:r>
              <w:rPr>
                <w:noProof/>
                <w:sz w:val="22"/>
              </w:rPr>
              <w:t>5. Administravimas</w:t>
            </w:r>
          </w:p>
        </w:tc>
        <w:tc>
          <w:tcPr>
            <w:tcW w:w="3960" w:type="dxa"/>
            <w:vAlign w:val="center"/>
          </w:tcPr>
          <w:p w:rsidR="00221D6A" w:rsidRDefault="00BA3780">
            <w:pPr>
              <w:rPr>
                <w:noProof/>
                <w:sz w:val="20"/>
              </w:rPr>
            </w:pPr>
            <w:r>
              <w:rPr>
                <w:noProof/>
                <w:sz w:val="20"/>
              </w:rPr>
              <w:t>32 01 02</w:t>
            </w:r>
          </w:p>
          <w:p w:rsidR="00221D6A" w:rsidRDefault="00BA3780">
            <w:pPr>
              <w:rPr>
                <w:noProof/>
                <w:sz w:val="20"/>
              </w:rPr>
            </w:pPr>
            <w:r>
              <w:rPr>
                <w:noProof/>
                <w:sz w:val="20"/>
              </w:rPr>
              <w:t>Išorės personalas ir kitos energetikos politikos srities valdymo išlaidos</w:t>
            </w:r>
          </w:p>
        </w:tc>
        <w:tc>
          <w:tcPr>
            <w:tcW w:w="1080" w:type="dxa"/>
            <w:vAlign w:val="center"/>
          </w:tcPr>
          <w:p w:rsidR="00221D6A" w:rsidRDefault="00BA3780">
            <w:pPr>
              <w:jc w:val="center"/>
              <w:rPr>
                <w:noProof/>
                <w:color w:val="0000FF"/>
                <w:sz w:val="22"/>
              </w:rPr>
            </w:pPr>
            <w:r>
              <w:rPr>
                <w:noProof/>
                <w:sz w:val="22"/>
              </w:rPr>
              <w:t>NDA</w:t>
            </w:r>
          </w:p>
        </w:tc>
        <w:tc>
          <w:tcPr>
            <w:tcW w:w="956" w:type="dxa"/>
            <w:vAlign w:val="center"/>
          </w:tcPr>
          <w:p w:rsidR="00221D6A" w:rsidRDefault="00BA3780">
            <w:pPr>
              <w:jc w:val="center"/>
              <w:rPr>
                <w:noProof/>
                <w:sz w:val="22"/>
              </w:rPr>
            </w:pPr>
            <w:r>
              <w:rPr>
                <w:noProof/>
                <w:sz w:val="22"/>
              </w:rPr>
              <w:t>NE</w:t>
            </w:r>
          </w:p>
        </w:tc>
        <w:tc>
          <w:tcPr>
            <w:tcW w:w="1080" w:type="dxa"/>
            <w:vAlign w:val="center"/>
          </w:tcPr>
          <w:p w:rsidR="00221D6A" w:rsidRDefault="00BA3780">
            <w:pPr>
              <w:jc w:val="center"/>
              <w:rPr>
                <w:noProof/>
                <w:sz w:val="22"/>
              </w:rPr>
            </w:pPr>
            <w:r>
              <w:rPr>
                <w:noProof/>
                <w:sz w:val="22"/>
              </w:rPr>
              <w:t>NE</w:t>
            </w:r>
          </w:p>
        </w:tc>
        <w:tc>
          <w:tcPr>
            <w:tcW w:w="956" w:type="dxa"/>
            <w:vAlign w:val="center"/>
          </w:tcPr>
          <w:p w:rsidR="00221D6A" w:rsidRDefault="00BA3780">
            <w:pPr>
              <w:jc w:val="center"/>
              <w:rPr>
                <w:noProof/>
                <w:sz w:val="22"/>
              </w:rPr>
            </w:pPr>
            <w:r>
              <w:rPr>
                <w:noProof/>
                <w:sz w:val="22"/>
              </w:rPr>
              <w:t>NE</w:t>
            </w:r>
          </w:p>
        </w:tc>
        <w:tc>
          <w:tcPr>
            <w:tcW w:w="1448" w:type="dxa"/>
            <w:vAlign w:val="center"/>
          </w:tcPr>
          <w:p w:rsidR="00221D6A" w:rsidRDefault="00BA3780">
            <w:pPr>
              <w:jc w:val="center"/>
              <w:rPr>
                <w:noProof/>
                <w:sz w:val="22"/>
              </w:rPr>
            </w:pPr>
            <w:r>
              <w:rPr>
                <w:noProof/>
                <w:sz w:val="22"/>
              </w:rPr>
              <w:t>NE</w:t>
            </w:r>
          </w:p>
        </w:tc>
      </w:tr>
    </w:tbl>
    <w:p w:rsidR="00221D6A" w:rsidRDefault="00BA3780">
      <w:pPr>
        <w:pStyle w:val="ListBullet1"/>
        <w:rPr>
          <w:noProof/>
        </w:rPr>
      </w:pPr>
      <w:r>
        <w:rPr>
          <w:noProof/>
        </w:rPr>
        <w:t xml:space="preserve">Prašomos sukurti naujos biudžeto eilutės </w:t>
      </w:r>
    </w:p>
    <w:p w:rsidR="00221D6A" w:rsidRDefault="00BA3780">
      <w:pPr>
        <w:pStyle w:val="Text1"/>
        <w:rPr>
          <w:i/>
          <w:noProof/>
          <w:sz w:val="20"/>
        </w:rPr>
      </w:pPr>
      <w:r>
        <w:rPr>
          <w:i/>
          <w:noProof/>
        </w:rPr>
        <w:t xml:space="preserve">Daugiametės finansinės programos išlaidų kategorijas ir biudžeto eilutes </w:t>
      </w:r>
      <w:r>
        <w:rPr>
          <w:i/>
          <w:noProof/>
          <w:u w:val="single"/>
        </w:rPr>
        <w:t>nurodyti eilės tvarka</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221D6A">
        <w:tc>
          <w:tcPr>
            <w:tcW w:w="1080" w:type="dxa"/>
            <w:vMerge w:val="restart"/>
            <w:vAlign w:val="center"/>
          </w:tcPr>
          <w:p w:rsidR="00221D6A" w:rsidRDefault="00BA3780">
            <w:pPr>
              <w:spacing w:before="60" w:after="60"/>
              <w:jc w:val="center"/>
              <w:rPr>
                <w:noProof/>
                <w:sz w:val="18"/>
                <w:szCs w:val="18"/>
              </w:rPr>
            </w:pPr>
            <w:r>
              <w:rPr>
                <w:noProof/>
                <w:sz w:val="18"/>
              </w:rPr>
              <w:t>Daugiametės finansinės programos išlaidų kategorija</w:t>
            </w:r>
          </w:p>
        </w:tc>
        <w:tc>
          <w:tcPr>
            <w:tcW w:w="3960" w:type="dxa"/>
            <w:vAlign w:val="center"/>
          </w:tcPr>
          <w:p w:rsidR="00221D6A" w:rsidRDefault="00BA3780">
            <w:pPr>
              <w:spacing w:before="60" w:after="60"/>
              <w:jc w:val="center"/>
              <w:rPr>
                <w:noProof/>
                <w:sz w:val="22"/>
              </w:rPr>
            </w:pPr>
            <w:r>
              <w:rPr>
                <w:noProof/>
                <w:sz w:val="20"/>
              </w:rPr>
              <w:t>Biudžeto eilutė</w:t>
            </w:r>
          </w:p>
        </w:tc>
        <w:tc>
          <w:tcPr>
            <w:tcW w:w="1080" w:type="dxa"/>
            <w:vAlign w:val="center"/>
          </w:tcPr>
          <w:p w:rsidR="00221D6A" w:rsidRDefault="00BA3780">
            <w:pPr>
              <w:spacing w:before="60" w:after="60"/>
              <w:jc w:val="center"/>
              <w:rPr>
                <w:noProof/>
                <w:sz w:val="22"/>
              </w:rPr>
            </w:pPr>
            <w:r>
              <w:rPr>
                <w:noProof/>
                <w:sz w:val="18"/>
              </w:rPr>
              <w:t>Išlaidų</w:t>
            </w:r>
            <w:r>
              <w:rPr>
                <w:noProof/>
                <w:sz w:val="22"/>
              </w:rPr>
              <w:br/>
            </w:r>
            <w:r>
              <w:rPr>
                <w:noProof/>
                <w:sz w:val="18"/>
              </w:rPr>
              <w:t>rūšis</w:t>
            </w:r>
          </w:p>
        </w:tc>
        <w:tc>
          <w:tcPr>
            <w:tcW w:w="4440" w:type="dxa"/>
            <w:gridSpan w:val="4"/>
            <w:vAlign w:val="center"/>
          </w:tcPr>
          <w:p w:rsidR="00221D6A" w:rsidRDefault="00BA3780">
            <w:pPr>
              <w:spacing w:before="60" w:after="60"/>
              <w:jc w:val="center"/>
              <w:rPr>
                <w:noProof/>
                <w:sz w:val="22"/>
              </w:rPr>
            </w:pPr>
            <w:r>
              <w:rPr>
                <w:noProof/>
                <w:sz w:val="20"/>
              </w:rPr>
              <w:t xml:space="preserve">Įnašas </w:t>
            </w:r>
          </w:p>
        </w:tc>
      </w:tr>
      <w:tr w:rsidR="00221D6A">
        <w:tc>
          <w:tcPr>
            <w:tcW w:w="1080" w:type="dxa"/>
            <w:vMerge/>
            <w:vAlign w:val="center"/>
          </w:tcPr>
          <w:p w:rsidR="00221D6A" w:rsidRDefault="00221D6A">
            <w:pPr>
              <w:jc w:val="center"/>
              <w:rPr>
                <w:noProof/>
                <w:sz w:val="22"/>
              </w:rPr>
            </w:pPr>
          </w:p>
        </w:tc>
        <w:tc>
          <w:tcPr>
            <w:tcW w:w="3960" w:type="dxa"/>
            <w:vAlign w:val="center"/>
          </w:tcPr>
          <w:p w:rsidR="00221D6A" w:rsidRDefault="00BA3780">
            <w:pPr>
              <w:rPr>
                <w:noProof/>
                <w:sz w:val="22"/>
              </w:rPr>
            </w:pPr>
            <w:r>
              <w:rPr>
                <w:noProof/>
                <w:sz w:val="20"/>
              </w:rPr>
              <w:t>Numeris</w:t>
            </w:r>
            <w:r>
              <w:rPr>
                <w:noProof/>
                <w:sz w:val="22"/>
              </w:rPr>
              <w:br/>
            </w:r>
            <w:r>
              <w:rPr>
                <w:noProof/>
                <w:sz w:val="20"/>
              </w:rPr>
              <w:t>[Išlaidų kategorija………………………………]</w:t>
            </w:r>
          </w:p>
        </w:tc>
        <w:tc>
          <w:tcPr>
            <w:tcW w:w="1080" w:type="dxa"/>
            <w:vAlign w:val="center"/>
          </w:tcPr>
          <w:p w:rsidR="00221D6A" w:rsidRDefault="00BA3780">
            <w:pPr>
              <w:jc w:val="center"/>
              <w:rPr>
                <w:noProof/>
                <w:sz w:val="22"/>
              </w:rPr>
            </w:pPr>
            <w:r>
              <w:rPr>
                <w:noProof/>
                <w:sz w:val="18"/>
              </w:rPr>
              <w:t>DA / NDA</w:t>
            </w:r>
          </w:p>
        </w:tc>
        <w:tc>
          <w:tcPr>
            <w:tcW w:w="956" w:type="dxa"/>
            <w:vAlign w:val="center"/>
          </w:tcPr>
          <w:p w:rsidR="00221D6A" w:rsidRDefault="00BA3780">
            <w:pPr>
              <w:jc w:val="center"/>
              <w:rPr>
                <w:noProof/>
                <w:sz w:val="18"/>
              </w:rPr>
            </w:pPr>
            <w:r>
              <w:rPr>
                <w:noProof/>
                <w:sz w:val="18"/>
              </w:rPr>
              <w:t>ELPA šalių</w:t>
            </w:r>
          </w:p>
        </w:tc>
        <w:tc>
          <w:tcPr>
            <w:tcW w:w="1080" w:type="dxa"/>
            <w:vAlign w:val="center"/>
          </w:tcPr>
          <w:p w:rsidR="00221D6A" w:rsidRDefault="00BA3780">
            <w:pPr>
              <w:jc w:val="center"/>
              <w:rPr>
                <w:noProof/>
                <w:sz w:val="18"/>
              </w:rPr>
            </w:pPr>
            <w:r>
              <w:rPr>
                <w:noProof/>
                <w:sz w:val="18"/>
              </w:rPr>
              <w:t xml:space="preserve">šalių </w:t>
            </w:r>
            <w:r>
              <w:rPr>
                <w:noProof/>
                <w:sz w:val="18"/>
              </w:rPr>
              <w:t>kandidačių</w:t>
            </w:r>
          </w:p>
        </w:tc>
        <w:tc>
          <w:tcPr>
            <w:tcW w:w="956" w:type="dxa"/>
            <w:vAlign w:val="center"/>
          </w:tcPr>
          <w:p w:rsidR="00221D6A" w:rsidRDefault="00BA3780">
            <w:pPr>
              <w:jc w:val="center"/>
              <w:rPr>
                <w:noProof/>
                <w:sz w:val="18"/>
              </w:rPr>
            </w:pPr>
            <w:r>
              <w:rPr>
                <w:noProof/>
                <w:sz w:val="18"/>
              </w:rPr>
              <w:t>trečiųjų šalių</w:t>
            </w:r>
          </w:p>
        </w:tc>
        <w:tc>
          <w:tcPr>
            <w:tcW w:w="1448" w:type="dxa"/>
            <w:vAlign w:val="center"/>
          </w:tcPr>
          <w:p w:rsidR="00221D6A" w:rsidRDefault="00BA3780">
            <w:pPr>
              <w:jc w:val="center"/>
              <w:rPr>
                <w:noProof/>
                <w:sz w:val="22"/>
              </w:rPr>
            </w:pPr>
            <w:r>
              <w:rPr>
                <w:noProof/>
                <w:sz w:val="16"/>
              </w:rPr>
              <w:t xml:space="preserve">pagal Finansinio reglamento 21 straipsnio 2 dalies b punktą </w:t>
            </w:r>
          </w:p>
        </w:tc>
      </w:tr>
      <w:tr w:rsidR="00221D6A">
        <w:tc>
          <w:tcPr>
            <w:tcW w:w="1080" w:type="dxa"/>
            <w:vAlign w:val="center"/>
          </w:tcPr>
          <w:p w:rsidR="00221D6A" w:rsidRDefault="00221D6A">
            <w:pPr>
              <w:jc w:val="center"/>
              <w:rPr>
                <w:noProof/>
                <w:color w:val="0000FF"/>
                <w:sz w:val="22"/>
              </w:rPr>
            </w:pPr>
          </w:p>
        </w:tc>
        <w:tc>
          <w:tcPr>
            <w:tcW w:w="3960" w:type="dxa"/>
            <w:vAlign w:val="center"/>
          </w:tcPr>
          <w:p w:rsidR="00221D6A" w:rsidRDefault="00221D6A">
            <w:pPr>
              <w:spacing w:after="60"/>
              <w:rPr>
                <w:noProof/>
                <w:color w:val="0000FF"/>
                <w:sz w:val="22"/>
              </w:rPr>
            </w:pPr>
          </w:p>
        </w:tc>
        <w:tc>
          <w:tcPr>
            <w:tcW w:w="1080" w:type="dxa"/>
            <w:vAlign w:val="center"/>
          </w:tcPr>
          <w:p w:rsidR="00221D6A" w:rsidRDefault="00221D6A">
            <w:pPr>
              <w:jc w:val="center"/>
              <w:rPr>
                <w:noProof/>
                <w:color w:val="0000FF"/>
                <w:sz w:val="22"/>
              </w:rPr>
            </w:pPr>
          </w:p>
        </w:tc>
        <w:tc>
          <w:tcPr>
            <w:tcW w:w="956" w:type="dxa"/>
            <w:vAlign w:val="center"/>
          </w:tcPr>
          <w:p w:rsidR="00221D6A" w:rsidRDefault="00221D6A">
            <w:pPr>
              <w:jc w:val="center"/>
              <w:rPr>
                <w:noProof/>
                <w:sz w:val="22"/>
              </w:rPr>
            </w:pPr>
          </w:p>
        </w:tc>
        <w:tc>
          <w:tcPr>
            <w:tcW w:w="1080" w:type="dxa"/>
            <w:vAlign w:val="center"/>
          </w:tcPr>
          <w:p w:rsidR="00221D6A" w:rsidRDefault="00221D6A">
            <w:pPr>
              <w:jc w:val="center"/>
              <w:rPr>
                <w:noProof/>
                <w:color w:val="0000FF"/>
                <w:sz w:val="18"/>
              </w:rPr>
            </w:pPr>
          </w:p>
        </w:tc>
        <w:tc>
          <w:tcPr>
            <w:tcW w:w="956" w:type="dxa"/>
            <w:vAlign w:val="center"/>
          </w:tcPr>
          <w:p w:rsidR="00221D6A" w:rsidRDefault="00221D6A">
            <w:pPr>
              <w:jc w:val="center"/>
              <w:rPr>
                <w:noProof/>
                <w:color w:val="0000FF"/>
                <w:sz w:val="18"/>
              </w:rPr>
            </w:pPr>
          </w:p>
        </w:tc>
        <w:tc>
          <w:tcPr>
            <w:tcW w:w="1448" w:type="dxa"/>
            <w:vAlign w:val="center"/>
          </w:tcPr>
          <w:p w:rsidR="00221D6A" w:rsidRDefault="00221D6A">
            <w:pPr>
              <w:jc w:val="center"/>
              <w:rPr>
                <w:noProof/>
                <w:sz w:val="22"/>
              </w:rPr>
            </w:pPr>
          </w:p>
        </w:tc>
      </w:tr>
    </w:tbl>
    <w:p w:rsidR="00221D6A" w:rsidRDefault="00221D6A">
      <w:pPr>
        <w:rPr>
          <w:noProof/>
        </w:rPr>
        <w:sectPr w:rsidR="00221D6A">
          <w:pgSz w:w="11907" w:h="16840" w:code="1"/>
          <w:pgMar w:top="1134" w:right="1418" w:bottom="1134" w:left="1418" w:header="709" w:footer="709" w:gutter="0"/>
          <w:cols w:space="708"/>
          <w:docGrid w:linePitch="360"/>
        </w:sectPr>
      </w:pPr>
    </w:p>
    <w:p w:rsidR="00221D6A" w:rsidRDefault="00BA3780">
      <w:pPr>
        <w:pStyle w:val="ManualHeading2"/>
        <w:rPr>
          <w:bCs/>
          <w:noProof/>
          <w:szCs w:val="24"/>
        </w:rPr>
      </w:pPr>
      <w:r>
        <w:rPr>
          <w:noProof/>
        </w:rPr>
        <w:t>3.2.</w:t>
      </w:r>
      <w:r>
        <w:rPr>
          <w:noProof/>
        </w:rPr>
        <w:tab/>
        <w:t xml:space="preserve">Numatomas poveikis išlaidoms </w:t>
      </w:r>
    </w:p>
    <w:p w:rsidR="00221D6A" w:rsidRDefault="00BA3780">
      <w:pPr>
        <w:pStyle w:val="ManualHeading3"/>
        <w:rPr>
          <w:noProof/>
          <w:u w:val="single"/>
        </w:rPr>
      </w:pPr>
      <w:r>
        <w:rPr>
          <w:noProof/>
        </w:rPr>
        <w:t>3.2.1.</w:t>
      </w:r>
      <w:r>
        <w:rPr>
          <w:noProof/>
        </w:rPr>
        <w:tab/>
        <w:t xml:space="preserve">Numatomo poveikio išlaidoms santrauka </w:t>
      </w:r>
    </w:p>
    <w:p w:rsidR="00221D6A" w:rsidRDefault="00BA3780">
      <w:pPr>
        <w:jc w:val="right"/>
        <w:rPr>
          <w:noProof/>
          <w:sz w:val="20"/>
        </w:rPr>
      </w:pPr>
      <w:r>
        <w:rPr>
          <w:noProof/>
          <w:sz w:val="20"/>
        </w:rPr>
        <w:t>mln. EUR (tūkstantųjų tikslumu)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6"/>
        <w:gridCol w:w="1080"/>
        <w:gridCol w:w="7817"/>
      </w:tblGrid>
      <w:tr w:rsidR="00221D6A">
        <w:tc>
          <w:tcPr>
            <w:tcW w:w="4996" w:type="dxa"/>
            <w:shd w:val="thinDiagStripe" w:color="C0C0C0" w:fill="auto"/>
            <w:vAlign w:val="center"/>
          </w:tcPr>
          <w:p w:rsidR="00221D6A" w:rsidRDefault="00BA3780">
            <w:pPr>
              <w:spacing w:before="60" w:after="60"/>
              <w:jc w:val="center"/>
              <w:rPr>
                <w:b/>
                <w:noProof/>
                <w:sz w:val="22"/>
              </w:rPr>
            </w:pPr>
            <w:r>
              <w:rPr>
                <w:b/>
                <w:noProof/>
                <w:sz w:val="22"/>
              </w:rPr>
              <w:t xml:space="preserve">Daugiametės finansinės </w:t>
            </w:r>
            <w:r>
              <w:rPr>
                <w:b/>
                <w:noProof/>
                <w:sz w:val="22"/>
              </w:rPr>
              <w:t>programos išlaidų</w:t>
            </w:r>
            <w:r>
              <w:rPr>
                <w:noProof/>
                <w:sz w:val="22"/>
              </w:rPr>
              <w:br/>
            </w:r>
            <w:r>
              <w:rPr>
                <w:b/>
                <w:noProof/>
                <w:sz w:val="22"/>
              </w:rPr>
              <w:t xml:space="preserve">kategorija </w:t>
            </w:r>
          </w:p>
        </w:tc>
        <w:tc>
          <w:tcPr>
            <w:tcW w:w="1080" w:type="dxa"/>
            <w:vAlign w:val="center"/>
          </w:tcPr>
          <w:p w:rsidR="00221D6A" w:rsidRDefault="00BA3780">
            <w:pPr>
              <w:spacing w:before="60" w:after="60"/>
              <w:jc w:val="center"/>
              <w:rPr>
                <w:noProof/>
                <w:sz w:val="22"/>
              </w:rPr>
            </w:pPr>
            <w:r>
              <w:rPr>
                <w:noProof/>
                <w:sz w:val="22"/>
              </w:rPr>
              <w:t>Numeris</w:t>
            </w:r>
          </w:p>
        </w:tc>
        <w:tc>
          <w:tcPr>
            <w:tcW w:w="7817" w:type="dxa"/>
            <w:vAlign w:val="center"/>
          </w:tcPr>
          <w:p w:rsidR="00221D6A" w:rsidRDefault="00BA3780">
            <w:pPr>
              <w:spacing w:before="60" w:after="60"/>
              <w:rPr>
                <w:noProof/>
                <w:sz w:val="22"/>
              </w:rPr>
            </w:pPr>
            <w:r>
              <w:rPr>
                <w:noProof/>
              </w:rPr>
              <w:t>1a. Konkurencingumas augimui ir užimtumui skatinti</w:t>
            </w:r>
          </w:p>
        </w:tc>
      </w:tr>
    </w:tbl>
    <w:p w:rsidR="00221D6A" w:rsidRDefault="00221D6A">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rsidR="00221D6A">
        <w:tc>
          <w:tcPr>
            <w:tcW w:w="3960" w:type="dxa"/>
            <w:vAlign w:val="center"/>
          </w:tcPr>
          <w:p w:rsidR="00221D6A" w:rsidRDefault="00BA3780">
            <w:pPr>
              <w:jc w:val="center"/>
              <w:rPr>
                <w:noProof/>
                <w:sz w:val="22"/>
              </w:rPr>
            </w:pPr>
            <w:r>
              <w:rPr>
                <w:noProof/>
                <w:sz w:val="22"/>
              </w:rPr>
              <w:t>Energetikos generalinis direktoratas</w:t>
            </w:r>
          </w:p>
        </w:tc>
        <w:tc>
          <w:tcPr>
            <w:tcW w:w="1560" w:type="dxa"/>
            <w:gridSpan w:val="2"/>
          </w:tcPr>
          <w:p w:rsidR="00221D6A" w:rsidRDefault="00221D6A">
            <w:pPr>
              <w:rPr>
                <w:noProof/>
                <w:sz w:val="20"/>
              </w:rPr>
            </w:pPr>
          </w:p>
        </w:tc>
        <w:tc>
          <w:tcPr>
            <w:tcW w:w="534" w:type="dxa"/>
          </w:tcPr>
          <w:p w:rsidR="00221D6A" w:rsidRDefault="00221D6A">
            <w:pPr>
              <w:jc w:val="center"/>
              <w:rPr>
                <w:noProof/>
                <w:sz w:val="20"/>
              </w:rPr>
            </w:pPr>
          </w:p>
        </w:tc>
        <w:tc>
          <w:tcPr>
            <w:tcW w:w="868" w:type="dxa"/>
            <w:vAlign w:val="center"/>
          </w:tcPr>
          <w:p w:rsidR="00221D6A" w:rsidRDefault="00BA3780">
            <w:pPr>
              <w:jc w:val="center"/>
              <w:rPr>
                <w:noProof/>
                <w:sz w:val="20"/>
              </w:rPr>
            </w:pPr>
            <w:r>
              <w:rPr>
                <w:noProof/>
                <w:sz w:val="20"/>
              </w:rPr>
              <w:t>2016 m.</w:t>
            </w:r>
          </w:p>
        </w:tc>
        <w:tc>
          <w:tcPr>
            <w:tcW w:w="868" w:type="dxa"/>
            <w:vAlign w:val="center"/>
          </w:tcPr>
          <w:p w:rsidR="00221D6A" w:rsidRDefault="00BA3780">
            <w:pPr>
              <w:jc w:val="center"/>
              <w:rPr>
                <w:noProof/>
                <w:sz w:val="20"/>
              </w:rPr>
            </w:pPr>
            <w:r>
              <w:rPr>
                <w:noProof/>
                <w:sz w:val="20"/>
              </w:rPr>
              <w:t>2017 m.</w:t>
            </w:r>
          </w:p>
        </w:tc>
        <w:tc>
          <w:tcPr>
            <w:tcW w:w="868" w:type="dxa"/>
            <w:vAlign w:val="center"/>
          </w:tcPr>
          <w:p w:rsidR="00221D6A" w:rsidRDefault="00BA3780">
            <w:pPr>
              <w:jc w:val="center"/>
              <w:rPr>
                <w:noProof/>
                <w:sz w:val="20"/>
              </w:rPr>
            </w:pPr>
            <w:r>
              <w:rPr>
                <w:noProof/>
                <w:sz w:val="20"/>
              </w:rPr>
              <w:t>2018 m.</w:t>
            </w:r>
          </w:p>
        </w:tc>
        <w:tc>
          <w:tcPr>
            <w:tcW w:w="868" w:type="dxa"/>
            <w:vAlign w:val="center"/>
          </w:tcPr>
          <w:p w:rsidR="00221D6A" w:rsidRDefault="00BA3780">
            <w:pPr>
              <w:jc w:val="center"/>
              <w:rPr>
                <w:noProof/>
                <w:sz w:val="20"/>
              </w:rPr>
            </w:pPr>
            <w:r>
              <w:rPr>
                <w:noProof/>
                <w:sz w:val="20"/>
              </w:rPr>
              <w:t>2019 m.</w:t>
            </w:r>
          </w:p>
        </w:tc>
        <w:tc>
          <w:tcPr>
            <w:tcW w:w="868" w:type="dxa"/>
            <w:vAlign w:val="center"/>
          </w:tcPr>
          <w:p w:rsidR="00221D6A" w:rsidRDefault="00BA3780">
            <w:pPr>
              <w:jc w:val="center"/>
              <w:rPr>
                <w:b/>
                <w:noProof/>
                <w:sz w:val="18"/>
              </w:rPr>
            </w:pPr>
            <w:r>
              <w:rPr>
                <w:noProof/>
                <w:sz w:val="18"/>
              </w:rPr>
              <w:t>2020 m.</w:t>
            </w:r>
          </w:p>
        </w:tc>
        <w:tc>
          <w:tcPr>
            <w:tcW w:w="868" w:type="dxa"/>
            <w:vAlign w:val="center"/>
          </w:tcPr>
          <w:p w:rsidR="00221D6A" w:rsidRDefault="00221D6A">
            <w:pPr>
              <w:jc w:val="center"/>
              <w:rPr>
                <w:b/>
                <w:noProof/>
                <w:sz w:val="18"/>
              </w:rPr>
            </w:pPr>
          </w:p>
        </w:tc>
        <w:tc>
          <w:tcPr>
            <w:tcW w:w="868" w:type="dxa"/>
            <w:vAlign w:val="center"/>
          </w:tcPr>
          <w:p w:rsidR="00221D6A" w:rsidRDefault="00221D6A">
            <w:pPr>
              <w:jc w:val="center"/>
              <w:rPr>
                <w:b/>
                <w:noProof/>
                <w:sz w:val="18"/>
              </w:rPr>
            </w:pPr>
          </w:p>
        </w:tc>
        <w:tc>
          <w:tcPr>
            <w:tcW w:w="1777" w:type="dxa"/>
            <w:vAlign w:val="center"/>
          </w:tcPr>
          <w:p w:rsidR="00221D6A" w:rsidRDefault="00BA3780">
            <w:pPr>
              <w:jc w:val="center"/>
              <w:rPr>
                <w:b/>
                <w:noProof/>
                <w:sz w:val="20"/>
              </w:rPr>
            </w:pPr>
            <w:r>
              <w:rPr>
                <w:b/>
                <w:noProof/>
                <w:sz w:val="20"/>
              </w:rPr>
              <w:t>IŠ VISO</w:t>
            </w:r>
          </w:p>
        </w:tc>
      </w:tr>
      <w:tr w:rsidR="00221D6A">
        <w:trPr>
          <w:trHeight w:val="213"/>
        </w:trPr>
        <w:tc>
          <w:tcPr>
            <w:tcW w:w="6054" w:type="dxa"/>
            <w:gridSpan w:val="4"/>
            <w:vAlign w:val="center"/>
          </w:tcPr>
          <w:p w:rsidR="00221D6A" w:rsidRDefault="00BA3780">
            <w:pPr>
              <w:spacing w:before="20" w:after="20"/>
              <w:rPr>
                <w:noProof/>
                <w:sz w:val="21"/>
              </w:rPr>
            </w:pPr>
            <w:r>
              <w:rPr>
                <w:noProof/>
                <w:sz w:val="21"/>
              </w:rPr>
              <w:sym w:font="Wingdings" w:char="F09F"/>
            </w:r>
            <w:r>
              <w:rPr>
                <w:noProof/>
                <w:sz w:val="21"/>
              </w:rPr>
              <w:t>Veiklos asignavimai</w:t>
            </w:r>
          </w:p>
        </w:tc>
        <w:tc>
          <w:tcPr>
            <w:tcW w:w="868" w:type="dxa"/>
            <w:vAlign w:val="center"/>
          </w:tcPr>
          <w:p w:rsidR="00221D6A" w:rsidRDefault="00221D6A">
            <w:pPr>
              <w:rPr>
                <w:noProof/>
                <w:sz w:val="20"/>
              </w:rPr>
            </w:pPr>
          </w:p>
        </w:tc>
        <w:tc>
          <w:tcPr>
            <w:tcW w:w="868" w:type="dxa"/>
            <w:vAlign w:val="center"/>
          </w:tcPr>
          <w:p w:rsidR="00221D6A" w:rsidRDefault="00221D6A">
            <w:pPr>
              <w:rPr>
                <w:noProof/>
                <w:sz w:val="20"/>
              </w:rPr>
            </w:pPr>
          </w:p>
        </w:tc>
        <w:tc>
          <w:tcPr>
            <w:tcW w:w="868" w:type="dxa"/>
            <w:vAlign w:val="center"/>
          </w:tcPr>
          <w:p w:rsidR="00221D6A" w:rsidRDefault="00221D6A">
            <w:pPr>
              <w:rPr>
                <w:noProof/>
                <w:sz w:val="20"/>
              </w:rPr>
            </w:pPr>
          </w:p>
        </w:tc>
        <w:tc>
          <w:tcPr>
            <w:tcW w:w="868" w:type="dxa"/>
            <w:vAlign w:val="center"/>
          </w:tcPr>
          <w:p w:rsidR="00221D6A" w:rsidRDefault="00221D6A">
            <w:pPr>
              <w:rPr>
                <w:noProof/>
                <w:sz w:val="20"/>
              </w:rPr>
            </w:pPr>
          </w:p>
        </w:tc>
        <w:tc>
          <w:tcPr>
            <w:tcW w:w="868" w:type="dxa"/>
            <w:vAlign w:val="center"/>
          </w:tcPr>
          <w:p w:rsidR="00221D6A" w:rsidRDefault="00221D6A">
            <w:pPr>
              <w:rPr>
                <w:noProof/>
                <w:sz w:val="20"/>
              </w:rPr>
            </w:pPr>
          </w:p>
        </w:tc>
        <w:tc>
          <w:tcPr>
            <w:tcW w:w="868" w:type="dxa"/>
            <w:vAlign w:val="center"/>
          </w:tcPr>
          <w:p w:rsidR="00221D6A" w:rsidRDefault="00221D6A">
            <w:pPr>
              <w:rPr>
                <w:noProof/>
                <w:sz w:val="20"/>
              </w:rPr>
            </w:pPr>
          </w:p>
        </w:tc>
        <w:tc>
          <w:tcPr>
            <w:tcW w:w="868" w:type="dxa"/>
            <w:vAlign w:val="center"/>
          </w:tcPr>
          <w:p w:rsidR="00221D6A" w:rsidRDefault="00221D6A">
            <w:pPr>
              <w:rPr>
                <w:b/>
                <w:noProof/>
                <w:sz w:val="20"/>
              </w:rPr>
            </w:pPr>
          </w:p>
        </w:tc>
        <w:tc>
          <w:tcPr>
            <w:tcW w:w="1777" w:type="dxa"/>
            <w:vAlign w:val="center"/>
          </w:tcPr>
          <w:p w:rsidR="00221D6A" w:rsidRDefault="00221D6A">
            <w:pPr>
              <w:rPr>
                <w:b/>
                <w:noProof/>
                <w:sz w:val="20"/>
              </w:rPr>
            </w:pPr>
          </w:p>
        </w:tc>
      </w:tr>
      <w:tr w:rsidR="00221D6A">
        <w:trPr>
          <w:trHeight w:val="277"/>
        </w:trPr>
        <w:tc>
          <w:tcPr>
            <w:tcW w:w="3960" w:type="dxa"/>
            <w:vMerge w:val="restart"/>
            <w:vAlign w:val="center"/>
          </w:tcPr>
          <w:p w:rsidR="00221D6A" w:rsidRDefault="00221D6A">
            <w:pPr>
              <w:rPr>
                <w:noProof/>
                <w:sz w:val="20"/>
              </w:rPr>
            </w:pPr>
          </w:p>
        </w:tc>
        <w:tc>
          <w:tcPr>
            <w:tcW w:w="1440" w:type="dxa"/>
            <w:vAlign w:val="center"/>
          </w:tcPr>
          <w:p w:rsidR="00221D6A" w:rsidRDefault="00221D6A">
            <w:pPr>
              <w:spacing w:before="20" w:after="20"/>
              <w:rPr>
                <w:noProof/>
                <w:sz w:val="18"/>
              </w:rPr>
            </w:pPr>
          </w:p>
        </w:tc>
        <w:tc>
          <w:tcPr>
            <w:tcW w:w="654" w:type="dxa"/>
            <w:gridSpan w:val="2"/>
            <w:vAlign w:val="center"/>
          </w:tcPr>
          <w:p w:rsidR="00221D6A" w:rsidRDefault="00221D6A">
            <w:pPr>
              <w:spacing w:before="20" w:after="20"/>
              <w:jc w:val="center"/>
              <w:rPr>
                <w:noProof/>
                <w:sz w:val="14"/>
              </w:rPr>
            </w:pPr>
          </w:p>
        </w:tc>
        <w:tc>
          <w:tcPr>
            <w:tcW w:w="868" w:type="dxa"/>
            <w:vAlign w:val="center"/>
          </w:tcPr>
          <w:p w:rsidR="00221D6A" w:rsidRDefault="00221D6A">
            <w:pPr>
              <w:spacing w:before="20" w:after="20"/>
              <w:jc w:val="right"/>
              <w:rPr>
                <w:noProof/>
                <w:sz w:val="20"/>
              </w:rPr>
            </w:pPr>
          </w:p>
        </w:tc>
        <w:tc>
          <w:tcPr>
            <w:tcW w:w="868" w:type="dxa"/>
            <w:vAlign w:val="center"/>
          </w:tcPr>
          <w:p w:rsidR="00221D6A" w:rsidRDefault="00221D6A">
            <w:pPr>
              <w:spacing w:before="20" w:after="20"/>
              <w:jc w:val="right"/>
              <w:rPr>
                <w:noProof/>
                <w:sz w:val="20"/>
              </w:rPr>
            </w:pPr>
          </w:p>
        </w:tc>
        <w:tc>
          <w:tcPr>
            <w:tcW w:w="868" w:type="dxa"/>
            <w:vAlign w:val="center"/>
          </w:tcPr>
          <w:p w:rsidR="00221D6A" w:rsidRDefault="00221D6A">
            <w:pPr>
              <w:spacing w:before="20" w:after="20"/>
              <w:jc w:val="right"/>
              <w:rPr>
                <w:noProof/>
                <w:sz w:val="20"/>
              </w:rPr>
            </w:pPr>
          </w:p>
        </w:tc>
        <w:tc>
          <w:tcPr>
            <w:tcW w:w="868" w:type="dxa"/>
            <w:vAlign w:val="center"/>
          </w:tcPr>
          <w:p w:rsidR="00221D6A" w:rsidRDefault="00221D6A">
            <w:pPr>
              <w:spacing w:before="20" w:after="20"/>
              <w:jc w:val="right"/>
              <w:rPr>
                <w:noProof/>
                <w:sz w:val="20"/>
              </w:rPr>
            </w:pPr>
          </w:p>
        </w:tc>
        <w:tc>
          <w:tcPr>
            <w:tcW w:w="868" w:type="dxa"/>
            <w:vAlign w:val="center"/>
          </w:tcPr>
          <w:p w:rsidR="00221D6A" w:rsidRDefault="00221D6A">
            <w:pPr>
              <w:spacing w:before="20" w:after="20"/>
              <w:jc w:val="right"/>
              <w:rPr>
                <w:noProof/>
                <w:sz w:val="20"/>
              </w:rPr>
            </w:pPr>
          </w:p>
        </w:tc>
        <w:tc>
          <w:tcPr>
            <w:tcW w:w="868" w:type="dxa"/>
            <w:vAlign w:val="center"/>
          </w:tcPr>
          <w:p w:rsidR="00221D6A" w:rsidRDefault="00221D6A">
            <w:pPr>
              <w:spacing w:before="20" w:after="20"/>
              <w:jc w:val="right"/>
              <w:rPr>
                <w:noProof/>
                <w:sz w:val="20"/>
              </w:rPr>
            </w:pPr>
          </w:p>
        </w:tc>
        <w:tc>
          <w:tcPr>
            <w:tcW w:w="868" w:type="dxa"/>
            <w:vAlign w:val="center"/>
          </w:tcPr>
          <w:p w:rsidR="00221D6A" w:rsidRDefault="00221D6A">
            <w:pPr>
              <w:spacing w:before="20" w:after="20"/>
              <w:jc w:val="right"/>
              <w:rPr>
                <w:b/>
                <w:noProof/>
                <w:sz w:val="20"/>
              </w:rPr>
            </w:pPr>
          </w:p>
        </w:tc>
        <w:tc>
          <w:tcPr>
            <w:tcW w:w="1777" w:type="dxa"/>
            <w:vAlign w:val="center"/>
          </w:tcPr>
          <w:p w:rsidR="00221D6A" w:rsidRDefault="00221D6A">
            <w:pPr>
              <w:spacing w:before="20" w:after="20"/>
              <w:jc w:val="right"/>
              <w:rPr>
                <w:noProof/>
                <w:sz w:val="20"/>
              </w:rPr>
            </w:pPr>
          </w:p>
        </w:tc>
      </w:tr>
      <w:tr w:rsidR="00221D6A">
        <w:tc>
          <w:tcPr>
            <w:tcW w:w="3960" w:type="dxa"/>
            <w:vMerge/>
          </w:tcPr>
          <w:p w:rsidR="00221D6A" w:rsidRDefault="00221D6A">
            <w:pPr>
              <w:jc w:val="center"/>
              <w:rPr>
                <w:noProof/>
                <w:sz w:val="20"/>
              </w:rPr>
            </w:pPr>
          </w:p>
        </w:tc>
        <w:tc>
          <w:tcPr>
            <w:tcW w:w="1440" w:type="dxa"/>
            <w:vAlign w:val="center"/>
          </w:tcPr>
          <w:p w:rsidR="00221D6A" w:rsidRDefault="00221D6A">
            <w:pPr>
              <w:spacing w:before="20" w:after="20"/>
              <w:rPr>
                <w:noProof/>
                <w:sz w:val="18"/>
              </w:rPr>
            </w:pPr>
          </w:p>
        </w:tc>
        <w:tc>
          <w:tcPr>
            <w:tcW w:w="654" w:type="dxa"/>
            <w:gridSpan w:val="2"/>
            <w:vAlign w:val="center"/>
          </w:tcPr>
          <w:p w:rsidR="00221D6A" w:rsidRDefault="00221D6A">
            <w:pPr>
              <w:spacing w:before="20" w:after="20"/>
              <w:jc w:val="center"/>
              <w:rPr>
                <w:noProof/>
                <w:sz w:val="14"/>
              </w:rPr>
            </w:pPr>
          </w:p>
        </w:tc>
        <w:tc>
          <w:tcPr>
            <w:tcW w:w="868" w:type="dxa"/>
            <w:vAlign w:val="center"/>
          </w:tcPr>
          <w:p w:rsidR="00221D6A" w:rsidRDefault="00221D6A">
            <w:pPr>
              <w:spacing w:before="20" w:after="20"/>
              <w:jc w:val="right"/>
              <w:rPr>
                <w:noProof/>
                <w:sz w:val="20"/>
              </w:rPr>
            </w:pPr>
          </w:p>
        </w:tc>
        <w:tc>
          <w:tcPr>
            <w:tcW w:w="868" w:type="dxa"/>
            <w:vAlign w:val="center"/>
          </w:tcPr>
          <w:p w:rsidR="00221D6A" w:rsidRDefault="00221D6A">
            <w:pPr>
              <w:spacing w:before="20" w:after="20"/>
              <w:jc w:val="right"/>
              <w:rPr>
                <w:noProof/>
                <w:sz w:val="20"/>
              </w:rPr>
            </w:pPr>
          </w:p>
        </w:tc>
        <w:tc>
          <w:tcPr>
            <w:tcW w:w="868" w:type="dxa"/>
            <w:vAlign w:val="center"/>
          </w:tcPr>
          <w:p w:rsidR="00221D6A" w:rsidRDefault="00221D6A">
            <w:pPr>
              <w:spacing w:before="20" w:after="20"/>
              <w:jc w:val="right"/>
              <w:rPr>
                <w:noProof/>
                <w:sz w:val="20"/>
              </w:rPr>
            </w:pPr>
          </w:p>
        </w:tc>
        <w:tc>
          <w:tcPr>
            <w:tcW w:w="868" w:type="dxa"/>
            <w:vAlign w:val="center"/>
          </w:tcPr>
          <w:p w:rsidR="00221D6A" w:rsidRDefault="00221D6A">
            <w:pPr>
              <w:spacing w:before="20" w:after="20"/>
              <w:jc w:val="right"/>
              <w:rPr>
                <w:noProof/>
                <w:sz w:val="20"/>
              </w:rPr>
            </w:pPr>
          </w:p>
        </w:tc>
        <w:tc>
          <w:tcPr>
            <w:tcW w:w="868" w:type="dxa"/>
            <w:vAlign w:val="center"/>
          </w:tcPr>
          <w:p w:rsidR="00221D6A" w:rsidRDefault="00221D6A">
            <w:pPr>
              <w:spacing w:before="20" w:after="20"/>
              <w:jc w:val="right"/>
              <w:rPr>
                <w:noProof/>
                <w:sz w:val="20"/>
              </w:rPr>
            </w:pPr>
          </w:p>
        </w:tc>
        <w:tc>
          <w:tcPr>
            <w:tcW w:w="868" w:type="dxa"/>
            <w:vAlign w:val="center"/>
          </w:tcPr>
          <w:p w:rsidR="00221D6A" w:rsidRDefault="00221D6A">
            <w:pPr>
              <w:spacing w:before="20" w:after="20"/>
              <w:jc w:val="right"/>
              <w:rPr>
                <w:noProof/>
                <w:sz w:val="20"/>
              </w:rPr>
            </w:pPr>
          </w:p>
        </w:tc>
        <w:tc>
          <w:tcPr>
            <w:tcW w:w="868" w:type="dxa"/>
            <w:vAlign w:val="center"/>
          </w:tcPr>
          <w:p w:rsidR="00221D6A" w:rsidRDefault="00221D6A">
            <w:pPr>
              <w:spacing w:before="20" w:after="20"/>
              <w:jc w:val="right"/>
              <w:rPr>
                <w:b/>
                <w:noProof/>
                <w:sz w:val="20"/>
              </w:rPr>
            </w:pPr>
          </w:p>
        </w:tc>
        <w:tc>
          <w:tcPr>
            <w:tcW w:w="1777" w:type="dxa"/>
            <w:vAlign w:val="center"/>
          </w:tcPr>
          <w:p w:rsidR="00221D6A" w:rsidRDefault="00221D6A">
            <w:pPr>
              <w:spacing w:before="20" w:after="20"/>
              <w:jc w:val="right"/>
              <w:rPr>
                <w:b/>
                <w:noProof/>
                <w:sz w:val="20"/>
              </w:rPr>
            </w:pPr>
          </w:p>
        </w:tc>
      </w:tr>
      <w:tr w:rsidR="00221D6A">
        <w:trPr>
          <w:trHeight w:val="231"/>
        </w:trPr>
        <w:tc>
          <w:tcPr>
            <w:tcW w:w="6054" w:type="dxa"/>
            <w:gridSpan w:val="4"/>
            <w:vAlign w:val="center"/>
          </w:tcPr>
          <w:p w:rsidR="00221D6A" w:rsidRDefault="00BA3780">
            <w:pPr>
              <w:spacing w:before="20" w:after="20"/>
              <w:rPr>
                <w:noProof/>
                <w:sz w:val="22"/>
              </w:rPr>
            </w:pPr>
            <w:r>
              <w:rPr>
                <w:noProof/>
                <w:sz w:val="21"/>
              </w:rPr>
              <w:t xml:space="preserve">Administracinio </w:t>
            </w:r>
            <w:r>
              <w:rPr>
                <w:noProof/>
                <w:sz w:val="21"/>
              </w:rPr>
              <w:t>pobūdžio asignavimai, finansuojami iš konkrečių programų rinkinio lėšų</w:t>
            </w:r>
            <w:r>
              <w:rPr>
                <w:rStyle w:val="FootnoteReference"/>
                <w:noProof/>
                <w:sz w:val="21"/>
              </w:rPr>
              <w:footnoteReference w:id="28"/>
            </w:r>
            <w:r>
              <w:rPr>
                <w:noProof/>
                <w:sz w:val="21"/>
              </w:rPr>
              <w:t xml:space="preserve"> </w:t>
            </w:r>
          </w:p>
          <w:p w:rsidR="00221D6A" w:rsidRDefault="00221D6A">
            <w:pPr>
              <w:spacing w:before="0" w:after="0"/>
              <w:rPr>
                <w:noProof/>
                <w:sz w:val="22"/>
              </w:rPr>
            </w:pPr>
          </w:p>
        </w:tc>
        <w:tc>
          <w:tcPr>
            <w:tcW w:w="868" w:type="dxa"/>
            <w:vAlign w:val="center"/>
          </w:tcPr>
          <w:p w:rsidR="00221D6A" w:rsidRDefault="00221D6A">
            <w:pPr>
              <w:rPr>
                <w:b/>
                <w:noProof/>
                <w:sz w:val="20"/>
              </w:rPr>
            </w:pPr>
          </w:p>
        </w:tc>
        <w:tc>
          <w:tcPr>
            <w:tcW w:w="868" w:type="dxa"/>
            <w:vAlign w:val="center"/>
          </w:tcPr>
          <w:p w:rsidR="00221D6A" w:rsidRDefault="00221D6A">
            <w:pPr>
              <w:rPr>
                <w:b/>
                <w:noProof/>
                <w:sz w:val="20"/>
              </w:rPr>
            </w:pPr>
          </w:p>
        </w:tc>
        <w:tc>
          <w:tcPr>
            <w:tcW w:w="868" w:type="dxa"/>
            <w:vAlign w:val="center"/>
          </w:tcPr>
          <w:p w:rsidR="00221D6A" w:rsidRDefault="00221D6A">
            <w:pPr>
              <w:rPr>
                <w:b/>
                <w:noProof/>
                <w:sz w:val="20"/>
              </w:rPr>
            </w:pPr>
          </w:p>
        </w:tc>
        <w:tc>
          <w:tcPr>
            <w:tcW w:w="868" w:type="dxa"/>
            <w:vAlign w:val="center"/>
          </w:tcPr>
          <w:p w:rsidR="00221D6A" w:rsidRDefault="00221D6A">
            <w:pPr>
              <w:rPr>
                <w:b/>
                <w:noProof/>
                <w:sz w:val="20"/>
              </w:rPr>
            </w:pPr>
          </w:p>
        </w:tc>
        <w:tc>
          <w:tcPr>
            <w:tcW w:w="868" w:type="dxa"/>
            <w:vAlign w:val="center"/>
          </w:tcPr>
          <w:p w:rsidR="00221D6A" w:rsidRDefault="00221D6A">
            <w:pPr>
              <w:rPr>
                <w:b/>
                <w:noProof/>
                <w:sz w:val="20"/>
              </w:rPr>
            </w:pPr>
          </w:p>
        </w:tc>
        <w:tc>
          <w:tcPr>
            <w:tcW w:w="868" w:type="dxa"/>
            <w:vAlign w:val="center"/>
          </w:tcPr>
          <w:p w:rsidR="00221D6A" w:rsidRDefault="00221D6A">
            <w:pPr>
              <w:rPr>
                <w:b/>
                <w:noProof/>
                <w:sz w:val="20"/>
              </w:rPr>
            </w:pPr>
          </w:p>
        </w:tc>
        <w:tc>
          <w:tcPr>
            <w:tcW w:w="868" w:type="dxa"/>
            <w:vAlign w:val="center"/>
          </w:tcPr>
          <w:p w:rsidR="00221D6A" w:rsidRDefault="00221D6A">
            <w:pPr>
              <w:rPr>
                <w:b/>
                <w:noProof/>
                <w:sz w:val="20"/>
              </w:rPr>
            </w:pPr>
          </w:p>
        </w:tc>
        <w:tc>
          <w:tcPr>
            <w:tcW w:w="1777" w:type="dxa"/>
            <w:vAlign w:val="center"/>
          </w:tcPr>
          <w:p w:rsidR="00221D6A" w:rsidRDefault="00221D6A">
            <w:pPr>
              <w:rPr>
                <w:b/>
                <w:noProof/>
                <w:sz w:val="20"/>
              </w:rPr>
            </w:pPr>
          </w:p>
        </w:tc>
      </w:tr>
      <w:tr w:rsidR="00221D6A">
        <w:trPr>
          <w:trHeight w:val="319"/>
        </w:trPr>
        <w:tc>
          <w:tcPr>
            <w:tcW w:w="3960" w:type="dxa"/>
            <w:vAlign w:val="center"/>
          </w:tcPr>
          <w:p w:rsidR="00221D6A" w:rsidRDefault="00BA3780">
            <w:pPr>
              <w:rPr>
                <w:noProof/>
                <w:sz w:val="20"/>
              </w:rPr>
            </w:pPr>
            <w:r>
              <w:rPr>
                <w:noProof/>
                <w:sz w:val="20"/>
              </w:rPr>
              <w:t>32 04 03 01</w:t>
            </w:r>
          </w:p>
          <w:p w:rsidR="00221D6A" w:rsidRDefault="00BA3780">
            <w:pPr>
              <w:spacing w:before="60" w:after="60"/>
              <w:rPr>
                <w:noProof/>
                <w:sz w:val="22"/>
              </w:rPr>
            </w:pPr>
            <w:r>
              <w:rPr>
                <w:noProof/>
                <w:sz w:val="20"/>
              </w:rPr>
              <w:t>Visuomenės uždaviniai. Perėjimo prie patikimos, tvarios ir konkurencingos energijos sistemos užtikrinimas</w:t>
            </w:r>
          </w:p>
        </w:tc>
        <w:tc>
          <w:tcPr>
            <w:tcW w:w="1440" w:type="dxa"/>
            <w:vAlign w:val="center"/>
          </w:tcPr>
          <w:p w:rsidR="00221D6A" w:rsidRDefault="00221D6A">
            <w:pPr>
              <w:spacing w:before="40" w:after="40"/>
              <w:jc w:val="right"/>
              <w:rPr>
                <w:noProof/>
                <w:sz w:val="18"/>
              </w:rPr>
            </w:pPr>
          </w:p>
        </w:tc>
        <w:tc>
          <w:tcPr>
            <w:tcW w:w="654" w:type="dxa"/>
            <w:gridSpan w:val="2"/>
            <w:vAlign w:val="center"/>
          </w:tcPr>
          <w:p w:rsidR="00221D6A" w:rsidRDefault="00BA3780">
            <w:pPr>
              <w:spacing w:before="40" w:after="40"/>
              <w:jc w:val="center"/>
              <w:rPr>
                <w:noProof/>
                <w:sz w:val="14"/>
              </w:rPr>
            </w:pPr>
            <w:r>
              <w:rPr>
                <w:noProof/>
                <w:sz w:val="14"/>
              </w:rPr>
              <w:t>(3)</w:t>
            </w:r>
          </w:p>
        </w:tc>
        <w:tc>
          <w:tcPr>
            <w:tcW w:w="868" w:type="dxa"/>
            <w:vAlign w:val="center"/>
          </w:tcPr>
          <w:p w:rsidR="00221D6A" w:rsidRDefault="00BA3780">
            <w:pPr>
              <w:spacing w:before="20" w:after="20"/>
              <w:jc w:val="right"/>
              <w:rPr>
                <w:noProof/>
                <w:sz w:val="20"/>
              </w:rPr>
            </w:pPr>
            <w:r>
              <w:rPr>
                <w:noProof/>
                <w:sz w:val="20"/>
              </w:rPr>
              <w:t>2,200</w:t>
            </w:r>
          </w:p>
        </w:tc>
        <w:tc>
          <w:tcPr>
            <w:tcW w:w="868" w:type="dxa"/>
            <w:vAlign w:val="center"/>
          </w:tcPr>
          <w:p w:rsidR="00221D6A" w:rsidRDefault="00BA3780">
            <w:pPr>
              <w:spacing w:before="20" w:after="20"/>
              <w:jc w:val="right"/>
              <w:rPr>
                <w:noProof/>
                <w:sz w:val="20"/>
              </w:rPr>
            </w:pPr>
            <w:r>
              <w:rPr>
                <w:noProof/>
                <w:sz w:val="20"/>
              </w:rPr>
              <w:t>1,150</w:t>
            </w:r>
          </w:p>
        </w:tc>
        <w:tc>
          <w:tcPr>
            <w:tcW w:w="868" w:type="dxa"/>
            <w:vAlign w:val="center"/>
          </w:tcPr>
          <w:p w:rsidR="00221D6A" w:rsidRDefault="00BA3780">
            <w:pPr>
              <w:spacing w:before="20" w:after="20"/>
              <w:jc w:val="right"/>
              <w:rPr>
                <w:noProof/>
                <w:sz w:val="20"/>
              </w:rPr>
            </w:pPr>
            <w:r>
              <w:rPr>
                <w:noProof/>
                <w:sz w:val="20"/>
              </w:rPr>
              <w:t>1,150</w:t>
            </w:r>
          </w:p>
        </w:tc>
        <w:tc>
          <w:tcPr>
            <w:tcW w:w="868" w:type="dxa"/>
            <w:vAlign w:val="center"/>
          </w:tcPr>
          <w:p w:rsidR="00221D6A" w:rsidRDefault="00BA3780">
            <w:pPr>
              <w:spacing w:before="20" w:after="20"/>
              <w:jc w:val="right"/>
              <w:rPr>
                <w:noProof/>
                <w:sz w:val="20"/>
              </w:rPr>
            </w:pPr>
            <w:r>
              <w:rPr>
                <w:noProof/>
                <w:sz w:val="20"/>
              </w:rPr>
              <w:t>1,150</w:t>
            </w:r>
          </w:p>
        </w:tc>
        <w:tc>
          <w:tcPr>
            <w:tcW w:w="868" w:type="dxa"/>
            <w:vAlign w:val="center"/>
          </w:tcPr>
          <w:p w:rsidR="00221D6A" w:rsidRDefault="00BA3780">
            <w:pPr>
              <w:spacing w:before="20" w:after="20"/>
              <w:jc w:val="right"/>
              <w:rPr>
                <w:noProof/>
                <w:sz w:val="20"/>
              </w:rPr>
            </w:pPr>
            <w:r>
              <w:rPr>
                <w:noProof/>
                <w:sz w:val="20"/>
              </w:rPr>
              <w:t>1,150</w:t>
            </w:r>
          </w:p>
        </w:tc>
        <w:tc>
          <w:tcPr>
            <w:tcW w:w="868" w:type="dxa"/>
            <w:vAlign w:val="center"/>
          </w:tcPr>
          <w:p w:rsidR="00221D6A" w:rsidRDefault="00221D6A">
            <w:pPr>
              <w:spacing w:before="20" w:after="20"/>
              <w:jc w:val="right"/>
              <w:rPr>
                <w:noProof/>
                <w:sz w:val="20"/>
              </w:rPr>
            </w:pPr>
          </w:p>
        </w:tc>
        <w:tc>
          <w:tcPr>
            <w:tcW w:w="868" w:type="dxa"/>
            <w:vAlign w:val="center"/>
          </w:tcPr>
          <w:p w:rsidR="00221D6A" w:rsidRDefault="00221D6A">
            <w:pPr>
              <w:spacing w:before="20" w:after="20"/>
              <w:jc w:val="right"/>
              <w:rPr>
                <w:noProof/>
                <w:sz w:val="20"/>
              </w:rPr>
            </w:pPr>
          </w:p>
        </w:tc>
        <w:tc>
          <w:tcPr>
            <w:tcW w:w="1777" w:type="dxa"/>
            <w:vAlign w:val="center"/>
          </w:tcPr>
          <w:p w:rsidR="00221D6A" w:rsidRDefault="00BA3780">
            <w:pPr>
              <w:spacing w:before="20" w:after="20"/>
              <w:jc w:val="right"/>
              <w:rPr>
                <w:b/>
                <w:noProof/>
                <w:sz w:val="20"/>
              </w:rPr>
            </w:pPr>
            <w:r>
              <w:rPr>
                <w:noProof/>
                <w:sz w:val="20"/>
              </w:rPr>
              <w:t xml:space="preserve">Pasiūlymo trukmė </w:t>
            </w:r>
            <w:r>
              <w:rPr>
                <w:noProof/>
                <w:sz w:val="20"/>
              </w:rPr>
              <w:t>neribota</w:t>
            </w:r>
          </w:p>
        </w:tc>
      </w:tr>
      <w:tr w:rsidR="00221D6A">
        <w:tc>
          <w:tcPr>
            <w:tcW w:w="3960" w:type="dxa"/>
            <w:vMerge w:val="restart"/>
            <w:vAlign w:val="center"/>
          </w:tcPr>
          <w:p w:rsidR="00221D6A" w:rsidRDefault="00BA3780">
            <w:pPr>
              <w:jc w:val="center"/>
              <w:rPr>
                <w:b/>
                <w:noProof/>
                <w:sz w:val="22"/>
              </w:rPr>
            </w:pPr>
            <w:r>
              <w:rPr>
                <w:b/>
                <w:noProof/>
                <w:sz w:val="22"/>
              </w:rPr>
              <w:t>IŠ VISO asignavimų</w:t>
            </w:r>
            <w:r>
              <w:rPr>
                <w:noProof/>
                <w:sz w:val="22"/>
              </w:rPr>
              <w:br/>
            </w:r>
            <w:r>
              <w:rPr>
                <w:b/>
                <w:noProof/>
                <w:sz w:val="22"/>
              </w:rPr>
              <w:t>Energetikos generaliniam direktoratui</w:t>
            </w:r>
          </w:p>
        </w:tc>
        <w:tc>
          <w:tcPr>
            <w:tcW w:w="1440" w:type="dxa"/>
            <w:vAlign w:val="center"/>
          </w:tcPr>
          <w:p w:rsidR="00221D6A" w:rsidRDefault="00BA3780">
            <w:pPr>
              <w:rPr>
                <w:noProof/>
                <w:sz w:val="18"/>
              </w:rPr>
            </w:pPr>
            <w:r>
              <w:rPr>
                <w:noProof/>
                <w:sz w:val="18"/>
              </w:rPr>
              <w:t>Įsipareigojimai</w:t>
            </w:r>
          </w:p>
        </w:tc>
        <w:tc>
          <w:tcPr>
            <w:tcW w:w="654" w:type="dxa"/>
            <w:gridSpan w:val="2"/>
            <w:vAlign w:val="center"/>
          </w:tcPr>
          <w:p w:rsidR="00221D6A" w:rsidRDefault="00BA3780">
            <w:pPr>
              <w:jc w:val="center"/>
              <w:rPr>
                <w:noProof/>
                <w:sz w:val="14"/>
              </w:rPr>
            </w:pPr>
            <w:r>
              <w:rPr>
                <w:noProof/>
                <w:sz w:val="14"/>
              </w:rPr>
              <w:t>=1+1a +3</w:t>
            </w:r>
          </w:p>
        </w:tc>
        <w:tc>
          <w:tcPr>
            <w:tcW w:w="868" w:type="dxa"/>
            <w:vAlign w:val="center"/>
          </w:tcPr>
          <w:p w:rsidR="00221D6A" w:rsidRDefault="00BA3780">
            <w:pPr>
              <w:spacing w:before="20" w:after="20"/>
              <w:jc w:val="right"/>
              <w:rPr>
                <w:noProof/>
                <w:sz w:val="20"/>
              </w:rPr>
            </w:pPr>
            <w:r>
              <w:rPr>
                <w:noProof/>
                <w:sz w:val="20"/>
              </w:rPr>
              <w:t>2,200</w:t>
            </w:r>
          </w:p>
        </w:tc>
        <w:tc>
          <w:tcPr>
            <w:tcW w:w="868" w:type="dxa"/>
            <w:vAlign w:val="center"/>
          </w:tcPr>
          <w:p w:rsidR="00221D6A" w:rsidRDefault="00BA3780">
            <w:pPr>
              <w:spacing w:before="20" w:after="20"/>
              <w:jc w:val="right"/>
              <w:rPr>
                <w:noProof/>
                <w:sz w:val="20"/>
              </w:rPr>
            </w:pPr>
            <w:r>
              <w:rPr>
                <w:noProof/>
                <w:sz w:val="20"/>
              </w:rPr>
              <w:t>1,150</w:t>
            </w:r>
          </w:p>
        </w:tc>
        <w:tc>
          <w:tcPr>
            <w:tcW w:w="868" w:type="dxa"/>
            <w:vAlign w:val="center"/>
          </w:tcPr>
          <w:p w:rsidR="00221D6A" w:rsidRDefault="00BA3780">
            <w:pPr>
              <w:spacing w:before="20" w:after="20"/>
              <w:jc w:val="right"/>
              <w:rPr>
                <w:noProof/>
                <w:sz w:val="20"/>
              </w:rPr>
            </w:pPr>
            <w:r>
              <w:rPr>
                <w:noProof/>
                <w:sz w:val="20"/>
              </w:rPr>
              <w:t>1,150</w:t>
            </w:r>
          </w:p>
        </w:tc>
        <w:tc>
          <w:tcPr>
            <w:tcW w:w="868" w:type="dxa"/>
            <w:vAlign w:val="center"/>
          </w:tcPr>
          <w:p w:rsidR="00221D6A" w:rsidRDefault="00BA3780">
            <w:pPr>
              <w:spacing w:before="20" w:after="20"/>
              <w:jc w:val="right"/>
              <w:rPr>
                <w:noProof/>
                <w:sz w:val="20"/>
              </w:rPr>
            </w:pPr>
            <w:r>
              <w:rPr>
                <w:noProof/>
                <w:sz w:val="20"/>
              </w:rPr>
              <w:t>1,150</w:t>
            </w:r>
          </w:p>
        </w:tc>
        <w:tc>
          <w:tcPr>
            <w:tcW w:w="868" w:type="dxa"/>
            <w:vAlign w:val="center"/>
          </w:tcPr>
          <w:p w:rsidR="00221D6A" w:rsidRDefault="00BA3780">
            <w:pPr>
              <w:spacing w:before="20" w:after="20"/>
              <w:jc w:val="right"/>
              <w:rPr>
                <w:noProof/>
                <w:sz w:val="20"/>
              </w:rPr>
            </w:pPr>
            <w:r>
              <w:rPr>
                <w:noProof/>
                <w:sz w:val="20"/>
              </w:rPr>
              <w:t>1,150</w:t>
            </w:r>
          </w:p>
        </w:tc>
        <w:tc>
          <w:tcPr>
            <w:tcW w:w="868" w:type="dxa"/>
            <w:vAlign w:val="center"/>
          </w:tcPr>
          <w:p w:rsidR="00221D6A" w:rsidRDefault="00221D6A">
            <w:pPr>
              <w:spacing w:before="20" w:after="20"/>
              <w:jc w:val="right"/>
              <w:rPr>
                <w:noProof/>
                <w:sz w:val="20"/>
              </w:rPr>
            </w:pPr>
          </w:p>
        </w:tc>
        <w:tc>
          <w:tcPr>
            <w:tcW w:w="868" w:type="dxa"/>
            <w:vAlign w:val="center"/>
          </w:tcPr>
          <w:p w:rsidR="00221D6A" w:rsidRDefault="00221D6A">
            <w:pPr>
              <w:spacing w:before="20" w:after="20"/>
              <w:jc w:val="right"/>
              <w:rPr>
                <w:b/>
                <w:noProof/>
                <w:sz w:val="20"/>
              </w:rPr>
            </w:pPr>
          </w:p>
        </w:tc>
        <w:tc>
          <w:tcPr>
            <w:tcW w:w="1777" w:type="dxa"/>
            <w:vAlign w:val="center"/>
          </w:tcPr>
          <w:p w:rsidR="00221D6A" w:rsidRDefault="00BA3780">
            <w:pPr>
              <w:spacing w:before="20" w:after="20"/>
              <w:jc w:val="right"/>
              <w:rPr>
                <w:b/>
                <w:noProof/>
                <w:sz w:val="20"/>
              </w:rPr>
            </w:pPr>
            <w:r>
              <w:rPr>
                <w:noProof/>
                <w:sz w:val="20"/>
              </w:rPr>
              <w:t>Pasiūlymo trukmė neribota</w:t>
            </w:r>
          </w:p>
        </w:tc>
      </w:tr>
      <w:tr w:rsidR="00221D6A">
        <w:tc>
          <w:tcPr>
            <w:tcW w:w="3960" w:type="dxa"/>
            <w:vMerge/>
          </w:tcPr>
          <w:p w:rsidR="00221D6A" w:rsidRDefault="00221D6A">
            <w:pPr>
              <w:rPr>
                <w:noProof/>
                <w:sz w:val="20"/>
              </w:rPr>
            </w:pPr>
          </w:p>
        </w:tc>
        <w:tc>
          <w:tcPr>
            <w:tcW w:w="1440" w:type="dxa"/>
            <w:vAlign w:val="center"/>
          </w:tcPr>
          <w:p w:rsidR="00221D6A" w:rsidRDefault="00BA3780">
            <w:pPr>
              <w:rPr>
                <w:noProof/>
                <w:sz w:val="18"/>
              </w:rPr>
            </w:pPr>
            <w:r>
              <w:rPr>
                <w:noProof/>
                <w:sz w:val="18"/>
              </w:rPr>
              <w:t>Mokėjimai</w:t>
            </w:r>
          </w:p>
        </w:tc>
        <w:tc>
          <w:tcPr>
            <w:tcW w:w="654" w:type="dxa"/>
            <w:gridSpan w:val="2"/>
            <w:vAlign w:val="center"/>
          </w:tcPr>
          <w:p w:rsidR="00221D6A" w:rsidRDefault="00BA3780">
            <w:pPr>
              <w:jc w:val="center"/>
              <w:rPr>
                <w:noProof/>
                <w:sz w:val="14"/>
              </w:rPr>
            </w:pPr>
            <w:r>
              <w:rPr>
                <w:noProof/>
                <w:sz w:val="14"/>
              </w:rPr>
              <w:t>=2+2a</w:t>
            </w:r>
          </w:p>
          <w:p w:rsidR="00221D6A" w:rsidRDefault="00BA3780">
            <w:pPr>
              <w:jc w:val="center"/>
              <w:rPr>
                <w:noProof/>
                <w:sz w:val="14"/>
              </w:rPr>
            </w:pPr>
            <w:r>
              <w:rPr>
                <w:noProof/>
                <w:sz w:val="14"/>
              </w:rPr>
              <w:t>+3</w:t>
            </w:r>
          </w:p>
        </w:tc>
        <w:tc>
          <w:tcPr>
            <w:tcW w:w="868" w:type="dxa"/>
            <w:vAlign w:val="center"/>
          </w:tcPr>
          <w:p w:rsidR="00221D6A" w:rsidRDefault="00BA3780">
            <w:pPr>
              <w:spacing w:before="20" w:after="20"/>
              <w:jc w:val="right"/>
              <w:rPr>
                <w:noProof/>
                <w:sz w:val="20"/>
              </w:rPr>
            </w:pPr>
            <w:r>
              <w:rPr>
                <w:noProof/>
                <w:sz w:val="20"/>
              </w:rPr>
              <w:t>2,200</w:t>
            </w:r>
          </w:p>
        </w:tc>
        <w:tc>
          <w:tcPr>
            <w:tcW w:w="868" w:type="dxa"/>
            <w:vAlign w:val="center"/>
          </w:tcPr>
          <w:p w:rsidR="00221D6A" w:rsidRDefault="00BA3780">
            <w:pPr>
              <w:spacing w:before="20" w:after="20"/>
              <w:jc w:val="right"/>
              <w:rPr>
                <w:noProof/>
                <w:sz w:val="20"/>
              </w:rPr>
            </w:pPr>
            <w:r>
              <w:rPr>
                <w:noProof/>
                <w:sz w:val="20"/>
              </w:rPr>
              <w:t>1,150</w:t>
            </w:r>
          </w:p>
        </w:tc>
        <w:tc>
          <w:tcPr>
            <w:tcW w:w="868" w:type="dxa"/>
            <w:vAlign w:val="center"/>
          </w:tcPr>
          <w:p w:rsidR="00221D6A" w:rsidRDefault="00BA3780">
            <w:pPr>
              <w:spacing w:before="20" w:after="20"/>
              <w:jc w:val="right"/>
              <w:rPr>
                <w:noProof/>
                <w:sz w:val="20"/>
              </w:rPr>
            </w:pPr>
            <w:r>
              <w:rPr>
                <w:noProof/>
                <w:sz w:val="20"/>
              </w:rPr>
              <w:t>1,150</w:t>
            </w:r>
          </w:p>
        </w:tc>
        <w:tc>
          <w:tcPr>
            <w:tcW w:w="868" w:type="dxa"/>
            <w:vAlign w:val="center"/>
          </w:tcPr>
          <w:p w:rsidR="00221D6A" w:rsidRDefault="00BA3780">
            <w:pPr>
              <w:spacing w:before="20" w:after="20"/>
              <w:jc w:val="right"/>
              <w:rPr>
                <w:noProof/>
                <w:sz w:val="20"/>
              </w:rPr>
            </w:pPr>
            <w:r>
              <w:rPr>
                <w:noProof/>
                <w:sz w:val="20"/>
              </w:rPr>
              <w:t>1,150</w:t>
            </w:r>
          </w:p>
        </w:tc>
        <w:tc>
          <w:tcPr>
            <w:tcW w:w="868" w:type="dxa"/>
            <w:vAlign w:val="center"/>
          </w:tcPr>
          <w:p w:rsidR="00221D6A" w:rsidRDefault="00BA3780">
            <w:pPr>
              <w:spacing w:before="20" w:after="20"/>
              <w:jc w:val="right"/>
              <w:rPr>
                <w:noProof/>
                <w:sz w:val="20"/>
              </w:rPr>
            </w:pPr>
            <w:r>
              <w:rPr>
                <w:noProof/>
                <w:sz w:val="20"/>
              </w:rPr>
              <w:t>1,150</w:t>
            </w:r>
          </w:p>
        </w:tc>
        <w:tc>
          <w:tcPr>
            <w:tcW w:w="868" w:type="dxa"/>
            <w:vAlign w:val="center"/>
          </w:tcPr>
          <w:p w:rsidR="00221D6A" w:rsidRDefault="00221D6A">
            <w:pPr>
              <w:spacing w:before="20" w:after="20"/>
              <w:jc w:val="right"/>
              <w:rPr>
                <w:noProof/>
                <w:sz w:val="20"/>
              </w:rPr>
            </w:pPr>
          </w:p>
        </w:tc>
        <w:tc>
          <w:tcPr>
            <w:tcW w:w="868" w:type="dxa"/>
            <w:vAlign w:val="center"/>
          </w:tcPr>
          <w:p w:rsidR="00221D6A" w:rsidRDefault="00221D6A">
            <w:pPr>
              <w:spacing w:before="20" w:after="20"/>
              <w:jc w:val="right"/>
              <w:rPr>
                <w:b/>
                <w:noProof/>
                <w:sz w:val="20"/>
              </w:rPr>
            </w:pPr>
          </w:p>
        </w:tc>
        <w:tc>
          <w:tcPr>
            <w:tcW w:w="1777" w:type="dxa"/>
            <w:vAlign w:val="center"/>
          </w:tcPr>
          <w:p w:rsidR="00221D6A" w:rsidRDefault="00BA3780">
            <w:pPr>
              <w:spacing w:before="20" w:after="20"/>
              <w:jc w:val="right"/>
              <w:rPr>
                <w:b/>
                <w:noProof/>
                <w:sz w:val="20"/>
              </w:rPr>
            </w:pPr>
            <w:r>
              <w:rPr>
                <w:noProof/>
                <w:sz w:val="20"/>
              </w:rPr>
              <w:t>Pasiūlymo trukmė neribota</w:t>
            </w:r>
          </w:p>
        </w:tc>
      </w:tr>
    </w:tbl>
    <w:p w:rsidR="00221D6A" w:rsidRDefault="00BA3780">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221D6A">
        <w:trPr>
          <w:trHeight w:val="277"/>
        </w:trPr>
        <w:tc>
          <w:tcPr>
            <w:tcW w:w="3960" w:type="dxa"/>
            <w:vMerge w:val="restart"/>
            <w:vAlign w:val="center"/>
          </w:tcPr>
          <w:p w:rsidR="00221D6A" w:rsidRDefault="00BA3780">
            <w:pPr>
              <w:spacing w:before="20" w:after="20"/>
              <w:rPr>
                <w:noProof/>
                <w:sz w:val="22"/>
              </w:rPr>
            </w:pPr>
            <w:r>
              <w:rPr>
                <w:noProof/>
              </w:rPr>
              <w:br w:type="page"/>
            </w:r>
            <w:r>
              <w:rPr>
                <w:noProof/>
                <w:sz w:val="21"/>
              </w:rPr>
              <w:sym w:font="Wingdings" w:char="F09F"/>
            </w:r>
            <w:r>
              <w:rPr>
                <w:noProof/>
                <w:sz w:val="21"/>
              </w:rPr>
              <w:t xml:space="preserve">IŠ VISO veiklos </w:t>
            </w:r>
            <w:r>
              <w:rPr>
                <w:noProof/>
                <w:sz w:val="21"/>
              </w:rPr>
              <w:t>asignavimų</w:t>
            </w:r>
          </w:p>
        </w:tc>
        <w:tc>
          <w:tcPr>
            <w:tcW w:w="1440" w:type="dxa"/>
            <w:vAlign w:val="center"/>
          </w:tcPr>
          <w:p w:rsidR="00221D6A" w:rsidRDefault="00BA3780">
            <w:pPr>
              <w:spacing w:beforeLines="20" w:before="48" w:afterLines="20" w:after="48"/>
              <w:rPr>
                <w:noProof/>
                <w:sz w:val="18"/>
              </w:rPr>
            </w:pPr>
            <w:r>
              <w:rPr>
                <w:noProof/>
                <w:sz w:val="18"/>
              </w:rPr>
              <w:t>Įsipareigojimai</w:t>
            </w:r>
          </w:p>
        </w:tc>
        <w:tc>
          <w:tcPr>
            <w:tcW w:w="654" w:type="dxa"/>
            <w:vAlign w:val="center"/>
          </w:tcPr>
          <w:p w:rsidR="00221D6A" w:rsidRDefault="00BA3780">
            <w:pPr>
              <w:spacing w:beforeLines="20" w:before="48" w:afterLines="20" w:after="48"/>
              <w:jc w:val="center"/>
              <w:rPr>
                <w:noProof/>
                <w:sz w:val="14"/>
              </w:rPr>
            </w:pPr>
            <w:r>
              <w:rPr>
                <w:noProof/>
                <w:sz w:val="14"/>
              </w:rPr>
              <w:t>(4)</w:t>
            </w:r>
          </w:p>
        </w:tc>
        <w:tc>
          <w:tcPr>
            <w:tcW w:w="868" w:type="dxa"/>
            <w:vAlign w:val="center"/>
          </w:tcPr>
          <w:p w:rsidR="00221D6A" w:rsidRDefault="00221D6A">
            <w:pPr>
              <w:spacing w:before="20" w:after="20"/>
              <w:jc w:val="right"/>
              <w:rPr>
                <w:noProof/>
                <w:sz w:val="20"/>
              </w:rPr>
            </w:pPr>
          </w:p>
        </w:tc>
        <w:tc>
          <w:tcPr>
            <w:tcW w:w="868" w:type="dxa"/>
            <w:vAlign w:val="center"/>
          </w:tcPr>
          <w:p w:rsidR="00221D6A" w:rsidRDefault="00221D6A">
            <w:pPr>
              <w:spacing w:before="20" w:after="20"/>
              <w:jc w:val="right"/>
              <w:rPr>
                <w:noProof/>
                <w:sz w:val="20"/>
              </w:rPr>
            </w:pPr>
          </w:p>
        </w:tc>
        <w:tc>
          <w:tcPr>
            <w:tcW w:w="868" w:type="dxa"/>
            <w:vAlign w:val="center"/>
          </w:tcPr>
          <w:p w:rsidR="00221D6A" w:rsidRDefault="00221D6A">
            <w:pPr>
              <w:spacing w:before="20" w:after="20"/>
              <w:jc w:val="right"/>
              <w:rPr>
                <w:noProof/>
                <w:sz w:val="20"/>
              </w:rPr>
            </w:pPr>
          </w:p>
        </w:tc>
        <w:tc>
          <w:tcPr>
            <w:tcW w:w="868" w:type="dxa"/>
            <w:vAlign w:val="center"/>
          </w:tcPr>
          <w:p w:rsidR="00221D6A" w:rsidRDefault="00221D6A">
            <w:pPr>
              <w:spacing w:before="20" w:after="20"/>
              <w:jc w:val="right"/>
              <w:rPr>
                <w:noProof/>
                <w:sz w:val="20"/>
              </w:rPr>
            </w:pPr>
          </w:p>
        </w:tc>
        <w:tc>
          <w:tcPr>
            <w:tcW w:w="868" w:type="dxa"/>
            <w:vAlign w:val="center"/>
          </w:tcPr>
          <w:p w:rsidR="00221D6A" w:rsidRDefault="00221D6A">
            <w:pPr>
              <w:spacing w:before="20" w:after="20"/>
              <w:jc w:val="right"/>
              <w:rPr>
                <w:noProof/>
                <w:sz w:val="20"/>
              </w:rPr>
            </w:pPr>
          </w:p>
        </w:tc>
        <w:tc>
          <w:tcPr>
            <w:tcW w:w="868" w:type="dxa"/>
            <w:vAlign w:val="center"/>
          </w:tcPr>
          <w:p w:rsidR="00221D6A" w:rsidRDefault="00221D6A">
            <w:pPr>
              <w:spacing w:before="20" w:after="20"/>
              <w:jc w:val="right"/>
              <w:rPr>
                <w:noProof/>
                <w:sz w:val="20"/>
              </w:rPr>
            </w:pPr>
          </w:p>
        </w:tc>
        <w:tc>
          <w:tcPr>
            <w:tcW w:w="868" w:type="dxa"/>
            <w:vAlign w:val="center"/>
          </w:tcPr>
          <w:p w:rsidR="00221D6A" w:rsidRDefault="00221D6A">
            <w:pPr>
              <w:spacing w:before="20" w:after="20"/>
              <w:jc w:val="right"/>
              <w:rPr>
                <w:b/>
                <w:noProof/>
                <w:sz w:val="20"/>
              </w:rPr>
            </w:pPr>
          </w:p>
        </w:tc>
        <w:tc>
          <w:tcPr>
            <w:tcW w:w="1777" w:type="dxa"/>
            <w:vAlign w:val="center"/>
          </w:tcPr>
          <w:p w:rsidR="00221D6A" w:rsidRDefault="00221D6A">
            <w:pPr>
              <w:spacing w:before="20" w:after="20"/>
              <w:jc w:val="right"/>
              <w:rPr>
                <w:noProof/>
                <w:sz w:val="20"/>
              </w:rPr>
            </w:pPr>
          </w:p>
        </w:tc>
      </w:tr>
      <w:tr w:rsidR="00221D6A">
        <w:tc>
          <w:tcPr>
            <w:tcW w:w="3960" w:type="dxa"/>
            <w:vMerge/>
          </w:tcPr>
          <w:p w:rsidR="00221D6A" w:rsidRDefault="00221D6A">
            <w:pPr>
              <w:jc w:val="center"/>
              <w:rPr>
                <w:noProof/>
                <w:sz w:val="20"/>
              </w:rPr>
            </w:pPr>
          </w:p>
        </w:tc>
        <w:tc>
          <w:tcPr>
            <w:tcW w:w="1440" w:type="dxa"/>
            <w:vAlign w:val="center"/>
          </w:tcPr>
          <w:p w:rsidR="00221D6A" w:rsidRDefault="00BA3780">
            <w:pPr>
              <w:spacing w:beforeLines="20" w:before="48" w:afterLines="20" w:after="48"/>
              <w:rPr>
                <w:noProof/>
                <w:sz w:val="18"/>
              </w:rPr>
            </w:pPr>
            <w:r>
              <w:rPr>
                <w:noProof/>
                <w:sz w:val="18"/>
              </w:rPr>
              <w:t>Mokėjimai</w:t>
            </w:r>
          </w:p>
        </w:tc>
        <w:tc>
          <w:tcPr>
            <w:tcW w:w="654" w:type="dxa"/>
            <w:vAlign w:val="center"/>
          </w:tcPr>
          <w:p w:rsidR="00221D6A" w:rsidRDefault="00BA3780">
            <w:pPr>
              <w:spacing w:beforeLines="20" w:before="48" w:afterLines="20" w:after="48"/>
              <w:jc w:val="center"/>
              <w:rPr>
                <w:noProof/>
                <w:sz w:val="14"/>
              </w:rPr>
            </w:pPr>
            <w:r>
              <w:rPr>
                <w:noProof/>
                <w:sz w:val="14"/>
              </w:rPr>
              <w:t>(5)</w:t>
            </w:r>
          </w:p>
        </w:tc>
        <w:tc>
          <w:tcPr>
            <w:tcW w:w="868" w:type="dxa"/>
            <w:vAlign w:val="center"/>
          </w:tcPr>
          <w:p w:rsidR="00221D6A" w:rsidRDefault="00221D6A">
            <w:pPr>
              <w:spacing w:before="20" w:after="20"/>
              <w:jc w:val="right"/>
              <w:rPr>
                <w:noProof/>
                <w:sz w:val="20"/>
              </w:rPr>
            </w:pPr>
          </w:p>
        </w:tc>
        <w:tc>
          <w:tcPr>
            <w:tcW w:w="868" w:type="dxa"/>
            <w:vAlign w:val="center"/>
          </w:tcPr>
          <w:p w:rsidR="00221D6A" w:rsidRDefault="00221D6A">
            <w:pPr>
              <w:spacing w:before="20" w:after="20"/>
              <w:jc w:val="right"/>
              <w:rPr>
                <w:noProof/>
                <w:sz w:val="20"/>
              </w:rPr>
            </w:pPr>
          </w:p>
        </w:tc>
        <w:tc>
          <w:tcPr>
            <w:tcW w:w="868" w:type="dxa"/>
            <w:vAlign w:val="center"/>
          </w:tcPr>
          <w:p w:rsidR="00221D6A" w:rsidRDefault="00221D6A">
            <w:pPr>
              <w:spacing w:before="20" w:after="20"/>
              <w:jc w:val="right"/>
              <w:rPr>
                <w:noProof/>
                <w:sz w:val="20"/>
              </w:rPr>
            </w:pPr>
          </w:p>
        </w:tc>
        <w:tc>
          <w:tcPr>
            <w:tcW w:w="868" w:type="dxa"/>
            <w:vAlign w:val="center"/>
          </w:tcPr>
          <w:p w:rsidR="00221D6A" w:rsidRDefault="00221D6A">
            <w:pPr>
              <w:spacing w:before="20" w:after="20"/>
              <w:jc w:val="right"/>
              <w:rPr>
                <w:noProof/>
                <w:sz w:val="20"/>
              </w:rPr>
            </w:pPr>
          </w:p>
        </w:tc>
        <w:tc>
          <w:tcPr>
            <w:tcW w:w="868" w:type="dxa"/>
            <w:vAlign w:val="center"/>
          </w:tcPr>
          <w:p w:rsidR="00221D6A" w:rsidRDefault="00221D6A">
            <w:pPr>
              <w:spacing w:before="20" w:after="20"/>
              <w:jc w:val="right"/>
              <w:rPr>
                <w:noProof/>
                <w:sz w:val="20"/>
              </w:rPr>
            </w:pPr>
          </w:p>
        </w:tc>
        <w:tc>
          <w:tcPr>
            <w:tcW w:w="868" w:type="dxa"/>
            <w:vAlign w:val="center"/>
          </w:tcPr>
          <w:p w:rsidR="00221D6A" w:rsidRDefault="00221D6A">
            <w:pPr>
              <w:spacing w:before="20" w:after="20"/>
              <w:jc w:val="right"/>
              <w:rPr>
                <w:noProof/>
                <w:sz w:val="20"/>
              </w:rPr>
            </w:pPr>
          </w:p>
        </w:tc>
        <w:tc>
          <w:tcPr>
            <w:tcW w:w="868" w:type="dxa"/>
            <w:vAlign w:val="center"/>
          </w:tcPr>
          <w:p w:rsidR="00221D6A" w:rsidRDefault="00221D6A">
            <w:pPr>
              <w:spacing w:before="20" w:after="20"/>
              <w:jc w:val="right"/>
              <w:rPr>
                <w:b/>
                <w:noProof/>
                <w:sz w:val="20"/>
              </w:rPr>
            </w:pPr>
          </w:p>
        </w:tc>
        <w:tc>
          <w:tcPr>
            <w:tcW w:w="1777" w:type="dxa"/>
            <w:vAlign w:val="center"/>
          </w:tcPr>
          <w:p w:rsidR="00221D6A" w:rsidRDefault="00221D6A">
            <w:pPr>
              <w:spacing w:before="20" w:after="20"/>
              <w:jc w:val="right"/>
              <w:rPr>
                <w:b/>
                <w:noProof/>
                <w:sz w:val="20"/>
              </w:rPr>
            </w:pPr>
          </w:p>
        </w:tc>
      </w:tr>
      <w:tr w:rsidR="00221D6A">
        <w:trPr>
          <w:trHeight w:val="533"/>
        </w:trPr>
        <w:tc>
          <w:tcPr>
            <w:tcW w:w="5400" w:type="dxa"/>
            <w:gridSpan w:val="2"/>
            <w:vAlign w:val="center"/>
          </w:tcPr>
          <w:p w:rsidR="00221D6A" w:rsidRDefault="00BA3780">
            <w:pPr>
              <w:spacing w:beforeLines="20" w:before="48" w:afterLines="20" w:after="48"/>
              <w:rPr>
                <w:noProof/>
                <w:sz w:val="22"/>
              </w:rPr>
            </w:pPr>
            <w:r>
              <w:rPr>
                <w:noProof/>
                <w:sz w:val="21"/>
              </w:rPr>
              <w:sym w:font="Wingdings" w:char="F09F"/>
            </w:r>
            <w:r>
              <w:rPr>
                <w:noProof/>
                <w:sz w:val="21"/>
              </w:rPr>
              <w:t>IŠ VISO administracinio pobūdžio asignavimų, finansuojamų iš konkrečių programų rinkinio lėšų</w:t>
            </w:r>
          </w:p>
        </w:tc>
        <w:tc>
          <w:tcPr>
            <w:tcW w:w="654" w:type="dxa"/>
            <w:vAlign w:val="center"/>
          </w:tcPr>
          <w:p w:rsidR="00221D6A" w:rsidRDefault="00BA3780">
            <w:pPr>
              <w:spacing w:beforeLines="20" w:before="48" w:afterLines="20" w:after="48"/>
              <w:jc w:val="center"/>
              <w:rPr>
                <w:noProof/>
                <w:sz w:val="14"/>
              </w:rPr>
            </w:pPr>
            <w:r>
              <w:rPr>
                <w:noProof/>
                <w:sz w:val="14"/>
              </w:rPr>
              <w:t>(6)</w:t>
            </w:r>
          </w:p>
        </w:tc>
        <w:tc>
          <w:tcPr>
            <w:tcW w:w="868" w:type="dxa"/>
            <w:vAlign w:val="center"/>
          </w:tcPr>
          <w:p w:rsidR="00221D6A" w:rsidRDefault="00BA3780">
            <w:pPr>
              <w:spacing w:before="20" w:after="20"/>
              <w:jc w:val="right"/>
              <w:rPr>
                <w:noProof/>
                <w:sz w:val="20"/>
              </w:rPr>
            </w:pPr>
            <w:r>
              <w:rPr>
                <w:noProof/>
                <w:sz w:val="20"/>
              </w:rPr>
              <w:t>2,200</w:t>
            </w:r>
          </w:p>
        </w:tc>
        <w:tc>
          <w:tcPr>
            <w:tcW w:w="868" w:type="dxa"/>
            <w:vAlign w:val="center"/>
          </w:tcPr>
          <w:p w:rsidR="00221D6A" w:rsidRDefault="00BA3780">
            <w:pPr>
              <w:spacing w:before="20" w:after="20"/>
              <w:jc w:val="right"/>
              <w:rPr>
                <w:noProof/>
                <w:sz w:val="20"/>
              </w:rPr>
            </w:pPr>
            <w:r>
              <w:rPr>
                <w:noProof/>
                <w:sz w:val="20"/>
              </w:rPr>
              <w:t>1,150</w:t>
            </w:r>
          </w:p>
        </w:tc>
        <w:tc>
          <w:tcPr>
            <w:tcW w:w="868" w:type="dxa"/>
            <w:vAlign w:val="center"/>
          </w:tcPr>
          <w:p w:rsidR="00221D6A" w:rsidRDefault="00BA3780">
            <w:pPr>
              <w:spacing w:before="20" w:after="20"/>
              <w:jc w:val="right"/>
              <w:rPr>
                <w:noProof/>
                <w:sz w:val="20"/>
              </w:rPr>
            </w:pPr>
            <w:r>
              <w:rPr>
                <w:noProof/>
                <w:sz w:val="20"/>
              </w:rPr>
              <w:t>1,150</w:t>
            </w:r>
          </w:p>
        </w:tc>
        <w:tc>
          <w:tcPr>
            <w:tcW w:w="868" w:type="dxa"/>
            <w:vAlign w:val="center"/>
          </w:tcPr>
          <w:p w:rsidR="00221D6A" w:rsidRDefault="00BA3780">
            <w:pPr>
              <w:spacing w:before="20" w:after="20"/>
              <w:jc w:val="right"/>
              <w:rPr>
                <w:noProof/>
                <w:sz w:val="20"/>
              </w:rPr>
            </w:pPr>
            <w:r>
              <w:rPr>
                <w:noProof/>
                <w:sz w:val="20"/>
              </w:rPr>
              <w:t>1,150</w:t>
            </w:r>
          </w:p>
        </w:tc>
        <w:tc>
          <w:tcPr>
            <w:tcW w:w="868" w:type="dxa"/>
            <w:vAlign w:val="center"/>
          </w:tcPr>
          <w:p w:rsidR="00221D6A" w:rsidRDefault="00BA3780">
            <w:pPr>
              <w:spacing w:before="20" w:after="20"/>
              <w:jc w:val="right"/>
              <w:rPr>
                <w:noProof/>
                <w:sz w:val="20"/>
              </w:rPr>
            </w:pPr>
            <w:r>
              <w:rPr>
                <w:noProof/>
                <w:sz w:val="20"/>
              </w:rPr>
              <w:t>1,150</w:t>
            </w:r>
          </w:p>
        </w:tc>
        <w:tc>
          <w:tcPr>
            <w:tcW w:w="868" w:type="dxa"/>
            <w:vAlign w:val="center"/>
          </w:tcPr>
          <w:p w:rsidR="00221D6A" w:rsidRDefault="00221D6A">
            <w:pPr>
              <w:spacing w:before="20" w:after="20"/>
              <w:jc w:val="right"/>
              <w:rPr>
                <w:noProof/>
                <w:sz w:val="20"/>
              </w:rPr>
            </w:pPr>
          </w:p>
        </w:tc>
        <w:tc>
          <w:tcPr>
            <w:tcW w:w="868" w:type="dxa"/>
            <w:vAlign w:val="center"/>
          </w:tcPr>
          <w:p w:rsidR="00221D6A" w:rsidRDefault="00221D6A">
            <w:pPr>
              <w:spacing w:before="20" w:after="20"/>
              <w:jc w:val="right"/>
              <w:rPr>
                <w:noProof/>
                <w:sz w:val="20"/>
              </w:rPr>
            </w:pPr>
          </w:p>
        </w:tc>
        <w:tc>
          <w:tcPr>
            <w:tcW w:w="1777" w:type="dxa"/>
            <w:vAlign w:val="center"/>
          </w:tcPr>
          <w:p w:rsidR="00221D6A" w:rsidRDefault="00221D6A">
            <w:pPr>
              <w:spacing w:before="20" w:after="20"/>
              <w:jc w:val="right"/>
              <w:rPr>
                <w:b/>
                <w:noProof/>
                <w:sz w:val="20"/>
              </w:rPr>
            </w:pPr>
          </w:p>
        </w:tc>
      </w:tr>
      <w:tr w:rsidR="00221D6A">
        <w:tc>
          <w:tcPr>
            <w:tcW w:w="3960" w:type="dxa"/>
            <w:vMerge w:val="restart"/>
            <w:shd w:val="thinDiagStripe" w:color="C0C0C0" w:fill="auto"/>
            <w:vAlign w:val="center"/>
          </w:tcPr>
          <w:p w:rsidR="00221D6A" w:rsidRDefault="00BA3780">
            <w:pPr>
              <w:jc w:val="center"/>
              <w:rPr>
                <w:b/>
                <w:noProof/>
                <w:sz w:val="22"/>
              </w:rPr>
            </w:pPr>
            <w:r>
              <w:rPr>
                <w:b/>
                <w:noProof/>
                <w:sz w:val="22"/>
              </w:rPr>
              <w:t>IŠ VISO asignavimų pagal</w:t>
            </w:r>
            <w:r>
              <w:rPr>
                <w:noProof/>
                <w:sz w:val="22"/>
              </w:rPr>
              <w:br/>
              <w:t>daugiametės finansinės programos</w:t>
            </w:r>
            <w:r>
              <w:rPr>
                <w:b/>
                <w:noProof/>
                <w:sz w:val="22"/>
              </w:rPr>
              <w:t>1a</w:t>
            </w:r>
            <w:r>
              <w:rPr>
                <w:b/>
                <w:noProof/>
                <w:sz w:val="22"/>
              </w:rPr>
              <w:t xml:space="preserve"> KATEGORIJĄ</w:t>
            </w:r>
          </w:p>
        </w:tc>
        <w:tc>
          <w:tcPr>
            <w:tcW w:w="1440" w:type="dxa"/>
            <w:vAlign w:val="center"/>
          </w:tcPr>
          <w:p w:rsidR="00221D6A" w:rsidRDefault="00BA3780">
            <w:pPr>
              <w:rPr>
                <w:noProof/>
                <w:sz w:val="18"/>
              </w:rPr>
            </w:pPr>
            <w:r>
              <w:rPr>
                <w:noProof/>
                <w:sz w:val="18"/>
              </w:rPr>
              <w:t>Įsipareigojimai</w:t>
            </w:r>
          </w:p>
        </w:tc>
        <w:tc>
          <w:tcPr>
            <w:tcW w:w="654" w:type="dxa"/>
            <w:vAlign w:val="center"/>
          </w:tcPr>
          <w:p w:rsidR="00221D6A" w:rsidRDefault="00BA3780">
            <w:pPr>
              <w:jc w:val="center"/>
              <w:rPr>
                <w:noProof/>
                <w:sz w:val="14"/>
              </w:rPr>
            </w:pPr>
            <w:r>
              <w:rPr>
                <w:noProof/>
                <w:sz w:val="14"/>
              </w:rPr>
              <w:t>=4+ 6</w:t>
            </w:r>
          </w:p>
        </w:tc>
        <w:tc>
          <w:tcPr>
            <w:tcW w:w="868" w:type="dxa"/>
            <w:vAlign w:val="center"/>
          </w:tcPr>
          <w:p w:rsidR="00221D6A" w:rsidRDefault="00BA3780">
            <w:pPr>
              <w:spacing w:before="20" w:after="20"/>
              <w:jc w:val="right"/>
              <w:rPr>
                <w:noProof/>
                <w:sz w:val="20"/>
              </w:rPr>
            </w:pPr>
            <w:r>
              <w:rPr>
                <w:noProof/>
                <w:sz w:val="20"/>
              </w:rPr>
              <w:t>2,200</w:t>
            </w:r>
          </w:p>
        </w:tc>
        <w:tc>
          <w:tcPr>
            <w:tcW w:w="868" w:type="dxa"/>
            <w:vAlign w:val="center"/>
          </w:tcPr>
          <w:p w:rsidR="00221D6A" w:rsidRDefault="00BA3780">
            <w:pPr>
              <w:spacing w:before="20" w:after="20"/>
              <w:jc w:val="right"/>
              <w:rPr>
                <w:noProof/>
                <w:sz w:val="20"/>
              </w:rPr>
            </w:pPr>
            <w:r>
              <w:rPr>
                <w:noProof/>
                <w:sz w:val="20"/>
              </w:rPr>
              <w:t>1,150</w:t>
            </w:r>
          </w:p>
        </w:tc>
        <w:tc>
          <w:tcPr>
            <w:tcW w:w="868" w:type="dxa"/>
            <w:vAlign w:val="center"/>
          </w:tcPr>
          <w:p w:rsidR="00221D6A" w:rsidRDefault="00BA3780">
            <w:pPr>
              <w:spacing w:before="20" w:after="20"/>
              <w:jc w:val="right"/>
              <w:rPr>
                <w:noProof/>
                <w:sz w:val="20"/>
              </w:rPr>
            </w:pPr>
            <w:r>
              <w:rPr>
                <w:noProof/>
                <w:sz w:val="20"/>
              </w:rPr>
              <w:t>1,150</w:t>
            </w:r>
          </w:p>
        </w:tc>
        <w:tc>
          <w:tcPr>
            <w:tcW w:w="868" w:type="dxa"/>
            <w:vAlign w:val="center"/>
          </w:tcPr>
          <w:p w:rsidR="00221D6A" w:rsidRDefault="00BA3780">
            <w:pPr>
              <w:spacing w:before="20" w:after="20"/>
              <w:jc w:val="right"/>
              <w:rPr>
                <w:noProof/>
                <w:sz w:val="20"/>
              </w:rPr>
            </w:pPr>
            <w:r>
              <w:rPr>
                <w:noProof/>
                <w:sz w:val="20"/>
              </w:rPr>
              <w:t>1,150</w:t>
            </w:r>
          </w:p>
        </w:tc>
        <w:tc>
          <w:tcPr>
            <w:tcW w:w="868" w:type="dxa"/>
            <w:vAlign w:val="center"/>
          </w:tcPr>
          <w:p w:rsidR="00221D6A" w:rsidRDefault="00BA3780">
            <w:pPr>
              <w:spacing w:before="20" w:after="20"/>
              <w:jc w:val="right"/>
              <w:rPr>
                <w:noProof/>
                <w:sz w:val="20"/>
              </w:rPr>
            </w:pPr>
            <w:r>
              <w:rPr>
                <w:noProof/>
                <w:sz w:val="20"/>
              </w:rPr>
              <w:t>1,150</w:t>
            </w:r>
          </w:p>
        </w:tc>
        <w:tc>
          <w:tcPr>
            <w:tcW w:w="868" w:type="dxa"/>
            <w:vAlign w:val="center"/>
          </w:tcPr>
          <w:p w:rsidR="00221D6A" w:rsidRDefault="00221D6A">
            <w:pPr>
              <w:spacing w:before="20" w:after="20"/>
              <w:jc w:val="right"/>
              <w:rPr>
                <w:noProof/>
                <w:sz w:val="20"/>
              </w:rPr>
            </w:pPr>
          </w:p>
        </w:tc>
        <w:tc>
          <w:tcPr>
            <w:tcW w:w="868" w:type="dxa"/>
            <w:vAlign w:val="center"/>
          </w:tcPr>
          <w:p w:rsidR="00221D6A" w:rsidRDefault="00221D6A">
            <w:pPr>
              <w:spacing w:before="20" w:after="20"/>
              <w:jc w:val="right"/>
              <w:rPr>
                <w:b/>
                <w:noProof/>
                <w:sz w:val="20"/>
              </w:rPr>
            </w:pPr>
          </w:p>
        </w:tc>
        <w:tc>
          <w:tcPr>
            <w:tcW w:w="1777" w:type="dxa"/>
            <w:vAlign w:val="center"/>
          </w:tcPr>
          <w:p w:rsidR="00221D6A" w:rsidRDefault="00221D6A">
            <w:pPr>
              <w:spacing w:before="20" w:after="20"/>
              <w:jc w:val="right"/>
              <w:rPr>
                <w:b/>
                <w:noProof/>
                <w:sz w:val="20"/>
              </w:rPr>
            </w:pPr>
          </w:p>
        </w:tc>
      </w:tr>
      <w:tr w:rsidR="00221D6A">
        <w:tc>
          <w:tcPr>
            <w:tcW w:w="3960" w:type="dxa"/>
            <w:vMerge/>
            <w:shd w:val="thinDiagStripe" w:color="C0C0C0" w:fill="auto"/>
          </w:tcPr>
          <w:p w:rsidR="00221D6A" w:rsidRDefault="00221D6A">
            <w:pPr>
              <w:rPr>
                <w:noProof/>
                <w:sz w:val="20"/>
              </w:rPr>
            </w:pPr>
          </w:p>
        </w:tc>
        <w:tc>
          <w:tcPr>
            <w:tcW w:w="1440" w:type="dxa"/>
            <w:vAlign w:val="center"/>
          </w:tcPr>
          <w:p w:rsidR="00221D6A" w:rsidRDefault="00BA3780">
            <w:pPr>
              <w:rPr>
                <w:noProof/>
                <w:sz w:val="18"/>
              </w:rPr>
            </w:pPr>
            <w:r>
              <w:rPr>
                <w:noProof/>
                <w:sz w:val="18"/>
              </w:rPr>
              <w:t>Mokėjimai</w:t>
            </w:r>
          </w:p>
        </w:tc>
        <w:tc>
          <w:tcPr>
            <w:tcW w:w="654" w:type="dxa"/>
            <w:vAlign w:val="center"/>
          </w:tcPr>
          <w:p w:rsidR="00221D6A" w:rsidRDefault="00BA3780">
            <w:pPr>
              <w:jc w:val="center"/>
              <w:rPr>
                <w:noProof/>
                <w:sz w:val="14"/>
              </w:rPr>
            </w:pPr>
            <w:r>
              <w:rPr>
                <w:noProof/>
                <w:sz w:val="14"/>
              </w:rPr>
              <w:t>=5+ 6</w:t>
            </w:r>
          </w:p>
        </w:tc>
        <w:tc>
          <w:tcPr>
            <w:tcW w:w="868" w:type="dxa"/>
            <w:vAlign w:val="center"/>
          </w:tcPr>
          <w:p w:rsidR="00221D6A" w:rsidRDefault="00BA3780">
            <w:pPr>
              <w:spacing w:before="20" w:after="20"/>
              <w:jc w:val="right"/>
              <w:rPr>
                <w:noProof/>
                <w:sz w:val="20"/>
              </w:rPr>
            </w:pPr>
            <w:r>
              <w:rPr>
                <w:noProof/>
                <w:sz w:val="20"/>
              </w:rPr>
              <w:t>2,200</w:t>
            </w:r>
          </w:p>
        </w:tc>
        <w:tc>
          <w:tcPr>
            <w:tcW w:w="868" w:type="dxa"/>
            <w:vAlign w:val="center"/>
          </w:tcPr>
          <w:p w:rsidR="00221D6A" w:rsidRDefault="00BA3780">
            <w:pPr>
              <w:spacing w:before="20" w:after="20"/>
              <w:jc w:val="right"/>
              <w:rPr>
                <w:noProof/>
                <w:sz w:val="20"/>
              </w:rPr>
            </w:pPr>
            <w:r>
              <w:rPr>
                <w:noProof/>
                <w:sz w:val="20"/>
              </w:rPr>
              <w:t>1,150</w:t>
            </w:r>
          </w:p>
        </w:tc>
        <w:tc>
          <w:tcPr>
            <w:tcW w:w="868" w:type="dxa"/>
            <w:vAlign w:val="center"/>
          </w:tcPr>
          <w:p w:rsidR="00221D6A" w:rsidRDefault="00BA3780">
            <w:pPr>
              <w:spacing w:before="20" w:after="20"/>
              <w:jc w:val="right"/>
              <w:rPr>
                <w:noProof/>
                <w:sz w:val="20"/>
              </w:rPr>
            </w:pPr>
            <w:r>
              <w:rPr>
                <w:noProof/>
                <w:sz w:val="20"/>
              </w:rPr>
              <w:t>1,150</w:t>
            </w:r>
          </w:p>
        </w:tc>
        <w:tc>
          <w:tcPr>
            <w:tcW w:w="868" w:type="dxa"/>
            <w:vAlign w:val="center"/>
          </w:tcPr>
          <w:p w:rsidR="00221D6A" w:rsidRDefault="00BA3780">
            <w:pPr>
              <w:spacing w:before="20" w:after="20"/>
              <w:jc w:val="right"/>
              <w:rPr>
                <w:noProof/>
                <w:sz w:val="20"/>
              </w:rPr>
            </w:pPr>
            <w:r>
              <w:rPr>
                <w:noProof/>
                <w:sz w:val="20"/>
              </w:rPr>
              <w:t>1,150</w:t>
            </w:r>
          </w:p>
        </w:tc>
        <w:tc>
          <w:tcPr>
            <w:tcW w:w="868" w:type="dxa"/>
            <w:vAlign w:val="center"/>
          </w:tcPr>
          <w:p w:rsidR="00221D6A" w:rsidRDefault="00BA3780">
            <w:pPr>
              <w:spacing w:before="20" w:after="20"/>
              <w:jc w:val="right"/>
              <w:rPr>
                <w:noProof/>
                <w:sz w:val="20"/>
              </w:rPr>
            </w:pPr>
            <w:r>
              <w:rPr>
                <w:noProof/>
                <w:sz w:val="20"/>
              </w:rPr>
              <w:t>1,150</w:t>
            </w:r>
          </w:p>
        </w:tc>
        <w:tc>
          <w:tcPr>
            <w:tcW w:w="868" w:type="dxa"/>
            <w:vAlign w:val="center"/>
          </w:tcPr>
          <w:p w:rsidR="00221D6A" w:rsidRDefault="00221D6A">
            <w:pPr>
              <w:spacing w:before="20" w:after="20"/>
              <w:jc w:val="right"/>
              <w:rPr>
                <w:noProof/>
                <w:sz w:val="20"/>
              </w:rPr>
            </w:pPr>
          </w:p>
        </w:tc>
        <w:tc>
          <w:tcPr>
            <w:tcW w:w="868" w:type="dxa"/>
            <w:vAlign w:val="center"/>
          </w:tcPr>
          <w:p w:rsidR="00221D6A" w:rsidRDefault="00221D6A">
            <w:pPr>
              <w:spacing w:before="20" w:after="20"/>
              <w:jc w:val="right"/>
              <w:rPr>
                <w:b/>
                <w:noProof/>
                <w:sz w:val="20"/>
              </w:rPr>
            </w:pPr>
          </w:p>
        </w:tc>
        <w:tc>
          <w:tcPr>
            <w:tcW w:w="1777" w:type="dxa"/>
            <w:vAlign w:val="center"/>
          </w:tcPr>
          <w:p w:rsidR="00221D6A" w:rsidRDefault="00221D6A">
            <w:pPr>
              <w:spacing w:before="20" w:after="20"/>
              <w:jc w:val="right"/>
              <w:rPr>
                <w:b/>
                <w:noProof/>
                <w:sz w:val="20"/>
              </w:rPr>
            </w:pPr>
          </w:p>
        </w:tc>
      </w:tr>
    </w:tbl>
    <w:p w:rsidR="00221D6A" w:rsidRDefault="00BA3780">
      <w:pPr>
        <w:rPr>
          <w:noProof/>
        </w:rPr>
      </w:pPr>
      <w:r>
        <w:rPr>
          <w:noProof/>
        </w:rPr>
        <w:br w:type="page"/>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6"/>
        <w:gridCol w:w="1080"/>
        <w:gridCol w:w="7817"/>
      </w:tblGrid>
      <w:tr w:rsidR="00221D6A">
        <w:tc>
          <w:tcPr>
            <w:tcW w:w="4996" w:type="dxa"/>
            <w:shd w:val="thinDiagStripe" w:color="C0C0C0" w:fill="auto"/>
            <w:vAlign w:val="center"/>
          </w:tcPr>
          <w:p w:rsidR="00221D6A" w:rsidRDefault="00BA3780">
            <w:pPr>
              <w:spacing w:before="60" w:after="60"/>
              <w:jc w:val="center"/>
              <w:rPr>
                <w:b/>
                <w:noProof/>
                <w:sz w:val="22"/>
              </w:rPr>
            </w:pPr>
            <w:r>
              <w:rPr>
                <w:noProof/>
              </w:rPr>
              <w:br w:type="page"/>
            </w:r>
            <w:r>
              <w:rPr>
                <w:b/>
                <w:noProof/>
                <w:sz w:val="22"/>
              </w:rPr>
              <w:t>Daugiametės finansinės programos išlaidų</w:t>
            </w:r>
            <w:r>
              <w:rPr>
                <w:noProof/>
                <w:sz w:val="22"/>
              </w:rPr>
              <w:br/>
            </w:r>
            <w:r>
              <w:rPr>
                <w:b/>
                <w:noProof/>
                <w:sz w:val="22"/>
              </w:rPr>
              <w:t xml:space="preserve">kategorija </w:t>
            </w:r>
          </w:p>
        </w:tc>
        <w:tc>
          <w:tcPr>
            <w:tcW w:w="1080" w:type="dxa"/>
            <w:shd w:val="thinDiagStripe" w:color="C0C0C0" w:fill="auto"/>
            <w:vAlign w:val="center"/>
          </w:tcPr>
          <w:p w:rsidR="00221D6A" w:rsidRDefault="00BA3780">
            <w:pPr>
              <w:spacing w:before="60" w:after="60"/>
              <w:jc w:val="center"/>
              <w:rPr>
                <w:noProof/>
                <w:sz w:val="22"/>
              </w:rPr>
            </w:pPr>
            <w:r>
              <w:rPr>
                <w:b/>
                <w:noProof/>
                <w:sz w:val="22"/>
              </w:rPr>
              <w:t>5</w:t>
            </w:r>
          </w:p>
        </w:tc>
        <w:tc>
          <w:tcPr>
            <w:tcW w:w="7817" w:type="dxa"/>
            <w:vAlign w:val="center"/>
          </w:tcPr>
          <w:p w:rsidR="00221D6A" w:rsidRDefault="00BA3780">
            <w:pPr>
              <w:spacing w:before="60" w:after="60"/>
              <w:rPr>
                <w:noProof/>
                <w:sz w:val="22"/>
              </w:rPr>
            </w:pPr>
            <w:r>
              <w:rPr>
                <w:noProof/>
                <w:sz w:val="22"/>
              </w:rPr>
              <w:t>Administracinės išlaidos</w:t>
            </w:r>
          </w:p>
        </w:tc>
      </w:tr>
    </w:tbl>
    <w:p w:rsidR="00221D6A" w:rsidRDefault="00BA3780">
      <w:pPr>
        <w:jc w:val="right"/>
        <w:rPr>
          <w:noProof/>
          <w:sz w:val="20"/>
        </w:rPr>
      </w:pPr>
      <w:r>
        <w:rPr>
          <w:noProof/>
          <w:sz w:val="20"/>
        </w:rPr>
        <w:t>mln. EUR (tūkstantųjų tikslumu)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221D6A">
        <w:tc>
          <w:tcPr>
            <w:tcW w:w="3960" w:type="dxa"/>
            <w:tcBorders>
              <w:top w:val="nil"/>
              <w:left w:val="nil"/>
              <w:right w:val="nil"/>
            </w:tcBorders>
            <w:vAlign w:val="center"/>
          </w:tcPr>
          <w:p w:rsidR="00221D6A" w:rsidRDefault="00221D6A">
            <w:pPr>
              <w:jc w:val="center"/>
              <w:rPr>
                <w:noProof/>
                <w:sz w:val="22"/>
              </w:rPr>
            </w:pPr>
          </w:p>
        </w:tc>
        <w:tc>
          <w:tcPr>
            <w:tcW w:w="1560" w:type="dxa"/>
            <w:tcBorders>
              <w:top w:val="nil"/>
              <w:left w:val="nil"/>
              <w:right w:val="nil"/>
            </w:tcBorders>
          </w:tcPr>
          <w:p w:rsidR="00221D6A" w:rsidRDefault="00221D6A">
            <w:pPr>
              <w:rPr>
                <w:noProof/>
                <w:sz w:val="20"/>
              </w:rPr>
            </w:pPr>
          </w:p>
        </w:tc>
        <w:tc>
          <w:tcPr>
            <w:tcW w:w="534" w:type="dxa"/>
            <w:tcBorders>
              <w:top w:val="nil"/>
              <w:left w:val="nil"/>
            </w:tcBorders>
          </w:tcPr>
          <w:p w:rsidR="00221D6A" w:rsidRDefault="00221D6A">
            <w:pPr>
              <w:jc w:val="center"/>
              <w:rPr>
                <w:noProof/>
                <w:sz w:val="20"/>
              </w:rPr>
            </w:pPr>
          </w:p>
        </w:tc>
        <w:tc>
          <w:tcPr>
            <w:tcW w:w="868" w:type="dxa"/>
            <w:vAlign w:val="center"/>
          </w:tcPr>
          <w:p w:rsidR="00221D6A" w:rsidRDefault="00BA3780">
            <w:pPr>
              <w:jc w:val="center"/>
              <w:rPr>
                <w:noProof/>
                <w:sz w:val="20"/>
              </w:rPr>
            </w:pPr>
            <w:r>
              <w:rPr>
                <w:noProof/>
                <w:sz w:val="20"/>
              </w:rPr>
              <w:t>2016 m.</w:t>
            </w:r>
          </w:p>
        </w:tc>
        <w:tc>
          <w:tcPr>
            <w:tcW w:w="868" w:type="dxa"/>
            <w:vAlign w:val="center"/>
          </w:tcPr>
          <w:p w:rsidR="00221D6A" w:rsidRDefault="00BA3780">
            <w:pPr>
              <w:jc w:val="center"/>
              <w:rPr>
                <w:noProof/>
                <w:sz w:val="20"/>
              </w:rPr>
            </w:pPr>
            <w:r>
              <w:rPr>
                <w:noProof/>
                <w:sz w:val="20"/>
              </w:rPr>
              <w:t>2017 m.</w:t>
            </w:r>
          </w:p>
        </w:tc>
        <w:tc>
          <w:tcPr>
            <w:tcW w:w="868" w:type="dxa"/>
            <w:vAlign w:val="center"/>
          </w:tcPr>
          <w:p w:rsidR="00221D6A" w:rsidRDefault="00BA3780">
            <w:pPr>
              <w:jc w:val="center"/>
              <w:rPr>
                <w:noProof/>
                <w:sz w:val="20"/>
              </w:rPr>
            </w:pPr>
            <w:r>
              <w:rPr>
                <w:noProof/>
                <w:sz w:val="20"/>
              </w:rPr>
              <w:t>2018 m.</w:t>
            </w:r>
          </w:p>
        </w:tc>
        <w:tc>
          <w:tcPr>
            <w:tcW w:w="868" w:type="dxa"/>
            <w:vAlign w:val="center"/>
          </w:tcPr>
          <w:p w:rsidR="00221D6A" w:rsidRDefault="00BA3780">
            <w:pPr>
              <w:jc w:val="center"/>
              <w:rPr>
                <w:noProof/>
                <w:sz w:val="20"/>
              </w:rPr>
            </w:pPr>
            <w:r>
              <w:rPr>
                <w:noProof/>
                <w:sz w:val="20"/>
              </w:rPr>
              <w:t>2019 m.</w:t>
            </w:r>
          </w:p>
        </w:tc>
        <w:tc>
          <w:tcPr>
            <w:tcW w:w="868" w:type="dxa"/>
            <w:vAlign w:val="center"/>
          </w:tcPr>
          <w:p w:rsidR="00221D6A" w:rsidRDefault="00BA3780">
            <w:pPr>
              <w:jc w:val="center"/>
              <w:rPr>
                <w:b/>
                <w:noProof/>
                <w:sz w:val="18"/>
              </w:rPr>
            </w:pPr>
            <w:r>
              <w:rPr>
                <w:noProof/>
                <w:sz w:val="18"/>
              </w:rPr>
              <w:t>2020 m.</w:t>
            </w:r>
          </w:p>
        </w:tc>
        <w:tc>
          <w:tcPr>
            <w:tcW w:w="868" w:type="dxa"/>
            <w:vAlign w:val="center"/>
          </w:tcPr>
          <w:p w:rsidR="00221D6A" w:rsidRDefault="00221D6A">
            <w:pPr>
              <w:jc w:val="center"/>
              <w:rPr>
                <w:b/>
                <w:noProof/>
                <w:sz w:val="18"/>
              </w:rPr>
            </w:pPr>
          </w:p>
        </w:tc>
        <w:tc>
          <w:tcPr>
            <w:tcW w:w="868" w:type="dxa"/>
            <w:vAlign w:val="center"/>
          </w:tcPr>
          <w:p w:rsidR="00221D6A" w:rsidRDefault="00221D6A">
            <w:pPr>
              <w:jc w:val="center"/>
              <w:rPr>
                <w:b/>
                <w:noProof/>
                <w:sz w:val="18"/>
              </w:rPr>
            </w:pPr>
          </w:p>
        </w:tc>
        <w:tc>
          <w:tcPr>
            <w:tcW w:w="1777" w:type="dxa"/>
            <w:vAlign w:val="center"/>
          </w:tcPr>
          <w:p w:rsidR="00221D6A" w:rsidRDefault="00BA3780">
            <w:pPr>
              <w:jc w:val="center"/>
              <w:rPr>
                <w:b/>
                <w:noProof/>
                <w:sz w:val="20"/>
              </w:rPr>
            </w:pPr>
            <w:r>
              <w:rPr>
                <w:b/>
                <w:noProof/>
                <w:sz w:val="20"/>
              </w:rPr>
              <w:t>IŠ VISO</w:t>
            </w:r>
          </w:p>
        </w:tc>
      </w:tr>
      <w:tr w:rsidR="00221D6A">
        <w:trPr>
          <w:gridAfter w:val="10"/>
          <w:wAfter w:w="9947" w:type="dxa"/>
        </w:trPr>
        <w:tc>
          <w:tcPr>
            <w:tcW w:w="3960" w:type="dxa"/>
            <w:vAlign w:val="center"/>
          </w:tcPr>
          <w:p w:rsidR="00221D6A" w:rsidRDefault="00BA3780">
            <w:pPr>
              <w:spacing w:before="60" w:after="60"/>
              <w:jc w:val="center"/>
              <w:rPr>
                <w:noProof/>
                <w:sz w:val="22"/>
              </w:rPr>
            </w:pPr>
            <w:r>
              <w:rPr>
                <w:noProof/>
                <w:sz w:val="22"/>
              </w:rPr>
              <w:t>Energetikos generalinis direktoratas</w:t>
            </w:r>
          </w:p>
        </w:tc>
      </w:tr>
      <w:tr w:rsidR="00221D6A">
        <w:trPr>
          <w:trHeight w:val="313"/>
        </w:trPr>
        <w:tc>
          <w:tcPr>
            <w:tcW w:w="6054" w:type="dxa"/>
            <w:gridSpan w:val="3"/>
            <w:vAlign w:val="center"/>
          </w:tcPr>
          <w:p w:rsidR="00221D6A" w:rsidRDefault="00BA3780">
            <w:pPr>
              <w:spacing w:before="20" w:after="20"/>
              <w:rPr>
                <w:noProof/>
                <w:sz w:val="22"/>
              </w:rPr>
            </w:pPr>
            <w:r>
              <w:rPr>
                <w:noProof/>
                <w:sz w:val="22"/>
              </w:rPr>
              <w:sym w:font="Wingdings" w:char="F09F"/>
            </w:r>
            <w:r>
              <w:rPr>
                <w:noProof/>
                <w:sz w:val="22"/>
              </w:rPr>
              <w:t>Žmogiškieji ištekliai</w:t>
            </w:r>
          </w:p>
        </w:tc>
        <w:tc>
          <w:tcPr>
            <w:tcW w:w="868" w:type="dxa"/>
            <w:vAlign w:val="center"/>
          </w:tcPr>
          <w:p w:rsidR="00221D6A" w:rsidRDefault="00BA3780">
            <w:pPr>
              <w:spacing w:before="20" w:after="20"/>
              <w:jc w:val="right"/>
              <w:rPr>
                <w:noProof/>
                <w:sz w:val="20"/>
              </w:rPr>
            </w:pPr>
            <w:r>
              <w:rPr>
                <w:noProof/>
                <w:sz w:val="20"/>
              </w:rPr>
              <w:t>0,417</w:t>
            </w:r>
          </w:p>
        </w:tc>
        <w:tc>
          <w:tcPr>
            <w:tcW w:w="868" w:type="dxa"/>
            <w:vAlign w:val="center"/>
          </w:tcPr>
          <w:p w:rsidR="00221D6A" w:rsidRDefault="00BA3780">
            <w:pPr>
              <w:spacing w:before="20" w:after="20"/>
              <w:jc w:val="right"/>
              <w:rPr>
                <w:noProof/>
                <w:sz w:val="20"/>
              </w:rPr>
            </w:pPr>
            <w:r>
              <w:rPr>
                <w:noProof/>
                <w:sz w:val="20"/>
              </w:rPr>
              <w:t>0,417</w:t>
            </w:r>
          </w:p>
        </w:tc>
        <w:tc>
          <w:tcPr>
            <w:tcW w:w="868" w:type="dxa"/>
            <w:vAlign w:val="center"/>
          </w:tcPr>
          <w:p w:rsidR="00221D6A" w:rsidRDefault="00BA3780">
            <w:pPr>
              <w:spacing w:before="20" w:after="20"/>
              <w:jc w:val="right"/>
              <w:rPr>
                <w:noProof/>
                <w:sz w:val="20"/>
              </w:rPr>
            </w:pPr>
            <w:r>
              <w:rPr>
                <w:noProof/>
                <w:sz w:val="20"/>
              </w:rPr>
              <w:t>0,417</w:t>
            </w:r>
          </w:p>
        </w:tc>
        <w:tc>
          <w:tcPr>
            <w:tcW w:w="868" w:type="dxa"/>
            <w:vAlign w:val="center"/>
          </w:tcPr>
          <w:p w:rsidR="00221D6A" w:rsidRDefault="00BA3780">
            <w:pPr>
              <w:spacing w:before="20" w:after="20"/>
              <w:jc w:val="right"/>
              <w:rPr>
                <w:noProof/>
                <w:sz w:val="20"/>
              </w:rPr>
            </w:pPr>
            <w:r>
              <w:rPr>
                <w:noProof/>
                <w:sz w:val="20"/>
              </w:rPr>
              <w:t>0,417</w:t>
            </w:r>
          </w:p>
        </w:tc>
        <w:tc>
          <w:tcPr>
            <w:tcW w:w="868" w:type="dxa"/>
            <w:vAlign w:val="center"/>
          </w:tcPr>
          <w:p w:rsidR="00221D6A" w:rsidRDefault="00BA3780">
            <w:pPr>
              <w:spacing w:before="20" w:after="20"/>
              <w:jc w:val="right"/>
              <w:rPr>
                <w:noProof/>
                <w:sz w:val="20"/>
              </w:rPr>
            </w:pPr>
            <w:r>
              <w:rPr>
                <w:noProof/>
                <w:sz w:val="20"/>
              </w:rPr>
              <w:t>0,417</w:t>
            </w:r>
          </w:p>
        </w:tc>
        <w:tc>
          <w:tcPr>
            <w:tcW w:w="868" w:type="dxa"/>
            <w:vAlign w:val="center"/>
          </w:tcPr>
          <w:p w:rsidR="00221D6A" w:rsidRDefault="00221D6A">
            <w:pPr>
              <w:spacing w:before="20" w:after="20"/>
              <w:jc w:val="right"/>
              <w:rPr>
                <w:noProof/>
                <w:sz w:val="20"/>
              </w:rPr>
            </w:pPr>
          </w:p>
        </w:tc>
        <w:tc>
          <w:tcPr>
            <w:tcW w:w="868" w:type="dxa"/>
            <w:vAlign w:val="center"/>
          </w:tcPr>
          <w:p w:rsidR="00221D6A" w:rsidRDefault="00221D6A">
            <w:pPr>
              <w:spacing w:before="20" w:after="20"/>
              <w:jc w:val="right"/>
              <w:rPr>
                <w:b/>
                <w:noProof/>
                <w:sz w:val="20"/>
              </w:rPr>
            </w:pPr>
          </w:p>
        </w:tc>
        <w:tc>
          <w:tcPr>
            <w:tcW w:w="1777" w:type="dxa"/>
            <w:vAlign w:val="center"/>
          </w:tcPr>
          <w:p w:rsidR="00221D6A" w:rsidRDefault="00BA3780">
            <w:pPr>
              <w:spacing w:before="20" w:after="20"/>
              <w:jc w:val="right"/>
              <w:rPr>
                <w:noProof/>
                <w:sz w:val="20"/>
              </w:rPr>
            </w:pPr>
            <w:r>
              <w:rPr>
                <w:noProof/>
                <w:sz w:val="20"/>
              </w:rPr>
              <w:t>2,085</w:t>
            </w:r>
          </w:p>
        </w:tc>
      </w:tr>
      <w:tr w:rsidR="00221D6A">
        <w:trPr>
          <w:trHeight w:val="351"/>
        </w:trPr>
        <w:tc>
          <w:tcPr>
            <w:tcW w:w="6054" w:type="dxa"/>
            <w:gridSpan w:val="3"/>
            <w:vAlign w:val="center"/>
          </w:tcPr>
          <w:p w:rsidR="00221D6A" w:rsidRDefault="00BA3780">
            <w:pPr>
              <w:spacing w:before="20" w:after="20"/>
              <w:rPr>
                <w:noProof/>
                <w:sz w:val="22"/>
              </w:rPr>
            </w:pPr>
            <w:r>
              <w:rPr>
                <w:noProof/>
                <w:sz w:val="22"/>
              </w:rPr>
              <w:sym w:font="Wingdings" w:char="F09F"/>
            </w:r>
            <w:r>
              <w:rPr>
                <w:noProof/>
                <w:sz w:val="22"/>
              </w:rPr>
              <w:t>Kitos administracinės išlaidos</w:t>
            </w:r>
          </w:p>
        </w:tc>
        <w:tc>
          <w:tcPr>
            <w:tcW w:w="868" w:type="dxa"/>
            <w:vAlign w:val="center"/>
          </w:tcPr>
          <w:p w:rsidR="00221D6A" w:rsidRDefault="00BA3780">
            <w:pPr>
              <w:spacing w:before="20" w:after="20"/>
              <w:jc w:val="right"/>
              <w:rPr>
                <w:noProof/>
                <w:sz w:val="20"/>
              </w:rPr>
            </w:pPr>
            <w:r>
              <w:rPr>
                <w:noProof/>
                <w:sz w:val="20"/>
              </w:rPr>
              <w:t>0,066</w:t>
            </w:r>
          </w:p>
        </w:tc>
        <w:tc>
          <w:tcPr>
            <w:tcW w:w="868" w:type="dxa"/>
            <w:vAlign w:val="center"/>
          </w:tcPr>
          <w:p w:rsidR="00221D6A" w:rsidRDefault="00BA3780">
            <w:pPr>
              <w:spacing w:before="20" w:after="20"/>
              <w:jc w:val="right"/>
              <w:rPr>
                <w:b/>
                <w:noProof/>
                <w:sz w:val="20"/>
              </w:rPr>
            </w:pPr>
            <w:r>
              <w:rPr>
                <w:noProof/>
                <w:sz w:val="20"/>
              </w:rPr>
              <w:t>0,066</w:t>
            </w:r>
          </w:p>
        </w:tc>
        <w:tc>
          <w:tcPr>
            <w:tcW w:w="868" w:type="dxa"/>
            <w:vAlign w:val="center"/>
          </w:tcPr>
          <w:p w:rsidR="00221D6A" w:rsidRDefault="00BA3780">
            <w:pPr>
              <w:spacing w:before="20" w:after="20"/>
              <w:jc w:val="right"/>
              <w:rPr>
                <w:b/>
                <w:noProof/>
                <w:sz w:val="20"/>
              </w:rPr>
            </w:pPr>
            <w:r>
              <w:rPr>
                <w:noProof/>
                <w:sz w:val="20"/>
              </w:rPr>
              <w:t>0,066</w:t>
            </w:r>
          </w:p>
        </w:tc>
        <w:tc>
          <w:tcPr>
            <w:tcW w:w="868" w:type="dxa"/>
            <w:vAlign w:val="center"/>
          </w:tcPr>
          <w:p w:rsidR="00221D6A" w:rsidRDefault="00BA3780">
            <w:pPr>
              <w:spacing w:before="20" w:after="20"/>
              <w:jc w:val="right"/>
              <w:rPr>
                <w:b/>
                <w:noProof/>
                <w:sz w:val="20"/>
              </w:rPr>
            </w:pPr>
            <w:r>
              <w:rPr>
                <w:noProof/>
                <w:sz w:val="20"/>
              </w:rPr>
              <w:t>0,066</w:t>
            </w:r>
          </w:p>
        </w:tc>
        <w:tc>
          <w:tcPr>
            <w:tcW w:w="868" w:type="dxa"/>
            <w:vAlign w:val="center"/>
          </w:tcPr>
          <w:p w:rsidR="00221D6A" w:rsidRDefault="00BA3780">
            <w:pPr>
              <w:spacing w:before="20" w:after="20"/>
              <w:jc w:val="right"/>
              <w:rPr>
                <w:b/>
                <w:noProof/>
                <w:sz w:val="20"/>
              </w:rPr>
            </w:pPr>
            <w:r>
              <w:rPr>
                <w:noProof/>
                <w:sz w:val="20"/>
              </w:rPr>
              <w:t>0,066</w:t>
            </w:r>
          </w:p>
        </w:tc>
        <w:tc>
          <w:tcPr>
            <w:tcW w:w="868" w:type="dxa"/>
            <w:vAlign w:val="center"/>
          </w:tcPr>
          <w:p w:rsidR="00221D6A" w:rsidRDefault="00221D6A">
            <w:pPr>
              <w:spacing w:before="20" w:after="20"/>
              <w:jc w:val="right"/>
              <w:rPr>
                <w:b/>
                <w:noProof/>
                <w:sz w:val="20"/>
              </w:rPr>
            </w:pPr>
          </w:p>
        </w:tc>
        <w:tc>
          <w:tcPr>
            <w:tcW w:w="868" w:type="dxa"/>
            <w:vAlign w:val="center"/>
          </w:tcPr>
          <w:p w:rsidR="00221D6A" w:rsidRDefault="00221D6A">
            <w:pPr>
              <w:spacing w:before="20" w:after="20"/>
              <w:jc w:val="right"/>
              <w:rPr>
                <w:b/>
                <w:noProof/>
                <w:sz w:val="20"/>
              </w:rPr>
            </w:pPr>
          </w:p>
        </w:tc>
        <w:tc>
          <w:tcPr>
            <w:tcW w:w="1777" w:type="dxa"/>
            <w:vAlign w:val="center"/>
          </w:tcPr>
          <w:p w:rsidR="00221D6A" w:rsidRDefault="00BA3780">
            <w:pPr>
              <w:spacing w:before="20" w:after="20"/>
              <w:jc w:val="right"/>
              <w:rPr>
                <w:noProof/>
                <w:sz w:val="20"/>
              </w:rPr>
            </w:pPr>
            <w:r>
              <w:rPr>
                <w:noProof/>
                <w:sz w:val="20"/>
              </w:rPr>
              <w:t>0,330</w:t>
            </w:r>
          </w:p>
        </w:tc>
      </w:tr>
      <w:tr w:rsidR="00221D6A">
        <w:tc>
          <w:tcPr>
            <w:tcW w:w="3960" w:type="dxa"/>
            <w:vAlign w:val="center"/>
          </w:tcPr>
          <w:p w:rsidR="00221D6A" w:rsidRDefault="00BA3780">
            <w:pPr>
              <w:jc w:val="center"/>
              <w:rPr>
                <w:b/>
                <w:noProof/>
                <w:sz w:val="22"/>
              </w:rPr>
            </w:pPr>
            <w:r>
              <w:rPr>
                <w:b/>
                <w:noProof/>
                <w:sz w:val="22"/>
              </w:rPr>
              <w:t>Energetikos generalinis direktoratas, IŠ VISO</w:t>
            </w:r>
          </w:p>
        </w:tc>
        <w:tc>
          <w:tcPr>
            <w:tcW w:w="2094" w:type="dxa"/>
            <w:gridSpan w:val="2"/>
            <w:vAlign w:val="center"/>
          </w:tcPr>
          <w:p w:rsidR="00221D6A" w:rsidRDefault="00BA3780">
            <w:pPr>
              <w:rPr>
                <w:noProof/>
                <w:sz w:val="14"/>
              </w:rPr>
            </w:pPr>
            <w:r>
              <w:rPr>
                <w:noProof/>
                <w:sz w:val="18"/>
              </w:rPr>
              <w:t xml:space="preserve">Asignavimai </w:t>
            </w:r>
          </w:p>
        </w:tc>
        <w:tc>
          <w:tcPr>
            <w:tcW w:w="868" w:type="dxa"/>
            <w:vAlign w:val="center"/>
          </w:tcPr>
          <w:p w:rsidR="00221D6A" w:rsidRDefault="00BA3780">
            <w:pPr>
              <w:spacing w:before="60" w:after="60"/>
              <w:jc w:val="right"/>
              <w:rPr>
                <w:noProof/>
                <w:sz w:val="20"/>
              </w:rPr>
            </w:pPr>
            <w:r>
              <w:rPr>
                <w:noProof/>
                <w:sz w:val="20"/>
              </w:rPr>
              <w:t>0,483</w:t>
            </w:r>
          </w:p>
        </w:tc>
        <w:tc>
          <w:tcPr>
            <w:tcW w:w="868" w:type="dxa"/>
            <w:vAlign w:val="center"/>
          </w:tcPr>
          <w:p w:rsidR="00221D6A" w:rsidRDefault="00BA3780">
            <w:pPr>
              <w:spacing w:before="20" w:after="20"/>
              <w:jc w:val="right"/>
              <w:rPr>
                <w:noProof/>
                <w:sz w:val="20"/>
              </w:rPr>
            </w:pPr>
            <w:r>
              <w:rPr>
                <w:noProof/>
                <w:sz w:val="20"/>
              </w:rPr>
              <w:t>0,483</w:t>
            </w:r>
          </w:p>
        </w:tc>
        <w:tc>
          <w:tcPr>
            <w:tcW w:w="868" w:type="dxa"/>
            <w:vAlign w:val="center"/>
          </w:tcPr>
          <w:p w:rsidR="00221D6A" w:rsidRDefault="00BA3780">
            <w:pPr>
              <w:spacing w:before="20" w:after="20"/>
              <w:jc w:val="right"/>
              <w:rPr>
                <w:noProof/>
                <w:sz w:val="20"/>
              </w:rPr>
            </w:pPr>
            <w:r>
              <w:rPr>
                <w:noProof/>
                <w:sz w:val="20"/>
              </w:rPr>
              <w:t>0,483</w:t>
            </w:r>
          </w:p>
        </w:tc>
        <w:tc>
          <w:tcPr>
            <w:tcW w:w="868" w:type="dxa"/>
            <w:vAlign w:val="center"/>
          </w:tcPr>
          <w:p w:rsidR="00221D6A" w:rsidRDefault="00BA3780">
            <w:pPr>
              <w:spacing w:before="20" w:after="20"/>
              <w:jc w:val="right"/>
              <w:rPr>
                <w:noProof/>
                <w:sz w:val="20"/>
              </w:rPr>
            </w:pPr>
            <w:r>
              <w:rPr>
                <w:noProof/>
                <w:sz w:val="20"/>
              </w:rPr>
              <w:t>0,483</w:t>
            </w:r>
          </w:p>
        </w:tc>
        <w:tc>
          <w:tcPr>
            <w:tcW w:w="868" w:type="dxa"/>
            <w:vAlign w:val="center"/>
          </w:tcPr>
          <w:p w:rsidR="00221D6A" w:rsidRDefault="00BA3780">
            <w:pPr>
              <w:spacing w:before="20" w:after="20"/>
              <w:jc w:val="right"/>
              <w:rPr>
                <w:noProof/>
                <w:sz w:val="20"/>
              </w:rPr>
            </w:pPr>
            <w:r>
              <w:rPr>
                <w:noProof/>
                <w:sz w:val="20"/>
              </w:rPr>
              <w:t>0,483</w:t>
            </w:r>
          </w:p>
        </w:tc>
        <w:tc>
          <w:tcPr>
            <w:tcW w:w="868" w:type="dxa"/>
            <w:vAlign w:val="center"/>
          </w:tcPr>
          <w:p w:rsidR="00221D6A" w:rsidRDefault="00221D6A">
            <w:pPr>
              <w:spacing w:before="20" w:after="20"/>
              <w:jc w:val="right"/>
              <w:rPr>
                <w:noProof/>
                <w:sz w:val="20"/>
              </w:rPr>
            </w:pPr>
          </w:p>
        </w:tc>
        <w:tc>
          <w:tcPr>
            <w:tcW w:w="868" w:type="dxa"/>
            <w:vAlign w:val="center"/>
          </w:tcPr>
          <w:p w:rsidR="00221D6A" w:rsidRDefault="00221D6A">
            <w:pPr>
              <w:spacing w:before="20" w:after="20"/>
              <w:jc w:val="right"/>
              <w:rPr>
                <w:b/>
                <w:noProof/>
                <w:sz w:val="20"/>
              </w:rPr>
            </w:pPr>
          </w:p>
        </w:tc>
        <w:tc>
          <w:tcPr>
            <w:tcW w:w="1777" w:type="dxa"/>
            <w:vAlign w:val="center"/>
          </w:tcPr>
          <w:p w:rsidR="00221D6A" w:rsidRDefault="00BA3780">
            <w:pPr>
              <w:spacing w:before="20" w:after="20"/>
              <w:jc w:val="right"/>
              <w:rPr>
                <w:b/>
                <w:noProof/>
                <w:sz w:val="20"/>
              </w:rPr>
            </w:pPr>
            <w:r>
              <w:rPr>
                <w:noProof/>
                <w:sz w:val="20"/>
              </w:rPr>
              <w:t>2,415</w:t>
            </w:r>
          </w:p>
        </w:tc>
      </w:tr>
    </w:tbl>
    <w:p w:rsidR="00221D6A" w:rsidRDefault="00221D6A">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221D6A">
        <w:tc>
          <w:tcPr>
            <w:tcW w:w="3960" w:type="dxa"/>
            <w:shd w:val="thinDiagStripe" w:color="C0C0C0" w:fill="auto"/>
            <w:vAlign w:val="center"/>
          </w:tcPr>
          <w:p w:rsidR="00221D6A" w:rsidRDefault="00BA3780">
            <w:pPr>
              <w:jc w:val="center"/>
              <w:rPr>
                <w:b/>
                <w:noProof/>
                <w:sz w:val="22"/>
              </w:rPr>
            </w:pPr>
            <w:r>
              <w:rPr>
                <w:b/>
                <w:noProof/>
                <w:sz w:val="22"/>
              </w:rPr>
              <w:t>IŠ VISO asignavimų pagal</w:t>
            </w:r>
            <w:r>
              <w:rPr>
                <w:noProof/>
              </w:rPr>
              <w:br/>
            </w:r>
            <w:r>
              <w:rPr>
                <w:noProof/>
                <w:sz w:val="22"/>
              </w:rPr>
              <w:t xml:space="preserve">daugiametės finansinės programos </w:t>
            </w:r>
            <w:r>
              <w:rPr>
                <w:b/>
                <w:noProof/>
                <w:sz w:val="22"/>
              </w:rPr>
              <w:t>5 kategoriją</w:t>
            </w:r>
            <w:r>
              <w:rPr>
                <w:noProof/>
              </w:rPr>
              <w:br/>
            </w:r>
            <w:r>
              <w:rPr>
                <w:noProof/>
                <w:sz w:val="22"/>
              </w:rPr>
              <w:t xml:space="preserve"> </w:t>
            </w:r>
          </w:p>
        </w:tc>
        <w:tc>
          <w:tcPr>
            <w:tcW w:w="2094" w:type="dxa"/>
            <w:vAlign w:val="center"/>
          </w:tcPr>
          <w:p w:rsidR="00221D6A" w:rsidRDefault="00BA3780">
            <w:pPr>
              <w:spacing w:before="40" w:after="40"/>
              <w:rPr>
                <w:noProof/>
                <w:sz w:val="22"/>
              </w:rPr>
            </w:pPr>
            <w:r>
              <w:rPr>
                <w:noProof/>
                <w:sz w:val="18"/>
              </w:rPr>
              <w:t>(Iš viso įsipareigojimų = Iš viso mokėjimų)</w:t>
            </w:r>
          </w:p>
        </w:tc>
        <w:tc>
          <w:tcPr>
            <w:tcW w:w="868" w:type="dxa"/>
            <w:vAlign w:val="center"/>
          </w:tcPr>
          <w:p w:rsidR="00221D6A" w:rsidRDefault="00BA3780">
            <w:pPr>
              <w:spacing w:before="60" w:after="60"/>
              <w:jc w:val="right"/>
              <w:rPr>
                <w:noProof/>
                <w:sz w:val="20"/>
              </w:rPr>
            </w:pPr>
            <w:r>
              <w:rPr>
                <w:noProof/>
                <w:sz w:val="20"/>
              </w:rPr>
              <w:t>0,483</w:t>
            </w:r>
          </w:p>
        </w:tc>
        <w:tc>
          <w:tcPr>
            <w:tcW w:w="868" w:type="dxa"/>
            <w:vAlign w:val="center"/>
          </w:tcPr>
          <w:p w:rsidR="00221D6A" w:rsidRDefault="00BA3780">
            <w:pPr>
              <w:spacing w:before="20" w:after="20"/>
              <w:jc w:val="right"/>
              <w:rPr>
                <w:noProof/>
                <w:sz w:val="20"/>
              </w:rPr>
            </w:pPr>
            <w:r>
              <w:rPr>
                <w:noProof/>
                <w:sz w:val="20"/>
              </w:rPr>
              <w:t>0,483</w:t>
            </w:r>
          </w:p>
        </w:tc>
        <w:tc>
          <w:tcPr>
            <w:tcW w:w="868" w:type="dxa"/>
            <w:vAlign w:val="center"/>
          </w:tcPr>
          <w:p w:rsidR="00221D6A" w:rsidRDefault="00BA3780">
            <w:pPr>
              <w:spacing w:before="20" w:after="20"/>
              <w:jc w:val="right"/>
              <w:rPr>
                <w:noProof/>
                <w:sz w:val="20"/>
              </w:rPr>
            </w:pPr>
            <w:r>
              <w:rPr>
                <w:noProof/>
                <w:sz w:val="20"/>
              </w:rPr>
              <w:t>0,483</w:t>
            </w:r>
          </w:p>
        </w:tc>
        <w:tc>
          <w:tcPr>
            <w:tcW w:w="868" w:type="dxa"/>
            <w:vAlign w:val="center"/>
          </w:tcPr>
          <w:p w:rsidR="00221D6A" w:rsidRDefault="00BA3780">
            <w:pPr>
              <w:spacing w:before="20" w:after="20"/>
              <w:jc w:val="right"/>
              <w:rPr>
                <w:noProof/>
                <w:sz w:val="20"/>
              </w:rPr>
            </w:pPr>
            <w:r>
              <w:rPr>
                <w:noProof/>
                <w:sz w:val="20"/>
              </w:rPr>
              <w:t>0,483</w:t>
            </w:r>
          </w:p>
        </w:tc>
        <w:tc>
          <w:tcPr>
            <w:tcW w:w="868" w:type="dxa"/>
            <w:vAlign w:val="center"/>
          </w:tcPr>
          <w:p w:rsidR="00221D6A" w:rsidRDefault="00BA3780">
            <w:pPr>
              <w:spacing w:before="20" w:after="20"/>
              <w:jc w:val="right"/>
              <w:rPr>
                <w:noProof/>
                <w:sz w:val="20"/>
              </w:rPr>
            </w:pPr>
            <w:r>
              <w:rPr>
                <w:noProof/>
                <w:sz w:val="20"/>
              </w:rPr>
              <w:t>0,483</w:t>
            </w:r>
          </w:p>
        </w:tc>
        <w:tc>
          <w:tcPr>
            <w:tcW w:w="868" w:type="dxa"/>
            <w:vAlign w:val="center"/>
          </w:tcPr>
          <w:p w:rsidR="00221D6A" w:rsidRDefault="00221D6A">
            <w:pPr>
              <w:spacing w:before="20" w:after="20"/>
              <w:jc w:val="right"/>
              <w:rPr>
                <w:noProof/>
                <w:sz w:val="20"/>
              </w:rPr>
            </w:pPr>
          </w:p>
        </w:tc>
        <w:tc>
          <w:tcPr>
            <w:tcW w:w="868" w:type="dxa"/>
            <w:vAlign w:val="center"/>
          </w:tcPr>
          <w:p w:rsidR="00221D6A" w:rsidRDefault="00221D6A">
            <w:pPr>
              <w:spacing w:before="20" w:after="20"/>
              <w:jc w:val="right"/>
              <w:rPr>
                <w:b/>
                <w:noProof/>
                <w:sz w:val="20"/>
              </w:rPr>
            </w:pPr>
          </w:p>
        </w:tc>
        <w:tc>
          <w:tcPr>
            <w:tcW w:w="1777" w:type="dxa"/>
            <w:vAlign w:val="center"/>
          </w:tcPr>
          <w:p w:rsidR="00221D6A" w:rsidRDefault="00BA3780">
            <w:pPr>
              <w:spacing w:before="20" w:after="20"/>
              <w:jc w:val="right"/>
              <w:rPr>
                <w:b/>
                <w:noProof/>
                <w:sz w:val="20"/>
              </w:rPr>
            </w:pPr>
            <w:r>
              <w:rPr>
                <w:noProof/>
                <w:sz w:val="20"/>
              </w:rPr>
              <w:t>2,415</w:t>
            </w:r>
          </w:p>
        </w:tc>
      </w:tr>
    </w:tbl>
    <w:p w:rsidR="00221D6A" w:rsidRDefault="00BA3780">
      <w:pPr>
        <w:jc w:val="right"/>
        <w:rPr>
          <w:noProof/>
          <w:sz w:val="20"/>
        </w:rPr>
      </w:pPr>
      <w:r>
        <w:rPr>
          <w:noProof/>
          <w:sz w:val="20"/>
        </w:rPr>
        <w:t>mln. EUR (tūkstantųjų tikslumu)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221D6A">
        <w:tc>
          <w:tcPr>
            <w:tcW w:w="3960" w:type="dxa"/>
            <w:tcBorders>
              <w:top w:val="nil"/>
              <w:left w:val="nil"/>
              <w:right w:val="nil"/>
            </w:tcBorders>
            <w:vAlign w:val="center"/>
          </w:tcPr>
          <w:p w:rsidR="00221D6A" w:rsidRDefault="00221D6A">
            <w:pPr>
              <w:jc w:val="center"/>
              <w:rPr>
                <w:noProof/>
                <w:sz w:val="22"/>
              </w:rPr>
            </w:pPr>
          </w:p>
        </w:tc>
        <w:tc>
          <w:tcPr>
            <w:tcW w:w="1560" w:type="dxa"/>
            <w:tcBorders>
              <w:top w:val="nil"/>
              <w:left w:val="nil"/>
              <w:right w:val="nil"/>
            </w:tcBorders>
          </w:tcPr>
          <w:p w:rsidR="00221D6A" w:rsidRDefault="00221D6A">
            <w:pPr>
              <w:rPr>
                <w:noProof/>
                <w:sz w:val="20"/>
              </w:rPr>
            </w:pPr>
          </w:p>
        </w:tc>
        <w:tc>
          <w:tcPr>
            <w:tcW w:w="534" w:type="dxa"/>
            <w:tcBorders>
              <w:top w:val="nil"/>
              <w:left w:val="nil"/>
            </w:tcBorders>
          </w:tcPr>
          <w:p w:rsidR="00221D6A" w:rsidRDefault="00221D6A">
            <w:pPr>
              <w:jc w:val="center"/>
              <w:rPr>
                <w:noProof/>
                <w:sz w:val="20"/>
              </w:rPr>
            </w:pPr>
          </w:p>
        </w:tc>
        <w:tc>
          <w:tcPr>
            <w:tcW w:w="868" w:type="dxa"/>
            <w:vAlign w:val="center"/>
          </w:tcPr>
          <w:p w:rsidR="00221D6A" w:rsidRDefault="00BA3780">
            <w:pPr>
              <w:jc w:val="center"/>
              <w:rPr>
                <w:noProof/>
                <w:sz w:val="20"/>
              </w:rPr>
            </w:pPr>
            <w:r>
              <w:rPr>
                <w:noProof/>
                <w:sz w:val="20"/>
              </w:rPr>
              <w:t>2016 m.</w:t>
            </w:r>
          </w:p>
        </w:tc>
        <w:tc>
          <w:tcPr>
            <w:tcW w:w="868" w:type="dxa"/>
            <w:vAlign w:val="center"/>
          </w:tcPr>
          <w:p w:rsidR="00221D6A" w:rsidRDefault="00BA3780">
            <w:pPr>
              <w:jc w:val="center"/>
              <w:rPr>
                <w:noProof/>
                <w:sz w:val="20"/>
              </w:rPr>
            </w:pPr>
            <w:r>
              <w:rPr>
                <w:noProof/>
                <w:sz w:val="20"/>
              </w:rPr>
              <w:t>2017 m.</w:t>
            </w:r>
          </w:p>
        </w:tc>
        <w:tc>
          <w:tcPr>
            <w:tcW w:w="868" w:type="dxa"/>
            <w:vAlign w:val="center"/>
          </w:tcPr>
          <w:p w:rsidR="00221D6A" w:rsidRDefault="00BA3780">
            <w:pPr>
              <w:jc w:val="center"/>
              <w:rPr>
                <w:noProof/>
                <w:sz w:val="20"/>
              </w:rPr>
            </w:pPr>
            <w:r>
              <w:rPr>
                <w:noProof/>
                <w:sz w:val="20"/>
              </w:rPr>
              <w:t>2018 m.</w:t>
            </w:r>
          </w:p>
        </w:tc>
        <w:tc>
          <w:tcPr>
            <w:tcW w:w="868" w:type="dxa"/>
            <w:vAlign w:val="center"/>
          </w:tcPr>
          <w:p w:rsidR="00221D6A" w:rsidRDefault="00BA3780">
            <w:pPr>
              <w:jc w:val="center"/>
              <w:rPr>
                <w:noProof/>
                <w:sz w:val="20"/>
              </w:rPr>
            </w:pPr>
            <w:r>
              <w:rPr>
                <w:noProof/>
                <w:sz w:val="20"/>
              </w:rPr>
              <w:t>2019 m.</w:t>
            </w:r>
          </w:p>
        </w:tc>
        <w:tc>
          <w:tcPr>
            <w:tcW w:w="868" w:type="dxa"/>
            <w:vAlign w:val="center"/>
          </w:tcPr>
          <w:p w:rsidR="00221D6A" w:rsidRDefault="00BA3780">
            <w:pPr>
              <w:jc w:val="center"/>
              <w:rPr>
                <w:b/>
                <w:noProof/>
                <w:sz w:val="18"/>
              </w:rPr>
            </w:pPr>
            <w:r>
              <w:rPr>
                <w:noProof/>
                <w:sz w:val="18"/>
              </w:rPr>
              <w:t>2020 m.</w:t>
            </w:r>
          </w:p>
        </w:tc>
        <w:tc>
          <w:tcPr>
            <w:tcW w:w="868" w:type="dxa"/>
            <w:vAlign w:val="center"/>
          </w:tcPr>
          <w:p w:rsidR="00221D6A" w:rsidRDefault="00221D6A">
            <w:pPr>
              <w:jc w:val="center"/>
              <w:rPr>
                <w:b/>
                <w:noProof/>
                <w:sz w:val="18"/>
              </w:rPr>
            </w:pPr>
          </w:p>
        </w:tc>
        <w:tc>
          <w:tcPr>
            <w:tcW w:w="868" w:type="dxa"/>
            <w:vAlign w:val="center"/>
          </w:tcPr>
          <w:p w:rsidR="00221D6A" w:rsidRDefault="00221D6A">
            <w:pPr>
              <w:jc w:val="center"/>
              <w:rPr>
                <w:b/>
                <w:noProof/>
                <w:sz w:val="18"/>
              </w:rPr>
            </w:pPr>
          </w:p>
        </w:tc>
        <w:tc>
          <w:tcPr>
            <w:tcW w:w="1777" w:type="dxa"/>
            <w:vAlign w:val="center"/>
          </w:tcPr>
          <w:p w:rsidR="00221D6A" w:rsidRDefault="00BA3780">
            <w:pPr>
              <w:jc w:val="center"/>
              <w:rPr>
                <w:b/>
                <w:noProof/>
                <w:sz w:val="20"/>
              </w:rPr>
            </w:pPr>
            <w:r>
              <w:rPr>
                <w:b/>
                <w:noProof/>
                <w:sz w:val="20"/>
              </w:rPr>
              <w:t>IŠ VISO</w:t>
            </w:r>
          </w:p>
        </w:tc>
      </w:tr>
      <w:tr w:rsidR="00221D6A">
        <w:tc>
          <w:tcPr>
            <w:tcW w:w="3960" w:type="dxa"/>
            <w:vMerge w:val="restart"/>
            <w:shd w:val="clear" w:color="auto" w:fill="C0C0C0"/>
            <w:vAlign w:val="center"/>
          </w:tcPr>
          <w:p w:rsidR="00221D6A" w:rsidRDefault="00BA3780">
            <w:pPr>
              <w:jc w:val="center"/>
              <w:rPr>
                <w:b/>
                <w:noProof/>
                <w:sz w:val="22"/>
              </w:rPr>
            </w:pPr>
            <w:r>
              <w:rPr>
                <w:b/>
                <w:noProof/>
                <w:sz w:val="22"/>
              </w:rPr>
              <w:t>IŠ VISO asignavimų</w:t>
            </w:r>
            <w:r>
              <w:rPr>
                <w:noProof/>
              </w:rPr>
              <w:br/>
            </w:r>
            <w:r>
              <w:rPr>
                <w:noProof/>
                <w:sz w:val="22"/>
              </w:rPr>
              <w:t xml:space="preserve">pagal daugiametės finansinės programos </w:t>
            </w:r>
            <w:r>
              <w:rPr>
                <w:b/>
                <w:noProof/>
                <w:sz w:val="22"/>
              </w:rPr>
              <w:t>1–5 IŠLAIDŲ KATEGORIJAS</w:t>
            </w:r>
            <w:r>
              <w:rPr>
                <w:noProof/>
                <w:sz w:val="22"/>
              </w:rPr>
              <w:t xml:space="preserve"> </w:t>
            </w:r>
          </w:p>
        </w:tc>
        <w:tc>
          <w:tcPr>
            <w:tcW w:w="2094" w:type="dxa"/>
            <w:gridSpan w:val="2"/>
            <w:vAlign w:val="center"/>
          </w:tcPr>
          <w:p w:rsidR="00221D6A" w:rsidRDefault="00BA3780">
            <w:pPr>
              <w:rPr>
                <w:noProof/>
                <w:sz w:val="14"/>
              </w:rPr>
            </w:pPr>
            <w:r>
              <w:rPr>
                <w:noProof/>
                <w:sz w:val="18"/>
              </w:rPr>
              <w:t>Įsipareigojimai</w:t>
            </w:r>
          </w:p>
        </w:tc>
        <w:tc>
          <w:tcPr>
            <w:tcW w:w="868" w:type="dxa"/>
            <w:vAlign w:val="center"/>
          </w:tcPr>
          <w:p w:rsidR="00221D6A" w:rsidRDefault="00BA3780">
            <w:pPr>
              <w:spacing w:before="60" w:after="60"/>
              <w:jc w:val="right"/>
              <w:rPr>
                <w:noProof/>
                <w:sz w:val="20"/>
              </w:rPr>
            </w:pPr>
            <w:r>
              <w:rPr>
                <w:noProof/>
                <w:sz w:val="20"/>
              </w:rPr>
              <w:t>2,683</w:t>
            </w:r>
          </w:p>
        </w:tc>
        <w:tc>
          <w:tcPr>
            <w:tcW w:w="868" w:type="dxa"/>
            <w:vAlign w:val="center"/>
          </w:tcPr>
          <w:p w:rsidR="00221D6A" w:rsidRDefault="00BA3780">
            <w:pPr>
              <w:spacing w:before="60" w:after="60"/>
              <w:jc w:val="right"/>
              <w:rPr>
                <w:noProof/>
                <w:sz w:val="20"/>
              </w:rPr>
            </w:pPr>
            <w:r>
              <w:rPr>
                <w:noProof/>
                <w:sz w:val="20"/>
              </w:rPr>
              <w:t>1,633</w:t>
            </w:r>
          </w:p>
        </w:tc>
        <w:tc>
          <w:tcPr>
            <w:tcW w:w="868" w:type="dxa"/>
            <w:vAlign w:val="center"/>
          </w:tcPr>
          <w:p w:rsidR="00221D6A" w:rsidRDefault="00BA3780">
            <w:pPr>
              <w:spacing w:before="60" w:after="60"/>
              <w:jc w:val="right"/>
              <w:rPr>
                <w:noProof/>
                <w:sz w:val="20"/>
              </w:rPr>
            </w:pPr>
            <w:r>
              <w:rPr>
                <w:noProof/>
                <w:sz w:val="20"/>
              </w:rPr>
              <w:t>1,633</w:t>
            </w:r>
          </w:p>
        </w:tc>
        <w:tc>
          <w:tcPr>
            <w:tcW w:w="868" w:type="dxa"/>
            <w:vAlign w:val="center"/>
          </w:tcPr>
          <w:p w:rsidR="00221D6A" w:rsidRDefault="00BA3780">
            <w:pPr>
              <w:spacing w:before="60" w:after="60"/>
              <w:jc w:val="right"/>
              <w:rPr>
                <w:noProof/>
                <w:sz w:val="20"/>
              </w:rPr>
            </w:pPr>
            <w:r>
              <w:rPr>
                <w:noProof/>
                <w:sz w:val="20"/>
              </w:rPr>
              <w:t>1,633</w:t>
            </w:r>
          </w:p>
        </w:tc>
        <w:tc>
          <w:tcPr>
            <w:tcW w:w="868" w:type="dxa"/>
            <w:vAlign w:val="center"/>
          </w:tcPr>
          <w:p w:rsidR="00221D6A" w:rsidRDefault="00BA3780">
            <w:pPr>
              <w:spacing w:before="60" w:after="60"/>
              <w:jc w:val="right"/>
              <w:rPr>
                <w:noProof/>
                <w:sz w:val="20"/>
              </w:rPr>
            </w:pPr>
            <w:r>
              <w:rPr>
                <w:noProof/>
                <w:sz w:val="20"/>
              </w:rPr>
              <w:t>1,633</w:t>
            </w:r>
          </w:p>
        </w:tc>
        <w:tc>
          <w:tcPr>
            <w:tcW w:w="868" w:type="dxa"/>
            <w:vAlign w:val="center"/>
          </w:tcPr>
          <w:p w:rsidR="00221D6A" w:rsidRDefault="00221D6A">
            <w:pPr>
              <w:spacing w:before="60" w:after="60"/>
              <w:jc w:val="right"/>
              <w:rPr>
                <w:noProof/>
                <w:sz w:val="20"/>
              </w:rPr>
            </w:pPr>
          </w:p>
        </w:tc>
        <w:tc>
          <w:tcPr>
            <w:tcW w:w="868" w:type="dxa"/>
            <w:vAlign w:val="center"/>
          </w:tcPr>
          <w:p w:rsidR="00221D6A" w:rsidRDefault="00221D6A">
            <w:pPr>
              <w:spacing w:before="60" w:after="60"/>
              <w:jc w:val="right"/>
              <w:rPr>
                <w:b/>
                <w:noProof/>
                <w:sz w:val="20"/>
              </w:rPr>
            </w:pPr>
          </w:p>
        </w:tc>
        <w:tc>
          <w:tcPr>
            <w:tcW w:w="1777" w:type="dxa"/>
            <w:vAlign w:val="center"/>
          </w:tcPr>
          <w:p w:rsidR="00221D6A" w:rsidRDefault="00BA3780">
            <w:pPr>
              <w:spacing w:before="60" w:after="60"/>
              <w:jc w:val="right"/>
              <w:rPr>
                <w:b/>
                <w:noProof/>
                <w:sz w:val="20"/>
              </w:rPr>
            </w:pPr>
            <w:r>
              <w:rPr>
                <w:noProof/>
                <w:sz w:val="20"/>
              </w:rPr>
              <w:t>9,215</w:t>
            </w:r>
          </w:p>
        </w:tc>
      </w:tr>
      <w:tr w:rsidR="00221D6A">
        <w:tc>
          <w:tcPr>
            <w:tcW w:w="3960" w:type="dxa"/>
            <w:vMerge/>
            <w:shd w:val="clear" w:color="auto" w:fill="C0C0C0"/>
          </w:tcPr>
          <w:p w:rsidR="00221D6A" w:rsidRDefault="00221D6A">
            <w:pPr>
              <w:rPr>
                <w:noProof/>
                <w:sz w:val="20"/>
              </w:rPr>
            </w:pPr>
          </w:p>
        </w:tc>
        <w:tc>
          <w:tcPr>
            <w:tcW w:w="2094" w:type="dxa"/>
            <w:gridSpan w:val="2"/>
            <w:vAlign w:val="center"/>
          </w:tcPr>
          <w:p w:rsidR="00221D6A" w:rsidRDefault="00BA3780">
            <w:pPr>
              <w:rPr>
                <w:noProof/>
                <w:sz w:val="14"/>
              </w:rPr>
            </w:pPr>
            <w:r>
              <w:rPr>
                <w:noProof/>
                <w:sz w:val="18"/>
              </w:rPr>
              <w:t>Mokėjimai</w:t>
            </w:r>
          </w:p>
        </w:tc>
        <w:tc>
          <w:tcPr>
            <w:tcW w:w="868" w:type="dxa"/>
            <w:vAlign w:val="center"/>
          </w:tcPr>
          <w:p w:rsidR="00221D6A" w:rsidRDefault="00BA3780">
            <w:pPr>
              <w:spacing w:before="60" w:after="60"/>
              <w:jc w:val="right"/>
              <w:rPr>
                <w:noProof/>
                <w:sz w:val="20"/>
              </w:rPr>
            </w:pPr>
            <w:r>
              <w:rPr>
                <w:noProof/>
                <w:sz w:val="20"/>
              </w:rPr>
              <w:t>2,683</w:t>
            </w:r>
          </w:p>
        </w:tc>
        <w:tc>
          <w:tcPr>
            <w:tcW w:w="868" w:type="dxa"/>
            <w:vAlign w:val="center"/>
          </w:tcPr>
          <w:p w:rsidR="00221D6A" w:rsidRDefault="00BA3780">
            <w:pPr>
              <w:spacing w:before="60" w:after="60"/>
              <w:jc w:val="right"/>
              <w:rPr>
                <w:noProof/>
                <w:sz w:val="20"/>
              </w:rPr>
            </w:pPr>
            <w:r>
              <w:rPr>
                <w:noProof/>
                <w:sz w:val="20"/>
              </w:rPr>
              <w:t>1,633</w:t>
            </w:r>
          </w:p>
        </w:tc>
        <w:tc>
          <w:tcPr>
            <w:tcW w:w="868" w:type="dxa"/>
            <w:vAlign w:val="center"/>
          </w:tcPr>
          <w:p w:rsidR="00221D6A" w:rsidRDefault="00BA3780">
            <w:pPr>
              <w:spacing w:before="60" w:after="60"/>
              <w:jc w:val="right"/>
              <w:rPr>
                <w:noProof/>
                <w:sz w:val="20"/>
              </w:rPr>
            </w:pPr>
            <w:r>
              <w:rPr>
                <w:noProof/>
                <w:sz w:val="20"/>
              </w:rPr>
              <w:t>1,683</w:t>
            </w:r>
          </w:p>
        </w:tc>
        <w:tc>
          <w:tcPr>
            <w:tcW w:w="868" w:type="dxa"/>
            <w:vAlign w:val="center"/>
          </w:tcPr>
          <w:p w:rsidR="00221D6A" w:rsidRDefault="00BA3780">
            <w:pPr>
              <w:spacing w:before="60" w:after="60"/>
              <w:jc w:val="right"/>
              <w:rPr>
                <w:noProof/>
                <w:sz w:val="20"/>
              </w:rPr>
            </w:pPr>
            <w:r>
              <w:rPr>
                <w:noProof/>
                <w:sz w:val="20"/>
              </w:rPr>
              <w:t>1,633</w:t>
            </w:r>
          </w:p>
        </w:tc>
        <w:tc>
          <w:tcPr>
            <w:tcW w:w="868" w:type="dxa"/>
            <w:vAlign w:val="center"/>
          </w:tcPr>
          <w:p w:rsidR="00221D6A" w:rsidRDefault="00BA3780">
            <w:pPr>
              <w:spacing w:before="60" w:after="60"/>
              <w:jc w:val="right"/>
              <w:rPr>
                <w:noProof/>
                <w:sz w:val="20"/>
              </w:rPr>
            </w:pPr>
            <w:r>
              <w:rPr>
                <w:noProof/>
                <w:sz w:val="20"/>
              </w:rPr>
              <w:t>1,633</w:t>
            </w:r>
          </w:p>
        </w:tc>
        <w:tc>
          <w:tcPr>
            <w:tcW w:w="868" w:type="dxa"/>
            <w:vAlign w:val="center"/>
          </w:tcPr>
          <w:p w:rsidR="00221D6A" w:rsidRDefault="00221D6A">
            <w:pPr>
              <w:spacing w:before="60" w:after="60"/>
              <w:jc w:val="right"/>
              <w:rPr>
                <w:noProof/>
                <w:sz w:val="20"/>
              </w:rPr>
            </w:pPr>
          </w:p>
        </w:tc>
        <w:tc>
          <w:tcPr>
            <w:tcW w:w="868" w:type="dxa"/>
            <w:vAlign w:val="center"/>
          </w:tcPr>
          <w:p w:rsidR="00221D6A" w:rsidRDefault="00221D6A">
            <w:pPr>
              <w:spacing w:before="60" w:after="60"/>
              <w:jc w:val="right"/>
              <w:rPr>
                <w:b/>
                <w:noProof/>
                <w:sz w:val="20"/>
              </w:rPr>
            </w:pPr>
          </w:p>
        </w:tc>
        <w:tc>
          <w:tcPr>
            <w:tcW w:w="1777" w:type="dxa"/>
            <w:vAlign w:val="center"/>
          </w:tcPr>
          <w:p w:rsidR="00221D6A" w:rsidRDefault="00BA3780">
            <w:pPr>
              <w:spacing w:before="60" w:after="60"/>
              <w:jc w:val="right"/>
              <w:rPr>
                <w:b/>
                <w:noProof/>
                <w:sz w:val="20"/>
              </w:rPr>
            </w:pPr>
            <w:r>
              <w:rPr>
                <w:noProof/>
                <w:sz w:val="20"/>
              </w:rPr>
              <w:t>9,215</w:t>
            </w:r>
          </w:p>
        </w:tc>
      </w:tr>
    </w:tbl>
    <w:p w:rsidR="00221D6A" w:rsidRDefault="00221D6A">
      <w:pPr>
        <w:rPr>
          <w:noProof/>
        </w:rPr>
        <w:sectPr w:rsidR="00221D6A">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rsidR="00221D6A" w:rsidRDefault="00BA3780">
      <w:pPr>
        <w:pStyle w:val="ManualHeading3"/>
        <w:rPr>
          <w:bCs/>
          <w:noProof/>
          <w:szCs w:val="24"/>
        </w:rPr>
      </w:pPr>
      <w:r>
        <w:rPr>
          <w:noProof/>
        </w:rPr>
        <w:t>3.2.2.</w:t>
      </w:r>
      <w:r>
        <w:rPr>
          <w:noProof/>
        </w:rPr>
        <w:tab/>
        <w:t xml:space="preserve">Numatomas poveikis veiklos asignavimams </w:t>
      </w:r>
    </w:p>
    <w:p w:rsidR="00221D6A" w:rsidRDefault="00BA3780">
      <w:pPr>
        <w:pStyle w:val="ListDash1"/>
        <w:rPr>
          <w:noProof/>
        </w:rPr>
      </w:pPr>
      <w:r>
        <w:rPr>
          <w:noProof/>
        </w:rPr>
        <w:t>Pasiūlymui (iniciatyvai) įgyvendinti veiklos asignavimai naudojami taip:</w:t>
      </w:r>
    </w:p>
    <w:p w:rsidR="00221D6A" w:rsidRDefault="00BA3780">
      <w:pPr>
        <w:jc w:val="right"/>
        <w:rPr>
          <w:noProof/>
          <w:sz w:val="20"/>
        </w:rPr>
      </w:pPr>
      <w:r>
        <w:rPr>
          <w:noProof/>
          <w:sz w:val="20"/>
        </w:rPr>
        <w:t xml:space="preserve">Įsipareigojimų asignavimai </w:t>
      </w:r>
      <w:r>
        <w:rPr>
          <w:noProof/>
          <w:sz w:val="20"/>
        </w:rPr>
        <w:t>mln. EUR (tūkstantųjų tikslumu)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2"/>
        <w:gridCol w:w="116"/>
        <w:gridCol w:w="590"/>
        <w:gridCol w:w="837"/>
        <w:gridCol w:w="675"/>
        <w:gridCol w:w="682"/>
        <w:gridCol w:w="675"/>
        <w:gridCol w:w="682"/>
        <w:gridCol w:w="675"/>
        <w:gridCol w:w="682"/>
        <w:gridCol w:w="675"/>
        <w:gridCol w:w="682"/>
        <w:gridCol w:w="683"/>
        <w:gridCol w:w="690"/>
        <w:gridCol w:w="675"/>
        <w:gridCol w:w="547"/>
        <w:gridCol w:w="675"/>
        <w:gridCol w:w="547"/>
        <w:gridCol w:w="605"/>
        <w:gridCol w:w="1275"/>
      </w:tblGrid>
      <w:tr w:rsidR="00221D6A">
        <w:trPr>
          <w:jc w:val="center"/>
        </w:trPr>
        <w:tc>
          <w:tcPr>
            <w:tcW w:w="1552" w:type="dxa"/>
            <w:vMerge w:val="restart"/>
            <w:vAlign w:val="center"/>
          </w:tcPr>
          <w:p w:rsidR="00221D6A" w:rsidRDefault="00BA3780">
            <w:pPr>
              <w:ind w:right="-29"/>
              <w:jc w:val="center"/>
              <w:rPr>
                <w:b/>
                <w:noProof/>
                <w:sz w:val="18"/>
                <w:szCs w:val="18"/>
              </w:rPr>
            </w:pPr>
            <w:r>
              <w:rPr>
                <w:b/>
                <w:noProof/>
                <w:sz w:val="18"/>
              </w:rPr>
              <w:t xml:space="preserve">Nurodyti tikslus ir rezultatus </w:t>
            </w:r>
          </w:p>
          <w:p w:rsidR="00221D6A" w:rsidRDefault="00221D6A">
            <w:pPr>
              <w:ind w:right="-29"/>
              <w:jc w:val="center"/>
              <w:rPr>
                <w:b/>
                <w:noProof/>
                <w:sz w:val="18"/>
                <w:szCs w:val="18"/>
              </w:rPr>
            </w:pPr>
          </w:p>
          <w:p w:rsidR="00221D6A" w:rsidRDefault="00BA3780">
            <w:pPr>
              <w:ind w:right="-29"/>
              <w:jc w:val="center"/>
              <w:rPr>
                <w:noProof/>
                <w:sz w:val="18"/>
                <w:szCs w:val="18"/>
              </w:rPr>
            </w:pPr>
            <w:r>
              <w:rPr>
                <w:noProof/>
                <w:sz w:val="18"/>
              </w:rPr>
              <w:sym w:font="Wingdings" w:char="F0F2"/>
            </w:r>
          </w:p>
        </w:tc>
        <w:tc>
          <w:tcPr>
            <w:tcW w:w="706" w:type="dxa"/>
            <w:gridSpan w:val="2"/>
            <w:vAlign w:val="center"/>
          </w:tcPr>
          <w:p w:rsidR="00221D6A" w:rsidRDefault="00221D6A">
            <w:pPr>
              <w:ind w:right="-29"/>
              <w:jc w:val="center"/>
              <w:rPr>
                <w:noProof/>
                <w:sz w:val="18"/>
                <w:szCs w:val="18"/>
              </w:rPr>
            </w:pPr>
          </w:p>
        </w:tc>
        <w:tc>
          <w:tcPr>
            <w:tcW w:w="837" w:type="dxa"/>
            <w:vAlign w:val="center"/>
          </w:tcPr>
          <w:p w:rsidR="00221D6A" w:rsidRDefault="00221D6A">
            <w:pPr>
              <w:ind w:right="-29"/>
              <w:jc w:val="center"/>
              <w:rPr>
                <w:noProof/>
                <w:sz w:val="18"/>
                <w:szCs w:val="18"/>
              </w:rPr>
            </w:pPr>
          </w:p>
        </w:tc>
        <w:tc>
          <w:tcPr>
            <w:tcW w:w="1357" w:type="dxa"/>
            <w:gridSpan w:val="2"/>
            <w:tcBorders>
              <w:left w:val="nil"/>
            </w:tcBorders>
            <w:vAlign w:val="center"/>
          </w:tcPr>
          <w:p w:rsidR="00221D6A" w:rsidRDefault="00BA3780">
            <w:pPr>
              <w:ind w:right="-29"/>
              <w:jc w:val="center"/>
              <w:rPr>
                <w:noProof/>
                <w:sz w:val="18"/>
                <w:szCs w:val="18"/>
              </w:rPr>
            </w:pPr>
            <w:r>
              <w:rPr>
                <w:noProof/>
                <w:sz w:val="20"/>
              </w:rPr>
              <w:t>2016 m.</w:t>
            </w:r>
          </w:p>
        </w:tc>
        <w:tc>
          <w:tcPr>
            <w:tcW w:w="1357" w:type="dxa"/>
            <w:gridSpan w:val="2"/>
            <w:vAlign w:val="center"/>
          </w:tcPr>
          <w:p w:rsidR="00221D6A" w:rsidRDefault="00BA3780">
            <w:pPr>
              <w:ind w:right="-29"/>
              <w:jc w:val="center"/>
              <w:rPr>
                <w:noProof/>
                <w:sz w:val="18"/>
                <w:szCs w:val="18"/>
              </w:rPr>
            </w:pPr>
            <w:r>
              <w:rPr>
                <w:noProof/>
                <w:sz w:val="20"/>
              </w:rPr>
              <w:t>2017 m.</w:t>
            </w:r>
          </w:p>
        </w:tc>
        <w:tc>
          <w:tcPr>
            <w:tcW w:w="1357" w:type="dxa"/>
            <w:gridSpan w:val="2"/>
            <w:vAlign w:val="center"/>
          </w:tcPr>
          <w:p w:rsidR="00221D6A" w:rsidRDefault="00BA3780">
            <w:pPr>
              <w:ind w:right="-29"/>
              <w:jc w:val="center"/>
              <w:rPr>
                <w:noProof/>
                <w:sz w:val="18"/>
                <w:szCs w:val="18"/>
              </w:rPr>
            </w:pPr>
            <w:r>
              <w:rPr>
                <w:noProof/>
                <w:sz w:val="20"/>
              </w:rPr>
              <w:t>2018 m.</w:t>
            </w:r>
          </w:p>
        </w:tc>
        <w:tc>
          <w:tcPr>
            <w:tcW w:w="1357" w:type="dxa"/>
            <w:gridSpan w:val="2"/>
            <w:vAlign w:val="center"/>
          </w:tcPr>
          <w:p w:rsidR="00221D6A" w:rsidRDefault="00BA3780">
            <w:pPr>
              <w:ind w:right="-29"/>
              <w:jc w:val="center"/>
              <w:rPr>
                <w:noProof/>
                <w:sz w:val="18"/>
                <w:szCs w:val="18"/>
              </w:rPr>
            </w:pPr>
            <w:r>
              <w:rPr>
                <w:noProof/>
                <w:sz w:val="20"/>
              </w:rPr>
              <w:t>2019 m.</w:t>
            </w:r>
          </w:p>
        </w:tc>
        <w:tc>
          <w:tcPr>
            <w:tcW w:w="1373" w:type="dxa"/>
            <w:gridSpan w:val="2"/>
            <w:vAlign w:val="center"/>
          </w:tcPr>
          <w:p w:rsidR="00221D6A" w:rsidRDefault="00BA3780">
            <w:pPr>
              <w:jc w:val="center"/>
              <w:rPr>
                <w:noProof/>
                <w:sz w:val="18"/>
                <w:szCs w:val="18"/>
              </w:rPr>
            </w:pPr>
            <w:r>
              <w:rPr>
                <w:noProof/>
                <w:sz w:val="18"/>
              </w:rPr>
              <w:t>2020 m.</w:t>
            </w:r>
          </w:p>
        </w:tc>
        <w:tc>
          <w:tcPr>
            <w:tcW w:w="1222" w:type="dxa"/>
            <w:gridSpan w:val="2"/>
            <w:vAlign w:val="center"/>
          </w:tcPr>
          <w:p w:rsidR="00221D6A" w:rsidRDefault="00221D6A">
            <w:pPr>
              <w:jc w:val="center"/>
              <w:rPr>
                <w:noProof/>
                <w:sz w:val="18"/>
                <w:szCs w:val="18"/>
              </w:rPr>
            </w:pPr>
          </w:p>
        </w:tc>
        <w:tc>
          <w:tcPr>
            <w:tcW w:w="1222" w:type="dxa"/>
            <w:gridSpan w:val="2"/>
            <w:vAlign w:val="center"/>
          </w:tcPr>
          <w:p w:rsidR="00221D6A" w:rsidRDefault="00221D6A">
            <w:pPr>
              <w:jc w:val="center"/>
              <w:rPr>
                <w:noProof/>
                <w:sz w:val="18"/>
                <w:szCs w:val="18"/>
              </w:rPr>
            </w:pPr>
          </w:p>
        </w:tc>
        <w:tc>
          <w:tcPr>
            <w:tcW w:w="1880" w:type="dxa"/>
            <w:gridSpan w:val="2"/>
            <w:tcBorders>
              <w:left w:val="nil"/>
              <w:bottom w:val="nil"/>
            </w:tcBorders>
            <w:vAlign w:val="center"/>
          </w:tcPr>
          <w:p w:rsidR="00221D6A" w:rsidRDefault="00BA3780">
            <w:pPr>
              <w:ind w:right="-29"/>
              <w:jc w:val="center"/>
              <w:rPr>
                <w:noProof/>
                <w:sz w:val="18"/>
                <w:szCs w:val="18"/>
              </w:rPr>
            </w:pPr>
            <w:r>
              <w:rPr>
                <w:b/>
                <w:noProof/>
                <w:sz w:val="18"/>
              </w:rPr>
              <w:t>IŠ VISO</w:t>
            </w:r>
          </w:p>
        </w:tc>
      </w:tr>
      <w:tr w:rsidR="00221D6A">
        <w:trPr>
          <w:jc w:val="center"/>
        </w:trPr>
        <w:tc>
          <w:tcPr>
            <w:tcW w:w="1552" w:type="dxa"/>
            <w:vMerge/>
            <w:vAlign w:val="center"/>
          </w:tcPr>
          <w:p w:rsidR="00221D6A" w:rsidRDefault="00221D6A">
            <w:pPr>
              <w:ind w:right="-29"/>
              <w:jc w:val="center"/>
              <w:rPr>
                <w:noProof/>
                <w:sz w:val="18"/>
                <w:szCs w:val="18"/>
              </w:rPr>
            </w:pPr>
          </w:p>
        </w:tc>
        <w:tc>
          <w:tcPr>
            <w:tcW w:w="12668" w:type="dxa"/>
            <w:gridSpan w:val="19"/>
            <w:vAlign w:val="center"/>
          </w:tcPr>
          <w:p w:rsidR="00221D6A" w:rsidRDefault="00BA3780">
            <w:pPr>
              <w:spacing w:before="60" w:after="60"/>
              <w:ind w:right="-29"/>
              <w:jc w:val="center"/>
              <w:rPr>
                <w:noProof/>
                <w:sz w:val="18"/>
                <w:szCs w:val="18"/>
              </w:rPr>
            </w:pPr>
            <w:r>
              <w:rPr>
                <w:b/>
                <w:noProof/>
                <w:sz w:val="18"/>
              </w:rPr>
              <w:t>REZULTATAI</w:t>
            </w:r>
          </w:p>
        </w:tc>
      </w:tr>
      <w:tr w:rsidR="00221D6A">
        <w:trPr>
          <w:cantSplit/>
          <w:trHeight w:val="1134"/>
          <w:jc w:val="center"/>
        </w:trPr>
        <w:tc>
          <w:tcPr>
            <w:tcW w:w="1552" w:type="dxa"/>
            <w:vMerge/>
            <w:vAlign w:val="center"/>
          </w:tcPr>
          <w:p w:rsidR="00221D6A" w:rsidRDefault="00221D6A">
            <w:pPr>
              <w:rPr>
                <w:noProof/>
                <w:sz w:val="18"/>
                <w:szCs w:val="18"/>
              </w:rPr>
            </w:pPr>
          </w:p>
        </w:tc>
        <w:tc>
          <w:tcPr>
            <w:tcW w:w="706" w:type="dxa"/>
            <w:gridSpan w:val="2"/>
            <w:vAlign w:val="center"/>
          </w:tcPr>
          <w:p w:rsidR="00221D6A" w:rsidRDefault="00BA3780">
            <w:pPr>
              <w:jc w:val="center"/>
              <w:rPr>
                <w:noProof/>
                <w:sz w:val="18"/>
                <w:szCs w:val="18"/>
              </w:rPr>
            </w:pPr>
            <w:r>
              <w:rPr>
                <w:noProof/>
                <w:sz w:val="18"/>
              </w:rPr>
              <w:t>Rūšis</w:t>
            </w:r>
            <w:r>
              <w:rPr>
                <w:rStyle w:val="FootnoteReference"/>
                <w:noProof/>
                <w:sz w:val="18"/>
              </w:rPr>
              <w:footnoteReference w:id="29"/>
            </w:r>
          </w:p>
          <w:p w:rsidR="00221D6A" w:rsidRDefault="00221D6A">
            <w:pPr>
              <w:spacing w:before="0" w:after="0"/>
              <w:jc w:val="center"/>
              <w:rPr>
                <w:noProof/>
                <w:sz w:val="18"/>
                <w:szCs w:val="18"/>
              </w:rPr>
            </w:pPr>
          </w:p>
        </w:tc>
        <w:tc>
          <w:tcPr>
            <w:tcW w:w="837" w:type="dxa"/>
            <w:vAlign w:val="center"/>
          </w:tcPr>
          <w:p w:rsidR="00221D6A" w:rsidRDefault="00BA3780">
            <w:pPr>
              <w:jc w:val="center"/>
              <w:rPr>
                <w:noProof/>
                <w:sz w:val="18"/>
                <w:szCs w:val="18"/>
              </w:rPr>
            </w:pPr>
            <w:r>
              <w:rPr>
                <w:noProof/>
                <w:sz w:val="18"/>
              </w:rPr>
              <w:t>Vidutinės sąnaudos</w:t>
            </w:r>
          </w:p>
        </w:tc>
        <w:tc>
          <w:tcPr>
            <w:tcW w:w="675" w:type="dxa"/>
            <w:tcBorders>
              <w:left w:val="nil"/>
              <w:right w:val="dashSmallGap" w:sz="4" w:space="0" w:color="auto"/>
            </w:tcBorders>
            <w:shd w:val="pct10" w:color="auto" w:fill="auto"/>
            <w:textDirection w:val="btLr"/>
            <w:vAlign w:val="center"/>
          </w:tcPr>
          <w:p w:rsidR="00221D6A" w:rsidRDefault="00BA3780">
            <w:pPr>
              <w:ind w:left="113" w:right="113"/>
              <w:jc w:val="center"/>
              <w:rPr>
                <w:noProof/>
                <w:sz w:val="18"/>
                <w:szCs w:val="18"/>
              </w:rPr>
            </w:pPr>
            <w:r>
              <w:rPr>
                <w:noProof/>
                <w:sz w:val="18"/>
              </w:rPr>
              <w:t>Ne</w:t>
            </w:r>
          </w:p>
        </w:tc>
        <w:tc>
          <w:tcPr>
            <w:tcW w:w="682" w:type="dxa"/>
            <w:tcBorders>
              <w:left w:val="dashSmallGap" w:sz="4" w:space="0" w:color="auto"/>
            </w:tcBorders>
            <w:shd w:val="pct10" w:color="auto" w:fill="auto"/>
            <w:vAlign w:val="center"/>
          </w:tcPr>
          <w:p w:rsidR="00221D6A" w:rsidRDefault="00BA3780">
            <w:pPr>
              <w:jc w:val="center"/>
              <w:rPr>
                <w:noProof/>
                <w:sz w:val="18"/>
                <w:szCs w:val="18"/>
              </w:rPr>
            </w:pPr>
            <w:r>
              <w:rPr>
                <w:noProof/>
                <w:sz w:val="18"/>
              </w:rPr>
              <w:t>Sąnaudos</w:t>
            </w:r>
          </w:p>
        </w:tc>
        <w:tc>
          <w:tcPr>
            <w:tcW w:w="675" w:type="dxa"/>
            <w:tcBorders>
              <w:right w:val="dashSmallGap" w:sz="4" w:space="0" w:color="auto"/>
            </w:tcBorders>
            <w:shd w:val="pct10" w:color="auto" w:fill="auto"/>
            <w:textDirection w:val="btLr"/>
            <w:vAlign w:val="center"/>
          </w:tcPr>
          <w:p w:rsidR="00221D6A" w:rsidRDefault="00BA3780">
            <w:pPr>
              <w:ind w:left="113" w:right="113"/>
              <w:jc w:val="center"/>
              <w:rPr>
                <w:noProof/>
                <w:sz w:val="18"/>
                <w:szCs w:val="18"/>
              </w:rPr>
            </w:pPr>
            <w:r>
              <w:rPr>
                <w:noProof/>
                <w:sz w:val="18"/>
              </w:rPr>
              <w:t>Ne</w:t>
            </w:r>
          </w:p>
        </w:tc>
        <w:tc>
          <w:tcPr>
            <w:tcW w:w="682" w:type="dxa"/>
            <w:tcBorders>
              <w:left w:val="dashSmallGap" w:sz="4" w:space="0" w:color="auto"/>
            </w:tcBorders>
            <w:shd w:val="pct10" w:color="auto" w:fill="auto"/>
            <w:vAlign w:val="center"/>
          </w:tcPr>
          <w:p w:rsidR="00221D6A" w:rsidRDefault="00BA3780">
            <w:pPr>
              <w:jc w:val="center"/>
              <w:rPr>
                <w:noProof/>
                <w:sz w:val="18"/>
                <w:szCs w:val="18"/>
              </w:rPr>
            </w:pPr>
            <w:r>
              <w:rPr>
                <w:noProof/>
                <w:sz w:val="18"/>
              </w:rPr>
              <w:t>Sąnaudos</w:t>
            </w:r>
          </w:p>
        </w:tc>
        <w:tc>
          <w:tcPr>
            <w:tcW w:w="675" w:type="dxa"/>
            <w:tcBorders>
              <w:right w:val="dashSmallGap" w:sz="4" w:space="0" w:color="auto"/>
            </w:tcBorders>
            <w:shd w:val="pct10" w:color="auto" w:fill="auto"/>
            <w:textDirection w:val="btLr"/>
            <w:vAlign w:val="center"/>
          </w:tcPr>
          <w:p w:rsidR="00221D6A" w:rsidRDefault="00BA3780">
            <w:pPr>
              <w:ind w:left="113" w:right="113"/>
              <w:jc w:val="center"/>
              <w:rPr>
                <w:noProof/>
                <w:sz w:val="18"/>
                <w:szCs w:val="18"/>
              </w:rPr>
            </w:pPr>
            <w:r>
              <w:rPr>
                <w:noProof/>
                <w:sz w:val="18"/>
              </w:rPr>
              <w:t>Ne</w:t>
            </w:r>
          </w:p>
        </w:tc>
        <w:tc>
          <w:tcPr>
            <w:tcW w:w="682" w:type="dxa"/>
            <w:tcBorders>
              <w:left w:val="dashSmallGap" w:sz="4" w:space="0" w:color="auto"/>
            </w:tcBorders>
            <w:shd w:val="pct10" w:color="auto" w:fill="auto"/>
            <w:vAlign w:val="center"/>
          </w:tcPr>
          <w:p w:rsidR="00221D6A" w:rsidRDefault="00BA3780">
            <w:pPr>
              <w:jc w:val="center"/>
              <w:rPr>
                <w:noProof/>
                <w:sz w:val="18"/>
                <w:szCs w:val="18"/>
              </w:rPr>
            </w:pPr>
            <w:r>
              <w:rPr>
                <w:noProof/>
                <w:sz w:val="18"/>
              </w:rPr>
              <w:t>Sąnaudos</w:t>
            </w:r>
          </w:p>
        </w:tc>
        <w:tc>
          <w:tcPr>
            <w:tcW w:w="675" w:type="dxa"/>
            <w:tcBorders>
              <w:right w:val="dashSmallGap" w:sz="4" w:space="0" w:color="auto"/>
            </w:tcBorders>
            <w:shd w:val="pct10" w:color="auto" w:fill="auto"/>
            <w:textDirection w:val="btLr"/>
            <w:vAlign w:val="center"/>
          </w:tcPr>
          <w:p w:rsidR="00221D6A" w:rsidRDefault="00BA3780">
            <w:pPr>
              <w:ind w:left="113" w:right="113"/>
              <w:jc w:val="center"/>
              <w:rPr>
                <w:noProof/>
                <w:sz w:val="18"/>
                <w:szCs w:val="18"/>
              </w:rPr>
            </w:pPr>
            <w:r>
              <w:rPr>
                <w:noProof/>
                <w:sz w:val="18"/>
              </w:rPr>
              <w:t>Ne</w:t>
            </w:r>
          </w:p>
        </w:tc>
        <w:tc>
          <w:tcPr>
            <w:tcW w:w="682" w:type="dxa"/>
            <w:tcBorders>
              <w:left w:val="dashSmallGap" w:sz="4" w:space="0" w:color="auto"/>
            </w:tcBorders>
            <w:shd w:val="pct10" w:color="auto" w:fill="auto"/>
            <w:vAlign w:val="center"/>
          </w:tcPr>
          <w:p w:rsidR="00221D6A" w:rsidRDefault="00BA3780">
            <w:pPr>
              <w:jc w:val="center"/>
              <w:rPr>
                <w:noProof/>
                <w:sz w:val="18"/>
                <w:szCs w:val="18"/>
              </w:rPr>
            </w:pPr>
            <w:r>
              <w:rPr>
                <w:noProof/>
                <w:sz w:val="18"/>
              </w:rPr>
              <w:t>Sąnaudos</w:t>
            </w:r>
          </w:p>
        </w:tc>
        <w:tc>
          <w:tcPr>
            <w:tcW w:w="683" w:type="dxa"/>
            <w:tcBorders>
              <w:right w:val="dashSmallGap" w:sz="4" w:space="0" w:color="auto"/>
            </w:tcBorders>
            <w:shd w:val="pct10" w:color="auto" w:fill="auto"/>
            <w:textDirection w:val="btLr"/>
            <w:vAlign w:val="center"/>
          </w:tcPr>
          <w:p w:rsidR="00221D6A" w:rsidRDefault="00BA3780">
            <w:pPr>
              <w:ind w:left="113" w:right="113"/>
              <w:jc w:val="center"/>
              <w:rPr>
                <w:noProof/>
                <w:sz w:val="18"/>
                <w:szCs w:val="18"/>
              </w:rPr>
            </w:pPr>
            <w:r>
              <w:rPr>
                <w:noProof/>
                <w:sz w:val="18"/>
              </w:rPr>
              <w:t>Ne</w:t>
            </w:r>
          </w:p>
        </w:tc>
        <w:tc>
          <w:tcPr>
            <w:tcW w:w="690" w:type="dxa"/>
            <w:tcBorders>
              <w:left w:val="dashSmallGap" w:sz="4" w:space="0" w:color="auto"/>
            </w:tcBorders>
            <w:shd w:val="pct10" w:color="auto" w:fill="auto"/>
            <w:vAlign w:val="center"/>
          </w:tcPr>
          <w:p w:rsidR="00221D6A" w:rsidRDefault="00BA3780">
            <w:pPr>
              <w:jc w:val="center"/>
              <w:rPr>
                <w:noProof/>
                <w:sz w:val="18"/>
                <w:szCs w:val="18"/>
              </w:rPr>
            </w:pPr>
            <w:r>
              <w:rPr>
                <w:noProof/>
                <w:sz w:val="18"/>
              </w:rPr>
              <w:t>Sąnaudos</w:t>
            </w:r>
          </w:p>
        </w:tc>
        <w:tc>
          <w:tcPr>
            <w:tcW w:w="675" w:type="dxa"/>
            <w:tcBorders>
              <w:right w:val="dashSmallGap" w:sz="4" w:space="0" w:color="auto"/>
            </w:tcBorders>
            <w:shd w:val="pct10" w:color="auto" w:fill="auto"/>
            <w:textDirection w:val="btLr"/>
            <w:vAlign w:val="center"/>
          </w:tcPr>
          <w:p w:rsidR="00221D6A" w:rsidRDefault="00BA3780">
            <w:pPr>
              <w:ind w:left="113" w:right="113"/>
              <w:jc w:val="center"/>
              <w:rPr>
                <w:noProof/>
                <w:sz w:val="18"/>
                <w:szCs w:val="18"/>
              </w:rPr>
            </w:pPr>
            <w:r>
              <w:rPr>
                <w:noProof/>
                <w:sz w:val="18"/>
              </w:rPr>
              <w:t>Ne</w:t>
            </w:r>
          </w:p>
        </w:tc>
        <w:tc>
          <w:tcPr>
            <w:tcW w:w="547" w:type="dxa"/>
            <w:tcBorders>
              <w:left w:val="dashSmallGap" w:sz="4" w:space="0" w:color="auto"/>
            </w:tcBorders>
            <w:shd w:val="pct10" w:color="auto" w:fill="auto"/>
            <w:vAlign w:val="center"/>
          </w:tcPr>
          <w:p w:rsidR="00221D6A" w:rsidRDefault="00BA3780">
            <w:pPr>
              <w:jc w:val="center"/>
              <w:rPr>
                <w:noProof/>
                <w:sz w:val="18"/>
                <w:szCs w:val="18"/>
              </w:rPr>
            </w:pPr>
            <w:r>
              <w:rPr>
                <w:noProof/>
                <w:sz w:val="18"/>
              </w:rPr>
              <w:t>Sąnaudos</w:t>
            </w:r>
          </w:p>
        </w:tc>
        <w:tc>
          <w:tcPr>
            <w:tcW w:w="675" w:type="dxa"/>
            <w:tcBorders>
              <w:right w:val="dashSmallGap" w:sz="4" w:space="0" w:color="auto"/>
            </w:tcBorders>
            <w:shd w:val="pct10" w:color="auto" w:fill="auto"/>
            <w:textDirection w:val="btLr"/>
            <w:vAlign w:val="center"/>
          </w:tcPr>
          <w:p w:rsidR="00221D6A" w:rsidRDefault="00BA3780">
            <w:pPr>
              <w:ind w:left="113" w:right="113"/>
              <w:jc w:val="center"/>
              <w:rPr>
                <w:noProof/>
                <w:sz w:val="18"/>
                <w:szCs w:val="18"/>
              </w:rPr>
            </w:pPr>
            <w:r>
              <w:rPr>
                <w:noProof/>
                <w:sz w:val="18"/>
              </w:rPr>
              <w:t>Ne</w:t>
            </w:r>
          </w:p>
        </w:tc>
        <w:tc>
          <w:tcPr>
            <w:tcW w:w="547" w:type="dxa"/>
            <w:tcBorders>
              <w:left w:val="dashSmallGap" w:sz="4" w:space="0" w:color="auto"/>
            </w:tcBorders>
            <w:shd w:val="pct10" w:color="auto" w:fill="auto"/>
            <w:vAlign w:val="center"/>
          </w:tcPr>
          <w:p w:rsidR="00221D6A" w:rsidRDefault="00BA3780">
            <w:pPr>
              <w:jc w:val="center"/>
              <w:rPr>
                <w:noProof/>
                <w:sz w:val="18"/>
                <w:szCs w:val="18"/>
              </w:rPr>
            </w:pPr>
            <w:r>
              <w:rPr>
                <w:noProof/>
                <w:sz w:val="18"/>
              </w:rPr>
              <w:t>Sąnaudos</w:t>
            </w:r>
          </w:p>
        </w:tc>
        <w:tc>
          <w:tcPr>
            <w:tcW w:w="605" w:type="dxa"/>
            <w:tcBorders>
              <w:right w:val="dashSmallGap" w:sz="4" w:space="0" w:color="auto"/>
            </w:tcBorders>
            <w:shd w:val="pct10" w:color="auto" w:fill="auto"/>
            <w:vAlign w:val="center"/>
          </w:tcPr>
          <w:p w:rsidR="00221D6A" w:rsidRDefault="00BA3780">
            <w:pPr>
              <w:jc w:val="center"/>
              <w:rPr>
                <w:noProof/>
                <w:sz w:val="18"/>
                <w:szCs w:val="18"/>
              </w:rPr>
            </w:pPr>
            <w:r>
              <w:rPr>
                <w:noProof/>
                <w:sz w:val="18"/>
              </w:rPr>
              <w:t xml:space="preserve">Bendras </w:t>
            </w:r>
            <w:r>
              <w:rPr>
                <w:noProof/>
                <w:sz w:val="18"/>
              </w:rPr>
              <w:t>skaičius</w:t>
            </w:r>
          </w:p>
        </w:tc>
        <w:tc>
          <w:tcPr>
            <w:tcW w:w="1275" w:type="dxa"/>
            <w:tcBorders>
              <w:left w:val="dashSmallGap" w:sz="4" w:space="0" w:color="auto"/>
            </w:tcBorders>
            <w:shd w:val="pct10" w:color="auto" w:fill="auto"/>
            <w:vAlign w:val="center"/>
          </w:tcPr>
          <w:p w:rsidR="00221D6A" w:rsidRDefault="00BA3780">
            <w:pPr>
              <w:jc w:val="center"/>
              <w:rPr>
                <w:noProof/>
                <w:sz w:val="18"/>
                <w:szCs w:val="18"/>
              </w:rPr>
            </w:pPr>
            <w:r>
              <w:rPr>
                <w:noProof/>
                <w:sz w:val="18"/>
              </w:rPr>
              <w:t>Iš viso sąnaudų</w:t>
            </w:r>
          </w:p>
        </w:tc>
      </w:tr>
      <w:tr w:rsidR="00221D6A">
        <w:trPr>
          <w:jc w:val="center"/>
        </w:trPr>
        <w:tc>
          <w:tcPr>
            <w:tcW w:w="8523" w:type="dxa"/>
            <w:gridSpan w:val="12"/>
            <w:vAlign w:val="center"/>
          </w:tcPr>
          <w:p w:rsidR="00221D6A" w:rsidRDefault="00BA3780">
            <w:pPr>
              <w:spacing w:before="60" w:after="60"/>
              <w:ind w:right="-29"/>
              <w:jc w:val="left"/>
              <w:rPr>
                <w:noProof/>
                <w:sz w:val="18"/>
                <w:szCs w:val="18"/>
              </w:rPr>
            </w:pPr>
            <w:r>
              <w:rPr>
                <w:noProof/>
                <w:sz w:val="18"/>
              </w:rPr>
              <w:t>KONKRETUS TIKSLAS. Skatinimas mažinti energijos poreikį</w:t>
            </w:r>
          </w:p>
        </w:tc>
        <w:tc>
          <w:tcPr>
            <w:tcW w:w="683" w:type="dxa"/>
            <w:tcBorders>
              <w:top w:val="nil"/>
              <w:left w:val="nil"/>
              <w:bottom w:val="nil"/>
              <w:right w:val="nil"/>
            </w:tcBorders>
          </w:tcPr>
          <w:p w:rsidR="00221D6A" w:rsidRDefault="00221D6A">
            <w:pPr>
              <w:spacing w:before="60" w:after="60"/>
              <w:ind w:right="-29"/>
              <w:jc w:val="center"/>
              <w:rPr>
                <w:noProof/>
                <w:sz w:val="18"/>
                <w:szCs w:val="18"/>
              </w:rPr>
            </w:pPr>
          </w:p>
        </w:tc>
        <w:tc>
          <w:tcPr>
            <w:tcW w:w="690" w:type="dxa"/>
            <w:tcBorders>
              <w:top w:val="nil"/>
              <w:left w:val="nil"/>
              <w:bottom w:val="nil"/>
              <w:right w:val="nil"/>
            </w:tcBorders>
          </w:tcPr>
          <w:p w:rsidR="00221D6A" w:rsidRDefault="00221D6A">
            <w:pPr>
              <w:spacing w:before="60" w:after="60"/>
              <w:ind w:right="-29"/>
              <w:jc w:val="center"/>
              <w:rPr>
                <w:noProof/>
                <w:sz w:val="18"/>
                <w:szCs w:val="18"/>
              </w:rPr>
            </w:pPr>
          </w:p>
        </w:tc>
        <w:tc>
          <w:tcPr>
            <w:tcW w:w="675" w:type="dxa"/>
            <w:tcBorders>
              <w:top w:val="nil"/>
              <w:left w:val="nil"/>
              <w:bottom w:val="nil"/>
              <w:right w:val="nil"/>
            </w:tcBorders>
          </w:tcPr>
          <w:p w:rsidR="00221D6A" w:rsidRDefault="00221D6A">
            <w:pPr>
              <w:spacing w:before="60" w:after="60"/>
              <w:ind w:right="-29"/>
              <w:jc w:val="center"/>
              <w:rPr>
                <w:noProof/>
                <w:sz w:val="18"/>
                <w:szCs w:val="18"/>
              </w:rPr>
            </w:pPr>
          </w:p>
        </w:tc>
        <w:tc>
          <w:tcPr>
            <w:tcW w:w="547" w:type="dxa"/>
            <w:tcBorders>
              <w:top w:val="nil"/>
              <w:left w:val="nil"/>
              <w:bottom w:val="nil"/>
              <w:right w:val="nil"/>
            </w:tcBorders>
          </w:tcPr>
          <w:p w:rsidR="00221D6A" w:rsidRDefault="00221D6A">
            <w:pPr>
              <w:spacing w:before="60" w:after="60"/>
              <w:ind w:right="-29"/>
              <w:jc w:val="center"/>
              <w:rPr>
                <w:noProof/>
                <w:sz w:val="18"/>
                <w:szCs w:val="18"/>
              </w:rPr>
            </w:pPr>
          </w:p>
        </w:tc>
        <w:tc>
          <w:tcPr>
            <w:tcW w:w="675" w:type="dxa"/>
            <w:tcBorders>
              <w:top w:val="nil"/>
              <w:left w:val="nil"/>
              <w:bottom w:val="nil"/>
              <w:right w:val="nil"/>
            </w:tcBorders>
          </w:tcPr>
          <w:p w:rsidR="00221D6A" w:rsidRDefault="00221D6A">
            <w:pPr>
              <w:spacing w:before="60" w:after="60"/>
              <w:ind w:right="-29"/>
              <w:jc w:val="center"/>
              <w:rPr>
                <w:noProof/>
                <w:sz w:val="18"/>
                <w:szCs w:val="18"/>
              </w:rPr>
            </w:pPr>
          </w:p>
        </w:tc>
        <w:tc>
          <w:tcPr>
            <w:tcW w:w="547" w:type="dxa"/>
            <w:tcBorders>
              <w:top w:val="nil"/>
              <w:left w:val="nil"/>
              <w:bottom w:val="nil"/>
              <w:right w:val="nil"/>
            </w:tcBorders>
          </w:tcPr>
          <w:p w:rsidR="00221D6A" w:rsidRDefault="00221D6A">
            <w:pPr>
              <w:spacing w:before="60" w:after="60"/>
              <w:ind w:right="-29"/>
              <w:jc w:val="center"/>
              <w:rPr>
                <w:noProof/>
                <w:sz w:val="18"/>
                <w:szCs w:val="18"/>
              </w:rPr>
            </w:pPr>
          </w:p>
        </w:tc>
        <w:tc>
          <w:tcPr>
            <w:tcW w:w="605" w:type="dxa"/>
            <w:tcBorders>
              <w:top w:val="nil"/>
              <w:left w:val="nil"/>
              <w:bottom w:val="nil"/>
              <w:right w:val="nil"/>
            </w:tcBorders>
          </w:tcPr>
          <w:p w:rsidR="00221D6A" w:rsidRDefault="00221D6A">
            <w:pPr>
              <w:spacing w:before="60" w:after="60"/>
              <w:ind w:right="-29"/>
              <w:jc w:val="center"/>
              <w:rPr>
                <w:noProof/>
                <w:sz w:val="18"/>
                <w:szCs w:val="18"/>
              </w:rPr>
            </w:pPr>
          </w:p>
        </w:tc>
        <w:tc>
          <w:tcPr>
            <w:tcW w:w="1275" w:type="dxa"/>
            <w:tcBorders>
              <w:top w:val="nil"/>
              <w:left w:val="nil"/>
              <w:bottom w:val="nil"/>
              <w:right w:val="nil"/>
            </w:tcBorders>
          </w:tcPr>
          <w:p w:rsidR="00221D6A" w:rsidRDefault="00221D6A">
            <w:pPr>
              <w:spacing w:before="60" w:after="60"/>
              <w:ind w:right="-29"/>
              <w:jc w:val="center"/>
              <w:rPr>
                <w:noProof/>
                <w:sz w:val="18"/>
                <w:szCs w:val="18"/>
              </w:rPr>
            </w:pPr>
          </w:p>
        </w:tc>
      </w:tr>
      <w:tr w:rsidR="00221D6A">
        <w:trPr>
          <w:trHeight w:hRule="exact" w:val="940"/>
          <w:jc w:val="center"/>
        </w:trPr>
        <w:tc>
          <w:tcPr>
            <w:tcW w:w="1668" w:type="dxa"/>
            <w:gridSpan w:val="2"/>
          </w:tcPr>
          <w:p w:rsidR="00221D6A" w:rsidRDefault="00BA3780">
            <w:pPr>
              <w:ind w:right="-29"/>
              <w:jc w:val="center"/>
              <w:rPr>
                <w:noProof/>
                <w:sz w:val="18"/>
                <w:szCs w:val="18"/>
              </w:rPr>
            </w:pPr>
            <w:r>
              <w:rPr>
                <w:noProof/>
                <w:sz w:val="18"/>
              </w:rPr>
              <w:t>Su energija susijusių gaminių registravimo duomenų bazės parengimas.</w:t>
            </w:r>
          </w:p>
        </w:tc>
        <w:tc>
          <w:tcPr>
            <w:tcW w:w="590" w:type="dxa"/>
          </w:tcPr>
          <w:p w:rsidR="00221D6A" w:rsidRDefault="00221D6A">
            <w:pPr>
              <w:ind w:right="-29"/>
              <w:jc w:val="center"/>
              <w:rPr>
                <w:noProof/>
                <w:sz w:val="18"/>
                <w:szCs w:val="18"/>
              </w:rPr>
            </w:pPr>
          </w:p>
        </w:tc>
        <w:tc>
          <w:tcPr>
            <w:tcW w:w="837" w:type="dxa"/>
          </w:tcPr>
          <w:p w:rsidR="00221D6A" w:rsidRDefault="00221D6A">
            <w:pPr>
              <w:ind w:right="-29"/>
              <w:jc w:val="center"/>
              <w:rPr>
                <w:noProof/>
                <w:sz w:val="18"/>
                <w:szCs w:val="18"/>
              </w:rPr>
            </w:pPr>
          </w:p>
        </w:tc>
        <w:tc>
          <w:tcPr>
            <w:tcW w:w="675" w:type="dxa"/>
            <w:tcBorders>
              <w:right w:val="dashSmallGap" w:sz="4" w:space="0" w:color="auto"/>
            </w:tcBorders>
          </w:tcPr>
          <w:p w:rsidR="00221D6A" w:rsidRDefault="00BA3780">
            <w:pPr>
              <w:ind w:right="-29"/>
              <w:jc w:val="center"/>
              <w:rPr>
                <w:noProof/>
                <w:sz w:val="18"/>
                <w:szCs w:val="18"/>
              </w:rPr>
            </w:pPr>
            <w:r>
              <w:rPr>
                <w:noProof/>
                <w:sz w:val="18"/>
              </w:rPr>
              <w:t>1</w:t>
            </w:r>
          </w:p>
        </w:tc>
        <w:tc>
          <w:tcPr>
            <w:tcW w:w="682" w:type="dxa"/>
            <w:tcBorders>
              <w:left w:val="dashSmallGap" w:sz="4" w:space="0" w:color="auto"/>
            </w:tcBorders>
          </w:tcPr>
          <w:p w:rsidR="00221D6A" w:rsidRDefault="00BA3780">
            <w:pPr>
              <w:ind w:right="-29"/>
              <w:jc w:val="center"/>
              <w:rPr>
                <w:noProof/>
                <w:sz w:val="18"/>
                <w:szCs w:val="18"/>
              </w:rPr>
            </w:pPr>
            <w:r>
              <w:rPr>
                <w:noProof/>
                <w:sz w:val="18"/>
              </w:rPr>
              <w:t>1,500</w:t>
            </w:r>
          </w:p>
        </w:tc>
        <w:tc>
          <w:tcPr>
            <w:tcW w:w="675" w:type="dxa"/>
            <w:tcBorders>
              <w:right w:val="dashSmallGap" w:sz="4" w:space="0" w:color="auto"/>
            </w:tcBorders>
          </w:tcPr>
          <w:p w:rsidR="00221D6A" w:rsidRDefault="00221D6A">
            <w:pPr>
              <w:ind w:right="-29"/>
              <w:jc w:val="center"/>
              <w:rPr>
                <w:noProof/>
                <w:sz w:val="18"/>
                <w:szCs w:val="18"/>
              </w:rPr>
            </w:pPr>
          </w:p>
        </w:tc>
        <w:tc>
          <w:tcPr>
            <w:tcW w:w="682" w:type="dxa"/>
            <w:tcBorders>
              <w:left w:val="dashSmallGap" w:sz="4" w:space="0" w:color="auto"/>
            </w:tcBorders>
          </w:tcPr>
          <w:p w:rsidR="00221D6A" w:rsidRDefault="00221D6A">
            <w:pPr>
              <w:ind w:right="-29"/>
              <w:jc w:val="center"/>
              <w:rPr>
                <w:noProof/>
                <w:sz w:val="18"/>
                <w:szCs w:val="18"/>
              </w:rPr>
            </w:pPr>
          </w:p>
        </w:tc>
        <w:tc>
          <w:tcPr>
            <w:tcW w:w="675" w:type="dxa"/>
            <w:tcBorders>
              <w:right w:val="dashSmallGap" w:sz="4" w:space="0" w:color="auto"/>
            </w:tcBorders>
          </w:tcPr>
          <w:p w:rsidR="00221D6A" w:rsidRDefault="00221D6A">
            <w:pPr>
              <w:ind w:right="-29"/>
              <w:jc w:val="center"/>
              <w:rPr>
                <w:noProof/>
                <w:sz w:val="18"/>
                <w:szCs w:val="18"/>
              </w:rPr>
            </w:pPr>
          </w:p>
        </w:tc>
        <w:tc>
          <w:tcPr>
            <w:tcW w:w="682" w:type="dxa"/>
            <w:tcBorders>
              <w:left w:val="dashSmallGap" w:sz="4" w:space="0" w:color="auto"/>
            </w:tcBorders>
          </w:tcPr>
          <w:p w:rsidR="00221D6A" w:rsidRDefault="00221D6A">
            <w:pPr>
              <w:ind w:right="-29"/>
              <w:jc w:val="center"/>
              <w:rPr>
                <w:noProof/>
                <w:sz w:val="18"/>
                <w:szCs w:val="18"/>
              </w:rPr>
            </w:pPr>
          </w:p>
        </w:tc>
        <w:tc>
          <w:tcPr>
            <w:tcW w:w="675" w:type="dxa"/>
            <w:tcBorders>
              <w:right w:val="dashSmallGap" w:sz="4" w:space="0" w:color="auto"/>
            </w:tcBorders>
          </w:tcPr>
          <w:p w:rsidR="00221D6A" w:rsidRDefault="00221D6A">
            <w:pPr>
              <w:ind w:right="-29"/>
              <w:jc w:val="center"/>
              <w:rPr>
                <w:noProof/>
                <w:sz w:val="18"/>
                <w:szCs w:val="18"/>
              </w:rPr>
            </w:pPr>
          </w:p>
        </w:tc>
        <w:tc>
          <w:tcPr>
            <w:tcW w:w="682" w:type="dxa"/>
            <w:tcBorders>
              <w:left w:val="dashSmallGap" w:sz="4" w:space="0" w:color="auto"/>
            </w:tcBorders>
          </w:tcPr>
          <w:p w:rsidR="00221D6A" w:rsidRDefault="00221D6A">
            <w:pPr>
              <w:ind w:right="-29"/>
              <w:jc w:val="center"/>
              <w:rPr>
                <w:noProof/>
                <w:sz w:val="18"/>
                <w:szCs w:val="18"/>
              </w:rPr>
            </w:pPr>
          </w:p>
        </w:tc>
        <w:tc>
          <w:tcPr>
            <w:tcW w:w="683" w:type="dxa"/>
            <w:tcBorders>
              <w:right w:val="dashSmallGap" w:sz="4" w:space="0" w:color="auto"/>
            </w:tcBorders>
          </w:tcPr>
          <w:p w:rsidR="00221D6A" w:rsidRDefault="00221D6A">
            <w:pPr>
              <w:ind w:right="-29"/>
              <w:jc w:val="center"/>
              <w:rPr>
                <w:noProof/>
                <w:sz w:val="18"/>
                <w:szCs w:val="18"/>
              </w:rPr>
            </w:pPr>
          </w:p>
        </w:tc>
        <w:tc>
          <w:tcPr>
            <w:tcW w:w="690" w:type="dxa"/>
            <w:tcBorders>
              <w:left w:val="dashSmallGap" w:sz="4" w:space="0" w:color="auto"/>
            </w:tcBorders>
          </w:tcPr>
          <w:p w:rsidR="00221D6A" w:rsidRDefault="00221D6A">
            <w:pPr>
              <w:ind w:right="-29"/>
              <w:jc w:val="center"/>
              <w:rPr>
                <w:noProof/>
                <w:sz w:val="18"/>
                <w:szCs w:val="18"/>
              </w:rPr>
            </w:pPr>
          </w:p>
        </w:tc>
        <w:tc>
          <w:tcPr>
            <w:tcW w:w="675" w:type="dxa"/>
            <w:tcBorders>
              <w:right w:val="dashSmallGap" w:sz="4" w:space="0" w:color="auto"/>
            </w:tcBorders>
          </w:tcPr>
          <w:p w:rsidR="00221D6A" w:rsidRDefault="00221D6A">
            <w:pPr>
              <w:ind w:right="-29"/>
              <w:jc w:val="center"/>
              <w:rPr>
                <w:noProof/>
                <w:sz w:val="18"/>
                <w:szCs w:val="18"/>
              </w:rPr>
            </w:pPr>
          </w:p>
        </w:tc>
        <w:tc>
          <w:tcPr>
            <w:tcW w:w="547" w:type="dxa"/>
            <w:tcBorders>
              <w:left w:val="dashSmallGap" w:sz="4" w:space="0" w:color="auto"/>
            </w:tcBorders>
          </w:tcPr>
          <w:p w:rsidR="00221D6A" w:rsidRDefault="00221D6A">
            <w:pPr>
              <w:ind w:right="-29"/>
              <w:jc w:val="center"/>
              <w:rPr>
                <w:noProof/>
                <w:sz w:val="18"/>
                <w:szCs w:val="18"/>
              </w:rPr>
            </w:pPr>
          </w:p>
        </w:tc>
        <w:tc>
          <w:tcPr>
            <w:tcW w:w="675" w:type="dxa"/>
            <w:tcBorders>
              <w:right w:val="dashSmallGap" w:sz="4" w:space="0" w:color="auto"/>
            </w:tcBorders>
          </w:tcPr>
          <w:p w:rsidR="00221D6A" w:rsidRDefault="00221D6A">
            <w:pPr>
              <w:ind w:right="-29"/>
              <w:jc w:val="center"/>
              <w:rPr>
                <w:noProof/>
                <w:sz w:val="18"/>
                <w:szCs w:val="18"/>
              </w:rPr>
            </w:pPr>
          </w:p>
        </w:tc>
        <w:tc>
          <w:tcPr>
            <w:tcW w:w="547" w:type="dxa"/>
            <w:tcBorders>
              <w:left w:val="dashSmallGap" w:sz="4" w:space="0" w:color="auto"/>
            </w:tcBorders>
          </w:tcPr>
          <w:p w:rsidR="00221D6A" w:rsidRDefault="00221D6A">
            <w:pPr>
              <w:ind w:right="-29"/>
              <w:jc w:val="center"/>
              <w:rPr>
                <w:noProof/>
                <w:sz w:val="18"/>
                <w:szCs w:val="18"/>
              </w:rPr>
            </w:pPr>
          </w:p>
        </w:tc>
        <w:tc>
          <w:tcPr>
            <w:tcW w:w="605" w:type="dxa"/>
          </w:tcPr>
          <w:p w:rsidR="00221D6A" w:rsidRDefault="00BA3780">
            <w:pPr>
              <w:ind w:right="-29"/>
              <w:jc w:val="center"/>
              <w:rPr>
                <w:noProof/>
                <w:sz w:val="18"/>
                <w:szCs w:val="18"/>
              </w:rPr>
            </w:pPr>
            <w:r>
              <w:rPr>
                <w:noProof/>
                <w:sz w:val="18"/>
              </w:rPr>
              <w:t>1</w:t>
            </w:r>
          </w:p>
        </w:tc>
        <w:tc>
          <w:tcPr>
            <w:tcW w:w="1275" w:type="dxa"/>
          </w:tcPr>
          <w:p w:rsidR="00221D6A" w:rsidRDefault="00BA3780">
            <w:pPr>
              <w:ind w:right="-29"/>
              <w:jc w:val="center"/>
              <w:rPr>
                <w:noProof/>
                <w:sz w:val="18"/>
                <w:szCs w:val="18"/>
              </w:rPr>
            </w:pPr>
            <w:r>
              <w:rPr>
                <w:noProof/>
                <w:sz w:val="18"/>
              </w:rPr>
              <w:t>1,500</w:t>
            </w:r>
          </w:p>
        </w:tc>
      </w:tr>
      <w:tr w:rsidR="00221D6A">
        <w:trPr>
          <w:trHeight w:hRule="exact" w:val="1072"/>
          <w:jc w:val="center"/>
        </w:trPr>
        <w:tc>
          <w:tcPr>
            <w:tcW w:w="1668" w:type="dxa"/>
            <w:gridSpan w:val="2"/>
          </w:tcPr>
          <w:p w:rsidR="00221D6A" w:rsidRDefault="00BA3780">
            <w:pPr>
              <w:ind w:right="-29"/>
              <w:jc w:val="center"/>
              <w:rPr>
                <w:noProof/>
                <w:sz w:val="18"/>
                <w:szCs w:val="18"/>
              </w:rPr>
            </w:pPr>
            <w:r>
              <w:rPr>
                <w:noProof/>
                <w:sz w:val="18"/>
              </w:rPr>
              <w:t>Su energija susijusių gaminių registravimo duomenų bazės techninė priežiūra.</w:t>
            </w:r>
          </w:p>
        </w:tc>
        <w:tc>
          <w:tcPr>
            <w:tcW w:w="590" w:type="dxa"/>
          </w:tcPr>
          <w:p w:rsidR="00221D6A" w:rsidRDefault="00221D6A">
            <w:pPr>
              <w:ind w:right="-29"/>
              <w:jc w:val="center"/>
              <w:rPr>
                <w:noProof/>
                <w:sz w:val="18"/>
                <w:szCs w:val="18"/>
              </w:rPr>
            </w:pPr>
          </w:p>
        </w:tc>
        <w:tc>
          <w:tcPr>
            <w:tcW w:w="837" w:type="dxa"/>
          </w:tcPr>
          <w:p w:rsidR="00221D6A" w:rsidRDefault="00221D6A">
            <w:pPr>
              <w:ind w:right="-29"/>
              <w:jc w:val="center"/>
              <w:rPr>
                <w:noProof/>
                <w:sz w:val="18"/>
                <w:szCs w:val="18"/>
              </w:rPr>
            </w:pPr>
          </w:p>
        </w:tc>
        <w:tc>
          <w:tcPr>
            <w:tcW w:w="675" w:type="dxa"/>
            <w:tcBorders>
              <w:right w:val="dashSmallGap" w:sz="4" w:space="0" w:color="auto"/>
            </w:tcBorders>
          </w:tcPr>
          <w:p w:rsidR="00221D6A" w:rsidRDefault="00221D6A">
            <w:pPr>
              <w:ind w:right="-29"/>
              <w:jc w:val="center"/>
              <w:rPr>
                <w:noProof/>
                <w:sz w:val="18"/>
                <w:szCs w:val="18"/>
              </w:rPr>
            </w:pPr>
          </w:p>
        </w:tc>
        <w:tc>
          <w:tcPr>
            <w:tcW w:w="682" w:type="dxa"/>
            <w:tcBorders>
              <w:left w:val="dashSmallGap" w:sz="4" w:space="0" w:color="auto"/>
            </w:tcBorders>
          </w:tcPr>
          <w:p w:rsidR="00221D6A" w:rsidRDefault="00221D6A">
            <w:pPr>
              <w:ind w:right="-29"/>
              <w:jc w:val="center"/>
              <w:rPr>
                <w:noProof/>
                <w:sz w:val="18"/>
                <w:szCs w:val="18"/>
              </w:rPr>
            </w:pPr>
          </w:p>
        </w:tc>
        <w:tc>
          <w:tcPr>
            <w:tcW w:w="675" w:type="dxa"/>
            <w:tcBorders>
              <w:right w:val="dashSmallGap" w:sz="4" w:space="0" w:color="auto"/>
            </w:tcBorders>
          </w:tcPr>
          <w:p w:rsidR="00221D6A" w:rsidRDefault="00BA3780">
            <w:pPr>
              <w:ind w:right="-29"/>
              <w:jc w:val="center"/>
              <w:rPr>
                <w:noProof/>
                <w:sz w:val="18"/>
                <w:szCs w:val="18"/>
              </w:rPr>
            </w:pPr>
            <w:r>
              <w:rPr>
                <w:noProof/>
                <w:sz w:val="18"/>
              </w:rPr>
              <w:t>1</w:t>
            </w:r>
          </w:p>
        </w:tc>
        <w:tc>
          <w:tcPr>
            <w:tcW w:w="682" w:type="dxa"/>
            <w:tcBorders>
              <w:left w:val="dashSmallGap" w:sz="4" w:space="0" w:color="auto"/>
            </w:tcBorders>
          </w:tcPr>
          <w:p w:rsidR="00221D6A" w:rsidRDefault="00BA3780">
            <w:pPr>
              <w:ind w:right="-29"/>
              <w:jc w:val="center"/>
              <w:rPr>
                <w:noProof/>
                <w:sz w:val="18"/>
                <w:szCs w:val="18"/>
              </w:rPr>
            </w:pPr>
            <w:r>
              <w:rPr>
                <w:noProof/>
                <w:sz w:val="18"/>
              </w:rPr>
              <w:t>0,150</w:t>
            </w:r>
          </w:p>
        </w:tc>
        <w:tc>
          <w:tcPr>
            <w:tcW w:w="675" w:type="dxa"/>
            <w:tcBorders>
              <w:right w:val="dashSmallGap" w:sz="4" w:space="0" w:color="auto"/>
            </w:tcBorders>
          </w:tcPr>
          <w:p w:rsidR="00221D6A" w:rsidRDefault="00BA3780">
            <w:pPr>
              <w:ind w:right="-29"/>
              <w:jc w:val="center"/>
              <w:rPr>
                <w:noProof/>
                <w:sz w:val="18"/>
                <w:szCs w:val="18"/>
              </w:rPr>
            </w:pPr>
            <w:r>
              <w:rPr>
                <w:noProof/>
                <w:sz w:val="18"/>
              </w:rPr>
              <w:t>1</w:t>
            </w:r>
          </w:p>
        </w:tc>
        <w:tc>
          <w:tcPr>
            <w:tcW w:w="682" w:type="dxa"/>
            <w:tcBorders>
              <w:left w:val="dashSmallGap" w:sz="4" w:space="0" w:color="auto"/>
            </w:tcBorders>
          </w:tcPr>
          <w:p w:rsidR="00221D6A" w:rsidRDefault="00BA3780">
            <w:pPr>
              <w:ind w:right="-29"/>
              <w:jc w:val="center"/>
              <w:rPr>
                <w:noProof/>
                <w:sz w:val="18"/>
                <w:szCs w:val="18"/>
              </w:rPr>
            </w:pPr>
            <w:r>
              <w:rPr>
                <w:noProof/>
                <w:sz w:val="18"/>
              </w:rPr>
              <w:t>0,150</w:t>
            </w:r>
          </w:p>
        </w:tc>
        <w:tc>
          <w:tcPr>
            <w:tcW w:w="675" w:type="dxa"/>
            <w:tcBorders>
              <w:right w:val="dashSmallGap" w:sz="4" w:space="0" w:color="auto"/>
            </w:tcBorders>
          </w:tcPr>
          <w:p w:rsidR="00221D6A" w:rsidRDefault="00BA3780">
            <w:pPr>
              <w:ind w:right="-29"/>
              <w:jc w:val="center"/>
              <w:rPr>
                <w:noProof/>
                <w:sz w:val="18"/>
                <w:szCs w:val="18"/>
              </w:rPr>
            </w:pPr>
            <w:r>
              <w:rPr>
                <w:noProof/>
                <w:sz w:val="18"/>
              </w:rPr>
              <w:t>1</w:t>
            </w:r>
          </w:p>
        </w:tc>
        <w:tc>
          <w:tcPr>
            <w:tcW w:w="682" w:type="dxa"/>
            <w:tcBorders>
              <w:left w:val="dashSmallGap" w:sz="4" w:space="0" w:color="auto"/>
            </w:tcBorders>
          </w:tcPr>
          <w:p w:rsidR="00221D6A" w:rsidRDefault="00BA3780">
            <w:pPr>
              <w:ind w:right="-29"/>
              <w:jc w:val="center"/>
              <w:rPr>
                <w:noProof/>
                <w:sz w:val="18"/>
                <w:szCs w:val="18"/>
              </w:rPr>
            </w:pPr>
            <w:r>
              <w:rPr>
                <w:noProof/>
                <w:sz w:val="18"/>
              </w:rPr>
              <w:t>0,150</w:t>
            </w:r>
          </w:p>
        </w:tc>
        <w:tc>
          <w:tcPr>
            <w:tcW w:w="683" w:type="dxa"/>
            <w:tcBorders>
              <w:right w:val="dashSmallGap" w:sz="4" w:space="0" w:color="auto"/>
            </w:tcBorders>
          </w:tcPr>
          <w:p w:rsidR="00221D6A" w:rsidRDefault="00BA3780">
            <w:pPr>
              <w:ind w:right="-29"/>
              <w:jc w:val="center"/>
              <w:rPr>
                <w:noProof/>
                <w:sz w:val="18"/>
                <w:szCs w:val="18"/>
              </w:rPr>
            </w:pPr>
            <w:r>
              <w:rPr>
                <w:noProof/>
                <w:sz w:val="18"/>
              </w:rPr>
              <w:t>1</w:t>
            </w:r>
          </w:p>
        </w:tc>
        <w:tc>
          <w:tcPr>
            <w:tcW w:w="690" w:type="dxa"/>
            <w:tcBorders>
              <w:left w:val="dashSmallGap" w:sz="4" w:space="0" w:color="auto"/>
            </w:tcBorders>
          </w:tcPr>
          <w:p w:rsidR="00221D6A" w:rsidRDefault="00BA3780">
            <w:pPr>
              <w:ind w:right="-29"/>
              <w:jc w:val="center"/>
              <w:rPr>
                <w:noProof/>
                <w:sz w:val="18"/>
                <w:szCs w:val="18"/>
              </w:rPr>
            </w:pPr>
            <w:r>
              <w:rPr>
                <w:noProof/>
                <w:sz w:val="18"/>
              </w:rPr>
              <w:t>0,150</w:t>
            </w:r>
          </w:p>
        </w:tc>
        <w:tc>
          <w:tcPr>
            <w:tcW w:w="675" w:type="dxa"/>
            <w:tcBorders>
              <w:right w:val="dashSmallGap" w:sz="4" w:space="0" w:color="auto"/>
            </w:tcBorders>
          </w:tcPr>
          <w:p w:rsidR="00221D6A" w:rsidRDefault="00221D6A">
            <w:pPr>
              <w:ind w:right="-29"/>
              <w:jc w:val="center"/>
              <w:rPr>
                <w:noProof/>
                <w:sz w:val="18"/>
                <w:szCs w:val="18"/>
              </w:rPr>
            </w:pPr>
          </w:p>
        </w:tc>
        <w:tc>
          <w:tcPr>
            <w:tcW w:w="547" w:type="dxa"/>
            <w:tcBorders>
              <w:left w:val="dashSmallGap" w:sz="4" w:space="0" w:color="auto"/>
            </w:tcBorders>
          </w:tcPr>
          <w:p w:rsidR="00221D6A" w:rsidRDefault="00221D6A">
            <w:pPr>
              <w:ind w:right="-29"/>
              <w:jc w:val="center"/>
              <w:rPr>
                <w:noProof/>
                <w:sz w:val="18"/>
                <w:szCs w:val="18"/>
              </w:rPr>
            </w:pPr>
          </w:p>
        </w:tc>
        <w:tc>
          <w:tcPr>
            <w:tcW w:w="675" w:type="dxa"/>
            <w:tcBorders>
              <w:right w:val="dashSmallGap" w:sz="4" w:space="0" w:color="auto"/>
            </w:tcBorders>
          </w:tcPr>
          <w:p w:rsidR="00221D6A" w:rsidRDefault="00221D6A">
            <w:pPr>
              <w:ind w:right="-29"/>
              <w:jc w:val="center"/>
              <w:rPr>
                <w:noProof/>
                <w:sz w:val="18"/>
                <w:szCs w:val="18"/>
              </w:rPr>
            </w:pPr>
          </w:p>
        </w:tc>
        <w:tc>
          <w:tcPr>
            <w:tcW w:w="547" w:type="dxa"/>
            <w:tcBorders>
              <w:left w:val="dashSmallGap" w:sz="4" w:space="0" w:color="auto"/>
            </w:tcBorders>
          </w:tcPr>
          <w:p w:rsidR="00221D6A" w:rsidRDefault="00221D6A">
            <w:pPr>
              <w:ind w:right="-29"/>
              <w:jc w:val="center"/>
              <w:rPr>
                <w:noProof/>
                <w:sz w:val="18"/>
                <w:szCs w:val="18"/>
              </w:rPr>
            </w:pPr>
          </w:p>
        </w:tc>
        <w:tc>
          <w:tcPr>
            <w:tcW w:w="605" w:type="dxa"/>
          </w:tcPr>
          <w:p w:rsidR="00221D6A" w:rsidRDefault="00221D6A">
            <w:pPr>
              <w:ind w:right="-29"/>
              <w:jc w:val="center"/>
              <w:rPr>
                <w:noProof/>
                <w:sz w:val="18"/>
                <w:szCs w:val="18"/>
              </w:rPr>
            </w:pPr>
          </w:p>
        </w:tc>
        <w:tc>
          <w:tcPr>
            <w:tcW w:w="1275" w:type="dxa"/>
          </w:tcPr>
          <w:p w:rsidR="00221D6A" w:rsidRDefault="00BA3780">
            <w:pPr>
              <w:ind w:right="-29"/>
              <w:jc w:val="center"/>
              <w:rPr>
                <w:noProof/>
                <w:sz w:val="18"/>
                <w:szCs w:val="18"/>
              </w:rPr>
            </w:pPr>
            <w:r>
              <w:rPr>
                <w:noProof/>
                <w:sz w:val="18"/>
              </w:rPr>
              <w:t>Pasiūlymo trukmė neribota</w:t>
            </w:r>
          </w:p>
        </w:tc>
      </w:tr>
      <w:tr w:rsidR="00221D6A">
        <w:trPr>
          <w:trHeight w:hRule="exact" w:val="1924"/>
          <w:jc w:val="center"/>
        </w:trPr>
        <w:tc>
          <w:tcPr>
            <w:tcW w:w="1668" w:type="dxa"/>
            <w:gridSpan w:val="2"/>
          </w:tcPr>
          <w:p w:rsidR="00221D6A" w:rsidRDefault="00BA3780">
            <w:pPr>
              <w:ind w:right="-29"/>
              <w:jc w:val="center"/>
              <w:rPr>
                <w:noProof/>
                <w:sz w:val="20"/>
              </w:rPr>
            </w:pPr>
            <w:r>
              <w:rPr>
                <w:noProof/>
                <w:sz w:val="18"/>
              </w:rPr>
              <w:t>Techninė pagalba ir (arba) tyrimai siekiant įvertinti gaminių grupių, kurioms reikia deleguotųjų aktų, aspektus ir standartizavimo rėmimas</w:t>
            </w:r>
          </w:p>
        </w:tc>
        <w:tc>
          <w:tcPr>
            <w:tcW w:w="590" w:type="dxa"/>
          </w:tcPr>
          <w:p w:rsidR="00221D6A" w:rsidRDefault="00221D6A">
            <w:pPr>
              <w:ind w:right="-29"/>
              <w:jc w:val="center"/>
              <w:rPr>
                <w:noProof/>
                <w:sz w:val="18"/>
                <w:szCs w:val="18"/>
              </w:rPr>
            </w:pPr>
          </w:p>
        </w:tc>
        <w:tc>
          <w:tcPr>
            <w:tcW w:w="837" w:type="dxa"/>
          </w:tcPr>
          <w:p w:rsidR="00221D6A" w:rsidRDefault="00221D6A">
            <w:pPr>
              <w:ind w:right="-29"/>
              <w:jc w:val="center"/>
              <w:rPr>
                <w:noProof/>
                <w:sz w:val="18"/>
                <w:szCs w:val="18"/>
              </w:rPr>
            </w:pPr>
          </w:p>
        </w:tc>
        <w:tc>
          <w:tcPr>
            <w:tcW w:w="675" w:type="dxa"/>
            <w:tcBorders>
              <w:right w:val="dashSmallGap" w:sz="4" w:space="0" w:color="auto"/>
            </w:tcBorders>
          </w:tcPr>
          <w:p w:rsidR="00221D6A" w:rsidRDefault="00BA3780">
            <w:pPr>
              <w:ind w:right="-29"/>
              <w:jc w:val="center"/>
              <w:rPr>
                <w:noProof/>
                <w:sz w:val="18"/>
                <w:szCs w:val="18"/>
              </w:rPr>
            </w:pPr>
            <w:r>
              <w:rPr>
                <w:noProof/>
                <w:sz w:val="18"/>
              </w:rPr>
              <w:t>1</w:t>
            </w:r>
          </w:p>
        </w:tc>
        <w:tc>
          <w:tcPr>
            <w:tcW w:w="682" w:type="dxa"/>
            <w:tcBorders>
              <w:left w:val="dashSmallGap" w:sz="4" w:space="0" w:color="auto"/>
            </w:tcBorders>
          </w:tcPr>
          <w:p w:rsidR="00221D6A" w:rsidRDefault="00BA3780">
            <w:pPr>
              <w:ind w:right="-29"/>
              <w:jc w:val="center"/>
              <w:rPr>
                <w:noProof/>
                <w:sz w:val="18"/>
                <w:szCs w:val="18"/>
              </w:rPr>
            </w:pPr>
            <w:r>
              <w:rPr>
                <w:noProof/>
                <w:sz w:val="18"/>
              </w:rPr>
              <w:t>0,700</w:t>
            </w:r>
          </w:p>
        </w:tc>
        <w:tc>
          <w:tcPr>
            <w:tcW w:w="675" w:type="dxa"/>
            <w:tcBorders>
              <w:right w:val="dashSmallGap" w:sz="4" w:space="0" w:color="auto"/>
            </w:tcBorders>
          </w:tcPr>
          <w:p w:rsidR="00221D6A" w:rsidRDefault="00BA3780">
            <w:pPr>
              <w:ind w:right="-29"/>
              <w:jc w:val="center"/>
              <w:rPr>
                <w:noProof/>
                <w:sz w:val="18"/>
                <w:szCs w:val="18"/>
              </w:rPr>
            </w:pPr>
            <w:r>
              <w:rPr>
                <w:noProof/>
                <w:sz w:val="18"/>
              </w:rPr>
              <w:t>1</w:t>
            </w:r>
          </w:p>
        </w:tc>
        <w:tc>
          <w:tcPr>
            <w:tcW w:w="682" w:type="dxa"/>
            <w:tcBorders>
              <w:left w:val="dashSmallGap" w:sz="4" w:space="0" w:color="auto"/>
            </w:tcBorders>
          </w:tcPr>
          <w:p w:rsidR="00221D6A" w:rsidRDefault="00BA3780">
            <w:pPr>
              <w:ind w:right="-29"/>
              <w:jc w:val="center"/>
              <w:rPr>
                <w:noProof/>
                <w:sz w:val="18"/>
                <w:szCs w:val="18"/>
              </w:rPr>
            </w:pPr>
            <w:r>
              <w:rPr>
                <w:noProof/>
                <w:sz w:val="18"/>
              </w:rPr>
              <w:t>1,000</w:t>
            </w:r>
          </w:p>
        </w:tc>
        <w:tc>
          <w:tcPr>
            <w:tcW w:w="675" w:type="dxa"/>
            <w:tcBorders>
              <w:right w:val="dashSmallGap" w:sz="4" w:space="0" w:color="auto"/>
            </w:tcBorders>
          </w:tcPr>
          <w:p w:rsidR="00221D6A" w:rsidRDefault="00BA3780">
            <w:pPr>
              <w:ind w:right="-29"/>
              <w:jc w:val="center"/>
              <w:rPr>
                <w:noProof/>
                <w:sz w:val="18"/>
                <w:szCs w:val="18"/>
              </w:rPr>
            </w:pPr>
            <w:r>
              <w:rPr>
                <w:noProof/>
                <w:sz w:val="18"/>
              </w:rPr>
              <w:t>1</w:t>
            </w:r>
          </w:p>
        </w:tc>
        <w:tc>
          <w:tcPr>
            <w:tcW w:w="682" w:type="dxa"/>
            <w:tcBorders>
              <w:left w:val="dashSmallGap" w:sz="4" w:space="0" w:color="auto"/>
            </w:tcBorders>
          </w:tcPr>
          <w:p w:rsidR="00221D6A" w:rsidRDefault="00BA3780">
            <w:pPr>
              <w:ind w:right="-29"/>
              <w:jc w:val="center"/>
              <w:rPr>
                <w:noProof/>
                <w:sz w:val="18"/>
                <w:szCs w:val="18"/>
              </w:rPr>
            </w:pPr>
            <w:r>
              <w:rPr>
                <w:noProof/>
                <w:sz w:val="18"/>
              </w:rPr>
              <w:t>1,000</w:t>
            </w:r>
          </w:p>
        </w:tc>
        <w:tc>
          <w:tcPr>
            <w:tcW w:w="675" w:type="dxa"/>
            <w:tcBorders>
              <w:right w:val="dashSmallGap" w:sz="4" w:space="0" w:color="auto"/>
            </w:tcBorders>
          </w:tcPr>
          <w:p w:rsidR="00221D6A" w:rsidRDefault="00BA3780">
            <w:pPr>
              <w:ind w:right="-29"/>
              <w:jc w:val="center"/>
              <w:rPr>
                <w:noProof/>
                <w:sz w:val="18"/>
                <w:szCs w:val="18"/>
              </w:rPr>
            </w:pPr>
            <w:r>
              <w:rPr>
                <w:noProof/>
                <w:sz w:val="18"/>
              </w:rPr>
              <w:t>1</w:t>
            </w:r>
          </w:p>
        </w:tc>
        <w:tc>
          <w:tcPr>
            <w:tcW w:w="682" w:type="dxa"/>
            <w:tcBorders>
              <w:left w:val="dashSmallGap" w:sz="4" w:space="0" w:color="auto"/>
            </w:tcBorders>
          </w:tcPr>
          <w:p w:rsidR="00221D6A" w:rsidRDefault="00BA3780">
            <w:pPr>
              <w:ind w:right="-29"/>
              <w:jc w:val="center"/>
              <w:rPr>
                <w:noProof/>
                <w:sz w:val="18"/>
                <w:szCs w:val="18"/>
              </w:rPr>
            </w:pPr>
            <w:r>
              <w:rPr>
                <w:noProof/>
                <w:sz w:val="18"/>
              </w:rPr>
              <w:t>1,000</w:t>
            </w:r>
          </w:p>
        </w:tc>
        <w:tc>
          <w:tcPr>
            <w:tcW w:w="683" w:type="dxa"/>
            <w:tcBorders>
              <w:right w:val="dashSmallGap" w:sz="4" w:space="0" w:color="auto"/>
            </w:tcBorders>
          </w:tcPr>
          <w:p w:rsidR="00221D6A" w:rsidRDefault="00BA3780">
            <w:pPr>
              <w:ind w:right="-29"/>
              <w:jc w:val="center"/>
              <w:rPr>
                <w:noProof/>
                <w:sz w:val="18"/>
                <w:szCs w:val="18"/>
              </w:rPr>
            </w:pPr>
            <w:r>
              <w:rPr>
                <w:noProof/>
                <w:sz w:val="18"/>
              </w:rPr>
              <w:t>1</w:t>
            </w:r>
          </w:p>
        </w:tc>
        <w:tc>
          <w:tcPr>
            <w:tcW w:w="690" w:type="dxa"/>
            <w:tcBorders>
              <w:left w:val="dashSmallGap" w:sz="4" w:space="0" w:color="auto"/>
            </w:tcBorders>
          </w:tcPr>
          <w:p w:rsidR="00221D6A" w:rsidRDefault="00BA3780">
            <w:pPr>
              <w:ind w:right="-29"/>
              <w:jc w:val="center"/>
              <w:rPr>
                <w:noProof/>
                <w:sz w:val="18"/>
                <w:szCs w:val="18"/>
              </w:rPr>
            </w:pPr>
            <w:r>
              <w:rPr>
                <w:noProof/>
                <w:sz w:val="18"/>
              </w:rPr>
              <w:t>1,000</w:t>
            </w:r>
          </w:p>
        </w:tc>
        <w:tc>
          <w:tcPr>
            <w:tcW w:w="675" w:type="dxa"/>
            <w:tcBorders>
              <w:right w:val="dashSmallGap" w:sz="4" w:space="0" w:color="auto"/>
            </w:tcBorders>
          </w:tcPr>
          <w:p w:rsidR="00221D6A" w:rsidRDefault="00221D6A">
            <w:pPr>
              <w:ind w:right="-29"/>
              <w:jc w:val="center"/>
              <w:rPr>
                <w:noProof/>
                <w:sz w:val="18"/>
                <w:szCs w:val="18"/>
              </w:rPr>
            </w:pPr>
          </w:p>
        </w:tc>
        <w:tc>
          <w:tcPr>
            <w:tcW w:w="547" w:type="dxa"/>
            <w:tcBorders>
              <w:left w:val="dashSmallGap" w:sz="4" w:space="0" w:color="auto"/>
            </w:tcBorders>
          </w:tcPr>
          <w:p w:rsidR="00221D6A" w:rsidRDefault="00221D6A">
            <w:pPr>
              <w:ind w:right="-29"/>
              <w:jc w:val="center"/>
              <w:rPr>
                <w:noProof/>
                <w:sz w:val="18"/>
                <w:szCs w:val="18"/>
              </w:rPr>
            </w:pPr>
          </w:p>
        </w:tc>
        <w:tc>
          <w:tcPr>
            <w:tcW w:w="675" w:type="dxa"/>
            <w:tcBorders>
              <w:right w:val="dashSmallGap" w:sz="4" w:space="0" w:color="auto"/>
            </w:tcBorders>
          </w:tcPr>
          <w:p w:rsidR="00221D6A" w:rsidRDefault="00221D6A">
            <w:pPr>
              <w:ind w:right="-29"/>
              <w:jc w:val="center"/>
              <w:rPr>
                <w:noProof/>
                <w:sz w:val="18"/>
                <w:szCs w:val="18"/>
              </w:rPr>
            </w:pPr>
          </w:p>
        </w:tc>
        <w:tc>
          <w:tcPr>
            <w:tcW w:w="547" w:type="dxa"/>
            <w:tcBorders>
              <w:left w:val="dashSmallGap" w:sz="4" w:space="0" w:color="auto"/>
            </w:tcBorders>
          </w:tcPr>
          <w:p w:rsidR="00221D6A" w:rsidRDefault="00221D6A">
            <w:pPr>
              <w:ind w:right="-29"/>
              <w:jc w:val="center"/>
              <w:rPr>
                <w:noProof/>
                <w:sz w:val="18"/>
                <w:szCs w:val="18"/>
              </w:rPr>
            </w:pPr>
          </w:p>
        </w:tc>
        <w:tc>
          <w:tcPr>
            <w:tcW w:w="605" w:type="dxa"/>
          </w:tcPr>
          <w:p w:rsidR="00221D6A" w:rsidRDefault="00221D6A">
            <w:pPr>
              <w:ind w:right="-29"/>
              <w:jc w:val="center"/>
              <w:rPr>
                <w:noProof/>
                <w:sz w:val="18"/>
                <w:szCs w:val="18"/>
              </w:rPr>
            </w:pPr>
          </w:p>
        </w:tc>
        <w:tc>
          <w:tcPr>
            <w:tcW w:w="1275" w:type="dxa"/>
          </w:tcPr>
          <w:p w:rsidR="00221D6A" w:rsidRDefault="00BA3780">
            <w:pPr>
              <w:ind w:right="-29"/>
              <w:jc w:val="center"/>
              <w:rPr>
                <w:noProof/>
                <w:sz w:val="18"/>
                <w:szCs w:val="18"/>
              </w:rPr>
            </w:pPr>
            <w:r>
              <w:rPr>
                <w:noProof/>
                <w:sz w:val="18"/>
              </w:rPr>
              <w:t>Pasiūlymo trukmė neribota</w:t>
            </w:r>
          </w:p>
        </w:tc>
      </w:tr>
      <w:tr w:rsidR="00221D6A">
        <w:trPr>
          <w:jc w:val="center"/>
        </w:trPr>
        <w:tc>
          <w:tcPr>
            <w:tcW w:w="3095" w:type="dxa"/>
            <w:gridSpan w:val="4"/>
            <w:tcBorders>
              <w:top w:val="single" w:sz="12" w:space="0" w:color="auto"/>
              <w:left w:val="single" w:sz="12" w:space="0" w:color="auto"/>
              <w:bottom w:val="single" w:sz="12" w:space="0" w:color="auto"/>
            </w:tcBorders>
            <w:vAlign w:val="center"/>
          </w:tcPr>
          <w:p w:rsidR="00221D6A" w:rsidRDefault="00BA3780">
            <w:pPr>
              <w:ind w:right="-29"/>
              <w:jc w:val="center"/>
              <w:rPr>
                <w:noProof/>
                <w:sz w:val="18"/>
                <w:szCs w:val="18"/>
              </w:rPr>
            </w:pPr>
            <w:r>
              <w:rPr>
                <w:b/>
                <w:noProof/>
                <w:sz w:val="18"/>
              </w:rPr>
              <w:t>IŠ VISO SĄNAUDŲ</w:t>
            </w:r>
          </w:p>
        </w:tc>
        <w:tc>
          <w:tcPr>
            <w:tcW w:w="675" w:type="dxa"/>
            <w:tcBorders>
              <w:top w:val="single" w:sz="12" w:space="0" w:color="auto"/>
              <w:bottom w:val="single" w:sz="12" w:space="0" w:color="auto"/>
            </w:tcBorders>
          </w:tcPr>
          <w:p w:rsidR="00221D6A" w:rsidRDefault="00221D6A">
            <w:pPr>
              <w:spacing w:before="180" w:after="180"/>
              <w:ind w:right="-29"/>
              <w:jc w:val="center"/>
              <w:rPr>
                <w:noProof/>
                <w:sz w:val="18"/>
                <w:szCs w:val="18"/>
              </w:rPr>
            </w:pPr>
          </w:p>
        </w:tc>
        <w:tc>
          <w:tcPr>
            <w:tcW w:w="682" w:type="dxa"/>
            <w:tcBorders>
              <w:top w:val="single" w:sz="12" w:space="0" w:color="auto"/>
              <w:bottom w:val="single" w:sz="12" w:space="0" w:color="auto"/>
            </w:tcBorders>
          </w:tcPr>
          <w:p w:rsidR="00221D6A" w:rsidRDefault="00BA3780">
            <w:pPr>
              <w:spacing w:before="180" w:after="180"/>
              <w:ind w:right="-29"/>
              <w:jc w:val="center"/>
              <w:rPr>
                <w:noProof/>
                <w:sz w:val="18"/>
                <w:szCs w:val="18"/>
              </w:rPr>
            </w:pPr>
            <w:r>
              <w:rPr>
                <w:noProof/>
                <w:sz w:val="18"/>
              </w:rPr>
              <w:t>2,20</w:t>
            </w:r>
          </w:p>
        </w:tc>
        <w:tc>
          <w:tcPr>
            <w:tcW w:w="675" w:type="dxa"/>
            <w:tcBorders>
              <w:top w:val="single" w:sz="12" w:space="0" w:color="auto"/>
              <w:bottom w:val="single" w:sz="12" w:space="0" w:color="auto"/>
            </w:tcBorders>
          </w:tcPr>
          <w:p w:rsidR="00221D6A" w:rsidRDefault="00221D6A">
            <w:pPr>
              <w:spacing w:before="180" w:after="180"/>
              <w:ind w:right="-29"/>
              <w:jc w:val="center"/>
              <w:rPr>
                <w:noProof/>
                <w:sz w:val="18"/>
                <w:szCs w:val="18"/>
              </w:rPr>
            </w:pPr>
          </w:p>
        </w:tc>
        <w:tc>
          <w:tcPr>
            <w:tcW w:w="682" w:type="dxa"/>
            <w:tcBorders>
              <w:top w:val="single" w:sz="12" w:space="0" w:color="auto"/>
              <w:bottom w:val="single" w:sz="12" w:space="0" w:color="auto"/>
            </w:tcBorders>
          </w:tcPr>
          <w:p w:rsidR="00221D6A" w:rsidRDefault="00BA3780">
            <w:pPr>
              <w:spacing w:before="180" w:after="180"/>
              <w:ind w:right="-29"/>
              <w:jc w:val="center"/>
              <w:rPr>
                <w:noProof/>
                <w:sz w:val="18"/>
                <w:szCs w:val="18"/>
              </w:rPr>
            </w:pPr>
            <w:r>
              <w:rPr>
                <w:noProof/>
                <w:sz w:val="18"/>
              </w:rPr>
              <w:t>1,150</w:t>
            </w:r>
          </w:p>
        </w:tc>
        <w:tc>
          <w:tcPr>
            <w:tcW w:w="675" w:type="dxa"/>
            <w:tcBorders>
              <w:top w:val="single" w:sz="12" w:space="0" w:color="auto"/>
              <w:bottom w:val="single" w:sz="12" w:space="0" w:color="auto"/>
            </w:tcBorders>
          </w:tcPr>
          <w:p w:rsidR="00221D6A" w:rsidRDefault="00221D6A">
            <w:pPr>
              <w:spacing w:before="180" w:after="180"/>
              <w:ind w:right="-29"/>
              <w:jc w:val="center"/>
              <w:rPr>
                <w:noProof/>
                <w:sz w:val="18"/>
                <w:szCs w:val="18"/>
              </w:rPr>
            </w:pPr>
          </w:p>
        </w:tc>
        <w:tc>
          <w:tcPr>
            <w:tcW w:w="682" w:type="dxa"/>
            <w:tcBorders>
              <w:top w:val="single" w:sz="12" w:space="0" w:color="auto"/>
              <w:bottom w:val="single" w:sz="12" w:space="0" w:color="auto"/>
            </w:tcBorders>
          </w:tcPr>
          <w:p w:rsidR="00221D6A" w:rsidRDefault="00BA3780">
            <w:pPr>
              <w:spacing w:before="180" w:after="180"/>
              <w:ind w:right="-29"/>
              <w:jc w:val="center"/>
              <w:rPr>
                <w:noProof/>
                <w:sz w:val="18"/>
                <w:szCs w:val="18"/>
              </w:rPr>
            </w:pPr>
            <w:r>
              <w:rPr>
                <w:noProof/>
                <w:sz w:val="18"/>
              </w:rPr>
              <w:t>1,150</w:t>
            </w:r>
          </w:p>
        </w:tc>
        <w:tc>
          <w:tcPr>
            <w:tcW w:w="675" w:type="dxa"/>
            <w:tcBorders>
              <w:top w:val="single" w:sz="12" w:space="0" w:color="auto"/>
              <w:bottom w:val="single" w:sz="12" w:space="0" w:color="auto"/>
            </w:tcBorders>
          </w:tcPr>
          <w:p w:rsidR="00221D6A" w:rsidRDefault="00221D6A">
            <w:pPr>
              <w:spacing w:before="180" w:after="180"/>
              <w:ind w:right="-29"/>
              <w:jc w:val="center"/>
              <w:rPr>
                <w:noProof/>
                <w:sz w:val="18"/>
                <w:szCs w:val="18"/>
              </w:rPr>
            </w:pPr>
          </w:p>
        </w:tc>
        <w:tc>
          <w:tcPr>
            <w:tcW w:w="682" w:type="dxa"/>
            <w:tcBorders>
              <w:top w:val="single" w:sz="12" w:space="0" w:color="auto"/>
              <w:bottom w:val="single" w:sz="12" w:space="0" w:color="auto"/>
            </w:tcBorders>
          </w:tcPr>
          <w:p w:rsidR="00221D6A" w:rsidRDefault="00BA3780">
            <w:pPr>
              <w:spacing w:before="180" w:after="180"/>
              <w:ind w:right="-29"/>
              <w:jc w:val="center"/>
              <w:rPr>
                <w:noProof/>
                <w:sz w:val="18"/>
                <w:szCs w:val="18"/>
              </w:rPr>
            </w:pPr>
            <w:r>
              <w:rPr>
                <w:noProof/>
                <w:sz w:val="18"/>
              </w:rPr>
              <w:t>1,150</w:t>
            </w:r>
          </w:p>
        </w:tc>
        <w:tc>
          <w:tcPr>
            <w:tcW w:w="683" w:type="dxa"/>
            <w:tcBorders>
              <w:top w:val="single" w:sz="12" w:space="0" w:color="auto"/>
              <w:bottom w:val="single" w:sz="12" w:space="0" w:color="auto"/>
            </w:tcBorders>
          </w:tcPr>
          <w:p w:rsidR="00221D6A" w:rsidRDefault="00221D6A">
            <w:pPr>
              <w:spacing w:before="180" w:after="180"/>
              <w:ind w:right="-29"/>
              <w:jc w:val="center"/>
              <w:rPr>
                <w:noProof/>
                <w:sz w:val="18"/>
                <w:szCs w:val="18"/>
              </w:rPr>
            </w:pPr>
          </w:p>
        </w:tc>
        <w:tc>
          <w:tcPr>
            <w:tcW w:w="690" w:type="dxa"/>
            <w:tcBorders>
              <w:top w:val="single" w:sz="12" w:space="0" w:color="auto"/>
              <w:bottom w:val="single" w:sz="12" w:space="0" w:color="auto"/>
            </w:tcBorders>
          </w:tcPr>
          <w:p w:rsidR="00221D6A" w:rsidRDefault="00BA3780">
            <w:pPr>
              <w:spacing w:before="180" w:after="180"/>
              <w:ind w:right="-29"/>
              <w:jc w:val="center"/>
              <w:rPr>
                <w:noProof/>
                <w:sz w:val="18"/>
                <w:szCs w:val="18"/>
              </w:rPr>
            </w:pPr>
            <w:r>
              <w:rPr>
                <w:noProof/>
                <w:sz w:val="18"/>
              </w:rPr>
              <w:t>1,150</w:t>
            </w:r>
          </w:p>
        </w:tc>
        <w:tc>
          <w:tcPr>
            <w:tcW w:w="675" w:type="dxa"/>
            <w:tcBorders>
              <w:top w:val="single" w:sz="12" w:space="0" w:color="auto"/>
              <w:bottom w:val="single" w:sz="12" w:space="0" w:color="auto"/>
            </w:tcBorders>
          </w:tcPr>
          <w:p w:rsidR="00221D6A" w:rsidRDefault="00221D6A">
            <w:pPr>
              <w:spacing w:before="180" w:after="180"/>
              <w:ind w:right="-29"/>
              <w:jc w:val="center"/>
              <w:rPr>
                <w:noProof/>
                <w:sz w:val="18"/>
                <w:szCs w:val="18"/>
              </w:rPr>
            </w:pPr>
          </w:p>
        </w:tc>
        <w:tc>
          <w:tcPr>
            <w:tcW w:w="547" w:type="dxa"/>
            <w:tcBorders>
              <w:top w:val="single" w:sz="12" w:space="0" w:color="auto"/>
              <w:bottom w:val="single" w:sz="12" w:space="0" w:color="auto"/>
            </w:tcBorders>
          </w:tcPr>
          <w:p w:rsidR="00221D6A" w:rsidRDefault="00221D6A">
            <w:pPr>
              <w:spacing w:before="180" w:after="180"/>
              <w:ind w:right="-29"/>
              <w:jc w:val="center"/>
              <w:rPr>
                <w:noProof/>
                <w:sz w:val="18"/>
                <w:szCs w:val="18"/>
              </w:rPr>
            </w:pPr>
          </w:p>
        </w:tc>
        <w:tc>
          <w:tcPr>
            <w:tcW w:w="675" w:type="dxa"/>
            <w:tcBorders>
              <w:top w:val="single" w:sz="12" w:space="0" w:color="auto"/>
              <w:bottom w:val="single" w:sz="12" w:space="0" w:color="auto"/>
            </w:tcBorders>
          </w:tcPr>
          <w:p w:rsidR="00221D6A" w:rsidRDefault="00221D6A">
            <w:pPr>
              <w:spacing w:before="180" w:after="180"/>
              <w:ind w:right="-29"/>
              <w:jc w:val="center"/>
              <w:rPr>
                <w:noProof/>
                <w:sz w:val="18"/>
                <w:szCs w:val="18"/>
              </w:rPr>
            </w:pPr>
          </w:p>
        </w:tc>
        <w:tc>
          <w:tcPr>
            <w:tcW w:w="547" w:type="dxa"/>
            <w:tcBorders>
              <w:top w:val="single" w:sz="12" w:space="0" w:color="auto"/>
              <w:bottom w:val="single" w:sz="12" w:space="0" w:color="auto"/>
            </w:tcBorders>
          </w:tcPr>
          <w:p w:rsidR="00221D6A" w:rsidRDefault="00221D6A">
            <w:pPr>
              <w:spacing w:before="180" w:after="180"/>
              <w:ind w:right="-29"/>
              <w:jc w:val="center"/>
              <w:rPr>
                <w:noProof/>
                <w:sz w:val="18"/>
                <w:szCs w:val="18"/>
              </w:rPr>
            </w:pPr>
          </w:p>
        </w:tc>
        <w:tc>
          <w:tcPr>
            <w:tcW w:w="605" w:type="dxa"/>
            <w:tcBorders>
              <w:top w:val="single" w:sz="12" w:space="0" w:color="auto"/>
              <w:bottom w:val="single" w:sz="12" w:space="0" w:color="auto"/>
            </w:tcBorders>
          </w:tcPr>
          <w:p w:rsidR="00221D6A" w:rsidRDefault="00221D6A">
            <w:pPr>
              <w:spacing w:before="180" w:after="180"/>
              <w:ind w:right="-29"/>
              <w:jc w:val="center"/>
              <w:rPr>
                <w:noProof/>
                <w:sz w:val="18"/>
                <w:szCs w:val="18"/>
              </w:rPr>
            </w:pPr>
          </w:p>
        </w:tc>
        <w:tc>
          <w:tcPr>
            <w:tcW w:w="1275" w:type="dxa"/>
            <w:tcBorders>
              <w:top w:val="single" w:sz="12" w:space="0" w:color="auto"/>
              <w:bottom w:val="single" w:sz="12" w:space="0" w:color="auto"/>
              <w:right w:val="single" w:sz="12" w:space="0" w:color="auto"/>
            </w:tcBorders>
          </w:tcPr>
          <w:p w:rsidR="00221D6A" w:rsidRDefault="00BA3780">
            <w:pPr>
              <w:spacing w:before="180" w:after="180"/>
              <w:ind w:right="-29"/>
              <w:jc w:val="center"/>
              <w:rPr>
                <w:noProof/>
                <w:sz w:val="18"/>
                <w:szCs w:val="18"/>
              </w:rPr>
            </w:pPr>
            <w:r>
              <w:rPr>
                <w:noProof/>
                <w:sz w:val="18"/>
              </w:rPr>
              <w:t>Pasiūlymo trukmė neribota</w:t>
            </w:r>
          </w:p>
        </w:tc>
      </w:tr>
    </w:tbl>
    <w:p w:rsidR="00221D6A" w:rsidRDefault="00221D6A">
      <w:pPr>
        <w:rPr>
          <w:noProof/>
        </w:rPr>
        <w:sectPr w:rsidR="00221D6A">
          <w:pgSz w:w="16840" w:h="11907" w:orient="landscape" w:code="9"/>
          <w:pgMar w:top="1134" w:right="1418" w:bottom="567" w:left="1418" w:header="709" w:footer="709" w:gutter="0"/>
          <w:cols w:space="708"/>
          <w:docGrid w:linePitch="360"/>
        </w:sectPr>
      </w:pPr>
    </w:p>
    <w:p w:rsidR="00221D6A" w:rsidRDefault="00BA3780">
      <w:pPr>
        <w:pStyle w:val="ManualHeading3"/>
        <w:rPr>
          <w:bCs/>
          <w:noProof/>
          <w:szCs w:val="24"/>
        </w:rPr>
      </w:pPr>
      <w:r>
        <w:rPr>
          <w:noProof/>
        </w:rPr>
        <w:t>3.2.3.</w:t>
      </w:r>
      <w:r>
        <w:rPr>
          <w:noProof/>
        </w:rPr>
        <w:tab/>
        <w:t>Numatomas poveikis administracinio pobūdžio asignavimams</w:t>
      </w:r>
    </w:p>
    <w:p w:rsidR="00221D6A" w:rsidRDefault="00BA3780">
      <w:pPr>
        <w:pStyle w:val="ManualHeading4"/>
        <w:rPr>
          <w:noProof/>
        </w:rPr>
      </w:pPr>
      <w:r>
        <w:rPr>
          <w:noProof/>
        </w:rPr>
        <w:t>3.2.3.1.</w:t>
      </w:r>
      <w:r>
        <w:rPr>
          <w:noProof/>
        </w:rPr>
        <w:tab/>
        <w:t xml:space="preserve">Santrauka </w:t>
      </w:r>
    </w:p>
    <w:p w:rsidR="00221D6A" w:rsidRDefault="00BA3780">
      <w:pPr>
        <w:pStyle w:val="ListDash1"/>
        <w:rPr>
          <w:noProof/>
        </w:rPr>
      </w:pPr>
      <w:r>
        <w:rPr>
          <w:noProof/>
        </w:rPr>
        <w:t xml:space="preserve">Pasiūlymui (iniciatyvai) įgyvendinti </w:t>
      </w:r>
      <w:r>
        <w:rPr>
          <w:noProof/>
        </w:rPr>
        <w:t>administracinio pobūdžio asignavimai naudojami taip:</w:t>
      </w:r>
    </w:p>
    <w:p w:rsidR="00221D6A" w:rsidRDefault="00BA3780">
      <w:pPr>
        <w:rPr>
          <w:noProof/>
          <w:sz w:val="20"/>
        </w:rPr>
      </w:pPr>
      <w:r>
        <w:rPr>
          <w:noProof/>
          <w:sz w:val="20"/>
        </w:rPr>
        <w:t>mln. EUR (tūkstantųjų tikslumu)</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221D6A">
        <w:trPr>
          <w:trHeight w:val="585"/>
        </w:trPr>
        <w:tc>
          <w:tcPr>
            <w:tcW w:w="1980" w:type="dxa"/>
          </w:tcPr>
          <w:p w:rsidR="00221D6A" w:rsidRDefault="00221D6A">
            <w:pPr>
              <w:spacing w:before="60" w:after="60" w:line="200" w:lineRule="exact"/>
              <w:rPr>
                <w:noProof/>
                <w:sz w:val="16"/>
                <w:szCs w:val="16"/>
              </w:rPr>
            </w:pPr>
          </w:p>
        </w:tc>
        <w:tc>
          <w:tcPr>
            <w:tcW w:w="1080" w:type="dxa"/>
            <w:vAlign w:val="center"/>
          </w:tcPr>
          <w:p w:rsidR="00221D6A" w:rsidRDefault="00BA3780">
            <w:pPr>
              <w:spacing w:before="60" w:after="60" w:line="200" w:lineRule="exact"/>
              <w:jc w:val="center"/>
              <w:rPr>
                <w:noProof/>
                <w:sz w:val="16"/>
                <w:szCs w:val="16"/>
              </w:rPr>
            </w:pPr>
            <w:r>
              <w:rPr>
                <w:noProof/>
                <w:sz w:val="20"/>
              </w:rPr>
              <w:t>2016 m.</w:t>
            </w:r>
          </w:p>
        </w:tc>
        <w:tc>
          <w:tcPr>
            <w:tcW w:w="1080" w:type="dxa"/>
            <w:vAlign w:val="center"/>
          </w:tcPr>
          <w:p w:rsidR="00221D6A" w:rsidRDefault="00BA3780">
            <w:pPr>
              <w:spacing w:before="60" w:after="60" w:line="200" w:lineRule="exact"/>
              <w:jc w:val="center"/>
              <w:rPr>
                <w:noProof/>
                <w:sz w:val="16"/>
                <w:szCs w:val="16"/>
              </w:rPr>
            </w:pPr>
            <w:r>
              <w:rPr>
                <w:noProof/>
                <w:sz w:val="20"/>
              </w:rPr>
              <w:t>2017 m.</w:t>
            </w:r>
          </w:p>
        </w:tc>
        <w:tc>
          <w:tcPr>
            <w:tcW w:w="1080" w:type="dxa"/>
            <w:vAlign w:val="center"/>
          </w:tcPr>
          <w:p w:rsidR="00221D6A" w:rsidRDefault="00BA3780">
            <w:pPr>
              <w:spacing w:before="60" w:after="60" w:line="200" w:lineRule="exact"/>
              <w:jc w:val="center"/>
              <w:rPr>
                <w:noProof/>
                <w:sz w:val="16"/>
                <w:szCs w:val="16"/>
              </w:rPr>
            </w:pPr>
            <w:r>
              <w:rPr>
                <w:noProof/>
                <w:sz w:val="20"/>
              </w:rPr>
              <w:t>2018 m.</w:t>
            </w:r>
          </w:p>
        </w:tc>
        <w:tc>
          <w:tcPr>
            <w:tcW w:w="1080" w:type="dxa"/>
            <w:vAlign w:val="center"/>
          </w:tcPr>
          <w:p w:rsidR="00221D6A" w:rsidRDefault="00BA3780">
            <w:pPr>
              <w:spacing w:before="60" w:after="60" w:line="200" w:lineRule="exact"/>
              <w:jc w:val="center"/>
              <w:rPr>
                <w:noProof/>
                <w:sz w:val="16"/>
                <w:szCs w:val="16"/>
              </w:rPr>
            </w:pPr>
            <w:r>
              <w:rPr>
                <w:noProof/>
                <w:sz w:val="20"/>
              </w:rPr>
              <w:t>2019 m.</w:t>
            </w:r>
          </w:p>
        </w:tc>
        <w:tc>
          <w:tcPr>
            <w:tcW w:w="1080" w:type="dxa"/>
            <w:vAlign w:val="center"/>
          </w:tcPr>
          <w:p w:rsidR="00221D6A" w:rsidRDefault="00BA3780">
            <w:pPr>
              <w:spacing w:line="200" w:lineRule="exact"/>
              <w:jc w:val="center"/>
              <w:rPr>
                <w:b/>
                <w:noProof/>
                <w:sz w:val="16"/>
                <w:szCs w:val="16"/>
              </w:rPr>
            </w:pPr>
            <w:r>
              <w:rPr>
                <w:noProof/>
                <w:sz w:val="18"/>
              </w:rPr>
              <w:t>2020 m.</w:t>
            </w:r>
          </w:p>
        </w:tc>
        <w:tc>
          <w:tcPr>
            <w:tcW w:w="1080" w:type="dxa"/>
            <w:vAlign w:val="center"/>
          </w:tcPr>
          <w:p w:rsidR="00221D6A" w:rsidRDefault="00221D6A">
            <w:pPr>
              <w:spacing w:line="200" w:lineRule="exact"/>
              <w:jc w:val="center"/>
              <w:rPr>
                <w:b/>
                <w:noProof/>
                <w:sz w:val="16"/>
                <w:szCs w:val="16"/>
              </w:rPr>
            </w:pPr>
          </w:p>
        </w:tc>
        <w:tc>
          <w:tcPr>
            <w:tcW w:w="1080" w:type="dxa"/>
            <w:vAlign w:val="center"/>
          </w:tcPr>
          <w:p w:rsidR="00221D6A" w:rsidRDefault="00221D6A">
            <w:pPr>
              <w:spacing w:line="200" w:lineRule="exact"/>
              <w:jc w:val="center"/>
              <w:rPr>
                <w:b/>
                <w:noProof/>
                <w:sz w:val="16"/>
                <w:szCs w:val="16"/>
              </w:rPr>
            </w:pPr>
          </w:p>
        </w:tc>
        <w:tc>
          <w:tcPr>
            <w:tcW w:w="1080" w:type="dxa"/>
            <w:vAlign w:val="center"/>
          </w:tcPr>
          <w:p w:rsidR="00221D6A" w:rsidRDefault="00BA3780">
            <w:pPr>
              <w:spacing w:before="60" w:after="60" w:line="200" w:lineRule="exact"/>
              <w:jc w:val="center"/>
              <w:rPr>
                <w:b/>
                <w:noProof/>
                <w:sz w:val="16"/>
                <w:szCs w:val="16"/>
              </w:rPr>
            </w:pPr>
            <w:r>
              <w:rPr>
                <w:b/>
                <w:noProof/>
                <w:sz w:val="16"/>
              </w:rPr>
              <w:t>IŠ VISO</w:t>
            </w:r>
          </w:p>
        </w:tc>
      </w:tr>
    </w:tbl>
    <w:p w:rsidR="00221D6A" w:rsidRDefault="00221D6A">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221D6A">
        <w:trPr>
          <w:trHeight w:val="585"/>
        </w:trPr>
        <w:tc>
          <w:tcPr>
            <w:tcW w:w="1980" w:type="dxa"/>
            <w:shd w:val="clear" w:color="auto" w:fill="CCCCCC"/>
            <w:vAlign w:val="center"/>
          </w:tcPr>
          <w:p w:rsidR="00221D6A" w:rsidRDefault="00BA3780">
            <w:pPr>
              <w:spacing w:before="60" w:after="60" w:line="200" w:lineRule="exact"/>
              <w:jc w:val="center"/>
              <w:rPr>
                <w:b/>
                <w:noProof/>
                <w:sz w:val="16"/>
                <w:szCs w:val="16"/>
              </w:rPr>
            </w:pPr>
            <w:r>
              <w:rPr>
                <w:b/>
                <w:noProof/>
                <w:sz w:val="16"/>
              </w:rPr>
              <w:t>Daugiametės finansinės programos</w:t>
            </w:r>
            <w:r>
              <w:rPr>
                <w:noProof/>
              </w:rPr>
              <w:br/>
            </w:r>
            <w:r>
              <w:rPr>
                <w:b/>
                <w:noProof/>
                <w:sz w:val="16"/>
              </w:rPr>
              <w:t>5 IŠLAIDŲ KATEGORIJA</w:t>
            </w:r>
          </w:p>
        </w:tc>
        <w:tc>
          <w:tcPr>
            <w:tcW w:w="1080" w:type="dxa"/>
            <w:vAlign w:val="center"/>
          </w:tcPr>
          <w:p w:rsidR="00221D6A" w:rsidRDefault="00221D6A">
            <w:pPr>
              <w:spacing w:before="60" w:after="60" w:line="200" w:lineRule="exact"/>
              <w:jc w:val="right"/>
              <w:rPr>
                <w:noProof/>
                <w:sz w:val="16"/>
                <w:szCs w:val="16"/>
              </w:rPr>
            </w:pPr>
          </w:p>
        </w:tc>
        <w:tc>
          <w:tcPr>
            <w:tcW w:w="1080" w:type="dxa"/>
            <w:vAlign w:val="center"/>
          </w:tcPr>
          <w:p w:rsidR="00221D6A" w:rsidRDefault="00221D6A">
            <w:pPr>
              <w:spacing w:before="60" w:after="60" w:line="200" w:lineRule="exact"/>
              <w:jc w:val="right"/>
              <w:rPr>
                <w:noProof/>
                <w:sz w:val="16"/>
                <w:szCs w:val="16"/>
              </w:rPr>
            </w:pPr>
          </w:p>
        </w:tc>
        <w:tc>
          <w:tcPr>
            <w:tcW w:w="1080" w:type="dxa"/>
            <w:vAlign w:val="center"/>
          </w:tcPr>
          <w:p w:rsidR="00221D6A" w:rsidRDefault="00221D6A">
            <w:pPr>
              <w:spacing w:before="60" w:after="60" w:line="200" w:lineRule="exact"/>
              <w:jc w:val="right"/>
              <w:rPr>
                <w:noProof/>
                <w:sz w:val="16"/>
                <w:szCs w:val="16"/>
              </w:rPr>
            </w:pPr>
          </w:p>
        </w:tc>
        <w:tc>
          <w:tcPr>
            <w:tcW w:w="1080" w:type="dxa"/>
            <w:vAlign w:val="center"/>
          </w:tcPr>
          <w:p w:rsidR="00221D6A" w:rsidRDefault="00221D6A">
            <w:pPr>
              <w:spacing w:before="60" w:after="60" w:line="200" w:lineRule="exact"/>
              <w:jc w:val="right"/>
              <w:rPr>
                <w:noProof/>
                <w:sz w:val="16"/>
                <w:szCs w:val="16"/>
              </w:rPr>
            </w:pPr>
          </w:p>
        </w:tc>
        <w:tc>
          <w:tcPr>
            <w:tcW w:w="1080" w:type="dxa"/>
            <w:vAlign w:val="center"/>
          </w:tcPr>
          <w:p w:rsidR="00221D6A" w:rsidRDefault="00221D6A">
            <w:pPr>
              <w:spacing w:before="60" w:after="60" w:line="200" w:lineRule="exact"/>
              <w:jc w:val="right"/>
              <w:rPr>
                <w:noProof/>
                <w:sz w:val="16"/>
                <w:szCs w:val="16"/>
              </w:rPr>
            </w:pPr>
          </w:p>
        </w:tc>
        <w:tc>
          <w:tcPr>
            <w:tcW w:w="1080" w:type="dxa"/>
            <w:vAlign w:val="center"/>
          </w:tcPr>
          <w:p w:rsidR="00221D6A" w:rsidRDefault="00221D6A">
            <w:pPr>
              <w:spacing w:before="60" w:after="60" w:line="200" w:lineRule="exact"/>
              <w:jc w:val="right"/>
              <w:rPr>
                <w:noProof/>
                <w:sz w:val="16"/>
                <w:szCs w:val="16"/>
              </w:rPr>
            </w:pPr>
          </w:p>
        </w:tc>
        <w:tc>
          <w:tcPr>
            <w:tcW w:w="1080" w:type="dxa"/>
            <w:vAlign w:val="center"/>
          </w:tcPr>
          <w:p w:rsidR="00221D6A" w:rsidRDefault="00221D6A">
            <w:pPr>
              <w:spacing w:before="60" w:after="60" w:line="200" w:lineRule="exact"/>
              <w:jc w:val="right"/>
              <w:rPr>
                <w:b/>
                <w:noProof/>
                <w:sz w:val="16"/>
                <w:szCs w:val="16"/>
              </w:rPr>
            </w:pPr>
          </w:p>
        </w:tc>
        <w:tc>
          <w:tcPr>
            <w:tcW w:w="1080" w:type="dxa"/>
            <w:vAlign w:val="center"/>
          </w:tcPr>
          <w:p w:rsidR="00221D6A" w:rsidRDefault="00221D6A">
            <w:pPr>
              <w:spacing w:before="60" w:after="60" w:line="200" w:lineRule="exact"/>
              <w:jc w:val="right"/>
              <w:rPr>
                <w:b/>
                <w:noProof/>
                <w:sz w:val="16"/>
                <w:szCs w:val="16"/>
              </w:rPr>
            </w:pPr>
          </w:p>
        </w:tc>
      </w:tr>
      <w:tr w:rsidR="00221D6A">
        <w:trPr>
          <w:trHeight w:val="585"/>
        </w:trPr>
        <w:tc>
          <w:tcPr>
            <w:tcW w:w="1980" w:type="dxa"/>
            <w:vAlign w:val="center"/>
          </w:tcPr>
          <w:p w:rsidR="00221D6A" w:rsidRDefault="00BA3780">
            <w:pPr>
              <w:spacing w:before="60" w:after="60" w:line="200" w:lineRule="exact"/>
              <w:ind w:left="72"/>
              <w:jc w:val="left"/>
              <w:rPr>
                <w:noProof/>
                <w:sz w:val="16"/>
                <w:szCs w:val="16"/>
              </w:rPr>
            </w:pPr>
            <w:r>
              <w:rPr>
                <w:noProof/>
                <w:sz w:val="16"/>
              </w:rPr>
              <w:t xml:space="preserve">Žmogiškieji ištekliai </w:t>
            </w:r>
          </w:p>
        </w:tc>
        <w:tc>
          <w:tcPr>
            <w:tcW w:w="1080" w:type="dxa"/>
            <w:vAlign w:val="center"/>
          </w:tcPr>
          <w:p w:rsidR="00221D6A" w:rsidRDefault="00BA3780">
            <w:pPr>
              <w:spacing w:before="60" w:after="60" w:line="200" w:lineRule="exact"/>
              <w:jc w:val="right"/>
              <w:rPr>
                <w:noProof/>
                <w:sz w:val="16"/>
                <w:szCs w:val="16"/>
              </w:rPr>
            </w:pPr>
            <w:r>
              <w:rPr>
                <w:noProof/>
                <w:sz w:val="16"/>
              </w:rPr>
              <w:t>0,417</w:t>
            </w:r>
          </w:p>
        </w:tc>
        <w:tc>
          <w:tcPr>
            <w:tcW w:w="1080" w:type="dxa"/>
            <w:vAlign w:val="center"/>
          </w:tcPr>
          <w:p w:rsidR="00221D6A" w:rsidRDefault="00BA3780">
            <w:pPr>
              <w:spacing w:before="60" w:after="60" w:line="200" w:lineRule="exact"/>
              <w:jc w:val="right"/>
              <w:rPr>
                <w:noProof/>
                <w:sz w:val="16"/>
                <w:szCs w:val="16"/>
              </w:rPr>
            </w:pPr>
            <w:r>
              <w:rPr>
                <w:noProof/>
                <w:sz w:val="16"/>
              </w:rPr>
              <w:t>0,417</w:t>
            </w:r>
          </w:p>
        </w:tc>
        <w:tc>
          <w:tcPr>
            <w:tcW w:w="1080" w:type="dxa"/>
            <w:vAlign w:val="center"/>
          </w:tcPr>
          <w:p w:rsidR="00221D6A" w:rsidRDefault="00BA3780">
            <w:pPr>
              <w:spacing w:before="60" w:after="60" w:line="200" w:lineRule="exact"/>
              <w:jc w:val="right"/>
              <w:rPr>
                <w:noProof/>
                <w:sz w:val="16"/>
                <w:szCs w:val="16"/>
              </w:rPr>
            </w:pPr>
            <w:r>
              <w:rPr>
                <w:noProof/>
                <w:sz w:val="16"/>
              </w:rPr>
              <w:t>0,417</w:t>
            </w:r>
          </w:p>
        </w:tc>
        <w:tc>
          <w:tcPr>
            <w:tcW w:w="1080" w:type="dxa"/>
            <w:vAlign w:val="center"/>
          </w:tcPr>
          <w:p w:rsidR="00221D6A" w:rsidRDefault="00BA3780">
            <w:pPr>
              <w:spacing w:before="60" w:after="60" w:line="200" w:lineRule="exact"/>
              <w:jc w:val="right"/>
              <w:rPr>
                <w:noProof/>
                <w:sz w:val="16"/>
                <w:szCs w:val="16"/>
              </w:rPr>
            </w:pPr>
            <w:r>
              <w:rPr>
                <w:noProof/>
                <w:sz w:val="16"/>
              </w:rPr>
              <w:t>0,417</w:t>
            </w:r>
          </w:p>
        </w:tc>
        <w:tc>
          <w:tcPr>
            <w:tcW w:w="1080" w:type="dxa"/>
            <w:vAlign w:val="center"/>
          </w:tcPr>
          <w:p w:rsidR="00221D6A" w:rsidRDefault="00BA3780">
            <w:pPr>
              <w:spacing w:before="60" w:after="60" w:line="200" w:lineRule="exact"/>
              <w:jc w:val="right"/>
              <w:rPr>
                <w:noProof/>
                <w:sz w:val="16"/>
                <w:szCs w:val="16"/>
              </w:rPr>
            </w:pPr>
            <w:r>
              <w:rPr>
                <w:noProof/>
                <w:sz w:val="16"/>
              </w:rPr>
              <w:t>0,417</w:t>
            </w:r>
          </w:p>
        </w:tc>
        <w:tc>
          <w:tcPr>
            <w:tcW w:w="1080" w:type="dxa"/>
            <w:vAlign w:val="center"/>
          </w:tcPr>
          <w:p w:rsidR="00221D6A" w:rsidRDefault="00221D6A">
            <w:pPr>
              <w:spacing w:before="60" w:after="60" w:line="200" w:lineRule="exact"/>
              <w:jc w:val="right"/>
              <w:rPr>
                <w:noProof/>
                <w:sz w:val="16"/>
                <w:szCs w:val="16"/>
              </w:rPr>
            </w:pPr>
          </w:p>
        </w:tc>
        <w:tc>
          <w:tcPr>
            <w:tcW w:w="1080" w:type="dxa"/>
            <w:vAlign w:val="center"/>
          </w:tcPr>
          <w:p w:rsidR="00221D6A" w:rsidRDefault="00221D6A">
            <w:pPr>
              <w:spacing w:before="60" w:after="60" w:line="200" w:lineRule="exact"/>
              <w:jc w:val="right"/>
              <w:rPr>
                <w:b/>
                <w:noProof/>
                <w:sz w:val="16"/>
                <w:szCs w:val="16"/>
              </w:rPr>
            </w:pPr>
          </w:p>
        </w:tc>
        <w:tc>
          <w:tcPr>
            <w:tcW w:w="1080" w:type="dxa"/>
            <w:vAlign w:val="center"/>
          </w:tcPr>
          <w:p w:rsidR="00221D6A" w:rsidRDefault="00BA3780">
            <w:pPr>
              <w:spacing w:before="60" w:after="60" w:line="200" w:lineRule="exact"/>
              <w:jc w:val="right"/>
              <w:rPr>
                <w:noProof/>
                <w:sz w:val="16"/>
                <w:szCs w:val="16"/>
              </w:rPr>
            </w:pPr>
            <w:r>
              <w:rPr>
                <w:noProof/>
                <w:sz w:val="16"/>
              </w:rPr>
              <w:t>2,085</w:t>
            </w:r>
          </w:p>
        </w:tc>
      </w:tr>
      <w:tr w:rsidR="00221D6A">
        <w:trPr>
          <w:trHeight w:val="585"/>
        </w:trPr>
        <w:tc>
          <w:tcPr>
            <w:tcW w:w="1980" w:type="dxa"/>
            <w:vAlign w:val="center"/>
          </w:tcPr>
          <w:p w:rsidR="00221D6A" w:rsidRDefault="00BA3780">
            <w:pPr>
              <w:spacing w:before="60" w:after="60" w:line="200" w:lineRule="exact"/>
              <w:ind w:left="72"/>
              <w:jc w:val="left"/>
              <w:rPr>
                <w:noProof/>
                <w:sz w:val="16"/>
                <w:szCs w:val="16"/>
              </w:rPr>
            </w:pPr>
            <w:r>
              <w:rPr>
                <w:noProof/>
                <w:sz w:val="16"/>
              </w:rPr>
              <w:t xml:space="preserve">Kitos administracinės išlaidos </w:t>
            </w:r>
          </w:p>
        </w:tc>
        <w:tc>
          <w:tcPr>
            <w:tcW w:w="1080" w:type="dxa"/>
            <w:vAlign w:val="center"/>
          </w:tcPr>
          <w:p w:rsidR="00221D6A" w:rsidRDefault="00BA3780">
            <w:pPr>
              <w:spacing w:before="60" w:after="60" w:line="200" w:lineRule="exact"/>
              <w:jc w:val="right"/>
              <w:rPr>
                <w:noProof/>
                <w:sz w:val="16"/>
                <w:szCs w:val="16"/>
              </w:rPr>
            </w:pPr>
            <w:r>
              <w:rPr>
                <w:noProof/>
                <w:sz w:val="16"/>
              </w:rPr>
              <w:t>0,066</w:t>
            </w:r>
          </w:p>
        </w:tc>
        <w:tc>
          <w:tcPr>
            <w:tcW w:w="1080" w:type="dxa"/>
            <w:vAlign w:val="center"/>
          </w:tcPr>
          <w:p w:rsidR="00221D6A" w:rsidRDefault="00BA3780">
            <w:pPr>
              <w:spacing w:before="60" w:after="60" w:line="200" w:lineRule="exact"/>
              <w:jc w:val="right"/>
              <w:rPr>
                <w:noProof/>
                <w:sz w:val="16"/>
                <w:szCs w:val="16"/>
              </w:rPr>
            </w:pPr>
            <w:r>
              <w:rPr>
                <w:noProof/>
                <w:sz w:val="16"/>
              </w:rPr>
              <w:t>0,066</w:t>
            </w:r>
          </w:p>
        </w:tc>
        <w:tc>
          <w:tcPr>
            <w:tcW w:w="1080" w:type="dxa"/>
            <w:vAlign w:val="center"/>
          </w:tcPr>
          <w:p w:rsidR="00221D6A" w:rsidRDefault="00BA3780">
            <w:pPr>
              <w:spacing w:before="60" w:after="60" w:line="200" w:lineRule="exact"/>
              <w:jc w:val="right"/>
              <w:rPr>
                <w:noProof/>
                <w:sz w:val="16"/>
                <w:szCs w:val="16"/>
              </w:rPr>
            </w:pPr>
            <w:r>
              <w:rPr>
                <w:noProof/>
                <w:sz w:val="16"/>
              </w:rPr>
              <w:t>0,066</w:t>
            </w:r>
          </w:p>
        </w:tc>
        <w:tc>
          <w:tcPr>
            <w:tcW w:w="1080" w:type="dxa"/>
            <w:vAlign w:val="center"/>
          </w:tcPr>
          <w:p w:rsidR="00221D6A" w:rsidRDefault="00BA3780">
            <w:pPr>
              <w:spacing w:before="60" w:after="60" w:line="200" w:lineRule="exact"/>
              <w:jc w:val="right"/>
              <w:rPr>
                <w:noProof/>
                <w:sz w:val="16"/>
                <w:szCs w:val="16"/>
              </w:rPr>
            </w:pPr>
            <w:r>
              <w:rPr>
                <w:noProof/>
                <w:sz w:val="16"/>
              </w:rPr>
              <w:t>0,066</w:t>
            </w:r>
          </w:p>
        </w:tc>
        <w:tc>
          <w:tcPr>
            <w:tcW w:w="1080" w:type="dxa"/>
            <w:vAlign w:val="center"/>
          </w:tcPr>
          <w:p w:rsidR="00221D6A" w:rsidRDefault="00BA3780">
            <w:pPr>
              <w:spacing w:before="60" w:after="60" w:line="200" w:lineRule="exact"/>
              <w:jc w:val="right"/>
              <w:rPr>
                <w:noProof/>
                <w:sz w:val="16"/>
                <w:szCs w:val="16"/>
              </w:rPr>
            </w:pPr>
            <w:r>
              <w:rPr>
                <w:noProof/>
                <w:sz w:val="16"/>
              </w:rPr>
              <w:t>0,066</w:t>
            </w:r>
          </w:p>
        </w:tc>
        <w:tc>
          <w:tcPr>
            <w:tcW w:w="1080" w:type="dxa"/>
            <w:vAlign w:val="center"/>
          </w:tcPr>
          <w:p w:rsidR="00221D6A" w:rsidRDefault="00221D6A">
            <w:pPr>
              <w:spacing w:before="60" w:after="60" w:line="200" w:lineRule="exact"/>
              <w:jc w:val="right"/>
              <w:rPr>
                <w:noProof/>
                <w:sz w:val="16"/>
                <w:szCs w:val="16"/>
              </w:rPr>
            </w:pPr>
          </w:p>
        </w:tc>
        <w:tc>
          <w:tcPr>
            <w:tcW w:w="1080" w:type="dxa"/>
            <w:vAlign w:val="center"/>
          </w:tcPr>
          <w:p w:rsidR="00221D6A" w:rsidRDefault="00221D6A">
            <w:pPr>
              <w:spacing w:before="60" w:after="60" w:line="200" w:lineRule="exact"/>
              <w:jc w:val="right"/>
              <w:rPr>
                <w:b/>
                <w:noProof/>
                <w:sz w:val="16"/>
                <w:szCs w:val="16"/>
              </w:rPr>
            </w:pPr>
          </w:p>
        </w:tc>
        <w:tc>
          <w:tcPr>
            <w:tcW w:w="1080" w:type="dxa"/>
            <w:vAlign w:val="center"/>
          </w:tcPr>
          <w:p w:rsidR="00221D6A" w:rsidRDefault="00BA3780">
            <w:pPr>
              <w:spacing w:before="60" w:after="60" w:line="200" w:lineRule="exact"/>
              <w:jc w:val="right"/>
              <w:rPr>
                <w:noProof/>
                <w:sz w:val="16"/>
                <w:szCs w:val="16"/>
              </w:rPr>
            </w:pPr>
            <w:r>
              <w:rPr>
                <w:noProof/>
                <w:sz w:val="16"/>
              </w:rPr>
              <w:t>0,330</w:t>
            </w:r>
          </w:p>
        </w:tc>
      </w:tr>
      <w:tr w:rsidR="00221D6A">
        <w:trPr>
          <w:trHeight w:val="585"/>
        </w:trPr>
        <w:tc>
          <w:tcPr>
            <w:tcW w:w="1980" w:type="dxa"/>
            <w:shd w:val="clear" w:color="auto" w:fill="CCCCCC"/>
            <w:vAlign w:val="center"/>
          </w:tcPr>
          <w:p w:rsidR="00221D6A" w:rsidRDefault="00BA3780">
            <w:pPr>
              <w:spacing w:before="60" w:after="60" w:line="200" w:lineRule="exact"/>
              <w:jc w:val="center"/>
              <w:rPr>
                <w:b/>
                <w:noProof/>
                <w:sz w:val="16"/>
                <w:szCs w:val="16"/>
              </w:rPr>
            </w:pPr>
            <w:r>
              <w:rPr>
                <w:b/>
                <w:noProof/>
                <w:sz w:val="16"/>
              </w:rPr>
              <w:t>Daugiametės finansinės programos</w:t>
            </w:r>
            <w:r>
              <w:rPr>
                <w:noProof/>
              </w:rPr>
              <w:br/>
            </w:r>
            <w:r>
              <w:rPr>
                <w:b/>
                <w:noProof/>
                <w:sz w:val="16"/>
              </w:rPr>
              <w:t xml:space="preserve">5 IŠLAIDŲ KATEGORIJOS tarpinė suma </w:t>
            </w:r>
          </w:p>
        </w:tc>
        <w:tc>
          <w:tcPr>
            <w:tcW w:w="1080" w:type="dxa"/>
            <w:vAlign w:val="center"/>
          </w:tcPr>
          <w:p w:rsidR="00221D6A" w:rsidRDefault="00BA3780">
            <w:pPr>
              <w:spacing w:before="60" w:after="60" w:line="200" w:lineRule="exact"/>
              <w:jc w:val="right"/>
              <w:rPr>
                <w:noProof/>
                <w:sz w:val="16"/>
                <w:szCs w:val="16"/>
              </w:rPr>
            </w:pPr>
            <w:r>
              <w:rPr>
                <w:noProof/>
                <w:sz w:val="16"/>
              </w:rPr>
              <w:t>0,483</w:t>
            </w:r>
          </w:p>
        </w:tc>
        <w:tc>
          <w:tcPr>
            <w:tcW w:w="1080" w:type="dxa"/>
            <w:vAlign w:val="center"/>
          </w:tcPr>
          <w:p w:rsidR="00221D6A" w:rsidRDefault="00BA3780">
            <w:pPr>
              <w:spacing w:before="60" w:after="60" w:line="200" w:lineRule="exact"/>
              <w:jc w:val="right"/>
              <w:rPr>
                <w:noProof/>
                <w:sz w:val="16"/>
                <w:szCs w:val="16"/>
              </w:rPr>
            </w:pPr>
            <w:r>
              <w:rPr>
                <w:noProof/>
                <w:sz w:val="16"/>
              </w:rPr>
              <w:t>0,483</w:t>
            </w:r>
          </w:p>
        </w:tc>
        <w:tc>
          <w:tcPr>
            <w:tcW w:w="1080" w:type="dxa"/>
            <w:vAlign w:val="center"/>
          </w:tcPr>
          <w:p w:rsidR="00221D6A" w:rsidRDefault="00BA3780">
            <w:pPr>
              <w:spacing w:before="60" w:after="60" w:line="200" w:lineRule="exact"/>
              <w:jc w:val="right"/>
              <w:rPr>
                <w:noProof/>
                <w:sz w:val="16"/>
                <w:szCs w:val="16"/>
              </w:rPr>
            </w:pPr>
            <w:r>
              <w:rPr>
                <w:noProof/>
                <w:sz w:val="16"/>
              </w:rPr>
              <w:t>0,483</w:t>
            </w:r>
          </w:p>
        </w:tc>
        <w:tc>
          <w:tcPr>
            <w:tcW w:w="1080" w:type="dxa"/>
            <w:vAlign w:val="center"/>
          </w:tcPr>
          <w:p w:rsidR="00221D6A" w:rsidRDefault="00BA3780">
            <w:pPr>
              <w:spacing w:before="60" w:after="60" w:line="200" w:lineRule="exact"/>
              <w:jc w:val="right"/>
              <w:rPr>
                <w:noProof/>
                <w:sz w:val="16"/>
                <w:szCs w:val="16"/>
              </w:rPr>
            </w:pPr>
            <w:r>
              <w:rPr>
                <w:noProof/>
                <w:sz w:val="16"/>
              </w:rPr>
              <w:t>0,483</w:t>
            </w:r>
          </w:p>
        </w:tc>
        <w:tc>
          <w:tcPr>
            <w:tcW w:w="1080" w:type="dxa"/>
            <w:vAlign w:val="center"/>
          </w:tcPr>
          <w:p w:rsidR="00221D6A" w:rsidRDefault="00BA3780">
            <w:pPr>
              <w:spacing w:before="60" w:after="60" w:line="200" w:lineRule="exact"/>
              <w:jc w:val="right"/>
              <w:rPr>
                <w:noProof/>
                <w:sz w:val="16"/>
                <w:szCs w:val="16"/>
              </w:rPr>
            </w:pPr>
            <w:r>
              <w:rPr>
                <w:noProof/>
                <w:sz w:val="16"/>
              </w:rPr>
              <w:t>0,483</w:t>
            </w:r>
          </w:p>
        </w:tc>
        <w:tc>
          <w:tcPr>
            <w:tcW w:w="1080" w:type="dxa"/>
            <w:vAlign w:val="center"/>
          </w:tcPr>
          <w:p w:rsidR="00221D6A" w:rsidRDefault="00221D6A">
            <w:pPr>
              <w:spacing w:before="60" w:after="60" w:line="200" w:lineRule="exact"/>
              <w:jc w:val="right"/>
              <w:rPr>
                <w:noProof/>
                <w:sz w:val="16"/>
                <w:szCs w:val="16"/>
              </w:rPr>
            </w:pPr>
          </w:p>
        </w:tc>
        <w:tc>
          <w:tcPr>
            <w:tcW w:w="1080" w:type="dxa"/>
            <w:vAlign w:val="center"/>
          </w:tcPr>
          <w:p w:rsidR="00221D6A" w:rsidRDefault="00221D6A">
            <w:pPr>
              <w:spacing w:before="60" w:after="60" w:line="200" w:lineRule="exact"/>
              <w:jc w:val="right"/>
              <w:rPr>
                <w:b/>
                <w:noProof/>
                <w:sz w:val="16"/>
                <w:szCs w:val="16"/>
              </w:rPr>
            </w:pPr>
          </w:p>
        </w:tc>
        <w:tc>
          <w:tcPr>
            <w:tcW w:w="1080" w:type="dxa"/>
            <w:vAlign w:val="center"/>
          </w:tcPr>
          <w:p w:rsidR="00221D6A" w:rsidRDefault="00BA3780">
            <w:pPr>
              <w:spacing w:before="60" w:after="60" w:line="200" w:lineRule="exact"/>
              <w:jc w:val="right"/>
              <w:rPr>
                <w:noProof/>
                <w:sz w:val="16"/>
                <w:szCs w:val="16"/>
              </w:rPr>
            </w:pPr>
            <w:r>
              <w:rPr>
                <w:noProof/>
                <w:sz w:val="16"/>
              </w:rPr>
              <w:t>2,415</w:t>
            </w:r>
          </w:p>
        </w:tc>
      </w:tr>
    </w:tbl>
    <w:p w:rsidR="00221D6A" w:rsidRDefault="00221D6A">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221D6A">
        <w:trPr>
          <w:trHeight w:val="585"/>
        </w:trPr>
        <w:tc>
          <w:tcPr>
            <w:tcW w:w="1980" w:type="dxa"/>
            <w:shd w:val="clear" w:color="auto" w:fill="CCCCCC"/>
            <w:vAlign w:val="center"/>
          </w:tcPr>
          <w:p w:rsidR="00221D6A" w:rsidRDefault="00BA3780">
            <w:pPr>
              <w:spacing w:before="60" w:after="60" w:line="200" w:lineRule="exact"/>
              <w:jc w:val="center"/>
              <w:rPr>
                <w:noProof/>
                <w:sz w:val="16"/>
                <w:szCs w:val="16"/>
              </w:rPr>
            </w:pPr>
            <w:r>
              <w:rPr>
                <w:b/>
                <w:noProof/>
                <w:sz w:val="16"/>
              </w:rPr>
              <w:t>Neįtraukta į daugiametės finansinės programos</w:t>
            </w:r>
            <w:r>
              <w:rPr>
                <w:noProof/>
              </w:rPr>
              <w:br/>
            </w:r>
            <w:r>
              <w:rPr>
                <w:b/>
                <w:noProof/>
                <w:sz w:val="16"/>
              </w:rPr>
              <w:t>5 IŠLAIDŲ KATEGORIJĄ</w:t>
            </w:r>
            <w:r>
              <w:rPr>
                <w:rStyle w:val="FootnoteReference"/>
                <w:b/>
                <w:noProof/>
                <w:sz w:val="16"/>
              </w:rPr>
              <w:footnoteReference w:id="30"/>
            </w:r>
            <w:r>
              <w:rPr>
                <w:b/>
                <w:noProof/>
                <w:sz w:val="16"/>
              </w:rPr>
              <w:t xml:space="preserve"> </w:t>
            </w:r>
          </w:p>
          <w:p w:rsidR="00221D6A" w:rsidRDefault="00221D6A">
            <w:pPr>
              <w:spacing w:before="0" w:after="0" w:line="200" w:lineRule="exact"/>
              <w:jc w:val="center"/>
              <w:rPr>
                <w:b/>
                <w:noProof/>
                <w:sz w:val="16"/>
                <w:szCs w:val="16"/>
              </w:rPr>
            </w:pPr>
          </w:p>
        </w:tc>
        <w:tc>
          <w:tcPr>
            <w:tcW w:w="1080" w:type="dxa"/>
            <w:vAlign w:val="center"/>
          </w:tcPr>
          <w:p w:rsidR="00221D6A" w:rsidRDefault="00221D6A">
            <w:pPr>
              <w:spacing w:before="60" w:after="60" w:line="200" w:lineRule="exact"/>
              <w:jc w:val="right"/>
              <w:rPr>
                <w:noProof/>
                <w:sz w:val="16"/>
                <w:szCs w:val="16"/>
              </w:rPr>
            </w:pPr>
          </w:p>
        </w:tc>
        <w:tc>
          <w:tcPr>
            <w:tcW w:w="1080" w:type="dxa"/>
            <w:vAlign w:val="center"/>
          </w:tcPr>
          <w:p w:rsidR="00221D6A" w:rsidRDefault="00221D6A">
            <w:pPr>
              <w:spacing w:before="60" w:after="60" w:line="200" w:lineRule="exact"/>
              <w:jc w:val="right"/>
              <w:rPr>
                <w:noProof/>
                <w:sz w:val="16"/>
                <w:szCs w:val="16"/>
              </w:rPr>
            </w:pPr>
          </w:p>
        </w:tc>
        <w:tc>
          <w:tcPr>
            <w:tcW w:w="1080" w:type="dxa"/>
            <w:vAlign w:val="center"/>
          </w:tcPr>
          <w:p w:rsidR="00221D6A" w:rsidRDefault="00221D6A">
            <w:pPr>
              <w:spacing w:before="60" w:after="60" w:line="200" w:lineRule="exact"/>
              <w:jc w:val="right"/>
              <w:rPr>
                <w:noProof/>
                <w:sz w:val="16"/>
                <w:szCs w:val="16"/>
              </w:rPr>
            </w:pPr>
          </w:p>
        </w:tc>
        <w:tc>
          <w:tcPr>
            <w:tcW w:w="1080" w:type="dxa"/>
            <w:vAlign w:val="center"/>
          </w:tcPr>
          <w:p w:rsidR="00221D6A" w:rsidRDefault="00221D6A">
            <w:pPr>
              <w:spacing w:before="60" w:after="60" w:line="200" w:lineRule="exact"/>
              <w:jc w:val="right"/>
              <w:rPr>
                <w:noProof/>
                <w:sz w:val="16"/>
                <w:szCs w:val="16"/>
              </w:rPr>
            </w:pPr>
          </w:p>
        </w:tc>
        <w:tc>
          <w:tcPr>
            <w:tcW w:w="1080" w:type="dxa"/>
            <w:vAlign w:val="center"/>
          </w:tcPr>
          <w:p w:rsidR="00221D6A" w:rsidRDefault="00221D6A">
            <w:pPr>
              <w:spacing w:before="60" w:after="60" w:line="200" w:lineRule="exact"/>
              <w:jc w:val="right"/>
              <w:rPr>
                <w:noProof/>
                <w:sz w:val="16"/>
                <w:szCs w:val="16"/>
              </w:rPr>
            </w:pPr>
          </w:p>
        </w:tc>
        <w:tc>
          <w:tcPr>
            <w:tcW w:w="1080" w:type="dxa"/>
            <w:vAlign w:val="center"/>
          </w:tcPr>
          <w:p w:rsidR="00221D6A" w:rsidRDefault="00221D6A">
            <w:pPr>
              <w:spacing w:before="60" w:after="60" w:line="200" w:lineRule="exact"/>
              <w:jc w:val="right"/>
              <w:rPr>
                <w:noProof/>
                <w:sz w:val="16"/>
                <w:szCs w:val="16"/>
              </w:rPr>
            </w:pPr>
          </w:p>
        </w:tc>
        <w:tc>
          <w:tcPr>
            <w:tcW w:w="1080" w:type="dxa"/>
            <w:vAlign w:val="center"/>
          </w:tcPr>
          <w:p w:rsidR="00221D6A" w:rsidRDefault="00221D6A">
            <w:pPr>
              <w:spacing w:before="60" w:after="60" w:line="200" w:lineRule="exact"/>
              <w:jc w:val="right"/>
              <w:rPr>
                <w:b/>
                <w:noProof/>
                <w:sz w:val="16"/>
                <w:szCs w:val="16"/>
              </w:rPr>
            </w:pPr>
          </w:p>
        </w:tc>
        <w:tc>
          <w:tcPr>
            <w:tcW w:w="1080" w:type="dxa"/>
            <w:vAlign w:val="center"/>
          </w:tcPr>
          <w:p w:rsidR="00221D6A" w:rsidRDefault="00221D6A">
            <w:pPr>
              <w:spacing w:before="60" w:after="60" w:line="200" w:lineRule="exact"/>
              <w:jc w:val="right"/>
              <w:rPr>
                <w:b/>
                <w:noProof/>
                <w:sz w:val="16"/>
                <w:szCs w:val="16"/>
              </w:rPr>
            </w:pPr>
          </w:p>
        </w:tc>
      </w:tr>
      <w:tr w:rsidR="00221D6A">
        <w:trPr>
          <w:trHeight w:val="585"/>
        </w:trPr>
        <w:tc>
          <w:tcPr>
            <w:tcW w:w="1980" w:type="dxa"/>
            <w:vAlign w:val="center"/>
          </w:tcPr>
          <w:p w:rsidR="00221D6A" w:rsidRDefault="00BA3780">
            <w:pPr>
              <w:spacing w:before="60" w:after="60" w:line="200" w:lineRule="exact"/>
              <w:ind w:left="72"/>
              <w:jc w:val="left"/>
              <w:rPr>
                <w:noProof/>
                <w:sz w:val="16"/>
                <w:szCs w:val="16"/>
              </w:rPr>
            </w:pPr>
            <w:r>
              <w:rPr>
                <w:noProof/>
                <w:sz w:val="16"/>
              </w:rPr>
              <w:t xml:space="preserve">Žmogiškieji ištekliai </w:t>
            </w:r>
          </w:p>
        </w:tc>
        <w:tc>
          <w:tcPr>
            <w:tcW w:w="1080" w:type="dxa"/>
            <w:vAlign w:val="center"/>
          </w:tcPr>
          <w:p w:rsidR="00221D6A" w:rsidRDefault="00221D6A">
            <w:pPr>
              <w:spacing w:before="60" w:after="60" w:line="200" w:lineRule="exact"/>
              <w:jc w:val="right"/>
              <w:rPr>
                <w:noProof/>
                <w:sz w:val="16"/>
                <w:szCs w:val="16"/>
              </w:rPr>
            </w:pPr>
          </w:p>
        </w:tc>
        <w:tc>
          <w:tcPr>
            <w:tcW w:w="1080" w:type="dxa"/>
            <w:vAlign w:val="center"/>
          </w:tcPr>
          <w:p w:rsidR="00221D6A" w:rsidRDefault="00221D6A">
            <w:pPr>
              <w:spacing w:before="60" w:after="60" w:line="200" w:lineRule="exact"/>
              <w:jc w:val="right"/>
              <w:rPr>
                <w:noProof/>
                <w:sz w:val="16"/>
                <w:szCs w:val="16"/>
              </w:rPr>
            </w:pPr>
          </w:p>
        </w:tc>
        <w:tc>
          <w:tcPr>
            <w:tcW w:w="1080" w:type="dxa"/>
            <w:vAlign w:val="center"/>
          </w:tcPr>
          <w:p w:rsidR="00221D6A" w:rsidRDefault="00221D6A">
            <w:pPr>
              <w:spacing w:before="60" w:after="60" w:line="200" w:lineRule="exact"/>
              <w:jc w:val="right"/>
              <w:rPr>
                <w:noProof/>
                <w:sz w:val="16"/>
                <w:szCs w:val="16"/>
              </w:rPr>
            </w:pPr>
          </w:p>
        </w:tc>
        <w:tc>
          <w:tcPr>
            <w:tcW w:w="1080" w:type="dxa"/>
            <w:vAlign w:val="center"/>
          </w:tcPr>
          <w:p w:rsidR="00221D6A" w:rsidRDefault="00221D6A">
            <w:pPr>
              <w:spacing w:before="60" w:after="60" w:line="200" w:lineRule="exact"/>
              <w:jc w:val="right"/>
              <w:rPr>
                <w:noProof/>
                <w:sz w:val="16"/>
                <w:szCs w:val="16"/>
              </w:rPr>
            </w:pPr>
          </w:p>
        </w:tc>
        <w:tc>
          <w:tcPr>
            <w:tcW w:w="1080" w:type="dxa"/>
            <w:vAlign w:val="center"/>
          </w:tcPr>
          <w:p w:rsidR="00221D6A" w:rsidRDefault="00221D6A">
            <w:pPr>
              <w:spacing w:before="60" w:after="60" w:line="200" w:lineRule="exact"/>
              <w:jc w:val="right"/>
              <w:rPr>
                <w:noProof/>
                <w:sz w:val="16"/>
                <w:szCs w:val="16"/>
              </w:rPr>
            </w:pPr>
          </w:p>
        </w:tc>
        <w:tc>
          <w:tcPr>
            <w:tcW w:w="1080" w:type="dxa"/>
            <w:vAlign w:val="center"/>
          </w:tcPr>
          <w:p w:rsidR="00221D6A" w:rsidRDefault="00221D6A">
            <w:pPr>
              <w:spacing w:before="60" w:after="60" w:line="200" w:lineRule="exact"/>
              <w:jc w:val="right"/>
              <w:rPr>
                <w:noProof/>
                <w:sz w:val="16"/>
                <w:szCs w:val="16"/>
              </w:rPr>
            </w:pPr>
          </w:p>
        </w:tc>
        <w:tc>
          <w:tcPr>
            <w:tcW w:w="1080" w:type="dxa"/>
            <w:vAlign w:val="center"/>
          </w:tcPr>
          <w:p w:rsidR="00221D6A" w:rsidRDefault="00221D6A">
            <w:pPr>
              <w:spacing w:before="60" w:after="60" w:line="200" w:lineRule="exact"/>
              <w:jc w:val="right"/>
              <w:rPr>
                <w:b/>
                <w:noProof/>
                <w:sz w:val="16"/>
                <w:szCs w:val="16"/>
              </w:rPr>
            </w:pPr>
          </w:p>
        </w:tc>
        <w:tc>
          <w:tcPr>
            <w:tcW w:w="1080" w:type="dxa"/>
            <w:vAlign w:val="center"/>
          </w:tcPr>
          <w:p w:rsidR="00221D6A" w:rsidRDefault="00221D6A">
            <w:pPr>
              <w:spacing w:before="60" w:after="60" w:line="200" w:lineRule="exact"/>
              <w:jc w:val="right"/>
              <w:rPr>
                <w:b/>
                <w:noProof/>
                <w:sz w:val="16"/>
                <w:szCs w:val="16"/>
              </w:rPr>
            </w:pPr>
          </w:p>
        </w:tc>
      </w:tr>
      <w:tr w:rsidR="00221D6A">
        <w:trPr>
          <w:trHeight w:val="585"/>
        </w:trPr>
        <w:tc>
          <w:tcPr>
            <w:tcW w:w="1980" w:type="dxa"/>
            <w:vAlign w:val="center"/>
          </w:tcPr>
          <w:p w:rsidR="00221D6A" w:rsidRDefault="00BA3780">
            <w:pPr>
              <w:spacing w:before="60" w:after="60" w:line="200" w:lineRule="exact"/>
              <w:ind w:left="72"/>
              <w:jc w:val="left"/>
              <w:rPr>
                <w:noProof/>
                <w:sz w:val="16"/>
                <w:szCs w:val="16"/>
              </w:rPr>
            </w:pPr>
            <w:r>
              <w:rPr>
                <w:noProof/>
                <w:sz w:val="16"/>
              </w:rPr>
              <w:t>Kitos administracinio pobūdžio</w:t>
            </w:r>
            <w:r>
              <w:rPr>
                <w:noProof/>
              </w:rPr>
              <w:br/>
            </w:r>
            <w:r>
              <w:rPr>
                <w:noProof/>
                <w:sz w:val="16"/>
              </w:rPr>
              <w:t>išlaidos</w:t>
            </w:r>
          </w:p>
        </w:tc>
        <w:tc>
          <w:tcPr>
            <w:tcW w:w="1080" w:type="dxa"/>
            <w:vAlign w:val="center"/>
          </w:tcPr>
          <w:p w:rsidR="00221D6A" w:rsidRDefault="00221D6A">
            <w:pPr>
              <w:spacing w:before="60" w:after="60" w:line="200" w:lineRule="exact"/>
              <w:jc w:val="right"/>
              <w:rPr>
                <w:noProof/>
                <w:sz w:val="16"/>
                <w:szCs w:val="16"/>
              </w:rPr>
            </w:pPr>
          </w:p>
        </w:tc>
        <w:tc>
          <w:tcPr>
            <w:tcW w:w="1080" w:type="dxa"/>
            <w:vAlign w:val="center"/>
          </w:tcPr>
          <w:p w:rsidR="00221D6A" w:rsidRDefault="00221D6A">
            <w:pPr>
              <w:spacing w:before="60" w:after="60" w:line="200" w:lineRule="exact"/>
              <w:jc w:val="right"/>
              <w:rPr>
                <w:noProof/>
                <w:sz w:val="16"/>
                <w:szCs w:val="16"/>
              </w:rPr>
            </w:pPr>
          </w:p>
        </w:tc>
        <w:tc>
          <w:tcPr>
            <w:tcW w:w="1080" w:type="dxa"/>
            <w:vAlign w:val="center"/>
          </w:tcPr>
          <w:p w:rsidR="00221D6A" w:rsidRDefault="00221D6A">
            <w:pPr>
              <w:spacing w:before="60" w:after="60" w:line="200" w:lineRule="exact"/>
              <w:jc w:val="right"/>
              <w:rPr>
                <w:noProof/>
                <w:sz w:val="16"/>
                <w:szCs w:val="16"/>
              </w:rPr>
            </w:pPr>
          </w:p>
        </w:tc>
        <w:tc>
          <w:tcPr>
            <w:tcW w:w="1080" w:type="dxa"/>
            <w:vAlign w:val="center"/>
          </w:tcPr>
          <w:p w:rsidR="00221D6A" w:rsidRDefault="00221D6A">
            <w:pPr>
              <w:spacing w:before="60" w:after="60" w:line="200" w:lineRule="exact"/>
              <w:jc w:val="right"/>
              <w:rPr>
                <w:noProof/>
                <w:sz w:val="16"/>
                <w:szCs w:val="16"/>
              </w:rPr>
            </w:pPr>
          </w:p>
        </w:tc>
        <w:tc>
          <w:tcPr>
            <w:tcW w:w="1080" w:type="dxa"/>
            <w:vAlign w:val="center"/>
          </w:tcPr>
          <w:p w:rsidR="00221D6A" w:rsidRDefault="00221D6A">
            <w:pPr>
              <w:spacing w:before="60" w:after="60" w:line="200" w:lineRule="exact"/>
              <w:jc w:val="right"/>
              <w:rPr>
                <w:noProof/>
                <w:sz w:val="16"/>
                <w:szCs w:val="16"/>
              </w:rPr>
            </w:pPr>
          </w:p>
        </w:tc>
        <w:tc>
          <w:tcPr>
            <w:tcW w:w="1080" w:type="dxa"/>
            <w:vAlign w:val="center"/>
          </w:tcPr>
          <w:p w:rsidR="00221D6A" w:rsidRDefault="00221D6A">
            <w:pPr>
              <w:spacing w:before="60" w:after="60" w:line="200" w:lineRule="exact"/>
              <w:jc w:val="right"/>
              <w:rPr>
                <w:noProof/>
                <w:sz w:val="16"/>
                <w:szCs w:val="16"/>
              </w:rPr>
            </w:pPr>
          </w:p>
        </w:tc>
        <w:tc>
          <w:tcPr>
            <w:tcW w:w="1080" w:type="dxa"/>
            <w:vAlign w:val="center"/>
          </w:tcPr>
          <w:p w:rsidR="00221D6A" w:rsidRDefault="00221D6A">
            <w:pPr>
              <w:spacing w:before="60" w:after="60" w:line="200" w:lineRule="exact"/>
              <w:jc w:val="right"/>
              <w:rPr>
                <w:b/>
                <w:noProof/>
                <w:sz w:val="16"/>
                <w:szCs w:val="16"/>
              </w:rPr>
            </w:pPr>
          </w:p>
        </w:tc>
        <w:tc>
          <w:tcPr>
            <w:tcW w:w="1080" w:type="dxa"/>
            <w:vAlign w:val="center"/>
          </w:tcPr>
          <w:p w:rsidR="00221D6A" w:rsidRDefault="00221D6A">
            <w:pPr>
              <w:spacing w:before="60" w:after="60" w:line="200" w:lineRule="exact"/>
              <w:jc w:val="right"/>
              <w:rPr>
                <w:b/>
                <w:noProof/>
                <w:sz w:val="16"/>
                <w:szCs w:val="16"/>
              </w:rPr>
            </w:pPr>
          </w:p>
        </w:tc>
      </w:tr>
      <w:tr w:rsidR="00221D6A">
        <w:trPr>
          <w:trHeight w:val="585"/>
        </w:trPr>
        <w:tc>
          <w:tcPr>
            <w:tcW w:w="1980" w:type="dxa"/>
            <w:shd w:val="clear" w:color="auto" w:fill="CCCCCC"/>
            <w:vAlign w:val="center"/>
          </w:tcPr>
          <w:p w:rsidR="00221D6A" w:rsidRDefault="00BA3780">
            <w:pPr>
              <w:spacing w:before="60" w:after="60" w:line="200" w:lineRule="exact"/>
              <w:jc w:val="center"/>
              <w:rPr>
                <w:b/>
                <w:noProof/>
                <w:sz w:val="16"/>
                <w:szCs w:val="16"/>
              </w:rPr>
            </w:pPr>
            <w:r>
              <w:rPr>
                <w:b/>
                <w:noProof/>
                <w:sz w:val="16"/>
              </w:rPr>
              <w:t>Tarpinė suma,</w:t>
            </w:r>
            <w:r>
              <w:rPr>
                <w:noProof/>
              </w:rPr>
              <w:br/>
            </w:r>
            <w:r>
              <w:rPr>
                <w:b/>
                <w:noProof/>
                <w:sz w:val="16"/>
              </w:rPr>
              <w:t>neįtraukta į daugiametės finansinės programos</w:t>
            </w:r>
            <w:r>
              <w:rPr>
                <w:noProof/>
              </w:rPr>
              <w:br/>
            </w:r>
            <w:r>
              <w:rPr>
                <w:b/>
                <w:noProof/>
                <w:sz w:val="16"/>
              </w:rPr>
              <w:t xml:space="preserve">5 IŠLAIDŲ KATEGORIJĄ </w:t>
            </w:r>
          </w:p>
        </w:tc>
        <w:tc>
          <w:tcPr>
            <w:tcW w:w="1080" w:type="dxa"/>
            <w:vAlign w:val="center"/>
          </w:tcPr>
          <w:p w:rsidR="00221D6A" w:rsidRDefault="00221D6A">
            <w:pPr>
              <w:spacing w:before="60" w:after="60" w:line="200" w:lineRule="exact"/>
              <w:jc w:val="right"/>
              <w:rPr>
                <w:noProof/>
                <w:sz w:val="16"/>
                <w:szCs w:val="16"/>
              </w:rPr>
            </w:pPr>
          </w:p>
        </w:tc>
        <w:tc>
          <w:tcPr>
            <w:tcW w:w="1080" w:type="dxa"/>
            <w:vAlign w:val="center"/>
          </w:tcPr>
          <w:p w:rsidR="00221D6A" w:rsidRDefault="00221D6A">
            <w:pPr>
              <w:spacing w:before="60" w:after="60" w:line="200" w:lineRule="exact"/>
              <w:jc w:val="right"/>
              <w:rPr>
                <w:noProof/>
                <w:sz w:val="16"/>
                <w:szCs w:val="16"/>
              </w:rPr>
            </w:pPr>
          </w:p>
        </w:tc>
        <w:tc>
          <w:tcPr>
            <w:tcW w:w="1080" w:type="dxa"/>
            <w:vAlign w:val="center"/>
          </w:tcPr>
          <w:p w:rsidR="00221D6A" w:rsidRDefault="00221D6A">
            <w:pPr>
              <w:spacing w:before="60" w:after="60" w:line="200" w:lineRule="exact"/>
              <w:jc w:val="right"/>
              <w:rPr>
                <w:noProof/>
                <w:sz w:val="16"/>
                <w:szCs w:val="16"/>
              </w:rPr>
            </w:pPr>
          </w:p>
        </w:tc>
        <w:tc>
          <w:tcPr>
            <w:tcW w:w="1080" w:type="dxa"/>
            <w:vAlign w:val="center"/>
          </w:tcPr>
          <w:p w:rsidR="00221D6A" w:rsidRDefault="00221D6A">
            <w:pPr>
              <w:spacing w:before="60" w:after="60" w:line="200" w:lineRule="exact"/>
              <w:jc w:val="right"/>
              <w:rPr>
                <w:noProof/>
                <w:sz w:val="16"/>
                <w:szCs w:val="16"/>
              </w:rPr>
            </w:pPr>
          </w:p>
        </w:tc>
        <w:tc>
          <w:tcPr>
            <w:tcW w:w="1080" w:type="dxa"/>
            <w:vAlign w:val="center"/>
          </w:tcPr>
          <w:p w:rsidR="00221D6A" w:rsidRDefault="00221D6A">
            <w:pPr>
              <w:spacing w:before="60" w:after="60" w:line="200" w:lineRule="exact"/>
              <w:jc w:val="right"/>
              <w:rPr>
                <w:noProof/>
                <w:sz w:val="16"/>
                <w:szCs w:val="16"/>
              </w:rPr>
            </w:pPr>
          </w:p>
        </w:tc>
        <w:tc>
          <w:tcPr>
            <w:tcW w:w="1080" w:type="dxa"/>
            <w:vAlign w:val="center"/>
          </w:tcPr>
          <w:p w:rsidR="00221D6A" w:rsidRDefault="00221D6A">
            <w:pPr>
              <w:spacing w:before="60" w:after="60" w:line="200" w:lineRule="exact"/>
              <w:jc w:val="right"/>
              <w:rPr>
                <w:noProof/>
                <w:sz w:val="16"/>
                <w:szCs w:val="16"/>
              </w:rPr>
            </w:pPr>
          </w:p>
        </w:tc>
        <w:tc>
          <w:tcPr>
            <w:tcW w:w="1080" w:type="dxa"/>
            <w:vAlign w:val="center"/>
          </w:tcPr>
          <w:p w:rsidR="00221D6A" w:rsidRDefault="00221D6A">
            <w:pPr>
              <w:spacing w:before="60" w:after="60" w:line="200" w:lineRule="exact"/>
              <w:jc w:val="right"/>
              <w:rPr>
                <w:b/>
                <w:noProof/>
                <w:sz w:val="16"/>
                <w:szCs w:val="16"/>
              </w:rPr>
            </w:pPr>
          </w:p>
        </w:tc>
        <w:tc>
          <w:tcPr>
            <w:tcW w:w="1080" w:type="dxa"/>
            <w:vAlign w:val="center"/>
          </w:tcPr>
          <w:p w:rsidR="00221D6A" w:rsidRDefault="00221D6A">
            <w:pPr>
              <w:spacing w:before="60" w:after="60" w:line="200" w:lineRule="exact"/>
              <w:jc w:val="right"/>
              <w:rPr>
                <w:b/>
                <w:noProof/>
                <w:sz w:val="16"/>
                <w:szCs w:val="16"/>
              </w:rPr>
            </w:pPr>
          </w:p>
        </w:tc>
      </w:tr>
    </w:tbl>
    <w:p w:rsidR="00221D6A" w:rsidRDefault="00221D6A">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221D6A">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221D6A" w:rsidRDefault="00BA3780">
            <w:pPr>
              <w:spacing w:before="60" w:after="60" w:line="200" w:lineRule="exact"/>
              <w:jc w:val="center"/>
              <w:rPr>
                <w:noProof/>
                <w:sz w:val="16"/>
                <w:szCs w:val="16"/>
              </w:rPr>
            </w:pPr>
            <w:r>
              <w:rPr>
                <w:b/>
                <w:noProof/>
                <w:sz w:val="16"/>
              </w:rPr>
              <w:t>IŠ VISO</w:t>
            </w:r>
          </w:p>
        </w:tc>
        <w:tc>
          <w:tcPr>
            <w:tcW w:w="1080" w:type="dxa"/>
            <w:tcBorders>
              <w:top w:val="single" w:sz="12" w:space="0" w:color="auto"/>
              <w:left w:val="single" w:sz="2" w:space="0" w:color="auto"/>
              <w:bottom w:val="single" w:sz="12" w:space="0" w:color="auto"/>
              <w:right w:val="single" w:sz="2" w:space="0" w:color="auto"/>
            </w:tcBorders>
            <w:vAlign w:val="center"/>
          </w:tcPr>
          <w:p w:rsidR="00221D6A" w:rsidRDefault="00BA3780">
            <w:pPr>
              <w:spacing w:before="60" w:after="60" w:line="200" w:lineRule="exact"/>
              <w:jc w:val="right"/>
              <w:rPr>
                <w:b/>
                <w:noProof/>
                <w:sz w:val="16"/>
                <w:szCs w:val="16"/>
              </w:rPr>
            </w:pPr>
            <w:r>
              <w:rPr>
                <w:noProof/>
                <w:sz w:val="16"/>
              </w:rPr>
              <w:t>0,483</w:t>
            </w:r>
          </w:p>
        </w:tc>
        <w:tc>
          <w:tcPr>
            <w:tcW w:w="1080" w:type="dxa"/>
            <w:tcBorders>
              <w:top w:val="single" w:sz="12" w:space="0" w:color="auto"/>
              <w:left w:val="single" w:sz="2" w:space="0" w:color="auto"/>
              <w:bottom w:val="single" w:sz="12" w:space="0" w:color="auto"/>
              <w:right w:val="single" w:sz="2" w:space="0" w:color="auto"/>
            </w:tcBorders>
            <w:vAlign w:val="center"/>
          </w:tcPr>
          <w:p w:rsidR="00221D6A" w:rsidRDefault="00BA3780">
            <w:pPr>
              <w:spacing w:before="60" w:after="60" w:line="200" w:lineRule="exact"/>
              <w:jc w:val="right"/>
              <w:rPr>
                <w:b/>
                <w:noProof/>
                <w:sz w:val="16"/>
                <w:szCs w:val="16"/>
              </w:rPr>
            </w:pPr>
            <w:r>
              <w:rPr>
                <w:noProof/>
                <w:sz w:val="16"/>
              </w:rPr>
              <w:t>0,483</w:t>
            </w:r>
          </w:p>
        </w:tc>
        <w:tc>
          <w:tcPr>
            <w:tcW w:w="1080" w:type="dxa"/>
            <w:tcBorders>
              <w:top w:val="single" w:sz="12" w:space="0" w:color="auto"/>
              <w:left w:val="single" w:sz="2" w:space="0" w:color="auto"/>
              <w:bottom w:val="single" w:sz="12" w:space="0" w:color="auto"/>
              <w:right w:val="single" w:sz="2" w:space="0" w:color="auto"/>
            </w:tcBorders>
            <w:vAlign w:val="center"/>
          </w:tcPr>
          <w:p w:rsidR="00221D6A" w:rsidRDefault="00BA3780">
            <w:pPr>
              <w:spacing w:before="60" w:after="60" w:line="200" w:lineRule="exact"/>
              <w:jc w:val="right"/>
              <w:rPr>
                <w:b/>
                <w:noProof/>
                <w:sz w:val="16"/>
                <w:szCs w:val="16"/>
              </w:rPr>
            </w:pPr>
            <w:r>
              <w:rPr>
                <w:noProof/>
                <w:sz w:val="16"/>
              </w:rPr>
              <w:t>0,483</w:t>
            </w:r>
          </w:p>
        </w:tc>
        <w:tc>
          <w:tcPr>
            <w:tcW w:w="1080" w:type="dxa"/>
            <w:tcBorders>
              <w:top w:val="single" w:sz="12" w:space="0" w:color="auto"/>
              <w:left w:val="single" w:sz="2" w:space="0" w:color="auto"/>
              <w:bottom w:val="single" w:sz="12" w:space="0" w:color="auto"/>
              <w:right w:val="single" w:sz="2" w:space="0" w:color="auto"/>
            </w:tcBorders>
            <w:vAlign w:val="center"/>
          </w:tcPr>
          <w:p w:rsidR="00221D6A" w:rsidRDefault="00BA3780">
            <w:pPr>
              <w:spacing w:before="60" w:after="60" w:line="200" w:lineRule="exact"/>
              <w:jc w:val="right"/>
              <w:rPr>
                <w:b/>
                <w:noProof/>
                <w:sz w:val="16"/>
                <w:szCs w:val="16"/>
              </w:rPr>
            </w:pPr>
            <w:r>
              <w:rPr>
                <w:noProof/>
                <w:sz w:val="16"/>
              </w:rPr>
              <w:t>0,483</w:t>
            </w:r>
          </w:p>
        </w:tc>
        <w:tc>
          <w:tcPr>
            <w:tcW w:w="1080" w:type="dxa"/>
            <w:tcBorders>
              <w:top w:val="single" w:sz="12" w:space="0" w:color="auto"/>
              <w:left w:val="single" w:sz="2" w:space="0" w:color="auto"/>
              <w:bottom w:val="single" w:sz="12" w:space="0" w:color="auto"/>
              <w:right w:val="single" w:sz="2" w:space="0" w:color="auto"/>
            </w:tcBorders>
            <w:vAlign w:val="center"/>
          </w:tcPr>
          <w:p w:rsidR="00221D6A" w:rsidRDefault="00BA3780">
            <w:pPr>
              <w:spacing w:before="60" w:after="60" w:line="200" w:lineRule="exact"/>
              <w:jc w:val="right"/>
              <w:rPr>
                <w:b/>
                <w:noProof/>
                <w:sz w:val="16"/>
                <w:szCs w:val="16"/>
              </w:rPr>
            </w:pPr>
            <w:r>
              <w:rPr>
                <w:noProof/>
                <w:sz w:val="16"/>
              </w:rPr>
              <w:t>0,483</w:t>
            </w:r>
          </w:p>
        </w:tc>
        <w:tc>
          <w:tcPr>
            <w:tcW w:w="1080" w:type="dxa"/>
            <w:tcBorders>
              <w:top w:val="single" w:sz="12" w:space="0" w:color="auto"/>
              <w:left w:val="single" w:sz="2" w:space="0" w:color="auto"/>
              <w:bottom w:val="single" w:sz="12" w:space="0" w:color="auto"/>
              <w:right w:val="single" w:sz="2" w:space="0" w:color="auto"/>
            </w:tcBorders>
            <w:vAlign w:val="center"/>
          </w:tcPr>
          <w:p w:rsidR="00221D6A" w:rsidRDefault="00221D6A">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221D6A" w:rsidRDefault="00221D6A">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rsidR="00221D6A" w:rsidRDefault="00BA3780">
            <w:pPr>
              <w:spacing w:before="60" w:after="60" w:line="200" w:lineRule="exact"/>
              <w:jc w:val="right"/>
              <w:rPr>
                <w:b/>
                <w:noProof/>
                <w:sz w:val="16"/>
                <w:szCs w:val="16"/>
              </w:rPr>
            </w:pPr>
            <w:r>
              <w:rPr>
                <w:noProof/>
                <w:sz w:val="16"/>
              </w:rPr>
              <w:t>2,415</w:t>
            </w:r>
          </w:p>
        </w:tc>
      </w:tr>
    </w:tbl>
    <w:p w:rsidR="00221D6A" w:rsidRDefault="00BA3780">
      <w:pPr>
        <w:rPr>
          <w:noProof/>
          <w:sz w:val="18"/>
        </w:rPr>
      </w:pPr>
      <w:r>
        <w:rPr>
          <w:noProof/>
          <w:sz w:val="18"/>
        </w:rPr>
        <w:t xml:space="preserve">Žmogiškųjų išteklių ir </w:t>
      </w:r>
      <w:r>
        <w:rPr>
          <w:noProof/>
          <w:sz w:val="18"/>
        </w:rPr>
        <w:t>kitų administracinio pobūdžio išlaidų asignavimų poreikiai bus tenkinami iš GD asignavimų, jau paskirtų priemonei valdyti ir (arba) perskirstytų generaliniame direktorate, ir prireikus finansuojami iš papildomų lėšų, kurios atsakingam GD gali būti skiriamo</w:t>
      </w:r>
      <w:r>
        <w:rPr>
          <w:noProof/>
          <w:sz w:val="18"/>
        </w:rPr>
        <w:t>s pagal metinę asignavimų skyrimo procedūrą ir atsižvelgiant į biudžeto apribojimus.</w:t>
      </w:r>
    </w:p>
    <w:p w:rsidR="00221D6A" w:rsidRDefault="00221D6A">
      <w:pPr>
        <w:rPr>
          <w:noProof/>
          <w:sz w:val="18"/>
        </w:rPr>
        <w:sectPr w:rsidR="00221D6A">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rsidR="00221D6A" w:rsidRDefault="00BA3780">
      <w:pPr>
        <w:pStyle w:val="ManualHeading4"/>
        <w:rPr>
          <w:bCs/>
          <w:noProof/>
          <w:szCs w:val="24"/>
        </w:rPr>
      </w:pPr>
      <w:r>
        <w:rPr>
          <w:noProof/>
        </w:rPr>
        <w:t>3.2.3.2.</w:t>
      </w:r>
      <w:r>
        <w:rPr>
          <w:noProof/>
        </w:rPr>
        <w:tab/>
        <w:t>Numatomi žmogiškųjų išteklių poreikiai</w:t>
      </w:r>
    </w:p>
    <w:p w:rsidR="00221D6A" w:rsidRDefault="00BA3780">
      <w:pPr>
        <w:pStyle w:val="ListDash1"/>
        <w:rPr>
          <w:noProof/>
        </w:rPr>
      </w:pPr>
      <w:r>
        <w:rPr>
          <w:noProof/>
        </w:rPr>
        <w:t>Pasiūlymui (ini</w:t>
      </w:r>
      <w:r>
        <w:rPr>
          <w:noProof/>
        </w:rPr>
        <w:t>ciatyvai) įgyvendinti žmogiškieji ištekliai naudojami taip:</w:t>
      </w:r>
    </w:p>
    <w:p w:rsidR="00221D6A" w:rsidRDefault="00BA3780">
      <w:pPr>
        <w:spacing w:after="60"/>
        <w:jc w:val="right"/>
        <w:rPr>
          <w:i/>
          <w:noProof/>
          <w:sz w:val="20"/>
        </w:rPr>
      </w:pPr>
      <w:r>
        <w:rPr>
          <w:i/>
          <w:noProof/>
          <w:sz w:val="20"/>
        </w:rPr>
        <w:t>Sąmatą surašyti etatų vienetais</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2105"/>
        <w:gridCol w:w="1440"/>
        <w:gridCol w:w="1050"/>
        <w:gridCol w:w="237"/>
        <w:gridCol w:w="237"/>
      </w:tblGrid>
      <w:tr w:rsidR="00221D6A">
        <w:trPr>
          <w:gridBefore w:val="1"/>
          <w:wBefore w:w="6" w:type="pct"/>
          <w:trHeight w:val="289"/>
          <w:jc w:val="center"/>
        </w:trPr>
        <w:tc>
          <w:tcPr>
            <w:tcW w:w="1897" w:type="pct"/>
            <w:gridSpan w:val="2"/>
            <w:shd w:val="clear" w:color="auto" w:fill="auto"/>
          </w:tcPr>
          <w:p w:rsidR="00221D6A" w:rsidRDefault="00221D6A">
            <w:pPr>
              <w:pStyle w:val="Text1"/>
              <w:spacing w:before="40" w:after="40"/>
              <w:ind w:left="0"/>
              <w:jc w:val="center"/>
              <w:rPr>
                <w:i/>
                <w:noProof/>
                <w:sz w:val="16"/>
                <w:szCs w:val="16"/>
              </w:rPr>
            </w:pPr>
          </w:p>
        </w:tc>
        <w:tc>
          <w:tcPr>
            <w:tcW w:w="318" w:type="pct"/>
            <w:shd w:val="clear" w:color="auto" w:fill="auto"/>
            <w:vAlign w:val="center"/>
          </w:tcPr>
          <w:p w:rsidR="00221D6A" w:rsidRDefault="00BA3780">
            <w:pPr>
              <w:spacing w:before="20" w:after="20"/>
              <w:jc w:val="center"/>
              <w:rPr>
                <w:noProof/>
                <w:sz w:val="16"/>
                <w:szCs w:val="16"/>
              </w:rPr>
            </w:pPr>
            <w:r>
              <w:rPr>
                <w:noProof/>
                <w:sz w:val="16"/>
              </w:rPr>
              <w:t>2016 m.</w:t>
            </w:r>
          </w:p>
        </w:tc>
        <w:tc>
          <w:tcPr>
            <w:tcW w:w="318" w:type="pct"/>
            <w:shd w:val="clear" w:color="auto" w:fill="auto"/>
            <w:vAlign w:val="center"/>
          </w:tcPr>
          <w:p w:rsidR="00221D6A" w:rsidRDefault="00BA3780">
            <w:pPr>
              <w:spacing w:before="20" w:after="20"/>
              <w:jc w:val="center"/>
              <w:rPr>
                <w:noProof/>
                <w:sz w:val="16"/>
                <w:szCs w:val="16"/>
              </w:rPr>
            </w:pPr>
            <w:r>
              <w:rPr>
                <w:noProof/>
                <w:sz w:val="16"/>
              </w:rPr>
              <w:t>2017 m.</w:t>
            </w:r>
          </w:p>
        </w:tc>
        <w:tc>
          <w:tcPr>
            <w:tcW w:w="1022" w:type="pct"/>
            <w:shd w:val="clear" w:color="auto" w:fill="auto"/>
            <w:vAlign w:val="center"/>
          </w:tcPr>
          <w:p w:rsidR="00221D6A" w:rsidRDefault="00BA3780">
            <w:pPr>
              <w:spacing w:before="20" w:after="20"/>
              <w:jc w:val="center"/>
              <w:rPr>
                <w:noProof/>
                <w:sz w:val="16"/>
                <w:szCs w:val="16"/>
              </w:rPr>
            </w:pPr>
            <w:r>
              <w:rPr>
                <w:noProof/>
                <w:sz w:val="16"/>
              </w:rPr>
              <w:t>2018 m.</w:t>
            </w:r>
          </w:p>
        </w:tc>
        <w:tc>
          <w:tcPr>
            <w:tcW w:w="699" w:type="pct"/>
            <w:shd w:val="clear" w:color="auto" w:fill="auto"/>
            <w:vAlign w:val="center"/>
          </w:tcPr>
          <w:p w:rsidR="00221D6A" w:rsidRDefault="00BA3780">
            <w:pPr>
              <w:spacing w:before="20" w:after="20"/>
              <w:jc w:val="center"/>
              <w:rPr>
                <w:noProof/>
                <w:sz w:val="16"/>
                <w:szCs w:val="16"/>
              </w:rPr>
            </w:pPr>
            <w:r>
              <w:rPr>
                <w:noProof/>
                <w:sz w:val="16"/>
              </w:rPr>
              <w:t>2019 m.</w:t>
            </w:r>
          </w:p>
        </w:tc>
        <w:tc>
          <w:tcPr>
            <w:tcW w:w="510" w:type="pct"/>
            <w:shd w:val="clear" w:color="auto" w:fill="auto"/>
            <w:vAlign w:val="center"/>
          </w:tcPr>
          <w:p w:rsidR="00221D6A" w:rsidRDefault="00BA3780">
            <w:pPr>
              <w:jc w:val="center"/>
              <w:rPr>
                <w:b/>
                <w:noProof/>
                <w:sz w:val="16"/>
                <w:szCs w:val="16"/>
              </w:rPr>
            </w:pPr>
            <w:r>
              <w:rPr>
                <w:noProof/>
                <w:sz w:val="18"/>
              </w:rPr>
              <w:t>2020 m.</w:t>
            </w:r>
          </w:p>
        </w:tc>
        <w:tc>
          <w:tcPr>
            <w:tcW w:w="115" w:type="pct"/>
            <w:shd w:val="clear" w:color="auto" w:fill="auto"/>
            <w:vAlign w:val="center"/>
          </w:tcPr>
          <w:p w:rsidR="00221D6A" w:rsidRDefault="00221D6A">
            <w:pPr>
              <w:jc w:val="center"/>
              <w:rPr>
                <w:b/>
                <w:noProof/>
                <w:sz w:val="16"/>
                <w:szCs w:val="16"/>
              </w:rPr>
            </w:pPr>
          </w:p>
        </w:tc>
        <w:tc>
          <w:tcPr>
            <w:tcW w:w="115" w:type="pct"/>
            <w:shd w:val="clear" w:color="auto" w:fill="auto"/>
            <w:vAlign w:val="center"/>
          </w:tcPr>
          <w:p w:rsidR="00221D6A" w:rsidRDefault="00221D6A">
            <w:pPr>
              <w:jc w:val="center"/>
              <w:rPr>
                <w:b/>
                <w:noProof/>
                <w:sz w:val="16"/>
                <w:szCs w:val="16"/>
              </w:rPr>
            </w:pPr>
          </w:p>
        </w:tc>
      </w:tr>
      <w:tr w:rsidR="00221D6A">
        <w:trPr>
          <w:gridBefore w:val="1"/>
          <w:wBefore w:w="6" w:type="pct"/>
          <w:trHeight w:val="289"/>
          <w:jc w:val="center"/>
        </w:trPr>
        <w:tc>
          <w:tcPr>
            <w:tcW w:w="3555" w:type="pct"/>
            <w:gridSpan w:val="5"/>
            <w:shd w:val="clear" w:color="auto" w:fill="auto"/>
          </w:tcPr>
          <w:p w:rsidR="00221D6A" w:rsidRDefault="00BA3780">
            <w:pPr>
              <w:spacing w:before="20" w:after="20"/>
              <w:rPr>
                <w:noProof/>
                <w:sz w:val="16"/>
                <w:szCs w:val="16"/>
              </w:rPr>
            </w:pPr>
            <w:r>
              <w:rPr>
                <w:b/>
                <w:noProof/>
                <w:sz w:val="16"/>
              </w:rPr>
              <w:sym w:font="Wingdings" w:char="F09F"/>
            </w:r>
            <w:r>
              <w:rPr>
                <w:b/>
                <w:noProof/>
                <w:sz w:val="16"/>
              </w:rPr>
              <w:t>Etatų plano pareigybės (pareigūnai ir laikinieji darbuotojai)</w:t>
            </w:r>
          </w:p>
        </w:tc>
        <w:tc>
          <w:tcPr>
            <w:tcW w:w="699" w:type="pct"/>
            <w:shd w:val="clear" w:color="auto" w:fill="auto"/>
            <w:vAlign w:val="center"/>
          </w:tcPr>
          <w:p w:rsidR="00221D6A" w:rsidRDefault="00221D6A">
            <w:pPr>
              <w:spacing w:before="20" w:after="20"/>
              <w:jc w:val="center"/>
              <w:rPr>
                <w:noProof/>
                <w:sz w:val="16"/>
                <w:szCs w:val="16"/>
              </w:rPr>
            </w:pPr>
          </w:p>
        </w:tc>
        <w:tc>
          <w:tcPr>
            <w:tcW w:w="740" w:type="pct"/>
            <w:gridSpan w:val="3"/>
            <w:shd w:val="clear" w:color="auto" w:fill="auto"/>
            <w:vAlign w:val="center"/>
          </w:tcPr>
          <w:p w:rsidR="00221D6A" w:rsidRDefault="00221D6A">
            <w:pPr>
              <w:jc w:val="center"/>
              <w:rPr>
                <w:noProof/>
                <w:sz w:val="16"/>
                <w:szCs w:val="16"/>
              </w:rPr>
            </w:pPr>
          </w:p>
        </w:tc>
      </w:tr>
      <w:tr w:rsidR="00221D6A">
        <w:trPr>
          <w:gridBefore w:val="1"/>
          <w:wBefore w:w="6" w:type="pct"/>
          <w:trHeight w:val="289"/>
          <w:jc w:val="center"/>
        </w:trPr>
        <w:tc>
          <w:tcPr>
            <w:tcW w:w="1897" w:type="pct"/>
            <w:gridSpan w:val="2"/>
            <w:shd w:val="clear" w:color="auto" w:fill="auto"/>
            <w:vAlign w:val="center"/>
          </w:tcPr>
          <w:p w:rsidR="00221D6A" w:rsidRDefault="00BA3780">
            <w:pPr>
              <w:pStyle w:val="Text1"/>
              <w:spacing w:beforeLines="20" w:before="48" w:afterLines="20" w:after="48"/>
              <w:ind w:left="134"/>
              <w:jc w:val="left"/>
              <w:rPr>
                <w:b/>
                <w:noProof/>
                <w:sz w:val="16"/>
                <w:szCs w:val="16"/>
              </w:rPr>
            </w:pPr>
            <w:r>
              <w:rPr>
                <w:noProof/>
                <w:sz w:val="16"/>
              </w:rPr>
              <w:t>32 01 01 01 (Komisijos būstinė ir atstovybės)</w:t>
            </w:r>
          </w:p>
        </w:tc>
        <w:tc>
          <w:tcPr>
            <w:tcW w:w="318" w:type="pct"/>
            <w:shd w:val="clear" w:color="auto" w:fill="auto"/>
            <w:vAlign w:val="center"/>
          </w:tcPr>
          <w:p w:rsidR="00221D6A" w:rsidRDefault="00BA3780">
            <w:pPr>
              <w:spacing w:beforeLines="20" w:before="48" w:afterLines="20" w:after="48"/>
              <w:jc w:val="center"/>
              <w:rPr>
                <w:noProof/>
                <w:sz w:val="16"/>
                <w:szCs w:val="16"/>
              </w:rPr>
            </w:pPr>
            <w:r>
              <w:rPr>
                <w:noProof/>
                <w:sz w:val="16"/>
              </w:rPr>
              <w:t>3</w:t>
            </w:r>
          </w:p>
        </w:tc>
        <w:tc>
          <w:tcPr>
            <w:tcW w:w="318" w:type="pct"/>
            <w:shd w:val="clear" w:color="auto" w:fill="auto"/>
            <w:vAlign w:val="center"/>
          </w:tcPr>
          <w:p w:rsidR="00221D6A" w:rsidRDefault="00BA3780">
            <w:pPr>
              <w:spacing w:beforeLines="20" w:before="48" w:afterLines="20" w:after="48"/>
              <w:jc w:val="center"/>
              <w:rPr>
                <w:noProof/>
                <w:sz w:val="16"/>
                <w:szCs w:val="16"/>
              </w:rPr>
            </w:pPr>
            <w:r>
              <w:rPr>
                <w:noProof/>
                <w:sz w:val="16"/>
              </w:rPr>
              <w:t>3</w:t>
            </w:r>
          </w:p>
        </w:tc>
        <w:tc>
          <w:tcPr>
            <w:tcW w:w="1022" w:type="pct"/>
            <w:shd w:val="clear" w:color="auto" w:fill="auto"/>
            <w:vAlign w:val="center"/>
          </w:tcPr>
          <w:p w:rsidR="00221D6A" w:rsidRDefault="00BA3780">
            <w:pPr>
              <w:spacing w:beforeLines="20" w:before="48" w:afterLines="20" w:after="48"/>
              <w:jc w:val="center"/>
              <w:rPr>
                <w:noProof/>
                <w:sz w:val="16"/>
                <w:szCs w:val="16"/>
              </w:rPr>
            </w:pPr>
            <w:r>
              <w:rPr>
                <w:noProof/>
                <w:sz w:val="16"/>
              </w:rPr>
              <w:t>3</w:t>
            </w:r>
          </w:p>
        </w:tc>
        <w:tc>
          <w:tcPr>
            <w:tcW w:w="699" w:type="pct"/>
            <w:shd w:val="clear" w:color="auto" w:fill="auto"/>
            <w:vAlign w:val="center"/>
          </w:tcPr>
          <w:p w:rsidR="00221D6A" w:rsidRDefault="00BA3780">
            <w:pPr>
              <w:spacing w:beforeLines="20" w:before="48" w:afterLines="20" w:after="48"/>
              <w:jc w:val="center"/>
              <w:rPr>
                <w:noProof/>
                <w:sz w:val="16"/>
                <w:szCs w:val="16"/>
              </w:rPr>
            </w:pPr>
            <w:r>
              <w:rPr>
                <w:noProof/>
                <w:sz w:val="16"/>
              </w:rPr>
              <w:t>3</w:t>
            </w:r>
          </w:p>
        </w:tc>
        <w:tc>
          <w:tcPr>
            <w:tcW w:w="510" w:type="pct"/>
            <w:shd w:val="clear" w:color="auto" w:fill="auto"/>
            <w:vAlign w:val="center"/>
          </w:tcPr>
          <w:p w:rsidR="00221D6A" w:rsidRDefault="00BA3780">
            <w:pPr>
              <w:spacing w:beforeLines="20" w:before="48" w:afterLines="20" w:after="48"/>
              <w:jc w:val="center"/>
              <w:rPr>
                <w:noProof/>
                <w:sz w:val="16"/>
                <w:szCs w:val="16"/>
              </w:rPr>
            </w:pPr>
            <w:r>
              <w:rPr>
                <w:noProof/>
                <w:sz w:val="16"/>
              </w:rPr>
              <w:t>3</w:t>
            </w:r>
          </w:p>
        </w:tc>
        <w:tc>
          <w:tcPr>
            <w:tcW w:w="115" w:type="pct"/>
            <w:shd w:val="clear" w:color="auto" w:fill="auto"/>
            <w:vAlign w:val="center"/>
          </w:tcPr>
          <w:p w:rsidR="00221D6A" w:rsidRDefault="00221D6A">
            <w:pPr>
              <w:spacing w:beforeLines="20" w:before="48" w:afterLines="20" w:after="48"/>
              <w:jc w:val="center"/>
              <w:rPr>
                <w:noProof/>
                <w:sz w:val="16"/>
                <w:szCs w:val="16"/>
              </w:rPr>
            </w:pPr>
          </w:p>
        </w:tc>
        <w:tc>
          <w:tcPr>
            <w:tcW w:w="115" w:type="pct"/>
            <w:shd w:val="clear" w:color="auto" w:fill="auto"/>
            <w:vAlign w:val="center"/>
          </w:tcPr>
          <w:p w:rsidR="00221D6A" w:rsidRDefault="00221D6A">
            <w:pPr>
              <w:spacing w:beforeLines="20" w:before="48" w:afterLines="20" w:after="48"/>
              <w:jc w:val="center"/>
              <w:rPr>
                <w:noProof/>
                <w:sz w:val="16"/>
                <w:szCs w:val="16"/>
              </w:rPr>
            </w:pPr>
          </w:p>
        </w:tc>
      </w:tr>
      <w:tr w:rsidR="00221D6A">
        <w:trPr>
          <w:gridBefore w:val="1"/>
          <w:wBefore w:w="6" w:type="pct"/>
          <w:trHeight w:val="289"/>
          <w:jc w:val="center"/>
        </w:trPr>
        <w:tc>
          <w:tcPr>
            <w:tcW w:w="1897" w:type="pct"/>
            <w:gridSpan w:val="2"/>
            <w:shd w:val="clear" w:color="auto" w:fill="auto"/>
            <w:vAlign w:val="center"/>
          </w:tcPr>
          <w:p w:rsidR="00221D6A" w:rsidRDefault="00BA3780">
            <w:pPr>
              <w:pStyle w:val="Text1"/>
              <w:spacing w:beforeLines="20" w:before="48" w:afterLines="20" w:after="48"/>
              <w:ind w:left="134"/>
              <w:jc w:val="left"/>
              <w:rPr>
                <w:noProof/>
                <w:sz w:val="16"/>
                <w:szCs w:val="16"/>
              </w:rPr>
            </w:pPr>
            <w:r>
              <w:rPr>
                <w:noProof/>
                <w:sz w:val="16"/>
              </w:rPr>
              <w:t>XX 01 01 02 (Delegacijos)</w:t>
            </w:r>
          </w:p>
        </w:tc>
        <w:tc>
          <w:tcPr>
            <w:tcW w:w="318" w:type="pct"/>
            <w:shd w:val="clear" w:color="auto" w:fill="auto"/>
            <w:vAlign w:val="center"/>
          </w:tcPr>
          <w:p w:rsidR="00221D6A" w:rsidRDefault="00221D6A">
            <w:pPr>
              <w:spacing w:beforeLines="20" w:before="48" w:afterLines="20" w:after="48"/>
              <w:jc w:val="center"/>
              <w:rPr>
                <w:noProof/>
                <w:sz w:val="16"/>
                <w:szCs w:val="16"/>
              </w:rPr>
            </w:pPr>
          </w:p>
        </w:tc>
        <w:tc>
          <w:tcPr>
            <w:tcW w:w="318" w:type="pct"/>
            <w:shd w:val="clear" w:color="auto" w:fill="auto"/>
            <w:vAlign w:val="center"/>
          </w:tcPr>
          <w:p w:rsidR="00221D6A" w:rsidRDefault="00221D6A">
            <w:pPr>
              <w:spacing w:beforeLines="20" w:before="48" w:afterLines="20" w:after="48"/>
              <w:jc w:val="center"/>
              <w:rPr>
                <w:noProof/>
                <w:sz w:val="16"/>
                <w:szCs w:val="16"/>
              </w:rPr>
            </w:pPr>
          </w:p>
        </w:tc>
        <w:tc>
          <w:tcPr>
            <w:tcW w:w="1022" w:type="pct"/>
            <w:shd w:val="clear" w:color="auto" w:fill="auto"/>
            <w:vAlign w:val="center"/>
          </w:tcPr>
          <w:p w:rsidR="00221D6A" w:rsidRDefault="00221D6A">
            <w:pPr>
              <w:spacing w:beforeLines="20" w:before="48" w:afterLines="20" w:after="48"/>
              <w:jc w:val="center"/>
              <w:rPr>
                <w:noProof/>
                <w:sz w:val="16"/>
                <w:szCs w:val="16"/>
              </w:rPr>
            </w:pPr>
          </w:p>
        </w:tc>
        <w:tc>
          <w:tcPr>
            <w:tcW w:w="699" w:type="pct"/>
            <w:shd w:val="clear" w:color="auto" w:fill="auto"/>
            <w:vAlign w:val="center"/>
          </w:tcPr>
          <w:p w:rsidR="00221D6A" w:rsidRDefault="00221D6A">
            <w:pPr>
              <w:spacing w:beforeLines="20" w:before="48" w:afterLines="20" w:after="48"/>
              <w:jc w:val="center"/>
              <w:rPr>
                <w:noProof/>
                <w:sz w:val="16"/>
                <w:szCs w:val="16"/>
              </w:rPr>
            </w:pPr>
          </w:p>
        </w:tc>
        <w:tc>
          <w:tcPr>
            <w:tcW w:w="510" w:type="pct"/>
            <w:shd w:val="clear" w:color="auto" w:fill="auto"/>
            <w:vAlign w:val="center"/>
          </w:tcPr>
          <w:p w:rsidR="00221D6A" w:rsidRDefault="00221D6A">
            <w:pPr>
              <w:spacing w:beforeLines="20" w:before="48" w:afterLines="20" w:after="48"/>
              <w:jc w:val="center"/>
              <w:rPr>
                <w:noProof/>
                <w:sz w:val="16"/>
                <w:szCs w:val="16"/>
              </w:rPr>
            </w:pPr>
          </w:p>
        </w:tc>
        <w:tc>
          <w:tcPr>
            <w:tcW w:w="115" w:type="pct"/>
            <w:shd w:val="clear" w:color="auto" w:fill="auto"/>
            <w:vAlign w:val="center"/>
          </w:tcPr>
          <w:p w:rsidR="00221D6A" w:rsidRDefault="00221D6A">
            <w:pPr>
              <w:spacing w:beforeLines="20" w:before="48" w:afterLines="20" w:after="48"/>
              <w:jc w:val="center"/>
              <w:rPr>
                <w:noProof/>
                <w:sz w:val="16"/>
                <w:szCs w:val="16"/>
              </w:rPr>
            </w:pPr>
          </w:p>
        </w:tc>
        <w:tc>
          <w:tcPr>
            <w:tcW w:w="115" w:type="pct"/>
            <w:shd w:val="clear" w:color="auto" w:fill="auto"/>
            <w:vAlign w:val="center"/>
          </w:tcPr>
          <w:p w:rsidR="00221D6A" w:rsidRDefault="00221D6A">
            <w:pPr>
              <w:spacing w:beforeLines="20" w:before="48" w:afterLines="20" w:after="48"/>
              <w:jc w:val="center"/>
              <w:rPr>
                <w:noProof/>
                <w:sz w:val="16"/>
                <w:szCs w:val="16"/>
              </w:rPr>
            </w:pPr>
          </w:p>
        </w:tc>
      </w:tr>
      <w:tr w:rsidR="00221D6A">
        <w:trPr>
          <w:gridBefore w:val="1"/>
          <w:wBefore w:w="6" w:type="pct"/>
          <w:trHeight w:val="289"/>
          <w:jc w:val="center"/>
        </w:trPr>
        <w:tc>
          <w:tcPr>
            <w:tcW w:w="1897" w:type="pct"/>
            <w:gridSpan w:val="2"/>
            <w:shd w:val="clear" w:color="auto" w:fill="auto"/>
            <w:vAlign w:val="center"/>
          </w:tcPr>
          <w:p w:rsidR="00221D6A" w:rsidRDefault="00BA3780">
            <w:pPr>
              <w:pStyle w:val="Text1"/>
              <w:spacing w:beforeLines="20" w:before="48" w:afterLines="20" w:after="48"/>
              <w:ind w:left="134"/>
              <w:jc w:val="left"/>
              <w:rPr>
                <w:noProof/>
                <w:sz w:val="16"/>
                <w:szCs w:val="16"/>
              </w:rPr>
            </w:pPr>
            <w:r>
              <w:rPr>
                <w:noProof/>
                <w:sz w:val="16"/>
              </w:rPr>
              <w:t>XX 01 05 01 (Netiesioginiai moksliniai tyrimai)</w:t>
            </w:r>
          </w:p>
        </w:tc>
        <w:tc>
          <w:tcPr>
            <w:tcW w:w="318" w:type="pct"/>
            <w:shd w:val="clear" w:color="auto" w:fill="auto"/>
            <w:vAlign w:val="center"/>
          </w:tcPr>
          <w:p w:rsidR="00221D6A" w:rsidRDefault="00221D6A">
            <w:pPr>
              <w:spacing w:beforeLines="20" w:before="48" w:afterLines="20" w:after="48"/>
              <w:jc w:val="center"/>
              <w:rPr>
                <w:noProof/>
                <w:sz w:val="16"/>
                <w:szCs w:val="16"/>
              </w:rPr>
            </w:pPr>
          </w:p>
        </w:tc>
        <w:tc>
          <w:tcPr>
            <w:tcW w:w="318" w:type="pct"/>
            <w:shd w:val="clear" w:color="auto" w:fill="auto"/>
            <w:vAlign w:val="center"/>
          </w:tcPr>
          <w:p w:rsidR="00221D6A" w:rsidRDefault="00221D6A">
            <w:pPr>
              <w:spacing w:beforeLines="20" w:before="48" w:afterLines="20" w:after="48"/>
              <w:jc w:val="center"/>
              <w:rPr>
                <w:noProof/>
                <w:sz w:val="16"/>
                <w:szCs w:val="16"/>
              </w:rPr>
            </w:pPr>
          </w:p>
        </w:tc>
        <w:tc>
          <w:tcPr>
            <w:tcW w:w="1022" w:type="pct"/>
            <w:shd w:val="clear" w:color="auto" w:fill="auto"/>
            <w:vAlign w:val="center"/>
          </w:tcPr>
          <w:p w:rsidR="00221D6A" w:rsidRDefault="00221D6A">
            <w:pPr>
              <w:spacing w:beforeLines="20" w:before="48" w:afterLines="20" w:after="48"/>
              <w:jc w:val="center"/>
              <w:rPr>
                <w:noProof/>
                <w:sz w:val="16"/>
                <w:szCs w:val="16"/>
              </w:rPr>
            </w:pPr>
          </w:p>
        </w:tc>
        <w:tc>
          <w:tcPr>
            <w:tcW w:w="699" w:type="pct"/>
            <w:shd w:val="clear" w:color="auto" w:fill="auto"/>
            <w:vAlign w:val="center"/>
          </w:tcPr>
          <w:p w:rsidR="00221D6A" w:rsidRDefault="00221D6A">
            <w:pPr>
              <w:spacing w:beforeLines="20" w:before="48" w:afterLines="20" w:after="48"/>
              <w:jc w:val="center"/>
              <w:rPr>
                <w:noProof/>
                <w:sz w:val="16"/>
                <w:szCs w:val="16"/>
              </w:rPr>
            </w:pPr>
          </w:p>
        </w:tc>
        <w:tc>
          <w:tcPr>
            <w:tcW w:w="510" w:type="pct"/>
            <w:shd w:val="clear" w:color="auto" w:fill="auto"/>
            <w:vAlign w:val="center"/>
          </w:tcPr>
          <w:p w:rsidR="00221D6A" w:rsidRDefault="00221D6A">
            <w:pPr>
              <w:spacing w:beforeLines="20" w:before="48" w:afterLines="20" w:after="48"/>
              <w:jc w:val="center"/>
              <w:rPr>
                <w:noProof/>
                <w:sz w:val="16"/>
                <w:szCs w:val="16"/>
              </w:rPr>
            </w:pPr>
          </w:p>
        </w:tc>
        <w:tc>
          <w:tcPr>
            <w:tcW w:w="115" w:type="pct"/>
            <w:shd w:val="clear" w:color="auto" w:fill="auto"/>
            <w:vAlign w:val="center"/>
          </w:tcPr>
          <w:p w:rsidR="00221D6A" w:rsidRDefault="00221D6A">
            <w:pPr>
              <w:spacing w:beforeLines="20" w:before="48" w:afterLines="20" w:after="48"/>
              <w:jc w:val="center"/>
              <w:rPr>
                <w:noProof/>
                <w:sz w:val="16"/>
                <w:szCs w:val="16"/>
              </w:rPr>
            </w:pPr>
          </w:p>
        </w:tc>
        <w:tc>
          <w:tcPr>
            <w:tcW w:w="115" w:type="pct"/>
            <w:shd w:val="clear" w:color="auto" w:fill="auto"/>
            <w:vAlign w:val="center"/>
          </w:tcPr>
          <w:p w:rsidR="00221D6A" w:rsidRDefault="00221D6A">
            <w:pPr>
              <w:spacing w:beforeLines="20" w:before="48" w:afterLines="20" w:after="48"/>
              <w:jc w:val="center"/>
              <w:rPr>
                <w:noProof/>
                <w:sz w:val="16"/>
                <w:szCs w:val="16"/>
              </w:rPr>
            </w:pPr>
          </w:p>
        </w:tc>
      </w:tr>
      <w:tr w:rsidR="00221D6A">
        <w:trPr>
          <w:gridBefore w:val="1"/>
          <w:wBefore w:w="6" w:type="pct"/>
          <w:trHeight w:val="289"/>
          <w:jc w:val="center"/>
        </w:trPr>
        <w:tc>
          <w:tcPr>
            <w:tcW w:w="1897" w:type="pct"/>
            <w:gridSpan w:val="2"/>
            <w:shd w:val="clear" w:color="auto" w:fill="auto"/>
            <w:vAlign w:val="center"/>
          </w:tcPr>
          <w:p w:rsidR="00221D6A" w:rsidRDefault="00BA3780">
            <w:pPr>
              <w:pStyle w:val="Text1"/>
              <w:spacing w:beforeLines="20" w:before="48" w:afterLines="20" w:after="48"/>
              <w:ind w:left="134"/>
              <w:jc w:val="left"/>
              <w:rPr>
                <w:noProof/>
                <w:sz w:val="16"/>
                <w:szCs w:val="16"/>
              </w:rPr>
            </w:pPr>
            <w:r>
              <w:rPr>
                <w:noProof/>
                <w:sz w:val="16"/>
              </w:rPr>
              <w:t>10 01 05 01 (Tiesioginiai moksliniai tyrimai)</w:t>
            </w:r>
          </w:p>
        </w:tc>
        <w:tc>
          <w:tcPr>
            <w:tcW w:w="318" w:type="pct"/>
            <w:shd w:val="clear" w:color="auto" w:fill="auto"/>
            <w:vAlign w:val="center"/>
          </w:tcPr>
          <w:p w:rsidR="00221D6A" w:rsidRDefault="00221D6A">
            <w:pPr>
              <w:spacing w:beforeLines="20" w:before="48" w:afterLines="20" w:after="48"/>
              <w:jc w:val="center"/>
              <w:rPr>
                <w:noProof/>
                <w:sz w:val="16"/>
                <w:szCs w:val="16"/>
              </w:rPr>
            </w:pPr>
          </w:p>
        </w:tc>
        <w:tc>
          <w:tcPr>
            <w:tcW w:w="318" w:type="pct"/>
            <w:shd w:val="clear" w:color="auto" w:fill="auto"/>
            <w:vAlign w:val="center"/>
          </w:tcPr>
          <w:p w:rsidR="00221D6A" w:rsidRDefault="00221D6A">
            <w:pPr>
              <w:spacing w:beforeLines="20" w:before="48" w:afterLines="20" w:after="48"/>
              <w:jc w:val="center"/>
              <w:rPr>
                <w:noProof/>
                <w:sz w:val="16"/>
                <w:szCs w:val="16"/>
              </w:rPr>
            </w:pPr>
          </w:p>
        </w:tc>
        <w:tc>
          <w:tcPr>
            <w:tcW w:w="1022" w:type="pct"/>
            <w:shd w:val="clear" w:color="auto" w:fill="auto"/>
            <w:vAlign w:val="center"/>
          </w:tcPr>
          <w:p w:rsidR="00221D6A" w:rsidRDefault="00221D6A">
            <w:pPr>
              <w:spacing w:beforeLines="20" w:before="48" w:afterLines="20" w:after="48"/>
              <w:jc w:val="center"/>
              <w:rPr>
                <w:noProof/>
                <w:sz w:val="16"/>
                <w:szCs w:val="16"/>
              </w:rPr>
            </w:pPr>
          </w:p>
        </w:tc>
        <w:tc>
          <w:tcPr>
            <w:tcW w:w="699" w:type="pct"/>
            <w:shd w:val="clear" w:color="auto" w:fill="auto"/>
            <w:vAlign w:val="center"/>
          </w:tcPr>
          <w:p w:rsidR="00221D6A" w:rsidRDefault="00221D6A">
            <w:pPr>
              <w:spacing w:beforeLines="20" w:before="48" w:afterLines="20" w:after="48"/>
              <w:jc w:val="center"/>
              <w:rPr>
                <w:noProof/>
                <w:sz w:val="16"/>
                <w:szCs w:val="16"/>
              </w:rPr>
            </w:pPr>
          </w:p>
        </w:tc>
        <w:tc>
          <w:tcPr>
            <w:tcW w:w="510" w:type="pct"/>
            <w:shd w:val="clear" w:color="auto" w:fill="auto"/>
            <w:vAlign w:val="center"/>
          </w:tcPr>
          <w:p w:rsidR="00221D6A" w:rsidRDefault="00221D6A">
            <w:pPr>
              <w:spacing w:beforeLines="20" w:before="48" w:afterLines="20" w:after="48"/>
              <w:jc w:val="center"/>
              <w:rPr>
                <w:noProof/>
                <w:sz w:val="16"/>
                <w:szCs w:val="16"/>
              </w:rPr>
            </w:pPr>
          </w:p>
        </w:tc>
        <w:tc>
          <w:tcPr>
            <w:tcW w:w="115" w:type="pct"/>
            <w:shd w:val="clear" w:color="auto" w:fill="auto"/>
            <w:vAlign w:val="center"/>
          </w:tcPr>
          <w:p w:rsidR="00221D6A" w:rsidRDefault="00221D6A">
            <w:pPr>
              <w:spacing w:beforeLines="20" w:before="48" w:afterLines="20" w:after="48"/>
              <w:jc w:val="center"/>
              <w:rPr>
                <w:noProof/>
                <w:sz w:val="16"/>
                <w:szCs w:val="16"/>
              </w:rPr>
            </w:pPr>
          </w:p>
        </w:tc>
        <w:tc>
          <w:tcPr>
            <w:tcW w:w="115" w:type="pct"/>
            <w:shd w:val="clear" w:color="auto" w:fill="auto"/>
            <w:vAlign w:val="center"/>
          </w:tcPr>
          <w:p w:rsidR="00221D6A" w:rsidRDefault="00221D6A">
            <w:pPr>
              <w:spacing w:beforeLines="20" w:before="48" w:afterLines="20" w:after="48"/>
              <w:jc w:val="center"/>
              <w:rPr>
                <w:noProof/>
                <w:sz w:val="16"/>
                <w:szCs w:val="16"/>
              </w:rPr>
            </w:pPr>
          </w:p>
        </w:tc>
      </w:tr>
      <w:tr w:rsidR="00221D6A">
        <w:trPr>
          <w:gridAfter w:val="4"/>
          <w:wAfter w:w="1439" w:type="pct"/>
          <w:trHeight w:val="248"/>
          <w:jc w:val="center"/>
        </w:trPr>
        <w:tc>
          <w:tcPr>
            <w:tcW w:w="3561" w:type="pct"/>
            <w:gridSpan w:val="6"/>
            <w:shd w:val="clear" w:color="auto" w:fill="auto"/>
            <w:vAlign w:val="center"/>
          </w:tcPr>
          <w:p w:rsidR="00221D6A" w:rsidRDefault="00BA3780">
            <w:pPr>
              <w:pStyle w:val="Text1"/>
              <w:spacing w:before="60" w:after="60"/>
              <w:ind w:left="0"/>
              <w:jc w:val="left"/>
              <w:rPr>
                <w:b/>
                <w:noProof/>
                <w:sz w:val="16"/>
                <w:szCs w:val="16"/>
              </w:rPr>
            </w:pPr>
            <w:r>
              <w:rPr>
                <w:b/>
                <w:noProof/>
                <w:sz w:val="16"/>
              </w:rPr>
              <w:sym w:font="Wingdings" w:char="F09F"/>
            </w:r>
            <w:r>
              <w:rPr>
                <w:b/>
                <w:noProof/>
                <w:sz w:val="16"/>
              </w:rPr>
              <w:t>Išorės darbuotojai (etatų vienetais)</w:t>
            </w:r>
            <w:r>
              <w:rPr>
                <w:rStyle w:val="FootnoteReference"/>
                <w:b/>
                <w:noProof/>
                <w:sz w:val="16"/>
              </w:rPr>
              <w:footnoteReference w:id="31"/>
            </w:r>
          </w:p>
          <w:p w:rsidR="00221D6A" w:rsidRDefault="00221D6A">
            <w:pPr>
              <w:pStyle w:val="Text1"/>
              <w:spacing w:before="0" w:after="0"/>
              <w:ind w:left="0"/>
              <w:jc w:val="left"/>
              <w:rPr>
                <w:noProof/>
                <w:sz w:val="16"/>
                <w:szCs w:val="16"/>
              </w:rPr>
            </w:pPr>
          </w:p>
        </w:tc>
      </w:tr>
      <w:tr w:rsidR="00221D6A">
        <w:trPr>
          <w:gridBefore w:val="1"/>
          <w:wBefore w:w="6" w:type="pct"/>
          <w:trHeight w:val="289"/>
          <w:jc w:val="center"/>
        </w:trPr>
        <w:tc>
          <w:tcPr>
            <w:tcW w:w="1897" w:type="pct"/>
            <w:gridSpan w:val="2"/>
            <w:shd w:val="clear" w:color="auto" w:fill="auto"/>
            <w:vAlign w:val="center"/>
          </w:tcPr>
          <w:p w:rsidR="00221D6A" w:rsidRDefault="00BA3780">
            <w:pPr>
              <w:pStyle w:val="Text1"/>
              <w:spacing w:beforeLines="20" w:before="48" w:afterLines="20" w:after="48"/>
              <w:ind w:left="136"/>
              <w:jc w:val="left"/>
              <w:rPr>
                <w:b/>
                <w:noProof/>
                <w:sz w:val="16"/>
                <w:szCs w:val="16"/>
              </w:rPr>
            </w:pPr>
            <w:r>
              <w:rPr>
                <w:noProof/>
                <w:sz w:val="16"/>
              </w:rPr>
              <w:t>32 01 02 01 (CA, SNE, INT finansuojami iš bendrojo biudžeto)</w:t>
            </w:r>
          </w:p>
        </w:tc>
        <w:tc>
          <w:tcPr>
            <w:tcW w:w="318" w:type="pct"/>
            <w:shd w:val="clear" w:color="auto" w:fill="auto"/>
            <w:vAlign w:val="center"/>
          </w:tcPr>
          <w:p w:rsidR="00221D6A" w:rsidRDefault="00BA3780">
            <w:pPr>
              <w:spacing w:beforeLines="20" w:before="48" w:afterLines="20" w:after="48"/>
              <w:jc w:val="center"/>
              <w:rPr>
                <w:noProof/>
                <w:sz w:val="16"/>
                <w:szCs w:val="16"/>
              </w:rPr>
            </w:pPr>
            <w:r>
              <w:rPr>
                <w:noProof/>
                <w:sz w:val="16"/>
              </w:rPr>
              <w:t>0,3</w:t>
            </w:r>
          </w:p>
        </w:tc>
        <w:tc>
          <w:tcPr>
            <w:tcW w:w="318" w:type="pct"/>
            <w:shd w:val="clear" w:color="auto" w:fill="auto"/>
            <w:vAlign w:val="center"/>
          </w:tcPr>
          <w:p w:rsidR="00221D6A" w:rsidRDefault="00BA3780">
            <w:pPr>
              <w:spacing w:beforeLines="20" w:before="48" w:afterLines="20" w:after="48"/>
              <w:jc w:val="center"/>
              <w:rPr>
                <w:noProof/>
                <w:sz w:val="16"/>
                <w:szCs w:val="16"/>
              </w:rPr>
            </w:pPr>
            <w:r>
              <w:rPr>
                <w:noProof/>
                <w:sz w:val="16"/>
              </w:rPr>
              <w:t>0,3</w:t>
            </w:r>
          </w:p>
        </w:tc>
        <w:tc>
          <w:tcPr>
            <w:tcW w:w="1022" w:type="pct"/>
            <w:shd w:val="clear" w:color="auto" w:fill="auto"/>
            <w:vAlign w:val="center"/>
          </w:tcPr>
          <w:p w:rsidR="00221D6A" w:rsidRDefault="00BA3780">
            <w:pPr>
              <w:spacing w:beforeLines="20" w:before="48" w:afterLines="20" w:after="48"/>
              <w:jc w:val="center"/>
              <w:rPr>
                <w:noProof/>
                <w:sz w:val="16"/>
                <w:szCs w:val="16"/>
              </w:rPr>
            </w:pPr>
            <w:r>
              <w:rPr>
                <w:noProof/>
                <w:sz w:val="16"/>
              </w:rPr>
              <w:t>0,3</w:t>
            </w:r>
          </w:p>
        </w:tc>
        <w:tc>
          <w:tcPr>
            <w:tcW w:w="699" w:type="pct"/>
            <w:shd w:val="clear" w:color="auto" w:fill="auto"/>
            <w:vAlign w:val="center"/>
          </w:tcPr>
          <w:p w:rsidR="00221D6A" w:rsidRDefault="00BA3780">
            <w:pPr>
              <w:spacing w:beforeLines="20" w:before="48" w:afterLines="20" w:after="48"/>
              <w:jc w:val="center"/>
              <w:rPr>
                <w:noProof/>
                <w:sz w:val="16"/>
                <w:szCs w:val="16"/>
              </w:rPr>
            </w:pPr>
            <w:r>
              <w:rPr>
                <w:noProof/>
                <w:sz w:val="16"/>
              </w:rPr>
              <w:t>0,3</w:t>
            </w:r>
          </w:p>
        </w:tc>
        <w:tc>
          <w:tcPr>
            <w:tcW w:w="510" w:type="pct"/>
            <w:shd w:val="clear" w:color="auto" w:fill="auto"/>
            <w:vAlign w:val="center"/>
          </w:tcPr>
          <w:p w:rsidR="00221D6A" w:rsidRDefault="00BA3780">
            <w:pPr>
              <w:spacing w:beforeLines="20" w:before="48" w:afterLines="20" w:after="48"/>
              <w:jc w:val="center"/>
              <w:rPr>
                <w:noProof/>
                <w:sz w:val="16"/>
                <w:szCs w:val="16"/>
              </w:rPr>
            </w:pPr>
            <w:r>
              <w:rPr>
                <w:noProof/>
                <w:sz w:val="16"/>
              </w:rPr>
              <w:t>0,3</w:t>
            </w:r>
          </w:p>
        </w:tc>
        <w:tc>
          <w:tcPr>
            <w:tcW w:w="115" w:type="pct"/>
            <w:shd w:val="clear" w:color="auto" w:fill="auto"/>
            <w:vAlign w:val="center"/>
          </w:tcPr>
          <w:p w:rsidR="00221D6A" w:rsidRDefault="00221D6A">
            <w:pPr>
              <w:spacing w:beforeLines="20" w:before="48" w:afterLines="20" w:after="48"/>
              <w:jc w:val="center"/>
              <w:rPr>
                <w:noProof/>
                <w:sz w:val="16"/>
                <w:szCs w:val="16"/>
              </w:rPr>
            </w:pPr>
          </w:p>
        </w:tc>
        <w:tc>
          <w:tcPr>
            <w:tcW w:w="115" w:type="pct"/>
            <w:shd w:val="clear" w:color="auto" w:fill="auto"/>
            <w:vAlign w:val="center"/>
          </w:tcPr>
          <w:p w:rsidR="00221D6A" w:rsidRDefault="00221D6A">
            <w:pPr>
              <w:spacing w:beforeLines="20" w:before="48" w:afterLines="20" w:after="48"/>
              <w:jc w:val="center"/>
              <w:rPr>
                <w:noProof/>
                <w:sz w:val="16"/>
                <w:szCs w:val="16"/>
              </w:rPr>
            </w:pPr>
          </w:p>
        </w:tc>
      </w:tr>
      <w:tr w:rsidR="00221D6A">
        <w:trPr>
          <w:gridBefore w:val="1"/>
          <w:wBefore w:w="6" w:type="pct"/>
          <w:trHeight w:val="289"/>
          <w:jc w:val="center"/>
        </w:trPr>
        <w:tc>
          <w:tcPr>
            <w:tcW w:w="1897" w:type="pct"/>
            <w:gridSpan w:val="2"/>
            <w:shd w:val="clear" w:color="auto" w:fill="auto"/>
            <w:vAlign w:val="center"/>
          </w:tcPr>
          <w:p w:rsidR="00221D6A" w:rsidRDefault="00BA3780">
            <w:pPr>
              <w:pStyle w:val="Text1"/>
              <w:spacing w:beforeLines="20" w:before="48" w:afterLines="20" w:after="48"/>
              <w:ind w:left="136"/>
              <w:jc w:val="left"/>
              <w:rPr>
                <w:noProof/>
                <w:sz w:val="16"/>
                <w:szCs w:val="16"/>
              </w:rPr>
            </w:pPr>
            <w:r>
              <w:rPr>
                <w:noProof/>
                <w:sz w:val="16"/>
              </w:rPr>
              <w:t>XX 01 02 02 (CA, LA, SNE, INT ir JED delegacijose)</w:t>
            </w:r>
          </w:p>
        </w:tc>
        <w:tc>
          <w:tcPr>
            <w:tcW w:w="318" w:type="pct"/>
            <w:shd w:val="clear" w:color="auto" w:fill="auto"/>
            <w:vAlign w:val="center"/>
          </w:tcPr>
          <w:p w:rsidR="00221D6A" w:rsidRDefault="00221D6A">
            <w:pPr>
              <w:spacing w:beforeLines="20" w:before="48" w:afterLines="20" w:after="48"/>
              <w:jc w:val="center"/>
              <w:rPr>
                <w:noProof/>
                <w:sz w:val="16"/>
                <w:szCs w:val="16"/>
              </w:rPr>
            </w:pPr>
          </w:p>
        </w:tc>
        <w:tc>
          <w:tcPr>
            <w:tcW w:w="318" w:type="pct"/>
            <w:shd w:val="clear" w:color="auto" w:fill="auto"/>
            <w:vAlign w:val="center"/>
          </w:tcPr>
          <w:p w:rsidR="00221D6A" w:rsidRDefault="00221D6A">
            <w:pPr>
              <w:spacing w:beforeLines="20" w:before="48" w:afterLines="20" w:after="48"/>
              <w:jc w:val="center"/>
              <w:rPr>
                <w:noProof/>
                <w:sz w:val="16"/>
                <w:szCs w:val="16"/>
              </w:rPr>
            </w:pPr>
          </w:p>
        </w:tc>
        <w:tc>
          <w:tcPr>
            <w:tcW w:w="1022" w:type="pct"/>
            <w:shd w:val="clear" w:color="auto" w:fill="auto"/>
            <w:vAlign w:val="center"/>
          </w:tcPr>
          <w:p w:rsidR="00221D6A" w:rsidRDefault="00221D6A">
            <w:pPr>
              <w:spacing w:beforeLines="20" w:before="48" w:afterLines="20" w:after="48"/>
              <w:jc w:val="center"/>
              <w:rPr>
                <w:noProof/>
                <w:sz w:val="16"/>
                <w:szCs w:val="16"/>
              </w:rPr>
            </w:pPr>
          </w:p>
        </w:tc>
        <w:tc>
          <w:tcPr>
            <w:tcW w:w="699" w:type="pct"/>
            <w:shd w:val="clear" w:color="auto" w:fill="auto"/>
            <w:vAlign w:val="center"/>
          </w:tcPr>
          <w:p w:rsidR="00221D6A" w:rsidRDefault="00221D6A">
            <w:pPr>
              <w:spacing w:beforeLines="20" w:before="48" w:afterLines="20" w:after="48"/>
              <w:jc w:val="center"/>
              <w:rPr>
                <w:noProof/>
                <w:sz w:val="16"/>
                <w:szCs w:val="16"/>
              </w:rPr>
            </w:pPr>
          </w:p>
        </w:tc>
        <w:tc>
          <w:tcPr>
            <w:tcW w:w="510" w:type="pct"/>
            <w:shd w:val="clear" w:color="auto" w:fill="auto"/>
            <w:vAlign w:val="center"/>
          </w:tcPr>
          <w:p w:rsidR="00221D6A" w:rsidRDefault="00221D6A">
            <w:pPr>
              <w:spacing w:beforeLines="20" w:before="48" w:afterLines="20" w:after="48"/>
              <w:jc w:val="center"/>
              <w:rPr>
                <w:noProof/>
                <w:sz w:val="16"/>
                <w:szCs w:val="16"/>
              </w:rPr>
            </w:pPr>
          </w:p>
        </w:tc>
        <w:tc>
          <w:tcPr>
            <w:tcW w:w="115" w:type="pct"/>
            <w:shd w:val="clear" w:color="auto" w:fill="auto"/>
            <w:vAlign w:val="center"/>
          </w:tcPr>
          <w:p w:rsidR="00221D6A" w:rsidRDefault="00221D6A">
            <w:pPr>
              <w:spacing w:beforeLines="20" w:before="48" w:afterLines="20" w:after="48"/>
              <w:jc w:val="center"/>
              <w:rPr>
                <w:noProof/>
                <w:sz w:val="16"/>
                <w:szCs w:val="16"/>
              </w:rPr>
            </w:pPr>
          </w:p>
        </w:tc>
        <w:tc>
          <w:tcPr>
            <w:tcW w:w="115" w:type="pct"/>
            <w:shd w:val="clear" w:color="auto" w:fill="auto"/>
            <w:vAlign w:val="center"/>
          </w:tcPr>
          <w:p w:rsidR="00221D6A" w:rsidRDefault="00221D6A">
            <w:pPr>
              <w:spacing w:beforeLines="20" w:before="48" w:afterLines="20" w:after="48"/>
              <w:jc w:val="center"/>
              <w:rPr>
                <w:noProof/>
                <w:sz w:val="16"/>
                <w:szCs w:val="16"/>
              </w:rPr>
            </w:pPr>
          </w:p>
        </w:tc>
      </w:tr>
      <w:tr w:rsidR="00221D6A">
        <w:trPr>
          <w:gridBefore w:val="1"/>
          <w:wBefore w:w="6" w:type="pct"/>
          <w:trHeight w:val="289"/>
          <w:jc w:val="center"/>
        </w:trPr>
        <w:tc>
          <w:tcPr>
            <w:tcW w:w="948" w:type="pct"/>
            <w:vMerge w:val="restart"/>
            <w:shd w:val="clear" w:color="auto" w:fill="auto"/>
            <w:vAlign w:val="center"/>
          </w:tcPr>
          <w:p w:rsidR="00221D6A" w:rsidRDefault="00BA3780">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 xml:space="preserve">yy </w:t>
            </w:r>
            <w:r>
              <w:rPr>
                <w:rStyle w:val="FootnoteReference"/>
                <w:b/>
                <w:noProof/>
                <w:sz w:val="16"/>
              </w:rPr>
              <w:footnoteReference w:id="32"/>
            </w:r>
          </w:p>
          <w:p w:rsidR="00221D6A" w:rsidRDefault="00221D6A">
            <w:pPr>
              <w:pStyle w:val="Text1"/>
              <w:spacing w:beforeLines="20" w:before="48" w:afterLines="20" w:after="48"/>
              <w:ind w:left="136"/>
              <w:jc w:val="left"/>
              <w:rPr>
                <w:b/>
                <w:noProof/>
                <w:sz w:val="16"/>
                <w:szCs w:val="16"/>
              </w:rPr>
            </w:pPr>
          </w:p>
        </w:tc>
        <w:tc>
          <w:tcPr>
            <w:tcW w:w="949" w:type="pct"/>
            <w:shd w:val="clear" w:color="auto" w:fill="auto"/>
            <w:vAlign w:val="center"/>
          </w:tcPr>
          <w:p w:rsidR="00221D6A" w:rsidRDefault="00BA3780">
            <w:pPr>
              <w:pStyle w:val="Text1"/>
              <w:spacing w:beforeLines="20" w:before="48" w:afterLines="20" w:after="48"/>
              <w:ind w:left="136"/>
              <w:jc w:val="left"/>
              <w:rPr>
                <w:b/>
                <w:noProof/>
                <w:sz w:val="16"/>
                <w:szCs w:val="16"/>
              </w:rPr>
            </w:pPr>
            <w:r>
              <w:rPr>
                <w:noProof/>
                <w:sz w:val="16"/>
              </w:rPr>
              <w:t>- būstinėje</w:t>
            </w:r>
          </w:p>
          <w:p w:rsidR="00221D6A" w:rsidRDefault="00221D6A">
            <w:pPr>
              <w:pStyle w:val="Text1"/>
              <w:spacing w:beforeLines="20" w:before="48" w:afterLines="20" w:after="48"/>
              <w:ind w:left="136"/>
              <w:jc w:val="left"/>
              <w:rPr>
                <w:b/>
                <w:noProof/>
                <w:sz w:val="16"/>
                <w:szCs w:val="16"/>
              </w:rPr>
            </w:pPr>
          </w:p>
        </w:tc>
        <w:tc>
          <w:tcPr>
            <w:tcW w:w="318" w:type="pct"/>
            <w:shd w:val="clear" w:color="auto" w:fill="auto"/>
            <w:vAlign w:val="center"/>
          </w:tcPr>
          <w:p w:rsidR="00221D6A" w:rsidRDefault="00221D6A">
            <w:pPr>
              <w:pStyle w:val="Text1"/>
              <w:spacing w:beforeLines="20" w:before="48" w:afterLines="20" w:after="48"/>
              <w:ind w:left="0"/>
              <w:rPr>
                <w:noProof/>
                <w:sz w:val="16"/>
                <w:szCs w:val="16"/>
              </w:rPr>
            </w:pPr>
          </w:p>
        </w:tc>
        <w:tc>
          <w:tcPr>
            <w:tcW w:w="318" w:type="pct"/>
            <w:shd w:val="clear" w:color="auto" w:fill="auto"/>
            <w:vAlign w:val="center"/>
          </w:tcPr>
          <w:p w:rsidR="00221D6A" w:rsidRDefault="00221D6A">
            <w:pPr>
              <w:spacing w:beforeLines="20" w:before="48" w:afterLines="20" w:after="48"/>
              <w:jc w:val="center"/>
              <w:rPr>
                <w:noProof/>
                <w:sz w:val="16"/>
                <w:szCs w:val="16"/>
              </w:rPr>
            </w:pPr>
          </w:p>
        </w:tc>
        <w:tc>
          <w:tcPr>
            <w:tcW w:w="1022" w:type="pct"/>
            <w:shd w:val="clear" w:color="auto" w:fill="auto"/>
            <w:vAlign w:val="center"/>
          </w:tcPr>
          <w:p w:rsidR="00221D6A" w:rsidRDefault="00221D6A">
            <w:pPr>
              <w:spacing w:beforeLines="20" w:before="48" w:afterLines="20" w:after="48"/>
              <w:jc w:val="center"/>
              <w:rPr>
                <w:noProof/>
                <w:sz w:val="16"/>
                <w:szCs w:val="16"/>
              </w:rPr>
            </w:pPr>
          </w:p>
        </w:tc>
        <w:tc>
          <w:tcPr>
            <w:tcW w:w="699" w:type="pct"/>
            <w:shd w:val="clear" w:color="auto" w:fill="auto"/>
            <w:vAlign w:val="center"/>
          </w:tcPr>
          <w:p w:rsidR="00221D6A" w:rsidRDefault="00221D6A">
            <w:pPr>
              <w:spacing w:beforeLines="20" w:before="48" w:afterLines="20" w:after="48"/>
              <w:jc w:val="center"/>
              <w:rPr>
                <w:noProof/>
                <w:sz w:val="16"/>
                <w:szCs w:val="16"/>
              </w:rPr>
            </w:pPr>
          </w:p>
        </w:tc>
        <w:tc>
          <w:tcPr>
            <w:tcW w:w="510" w:type="pct"/>
            <w:shd w:val="clear" w:color="auto" w:fill="auto"/>
            <w:vAlign w:val="center"/>
          </w:tcPr>
          <w:p w:rsidR="00221D6A" w:rsidRDefault="00221D6A">
            <w:pPr>
              <w:spacing w:beforeLines="20" w:before="48" w:afterLines="20" w:after="48"/>
              <w:jc w:val="center"/>
              <w:rPr>
                <w:noProof/>
                <w:sz w:val="16"/>
                <w:szCs w:val="16"/>
              </w:rPr>
            </w:pPr>
          </w:p>
        </w:tc>
        <w:tc>
          <w:tcPr>
            <w:tcW w:w="115" w:type="pct"/>
            <w:shd w:val="clear" w:color="auto" w:fill="auto"/>
            <w:vAlign w:val="center"/>
          </w:tcPr>
          <w:p w:rsidR="00221D6A" w:rsidRDefault="00221D6A">
            <w:pPr>
              <w:spacing w:beforeLines="20" w:before="48" w:afterLines="20" w:after="48"/>
              <w:jc w:val="center"/>
              <w:rPr>
                <w:noProof/>
                <w:sz w:val="16"/>
                <w:szCs w:val="16"/>
              </w:rPr>
            </w:pPr>
          </w:p>
        </w:tc>
        <w:tc>
          <w:tcPr>
            <w:tcW w:w="115" w:type="pct"/>
            <w:shd w:val="clear" w:color="auto" w:fill="auto"/>
            <w:vAlign w:val="center"/>
          </w:tcPr>
          <w:p w:rsidR="00221D6A" w:rsidRDefault="00221D6A">
            <w:pPr>
              <w:spacing w:beforeLines="20" w:before="48" w:afterLines="20" w:after="48"/>
              <w:jc w:val="center"/>
              <w:rPr>
                <w:noProof/>
                <w:sz w:val="16"/>
                <w:szCs w:val="16"/>
              </w:rPr>
            </w:pPr>
          </w:p>
        </w:tc>
      </w:tr>
      <w:tr w:rsidR="00221D6A">
        <w:trPr>
          <w:gridBefore w:val="1"/>
          <w:wBefore w:w="6" w:type="pct"/>
          <w:trHeight w:val="289"/>
          <w:jc w:val="center"/>
        </w:trPr>
        <w:tc>
          <w:tcPr>
            <w:tcW w:w="948" w:type="pct"/>
            <w:vMerge/>
            <w:shd w:val="clear" w:color="auto" w:fill="auto"/>
            <w:vAlign w:val="center"/>
          </w:tcPr>
          <w:p w:rsidR="00221D6A" w:rsidRDefault="00221D6A">
            <w:pPr>
              <w:pStyle w:val="Text1"/>
              <w:spacing w:beforeLines="20" w:before="48" w:afterLines="20" w:after="48"/>
              <w:ind w:left="136"/>
              <w:jc w:val="left"/>
              <w:rPr>
                <w:b/>
                <w:noProof/>
                <w:sz w:val="16"/>
                <w:szCs w:val="16"/>
              </w:rPr>
            </w:pPr>
          </w:p>
        </w:tc>
        <w:tc>
          <w:tcPr>
            <w:tcW w:w="949" w:type="pct"/>
            <w:shd w:val="clear" w:color="auto" w:fill="auto"/>
            <w:vAlign w:val="center"/>
          </w:tcPr>
          <w:p w:rsidR="00221D6A" w:rsidRDefault="00BA3780">
            <w:pPr>
              <w:pStyle w:val="Text1"/>
              <w:spacing w:beforeLines="20" w:before="48" w:afterLines="20" w:after="48"/>
              <w:ind w:left="136"/>
              <w:jc w:val="left"/>
              <w:rPr>
                <w:b/>
                <w:noProof/>
                <w:sz w:val="16"/>
                <w:szCs w:val="16"/>
              </w:rPr>
            </w:pPr>
            <w:r>
              <w:rPr>
                <w:noProof/>
                <w:sz w:val="16"/>
              </w:rPr>
              <w:t xml:space="preserve">- delegacijose </w:t>
            </w:r>
          </w:p>
        </w:tc>
        <w:tc>
          <w:tcPr>
            <w:tcW w:w="318" w:type="pct"/>
            <w:shd w:val="clear" w:color="auto" w:fill="auto"/>
            <w:vAlign w:val="center"/>
          </w:tcPr>
          <w:p w:rsidR="00221D6A" w:rsidRDefault="00221D6A">
            <w:pPr>
              <w:pStyle w:val="Text1"/>
              <w:spacing w:beforeLines="20" w:before="48" w:afterLines="20" w:after="48"/>
              <w:ind w:left="0"/>
              <w:rPr>
                <w:noProof/>
                <w:sz w:val="16"/>
                <w:szCs w:val="16"/>
              </w:rPr>
            </w:pPr>
          </w:p>
        </w:tc>
        <w:tc>
          <w:tcPr>
            <w:tcW w:w="318" w:type="pct"/>
            <w:shd w:val="clear" w:color="auto" w:fill="auto"/>
            <w:vAlign w:val="center"/>
          </w:tcPr>
          <w:p w:rsidR="00221D6A" w:rsidRDefault="00221D6A">
            <w:pPr>
              <w:spacing w:beforeLines="20" w:before="48" w:afterLines="20" w:after="48"/>
              <w:jc w:val="center"/>
              <w:rPr>
                <w:noProof/>
                <w:sz w:val="16"/>
                <w:szCs w:val="16"/>
              </w:rPr>
            </w:pPr>
          </w:p>
        </w:tc>
        <w:tc>
          <w:tcPr>
            <w:tcW w:w="1022" w:type="pct"/>
            <w:shd w:val="clear" w:color="auto" w:fill="auto"/>
            <w:vAlign w:val="center"/>
          </w:tcPr>
          <w:p w:rsidR="00221D6A" w:rsidRDefault="00221D6A">
            <w:pPr>
              <w:spacing w:beforeLines="20" w:before="48" w:afterLines="20" w:after="48"/>
              <w:jc w:val="center"/>
              <w:rPr>
                <w:noProof/>
                <w:sz w:val="16"/>
                <w:szCs w:val="16"/>
              </w:rPr>
            </w:pPr>
          </w:p>
        </w:tc>
        <w:tc>
          <w:tcPr>
            <w:tcW w:w="699" w:type="pct"/>
            <w:shd w:val="clear" w:color="auto" w:fill="auto"/>
            <w:vAlign w:val="center"/>
          </w:tcPr>
          <w:p w:rsidR="00221D6A" w:rsidRDefault="00221D6A">
            <w:pPr>
              <w:spacing w:beforeLines="20" w:before="48" w:afterLines="20" w:after="48"/>
              <w:jc w:val="center"/>
              <w:rPr>
                <w:noProof/>
                <w:sz w:val="16"/>
                <w:szCs w:val="16"/>
              </w:rPr>
            </w:pPr>
          </w:p>
        </w:tc>
        <w:tc>
          <w:tcPr>
            <w:tcW w:w="510" w:type="pct"/>
            <w:shd w:val="clear" w:color="auto" w:fill="auto"/>
            <w:vAlign w:val="center"/>
          </w:tcPr>
          <w:p w:rsidR="00221D6A" w:rsidRDefault="00221D6A">
            <w:pPr>
              <w:spacing w:beforeLines="20" w:before="48" w:afterLines="20" w:after="48"/>
              <w:jc w:val="center"/>
              <w:rPr>
                <w:noProof/>
                <w:sz w:val="16"/>
                <w:szCs w:val="16"/>
              </w:rPr>
            </w:pPr>
          </w:p>
        </w:tc>
        <w:tc>
          <w:tcPr>
            <w:tcW w:w="115" w:type="pct"/>
            <w:shd w:val="clear" w:color="auto" w:fill="auto"/>
            <w:vAlign w:val="center"/>
          </w:tcPr>
          <w:p w:rsidR="00221D6A" w:rsidRDefault="00221D6A">
            <w:pPr>
              <w:spacing w:beforeLines="20" w:before="48" w:afterLines="20" w:after="48"/>
              <w:jc w:val="center"/>
              <w:rPr>
                <w:noProof/>
                <w:sz w:val="16"/>
                <w:szCs w:val="16"/>
              </w:rPr>
            </w:pPr>
          </w:p>
        </w:tc>
        <w:tc>
          <w:tcPr>
            <w:tcW w:w="115" w:type="pct"/>
            <w:shd w:val="clear" w:color="auto" w:fill="auto"/>
            <w:vAlign w:val="center"/>
          </w:tcPr>
          <w:p w:rsidR="00221D6A" w:rsidRDefault="00221D6A">
            <w:pPr>
              <w:spacing w:beforeLines="20" w:before="48" w:afterLines="20" w:after="48"/>
              <w:jc w:val="center"/>
              <w:rPr>
                <w:noProof/>
                <w:sz w:val="16"/>
                <w:szCs w:val="16"/>
              </w:rPr>
            </w:pPr>
          </w:p>
        </w:tc>
      </w:tr>
      <w:tr w:rsidR="00221D6A">
        <w:trPr>
          <w:gridBefore w:val="1"/>
          <w:wBefore w:w="6" w:type="pct"/>
          <w:trHeight w:val="289"/>
          <w:jc w:val="center"/>
        </w:trPr>
        <w:tc>
          <w:tcPr>
            <w:tcW w:w="1897" w:type="pct"/>
            <w:gridSpan w:val="2"/>
            <w:shd w:val="clear" w:color="auto" w:fill="auto"/>
            <w:vAlign w:val="center"/>
          </w:tcPr>
          <w:p w:rsidR="00221D6A" w:rsidRDefault="00BA3780">
            <w:pPr>
              <w:pStyle w:val="Text1"/>
              <w:spacing w:beforeLines="20" w:before="48" w:afterLines="20" w:after="48"/>
              <w:ind w:left="136"/>
              <w:jc w:val="left"/>
              <w:rPr>
                <w:noProof/>
                <w:sz w:val="16"/>
                <w:szCs w:val="16"/>
              </w:rPr>
            </w:pPr>
            <w:r>
              <w:rPr>
                <w:b/>
                <w:noProof/>
                <w:sz w:val="16"/>
              </w:rPr>
              <w:t>XX</w:t>
            </w:r>
            <w:r>
              <w:rPr>
                <w:noProof/>
                <w:sz w:val="16"/>
              </w:rPr>
              <w:t xml:space="preserve"> 01 05 02 (CA, SNE, INT– netiesioginiai moksliniai tyrimai)</w:t>
            </w:r>
          </w:p>
        </w:tc>
        <w:tc>
          <w:tcPr>
            <w:tcW w:w="318" w:type="pct"/>
            <w:shd w:val="clear" w:color="auto" w:fill="auto"/>
            <w:vAlign w:val="center"/>
          </w:tcPr>
          <w:p w:rsidR="00221D6A" w:rsidRDefault="00221D6A">
            <w:pPr>
              <w:spacing w:beforeLines="20" w:before="48" w:afterLines="20" w:after="48"/>
              <w:jc w:val="center"/>
              <w:rPr>
                <w:noProof/>
                <w:sz w:val="16"/>
                <w:szCs w:val="16"/>
              </w:rPr>
            </w:pPr>
          </w:p>
        </w:tc>
        <w:tc>
          <w:tcPr>
            <w:tcW w:w="318" w:type="pct"/>
            <w:shd w:val="clear" w:color="auto" w:fill="auto"/>
            <w:vAlign w:val="center"/>
          </w:tcPr>
          <w:p w:rsidR="00221D6A" w:rsidRDefault="00221D6A">
            <w:pPr>
              <w:spacing w:beforeLines="20" w:before="48" w:afterLines="20" w:after="48"/>
              <w:jc w:val="center"/>
              <w:rPr>
                <w:noProof/>
                <w:sz w:val="16"/>
                <w:szCs w:val="16"/>
              </w:rPr>
            </w:pPr>
          </w:p>
        </w:tc>
        <w:tc>
          <w:tcPr>
            <w:tcW w:w="1022" w:type="pct"/>
            <w:shd w:val="clear" w:color="auto" w:fill="auto"/>
            <w:vAlign w:val="center"/>
          </w:tcPr>
          <w:p w:rsidR="00221D6A" w:rsidRDefault="00221D6A">
            <w:pPr>
              <w:spacing w:beforeLines="20" w:before="48" w:afterLines="20" w:after="48"/>
              <w:jc w:val="center"/>
              <w:rPr>
                <w:noProof/>
                <w:sz w:val="16"/>
                <w:szCs w:val="16"/>
              </w:rPr>
            </w:pPr>
          </w:p>
        </w:tc>
        <w:tc>
          <w:tcPr>
            <w:tcW w:w="699" w:type="pct"/>
            <w:shd w:val="clear" w:color="auto" w:fill="auto"/>
            <w:vAlign w:val="center"/>
          </w:tcPr>
          <w:p w:rsidR="00221D6A" w:rsidRDefault="00221D6A">
            <w:pPr>
              <w:spacing w:beforeLines="20" w:before="48" w:afterLines="20" w:after="48"/>
              <w:jc w:val="center"/>
              <w:rPr>
                <w:noProof/>
                <w:sz w:val="16"/>
                <w:szCs w:val="16"/>
              </w:rPr>
            </w:pPr>
          </w:p>
        </w:tc>
        <w:tc>
          <w:tcPr>
            <w:tcW w:w="510" w:type="pct"/>
            <w:shd w:val="clear" w:color="auto" w:fill="auto"/>
            <w:vAlign w:val="center"/>
          </w:tcPr>
          <w:p w:rsidR="00221D6A" w:rsidRDefault="00221D6A">
            <w:pPr>
              <w:spacing w:beforeLines="20" w:before="48" w:afterLines="20" w:after="48"/>
              <w:jc w:val="center"/>
              <w:rPr>
                <w:noProof/>
                <w:sz w:val="16"/>
                <w:szCs w:val="16"/>
              </w:rPr>
            </w:pPr>
          </w:p>
        </w:tc>
        <w:tc>
          <w:tcPr>
            <w:tcW w:w="115" w:type="pct"/>
            <w:shd w:val="clear" w:color="auto" w:fill="auto"/>
            <w:vAlign w:val="center"/>
          </w:tcPr>
          <w:p w:rsidR="00221D6A" w:rsidRDefault="00221D6A">
            <w:pPr>
              <w:spacing w:beforeLines="20" w:before="48" w:afterLines="20" w:after="48"/>
              <w:jc w:val="center"/>
              <w:rPr>
                <w:noProof/>
                <w:sz w:val="16"/>
                <w:szCs w:val="16"/>
              </w:rPr>
            </w:pPr>
          </w:p>
        </w:tc>
        <w:tc>
          <w:tcPr>
            <w:tcW w:w="115" w:type="pct"/>
            <w:shd w:val="clear" w:color="auto" w:fill="auto"/>
            <w:vAlign w:val="center"/>
          </w:tcPr>
          <w:p w:rsidR="00221D6A" w:rsidRDefault="00221D6A">
            <w:pPr>
              <w:spacing w:beforeLines="20" w:before="48" w:afterLines="20" w:after="48"/>
              <w:jc w:val="center"/>
              <w:rPr>
                <w:noProof/>
                <w:sz w:val="16"/>
                <w:szCs w:val="16"/>
              </w:rPr>
            </w:pPr>
          </w:p>
        </w:tc>
      </w:tr>
      <w:tr w:rsidR="00221D6A">
        <w:trPr>
          <w:gridBefore w:val="1"/>
          <w:wBefore w:w="6" w:type="pct"/>
          <w:trHeight w:val="289"/>
          <w:jc w:val="center"/>
        </w:trPr>
        <w:tc>
          <w:tcPr>
            <w:tcW w:w="1897" w:type="pct"/>
            <w:gridSpan w:val="2"/>
            <w:shd w:val="clear" w:color="auto" w:fill="auto"/>
            <w:vAlign w:val="center"/>
          </w:tcPr>
          <w:p w:rsidR="00221D6A" w:rsidRDefault="00BA3780">
            <w:pPr>
              <w:pStyle w:val="Text1"/>
              <w:spacing w:beforeLines="20" w:before="48" w:afterLines="20" w:after="48"/>
              <w:ind w:left="136"/>
              <w:jc w:val="left"/>
              <w:rPr>
                <w:noProof/>
                <w:sz w:val="16"/>
                <w:szCs w:val="16"/>
              </w:rPr>
            </w:pPr>
            <w:r>
              <w:rPr>
                <w:noProof/>
                <w:sz w:val="16"/>
              </w:rPr>
              <w:t xml:space="preserve">10 01 05 02 (CA, INT, SNE – tiesioginiai </w:t>
            </w:r>
            <w:r>
              <w:rPr>
                <w:noProof/>
                <w:sz w:val="16"/>
              </w:rPr>
              <w:t>moksliniai tyrimai)</w:t>
            </w:r>
          </w:p>
        </w:tc>
        <w:tc>
          <w:tcPr>
            <w:tcW w:w="318" w:type="pct"/>
            <w:shd w:val="clear" w:color="auto" w:fill="auto"/>
            <w:vAlign w:val="center"/>
          </w:tcPr>
          <w:p w:rsidR="00221D6A" w:rsidRDefault="00221D6A">
            <w:pPr>
              <w:spacing w:beforeLines="20" w:before="48" w:afterLines="20" w:after="48"/>
              <w:jc w:val="center"/>
              <w:rPr>
                <w:noProof/>
                <w:sz w:val="16"/>
                <w:szCs w:val="16"/>
              </w:rPr>
            </w:pPr>
          </w:p>
        </w:tc>
        <w:tc>
          <w:tcPr>
            <w:tcW w:w="318" w:type="pct"/>
            <w:shd w:val="clear" w:color="auto" w:fill="auto"/>
            <w:vAlign w:val="center"/>
          </w:tcPr>
          <w:p w:rsidR="00221D6A" w:rsidRDefault="00221D6A">
            <w:pPr>
              <w:spacing w:beforeLines="20" w:before="48" w:afterLines="20" w:after="48"/>
              <w:jc w:val="center"/>
              <w:rPr>
                <w:noProof/>
                <w:sz w:val="16"/>
                <w:szCs w:val="16"/>
              </w:rPr>
            </w:pPr>
          </w:p>
        </w:tc>
        <w:tc>
          <w:tcPr>
            <w:tcW w:w="1022" w:type="pct"/>
            <w:shd w:val="clear" w:color="auto" w:fill="auto"/>
            <w:vAlign w:val="center"/>
          </w:tcPr>
          <w:p w:rsidR="00221D6A" w:rsidRDefault="00221D6A">
            <w:pPr>
              <w:spacing w:beforeLines="20" w:before="48" w:afterLines="20" w:after="48"/>
              <w:jc w:val="center"/>
              <w:rPr>
                <w:noProof/>
                <w:sz w:val="16"/>
                <w:szCs w:val="16"/>
              </w:rPr>
            </w:pPr>
          </w:p>
        </w:tc>
        <w:tc>
          <w:tcPr>
            <w:tcW w:w="699" w:type="pct"/>
            <w:shd w:val="clear" w:color="auto" w:fill="auto"/>
            <w:vAlign w:val="center"/>
          </w:tcPr>
          <w:p w:rsidR="00221D6A" w:rsidRDefault="00221D6A">
            <w:pPr>
              <w:spacing w:beforeLines="20" w:before="48" w:afterLines="20" w:after="48"/>
              <w:jc w:val="center"/>
              <w:rPr>
                <w:noProof/>
                <w:sz w:val="16"/>
                <w:szCs w:val="16"/>
              </w:rPr>
            </w:pPr>
          </w:p>
        </w:tc>
        <w:tc>
          <w:tcPr>
            <w:tcW w:w="510" w:type="pct"/>
            <w:shd w:val="clear" w:color="auto" w:fill="auto"/>
            <w:vAlign w:val="center"/>
          </w:tcPr>
          <w:p w:rsidR="00221D6A" w:rsidRDefault="00221D6A">
            <w:pPr>
              <w:spacing w:beforeLines="20" w:before="48" w:afterLines="20" w:after="48"/>
              <w:jc w:val="center"/>
              <w:rPr>
                <w:noProof/>
                <w:sz w:val="16"/>
                <w:szCs w:val="16"/>
              </w:rPr>
            </w:pPr>
          </w:p>
        </w:tc>
        <w:tc>
          <w:tcPr>
            <w:tcW w:w="115" w:type="pct"/>
            <w:shd w:val="clear" w:color="auto" w:fill="auto"/>
            <w:vAlign w:val="center"/>
          </w:tcPr>
          <w:p w:rsidR="00221D6A" w:rsidRDefault="00221D6A">
            <w:pPr>
              <w:spacing w:beforeLines="20" w:before="48" w:afterLines="20" w:after="48"/>
              <w:jc w:val="center"/>
              <w:rPr>
                <w:noProof/>
                <w:sz w:val="16"/>
                <w:szCs w:val="16"/>
              </w:rPr>
            </w:pPr>
          </w:p>
        </w:tc>
        <w:tc>
          <w:tcPr>
            <w:tcW w:w="115" w:type="pct"/>
            <w:shd w:val="clear" w:color="auto" w:fill="auto"/>
            <w:vAlign w:val="center"/>
          </w:tcPr>
          <w:p w:rsidR="00221D6A" w:rsidRDefault="00221D6A">
            <w:pPr>
              <w:spacing w:beforeLines="20" w:before="48" w:afterLines="20" w:after="48"/>
              <w:jc w:val="center"/>
              <w:rPr>
                <w:noProof/>
                <w:sz w:val="16"/>
                <w:szCs w:val="16"/>
              </w:rPr>
            </w:pPr>
          </w:p>
        </w:tc>
      </w:tr>
      <w:tr w:rsidR="00221D6A">
        <w:trPr>
          <w:gridBefore w:val="1"/>
          <w:wBefore w:w="6" w:type="pct"/>
          <w:trHeight w:val="289"/>
          <w:jc w:val="center"/>
        </w:trPr>
        <w:tc>
          <w:tcPr>
            <w:tcW w:w="1897" w:type="pct"/>
            <w:gridSpan w:val="2"/>
            <w:tcBorders>
              <w:bottom w:val="double" w:sz="4" w:space="0" w:color="auto"/>
            </w:tcBorders>
            <w:shd w:val="clear" w:color="auto" w:fill="auto"/>
            <w:vAlign w:val="center"/>
          </w:tcPr>
          <w:p w:rsidR="00221D6A" w:rsidRDefault="00BA3780">
            <w:pPr>
              <w:pStyle w:val="Text1"/>
              <w:spacing w:beforeLines="20" w:before="48" w:afterLines="20" w:after="48"/>
              <w:ind w:left="134"/>
              <w:jc w:val="left"/>
              <w:rPr>
                <w:noProof/>
                <w:sz w:val="16"/>
                <w:szCs w:val="16"/>
              </w:rPr>
            </w:pPr>
            <w:r>
              <w:rPr>
                <w:noProof/>
                <w:sz w:val="16"/>
              </w:rPr>
              <w:t>Kitos biudžeto eilutės (nurodyti)</w:t>
            </w:r>
          </w:p>
        </w:tc>
        <w:tc>
          <w:tcPr>
            <w:tcW w:w="318" w:type="pct"/>
            <w:tcBorders>
              <w:bottom w:val="double" w:sz="4" w:space="0" w:color="auto"/>
            </w:tcBorders>
            <w:shd w:val="clear" w:color="auto" w:fill="auto"/>
            <w:vAlign w:val="center"/>
          </w:tcPr>
          <w:p w:rsidR="00221D6A" w:rsidRDefault="00221D6A">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221D6A" w:rsidRDefault="00221D6A">
            <w:pPr>
              <w:spacing w:beforeLines="20" w:before="48" w:afterLines="20" w:after="48"/>
              <w:jc w:val="center"/>
              <w:rPr>
                <w:noProof/>
                <w:sz w:val="16"/>
                <w:szCs w:val="16"/>
              </w:rPr>
            </w:pPr>
          </w:p>
        </w:tc>
        <w:tc>
          <w:tcPr>
            <w:tcW w:w="1022" w:type="pct"/>
            <w:tcBorders>
              <w:bottom w:val="double" w:sz="4" w:space="0" w:color="auto"/>
            </w:tcBorders>
            <w:shd w:val="clear" w:color="auto" w:fill="auto"/>
            <w:vAlign w:val="center"/>
          </w:tcPr>
          <w:p w:rsidR="00221D6A" w:rsidRDefault="00221D6A">
            <w:pPr>
              <w:spacing w:beforeLines="20" w:before="48" w:afterLines="20" w:after="48"/>
              <w:jc w:val="center"/>
              <w:rPr>
                <w:noProof/>
                <w:sz w:val="16"/>
                <w:szCs w:val="16"/>
              </w:rPr>
            </w:pPr>
          </w:p>
        </w:tc>
        <w:tc>
          <w:tcPr>
            <w:tcW w:w="699" w:type="pct"/>
            <w:tcBorders>
              <w:bottom w:val="double" w:sz="4" w:space="0" w:color="auto"/>
            </w:tcBorders>
            <w:shd w:val="clear" w:color="auto" w:fill="auto"/>
            <w:vAlign w:val="center"/>
          </w:tcPr>
          <w:p w:rsidR="00221D6A" w:rsidRDefault="00221D6A">
            <w:pPr>
              <w:spacing w:beforeLines="20" w:before="48" w:afterLines="20" w:after="48"/>
              <w:jc w:val="center"/>
              <w:rPr>
                <w:noProof/>
                <w:sz w:val="16"/>
                <w:szCs w:val="16"/>
              </w:rPr>
            </w:pPr>
          </w:p>
        </w:tc>
        <w:tc>
          <w:tcPr>
            <w:tcW w:w="510" w:type="pct"/>
            <w:tcBorders>
              <w:bottom w:val="double" w:sz="4" w:space="0" w:color="auto"/>
            </w:tcBorders>
            <w:shd w:val="clear" w:color="auto" w:fill="auto"/>
            <w:vAlign w:val="center"/>
          </w:tcPr>
          <w:p w:rsidR="00221D6A" w:rsidRDefault="00221D6A">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221D6A" w:rsidRDefault="00221D6A">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221D6A" w:rsidRDefault="00221D6A">
            <w:pPr>
              <w:spacing w:beforeLines="20" w:before="48" w:afterLines="20" w:after="48"/>
              <w:jc w:val="center"/>
              <w:rPr>
                <w:noProof/>
                <w:sz w:val="16"/>
                <w:szCs w:val="16"/>
              </w:rPr>
            </w:pPr>
          </w:p>
        </w:tc>
      </w:tr>
      <w:tr w:rsidR="00221D6A">
        <w:trPr>
          <w:gridBefore w:val="1"/>
          <w:wBefore w:w="6" w:type="pct"/>
          <w:trHeight w:val="289"/>
          <w:jc w:val="center"/>
        </w:trPr>
        <w:tc>
          <w:tcPr>
            <w:tcW w:w="1897" w:type="pct"/>
            <w:gridSpan w:val="2"/>
            <w:tcBorders>
              <w:top w:val="double" w:sz="4" w:space="0" w:color="auto"/>
            </w:tcBorders>
            <w:shd w:val="clear" w:color="auto" w:fill="auto"/>
            <w:vAlign w:val="center"/>
          </w:tcPr>
          <w:p w:rsidR="00221D6A" w:rsidRDefault="00BA3780">
            <w:pPr>
              <w:pStyle w:val="Text1"/>
              <w:spacing w:beforeLines="20" w:before="48" w:afterLines="20" w:after="48"/>
              <w:ind w:left="136"/>
              <w:jc w:val="left"/>
              <w:rPr>
                <w:noProof/>
                <w:sz w:val="16"/>
                <w:szCs w:val="16"/>
              </w:rPr>
            </w:pPr>
            <w:r>
              <w:rPr>
                <w:b/>
                <w:noProof/>
                <w:sz w:val="16"/>
              </w:rPr>
              <w:t>IŠ VISO</w:t>
            </w:r>
          </w:p>
        </w:tc>
        <w:tc>
          <w:tcPr>
            <w:tcW w:w="318" w:type="pct"/>
            <w:tcBorders>
              <w:top w:val="double" w:sz="4" w:space="0" w:color="auto"/>
            </w:tcBorders>
            <w:shd w:val="clear" w:color="auto" w:fill="auto"/>
            <w:vAlign w:val="center"/>
          </w:tcPr>
          <w:p w:rsidR="00221D6A" w:rsidRDefault="00221D6A">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rsidR="00221D6A" w:rsidRDefault="00221D6A">
            <w:pPr>
              <w:spacing w:beforeLines="20" w:before="48" w:afterLines="20" w:after="48"/>
              <w:jc w:val="center"/>
              <w:rPr>
                <w:b/>
                <w:noProof/>
                <w:sz w:val="16"/>
                <w:szCs w:val="16"/>
              </w:rPr>
            </w:pPr>
          </w:p>
        </w:tc>
        <w:tc>
          <w:tcPr>
            <w:tcW w:w="1022" w:type="pct"/>
            <w:tcBorders>
              <w:top w:val="double" w:sz="4" w:space="0" w:color="auto"/>
            </w:tcBorders>
            <w:shd w:val="clear" w:color="auto" w:fill="auto"/>
            <w:vAlign w:val="center"/>
          </w:tcPr>
          <w:p w:rsidR="00221D6A" w:rsidRDefault="00221D6A">
            <w:pPr>
              <w:spacing w:beforeLines="20" w:before="48" w:afterLines="20" w:after="48"/>
              <w:jc w:val="center"/>
              <w:rPr>
                <w:b/>
                <w:noProof/>
                <w:sz w:val="16"/>
                <w:szCs w:val="16"/>
              </w:rPr>
            </w:pPr>
          </w:p>
        </w:tc>
        <w:tc>
          <w:tcPr>
            <w:tcW w:w="699" w:type="pct"/>
            <w:tcBorders>
              <w:top w:val="double" w:sz="4" w:space="0" w:color="auto"/>
            </w:tcBorders>
            <w:shd w:val="clear" w:color="auto" w:fill="auto"/>
            <w:vAlign w:val="center"/>
          </w:tcPr>
          <w:p w:rsidR="00221D6A" w:rsidRDefault="00221D6A">
            <w:pPr>
              <w:spacing w:beforeLines="20" w:before="48" w:afterLines="20" w:after="48"/>
              <w:jc w:val="center"/>
              <w:rPr>
                <w:b/>
                <w:noProof/>
                <w:sz w:val="16"/>
                <w:szCs w:val="16"/>
              </w:rPr>
            </w:pPr>
          </w:p>
        </w:tc>
        <w:tc>
          <w:tcPr>
            <w:tcW w:w="510" w:type="pct"/>
            <w:tcBorders>
              <w:top w:val="double" w:sz="4" w:space="0" w:color="auto"/>
            </w:tcBorders>
            <w:shd w:val="clear" w:color="auto" w:fill="auto"/>
            <w:vAlign w:val="center"/>
          </w:tcPr>
          <w:p w:rsidR="00221D6A" w:rsidRDefault="00221D6A">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221D6A" w:rsidRDefault="00221D6A">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221D6A" w:rsidRDefault="00221D6A">
            <w:pPr>
              <w:spacing w:beforeLines="20" w:before="48" w:afterLines="20" w:after="48"/>
              <w:jc w:val="center"/>
              <w:rPr>
                <w:b/>
                <w:noProof/>
                <w:sz w:val="16"/>
                <w:szCs w:val="16"/>
              </w:rPr>
            </w:pPr>
          </w:p>
        </w:tc>
      </w:tr>
    </w:tbl>
    <w:p w:rsidR="00221D6A" w:rsidRDefault="00BA3780">
      <w:pPr>
        <w:pStyle w:val="Text1"/>
        <w:rPr>
          <w:noProof/>
          <w:sz w:val="18"/>
          <w:szCs w:val="18"/>
        </w:rPr>
      </w:pPr>
      <w:r>
        <w:rPr>
          <w:noProof/>
          <w:sz w:val="18"/>
        </w:rPr>
        <w:t xml:space="preserve">Žmogiškųjų išteklių poreikiai bus tenkinami panaudojant GD darbuotojus, jau paskirtus priemonei valdyti ir (arba) perskirstytus generaliniame direktorate, ir prireikus </w:t>
      </w:r>
      <w:r>
        <w:rPr>
          <w:noProof/>
          <w:sz w:val="18"/>
        </w:rPr>
        <w:t>finansuojami iš papildomų lėšų, kurios atsakingam GD gali būti skiriamos pagal metinę asignavimų skyrimo procedūrą ir atsižvelgiant į biudžeto apribojimus.</w:t>
      </w:r>
    </w:p>
    <w:p w:rsidR="00221D6A" w:rsidRDefault="00BA3780">
      <w:pPr>
        <w:rPr>
          <w:noProof/>
          <w:sz w:val="20"/>
        </w:rPr>
      </w:pPr>
      <w:r>
        <w:rPr>
          <w:noProof/>
          <w:sz w:val="20"/>
        </w:rPr>
        <w:t>Vykdytinų užduočių aprašymas: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221D6A">
        <w:tc>
          <w:tcPr>
            <w:tcW w:w="3240" w:type="dxa"/>
          </w:tcPr>
          <w:p w:rsidR="00221D6A" w:rsidRDefault="00BA3780">
            <w:pPr>
              <w:rPr>
                <w:noProof/>
                <w:sz w:val="20"/>
              </w:rPr>
            </w:pPr>
            <w:r>
              <w:rPr>
                <w:noProof/>
                <w:sz w:val="20"/>
              </w:rPr>
              <w:t>Pareigūnai ir laikinieji darbuotojai</w:t>
            </w:r>
          </w:p>
        </w:tc>
        <w:tc>
          <w:tcPr>
            <w:tcW w:w="7200" w:type="dxa"/>
          </w:tcPr>
          <w:p w:rsidR="00221D6A" w:rsidRDefault="00BA3780">
            <w:pPr>
              <w:rPr>
                <w:noProof/>
                <w:sz w:val="20"/>
              </w:rPr>
            </w:pPr>
            <w:r>
              <w:rPr>
                <w:noProof/>
                <w:sz w:val="20"/>
              </w:rPr>
              <w:t>Administratoriai:</w:t>
            </w:r>
          </w:p>
          <w:p w:rsidR="00221D6A" w:rsidRDefault="00BA3780">
            <w:pPr>
              <w:pStyle w:val="Bullet0"/>
              <w:numPr>
                <w:ilvl w:val="0"/>
                <w:numId w:val="0"/>
              </w:numPr>
              <w:rPr>
                <w:noProof/>
              </w:rPr>
            </w:pPr>
            <w:r>
              <w:rPr>
                <w:noProof/>
              </w:rPr>
              <w:t xml:space="preserve">0,3 etato </w:t>
            </w:r>
            <w:r>
              <w:rPr>
                <w:noProof/>
              </w:rPr>
              <w:t>ekvivalento grupės vadovui;</w:t>
            </w:r>
          </w:p>
          <w:p w:rsidR="00221D6A" w:rsidRDefault="00BA3780">
            <w:pPr>
              <w:pStyle w:val="Bullet0"/>
              <w:numPr>
                <w:ilvl w:val="0"/>
                <w:numId w:val="0"/>
              </w:numPr>
              <w:rPr>
                <w:noProof/>
              </w:rPr>
            </w:pPr>
            <w:r>
              <w:rPr>
                <w:noProof/>
              </w:rPr>
              <w:t>2,7 etato ekvivalento referentams, dirbantiems su reglamentu ir konkretiems gaminiams taikomais deleguotaisiais aktais, taip pat padedantys rinkos priežiūros institucijoms koordinuoti reikalavimų atitikties užtikrinimą.</w:t>
            </w:r>
          </w:p>
          <w:p w:rsidR="00221D6A" w:rsidRDefault="00BA3780">
            <w:pPr>
              <w:pStyle w:val="Bullet0"/>
              <w:numPr>
                <w:ilvl w:val="0"/>
                <w:numId w:val="0"/>
              </w:numPr>
              <w:ind w:left="850" w:hanging="850"/>
              <w:rPr>
                <w:noProof/>
              </w:rPr>
            </w:pPr>
            <w:r>
              <w:rPr>
                <w:noProof/>
              </w:rPr>
              <w:t>Asistent</w:t>
            </w:r>
            <w:r>
              <w:rPr>
                <w:noProof/>
              </w:rPr>
              <w:t>ai:</w:t>
            </w:r>
          </w:p>
          <w:p w:rsidR="00221D6A" w:rsidRDefault="00BA3780">
            <w:pPr>
              <w:pStyle w:val="Bullet0"/>
              <w:numPr>
                <w:ilvl w:val="0"/>
                <w:numId w:val="0"/>
              </w:numPr>
              <w:ind w:left="850" w:hanging="850"/>
              <w:rPr>
                <w:noProof/>
              </w:rPr>
            </w:pPr>
            <w:r>
              <w:rPr>
                <w:noProof/>
              </w:rPr>
              <w:t>0,3 etato ekvivalento pagalbai teisėkūros procedūros ir komunikacijos klausimais.</w:t>
            </w:r>
          </w:p>
        </w:tc>
      </w:tr>
      <w:tr w:rsidR="00221D6A">
        <w:tc>
          <w:tcPr>
            <w:tcW w:w="3240" w:type="dxa"/>
          </w:tcPr>
          <w:p w:rsidR="00221D6A" w:rsidRDefault="00BA3780">
            <w:pPr>
              <w:spacing w:before="60" w:after="60"/>
              <w:rPr>
                <w:noProof/>
                <w:sz w:val="20"/>
              </w:rPr>
            </w:pPr>
            <w:r>
              <w:rPr>
                <w:noProof/>
                <w:sz w:val="20"/>
              </w:rPr>
              <w:t>Išorės darbuotojai</w:t>
            </w:r>
          </w:p>
        </w:tc>
        <w:tc>
          <w:tcPr>
            <w:tcW w:w="7200" w:type="dxa"/>
          </w:tcPr>
          <w:p w:rsidR="00221D6A" w:rsidRDefault="00BA3780">
            <w:pPr>
              <w:rPr>
                <w:noProof/>
                <w:sz w:val="20"/>
              </w:rPr>
            </w:pPr>
            <w:r>
              <w:rPr>
                <w:noProof/>
              </w:rPr>
              <w:t>0,3 etato ekvivalento grupės sekretoriui, kuris būtų atsakingas ir už logistiką</w:t>
            </w:r>
          </w:p>
        </w:tc>
      </w:tr>
    </w:tbl>
    <w:p w:rsidR="00221D6A" w:rsidRDefault="00221D6A">
      <w:pPr>
        <w:rPr>
          <w:noProof/>
        </w:rPr>
        <w:sectPr w:rsidR="00221D6A">
          <w:pgSz w:w="11907" w:h="16840"/>
          <w:pgMar w:top="1134" w:right="1418" w:bottom="1134" w:left="1418" w:header="709" w:footer="709" w:gutter="0"/>
          <w:cols w:space="708"/>
          <w:docGrid w:linePitch="360"/>
        </w:sectPr>
      </w:pPr>
    </w:p>
    <w:p w:rsidR="00221D6A" w:rsidRDefault="00BA3780">
      <w:pPr>
        <w:pStyle w:val="ManualHeading3"/>
        <w:rPr>
          <w:bCs/>
          <w:noProof/>
          <w:szCs w:val="24"/>
        </w:rPr>
      </w:pPr>
      <w:r>
        <w:rPr>
          <w:noProof/>
        </w:rPr>
        <w:t>3.2.4.</w:t>
      </w:r>
      <w:r>
        <w:rPr>
          <w:noProof/>
        </w:rPr>
        <w:tab/>
        <w:t>Suderinamumas su dabartine daugiamete fi</w:t>
      </w:r>
      <w:r>
        <w:rPr>
          <w:noProof/>
        </w:rPr>
        <w:t xml:space="preserve">nansine programa </w:t>
      </w:r>
    </w:p>
    <w:p w:rsidR="00221D6A" w:rsidRDefault="00BA3780">
      <w:pPr>
        <w:pStyle w:val="Text1"/>
        <w:rPr>
          <w:noProof/>
        </w:rPr>
      </w:pPr>
      <w:r>
        <w:rPr>
          <w:noProof/>
        </w:rPr>
        <w:t>Pasiūlymas (iniciatyva) atitinka dabartinę daugiametę finansinę programą.</w:t>
      </w:r>
    </w:p>
    <w:p w:rsidR="00221D6A" w:rsidRDefault="00BA3780">
      <w:pPr>
        <w:pStyle w:val="ManualHeading3"/>
        <w:rPr>
          <w:bCs/>
          <w:noProof/>
          <w:szCs w:val="24"/>
        </w:rPr>
      </w:pPr>
      <w:r>
        <w:rPr>
          <w:noProof/>
        </w:rPr>
        <w:t>3.2.5.</w:t>
      </w:r>
      <w:r>
        <w:rPr>
          <w:noProof/>
        </w:rPr>
        <w:tab/>
        <w:t xml:space="preserve">Trečiųjų šalių įnašai </w:t>
      </w:r>
    </w:p>
    <w:p w:rsidR="00221D6A" w:rsidRDefault="00BA3780">
      <w:pPr>
        <w:pStyle w:val="Text1"/>
        <w:rPr>
          <w:noProof/>
        </w:rPr>
      </w:pPr>
      <w:r>
        <w:rPr>
          <w:noProof/>
        </w:rPr>
        <w:t xml:space="preserve">Pasiūlyme (iniciatyvoje) nenumatyta bendro su trečiosiomis šalimis finansavimo. </w:t>
      </w:r>
    </w:p>
    <w:p w:rsidR="00221D6A" w:rsidRDefault="00BA3780">
      <w:pPr>
        <w:pStyle w:val="ManualHeading2"/>
        <w:rPr>
          <w:bCs/>
          <w:noProof/>
          <w:szCs w:val="24"/>
        </w:rPr>
      </w:pPr>
      <w:r>
        <w:rPr>
          <w:noProof/>
        </w:rPr>
        <w:t>3.3.</w:t>
      </w:r>
      <w:r>
        <w:rPr>
          <w:noProof/>
        </w:rPr>
        <w:tab/>
        <w:t xml:space="preserve">Numatomas poveikis įplaukoms </w:t>
      </w:r>
    </w:p>
    <w:p w:rsidR="00221D6A" w:rsidRDefault="00BA3780">
      <w:pPr>
        <w:pStyle w:val="Text1"/>
        <w:rPr>
          <w:noProof/>
        </w:rPr>
      </w:pPr>
      <w:r>
        <w:rPr>
          <w:noProof/>
        </w:rPr>
        <w:t xml:space="preserve">Pasiūlymas </w:t>
      </w:r>
      <w:r>
        <w:rPr>
          <w:noProof/>
        </w:rPr>
        <w:t>(iniciatyva) neturi finansinio poveikio įplaukoms.</w:t>
      </w:r>
    </w:p>
    <w:sectPr w:rsidR="00221D6A">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D6A" w:rsidRDefault="00BA3780">
      <w:pPr>
        <w:spacing w:before="0" w:after="0"/>
      </w:pPr>
      <w:r>
        <w:separator/>
      </w:r>
    </w:p>
  </w:endnote>
  <w:endnote w:type="continuationSeparator" w:id="0">
    <w:p w:rsidR="00221D6A" w:rsidRDefault="00BA3780">
      <w:pPr>
        <w:spacing w:before="0" w:after="0"/>
      </w:pPr>
      <w:r>
        <w:continuationSeparator/>
      </w:r>
    </w:p>
  </w:endnote>
  <w:endnote w:type="continuationNotice" w:id="1">
    <w:p w:rsidR="00221D6A" w:rsidRDefault="00221D6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D6A" w:rsidRDefault="00BA3780">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D6A" w:rsidRDefault="00BA3780">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D6A" w:rsidRDefault="00221D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D6A" w:rsidRDefault="00BA3780">
    <w:pPr>
      <w:pStyle w:val="FooterLandscape"/>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35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D6A" w:rsidRDefault="00221D6A">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D6A" w:rsidRDefault="00BA3780">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38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D6A" w:rsidRDefault="00221D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D6A" w:rsidRDefault="00BA3780">
      <w:pPr>
        <w:spacing w:before="0" w:after="0"/>
      </w:pPr>
      <w:r>
        <w:separator/>
      </w:r>
    </w:p>
  </w:footnote>
  <w:footnote w:type="continuationSeparator" w:id="0">
    <w:p w:rsidR="00221D6A" w:rsidRDefault="00BA3780">
      <w:pPr>
        <w:spacing w:before="0" w:after="0"/>
      </w:pPr>
      <w:r>
        <w:continuationSeparator/>
      </w:r>
    </w:p>
  </w:footnote>
  <w:footnote w:type="continuationNotice" w:id="1">
    <w:p w:rsidR="00221D6A" w:rsidRDefault="00221D6A">
      <w:pPr>
        <w:spacing w:before="0" w:after="0"/>
      </w:pPr>
    </w:p>
  </w:footnote>
  <w:footnote w:id="2">
    <w:p w:rsidR="00221D6A" w:rsidRDefault="00BA3780">
      <w:pPr>
        <w:pStyle w:val="FootnoteText"/>
        <w:rPr>
          <w:lang w:val="pt-PT"/>
        </w:rPr>
      </w:pPr>
      <w:r>
        <w:rPr>
          <w:rStyle w:val="FootnoteReference"/>
        </w:rPr>
        <w:footnoteRef/>
      </w:r>
      <w:r>
        <w:rPr>
          <w:lang w:val="pt-PT"/>
        </w:rPr>
        <w:tab/>
      </w:r>
      <w:proofErr w:type="gramStart"/>
      <w:r>
        <w:rPr>
          <w:lang w:val="pt-PT"/>
        </w:rPr>
        <w:t>COM(2015</w:t>
      </w:r>
      <w:proofErr w:type="gramEnd"/>
      <w:r>
        <w:rPr>
          <w:lang w:val="pt-PT"/>
        </w:rPr>
        <w:t xml:space="preserve">) 143 </w:t>
      </w:r>
      <w:r>
        <w:rPr>
          <w:i/>
          <w:lang w:val="pt-PT"/>
        </w:rPr>
        <w:t>final.</w:t>
      </w:r>
    </w:p>
  </w:footnote>
  <w:footnote w:id="3">
    <w:p w:rsidR="00221D6A" w:rsidRDefault="00BA3780">
      <w:pPr>
        <w:pStyle w:val="FootnoteText"/>
        <w:rPr>
          <w:lang w:val="pt-PT"/>
        </w:rPr>
      </w:pPr>
      <w:r>
        <w:rPr>
          <w:rStyle w:val="FootnoteReference"/>
        </w:rPr>
        <w:footnoteRef/>
      </w:r>
      <w:r>
        <w:rPr>
          <w:lang w:val="pt-PT"/>
        </w:rPr>
        <w:tab/>
      </w:r>
      <w:proofErr w:type="spellStart"/>
      <w:r>
        <w:rPr>
          <w:lang w:val="pt-PT"/>
        </w:rPr>
        <w:t>Tarybos</w:t>
      </w:r>
      <w:proofErr w:type="spellEnd"/>
      <w:r>
        <w:rPr>
          <w:lang w:val="pt-PT"/>
        </w:rPr>
        <w:t xml:space="preserve"> </w:t>
      </w:r>
      <w:proofErr w:type="spellStart"/>
      <w:r>
        <w:rPr>
          <w:lang w:val="pt-PT"/>
        </w:rPr>
        <w:t>direktyva</w:t>
      </w:r>
      <w:proofErr w:type="spellEnd"/>
      <w:r>
        <w:rPr>
          <w:lang w:val="pt-PT"/>
        </w:rPr>
        <w:t xml:space="preserve"> 92/75/EB.</w:t>
      </w:r>
    </w:p>
  </w:footnote>
  <w:footnote w:id="4">
    <w:p w:rsidR="00221D6A" w:rsidRDefault="00BA3780">
      <w:pPr>
        <w:pStyle w:val="FootnoteText"/>
        <w:rPr>
          <w:lang w:val="pt-PT"/>
        </w:rPr>
      </w:pPr>
      <w:r>
        <w:rPr>
          <w:rStyle w:val="FootnoteReference"/>
        </w:rPr>
        <w:footnoteRef/>
      </w:r>
      <w:r>
        <w:rPr>
          <w:lang w:val="pt-PT"/>
        </w:rPr>
        <w:tab/>
      </w:r>
      <w:proofErr w:type="spellStart"/>
      <w:r>
        <w:rPr>
          <w:lang w:val="pt-PT"/>
        </w:rPr>
        <w:t>Pvz</w:t>
      </w:r>
      <w:proofErr w:type="spellEnd"/>
      <w:r>
        <w:rPr>
          <w:lang w:val="pt-PT"/>
        </w:rPr>
        <w:t xml:space="preserve">., </w:t>
      </w:r>
      <w:proofErr w:type="spellStart"/>
      <w:r>
        <w:rPr>
          <w:lang w:val="pt-PT"/>
        </w:rPr>
        <w:t>Prancūzijos</w:t>
      </w:r>
      <w:proofErr w:type="spellEnd"/>
      <w:r>
        <w:rPr>
          <w:lang w:val="pt-PT"/>
        </w:rPr>
        <w:t xml:space="preserve"> </w:t>
      </w:r>
      <w:proofErr w:type="spellStart"/>
      <w:r>
        <w:rPr>
          <w:lang w:val="pt-PT"/>
        </w:rPr>
        <w:t>vartotojų</w:t>
      </w:r>
      <w:proofErr w:type="spellEnd"/>
      <w:r>
        <w:rPr>
          <w:lang w:val="pt-PT"/>
        </w:rPr>
        <w:t xml:space="preserve"> </w:t>
      </w:r>
      <w:proofErr w:type="spellStart"/>
      <w:r>
        <w:rPr>
          <w:lang w:val="pt-PT"/>
        </w:rPr>
        <w:t>apsaugos</w:t>
      </w:r>
      <w:proofErr w:type="spellEnd"/>
      <w:r>
        <w:rPr>
          <w:lang w:val="pt-PT"/>
        </w:rPr>
        <w:t xml:space="preserve"> </w:t>
      </w:r>
      <w:proofErr w:type="spellStart"/>
      <w:r>
        <w:rPr>
          <w:lang w:val="pt-PT"/>
        </w:rPr>
        <w:t>įstatymas</w:t>
      </w:r>
      <w:proofErr w:type="spellEnd"/>
      <w:r>
        <w:rPr>
          <w:lang w:val="pt-PT"/>
        </w:rPr>
        <w:t xml:space="preserve"> </w:t>
      </w:r>
      <w:proofErr w:type="spellStart"/>
      <w:r>
        <w:rPr>
          <w:lang w:val="pt-PT"/>
        </w:rPr>
        <w:t>dėl</w:t>
      </w:r>
      <w:proofErr w:type="spellEnd"/>
      <w:r>
        <w:rPr>
          <w:lang w:val="pt-PT"/>
        </w:rPr>
        <w:t xml:space="preserve"> </w:t>
      </w:r>
      <w:proofErr w:type="spellStart"/>
      <w:r>
        <w:rPr>
          <w:lang w:val="pt-PT"/>
        </w:rPr>
        <w:t>informavimo</w:t>
      </w:r>
      <w:proofErr w:type="spellEnd"/>
      <w:r>
        <w:rPr>
          <w:lang w:val="pt-PT"/>
        </w:rPr>
        <w:t xml:space="preserve"> </w:t>
      </w:r>
      <w:proofErr w:type="spellStart"/>
      <w:r>
        <w:rPr>
          <w:lang w:val="pt-PT"/>
        </w:rPr>
        <w:t>apie</w:t>
      </w:r>
      <w:proofErr w:type="spellEnd"/>
      <w:r>
        <w:rPr>
          <w:lang w:val="pt-PT"/>
        </w:rPr>
        <w:t xml:space="preserve"> </w:t>
      </w:r>
      <w:proofErr w:type="spellStart"/>
      <w:r>
        <w:rPr>
          <w:lang w:val="pt-PT"/>
        </w:rPr>
        <w:t>galimybę</w:t>
      </w:r>
      <w:proofErr w:type="spellEnd"/>
      <w:r>
        <w:rPr>
          <w:lang w:val="pt-PT"/>
        </w:rPr>
        <w:t xml:space="preserve"> </w:t>
      </w:r>
      <w:proofErr w:type="spellStart"/>
      <w:r>
        <w:rPr>
          <w:lang w:val="pt-PT"/>
        </w:rPr>
        <w:t>įsigyti</w:t>
      </w:r>
      <w:proofErr w:type="spellEnd"/>
      <w:r>
        <w:rPr>
          <w:lang w:val="pt-PT"/>
        </w:rPr>
        <w:t xml:space="preserve"> </w:t>
      </w:r>
      <w:proofErr w:type="spellStart"/>
      <w:r>
        <w:rPr>
          <w:lang w:val="pt-PT"/>
        </w:rPr>
        <w:t>atsarginių</w:t>
      </w:r>
      <w:proofErr w:type="spellEnd"/>
      <w:r>
        <w:rPr>
          <w:lang w:val="pt-PT"/>
        </w:rPr>
        <w:t xml:space="preserve"> </w:t>
      </w:r>
      <w:proofErr w:type="spellStart"/>
      <w:r>
        <w:rPr>
          <w:lang w:val="pt-PT"/>
        </w:rPr>
        <w:t>dalių</w:t>
      </w:r>
      <w:proofErr w:type="spellEnd"/>
      <w:r>
        <w:rPr>
          <w:lang w:val="pt-PT"/>
        </w:rPr>
        <w:t>.</w:t>
      </w:r>
    </w:p>
  </w:footnote>
  <w:footnote w:id="5">
    <w:p w:rsidR="00221D6A" w:rsidRDefault="00BA3780">
      <w:pPr>
        <w:pStyle w:val="FootnoteText"/>
        <w:rPr>
          <w:lang w:val="pt-PT"/>
        </w:rPr>
      </w:pPr>
      <w:r>
        <w:rPr>
          <w:rStyle w:val="FootnoteReference"/>
        </w:rPr>
        <w:footnoteRef/>
      </w:r>
      <w:r>
        <w:rPr>
          <w:lang w:val="pt-PT"/>
        </w:rPr>
        <w:tab/>
      </w:r>
      <w:proofErr w:type="spellStart"/>
      <w:r>
        <w:rPr>
          <w:lang w:val="pt-PT"/>
        </w:rPr>
        <w:t>Apskaičiuota</w:t>
      </w:r>
      <w:proofErr w:type="spellEnd"/>
      <w:r>
        <w:rPr>
          <w:lang w:val="pt-PT"/>
        </w:rPr>
        <w:t xml:space="preserve">, </w:t>
      </w:r>
      <w:proofErr w:type="spellStart"/>
      <w:r>
        <w:rPr>
          <w:lang w:val="pt-PT"/>
        </w:rPr>
        <w:t>kad</w:t>
      </w:r>
      <w:proofErr w:type="spellEnd"/>
      <w:r>
        <w:rPr>
          <w:lang w:val="pt-PT"/>
        </w:rPr>
        <w:t xml:space="preserve"> </w:t>
      </w:r>
      <w:proofErr w:type="spellStart"/>
      <w:r>
        <w:rPr>
          <w:lang w:val="pt-PT"/>
        </w:rPr>
        <w:t>šių</w:t>
      </w:r>
      <w:proofErr w:type="spellEnd"/>
      <w:r>
        <w:rPr>
          <w:lang w:val="pt-PT"/>
        </w:rPr>
        <w:t xml:space="preserve"> </w:t>
      </w:r>
      <w:proofErr w:type="spellStart"/>
      <w:r>
        <w:rPr>
          <w:lang w:val="pt-PT"/>
        </w:rPr>
        <w:t>dviejų</w:t>
      </w:r>
      <w:proofErr w:type="spellEnd"/>
      <w:r>
        <w:rPr>
          <w:lang w:val="pt-PT"/>
        </w:rPr>
        <w:t xml:space="preserve"> </w:t>
      </w:r>
      <w:proofErr w:type="spellStart"/>
      <w:r>
        <w:rPr>
          <w:lang w:val="pt-PT"/>
        </w:rPr>
        <w:t>direktyvų</w:t>
      </w:r>
      <w:proofErr w:type="spellEnd"/>
      <w:r>
        <w:rPr>
          <w:lang w:val="pt-PT"/>
        </w:rPr>
        <w:t xml:space="preserve"> </w:t>
      </w:r>
      <w:proofErr w:type="spellStart"/>
      <w:r>
        <w:rPr>
          <w:lang w:val="pt-PT"/>
        </w:rPr>
        <w:t>įgyvendinimas</w:t>
      </w:r>
      <w:proofErr w:type="spellEnd"/>
      <w:r>
        <w:rPr>
          <w:lang w:val="pt-PT"/>
        </w:rPr>
        <w:t xml:space="preserve"> </w:t>
      </w:r>
      <w:proofErr w:type="spellStart"/>
      <w:r>
        <w:rPr>
          <w:lang w:val="pt-PT"/>
        </w:rPr>
        <w:t>iki</w:t>
      </w:r>
      <w:proofErr w:type="spellEnd"/>
      <w:r>
        <w:rPr>
          <w:lang w:val="pt-PT"/>
        </w:rPr>
        <w:t xml:space="preserve"> 2020 m. </w:t>
      </w:r>
      <w:proofErr w:type="spellStart"/>
      <w:proofErr w:type="gramStart"/>
      <w:r>
        <w:rPr>
          <w:lang w:val="pt-PT"/>
        </w:rPr>
        <w:t>turėtų</w:t>
      </w:r>
      <w:proofErr w:type="spellEnd"/>
      <w:proofErr w:type="gramEnd"/>
      <w:r>
        <w:rPr>
          <w:lang w:val="pt-PT"/>
        </w:rPr>
        <w:t xml:space="preserve"> </w:t>
      </w:r>
      <w:proofErr w:type="spellStart"/>
      <w:r>
        <w:rPr>
          <w:lang w:val="pt-PT"/>
        </w:rPr>
        <w:t>padėti</w:t>
      </w:r>
      <w:proofErr w:type="spellEnd"/>
      <w:r>
        <w:rPr>
          <w:lang w:val="pt-PT"/>
        </w:rPr>
        <w:t xml:space="preserve"> </w:t>
      </w:r>
      <w:proofErr w:type="spellStart"/>
      <w:r>
        <w:rPr>
          <w:lang w:val="pt-PT"/>
        </w:rPr>
        <w:t>sutaupyti</w:t>
      </w:r>
      <w:proofErr w:type="spellEnd"/>
      <w:r>
        <w:rPr>
          <w:lang w:val="pt-PT"/>
        </w:rPr>
        <w:t xml:space="preserve"> 175 </w:t>
      </w:r>
      <w:proofErr w:type="spellStart"/>
      <w:r>
        <w:rPr>
          <w:lang w:val="pt-PT"/>
        </w:rPr>
        <w:t>Mt</w:t>
      </w:r>
      <w:proofErr w:type="spellEnd"/>
      <w:r>
        <w:rPr>
          <w:lang w:val="pt-PT"/>
        </w:rPr>
        <w:t xml:space="preserve"> </w:t>
      </w:r>
      <w:proofErr w:type="spellStart"/>
      <w:r>
        <w:rPr>
          <w:lang w:val="pt-PT"/>
        </w:rPr>
        <w:t>naftos</w:t>
      </w:r>
      <w:proofErr w:type="spellEnd"/>
      <w:r>
        <w:rPr>
          <w:lang w:val="pt-PT"/>
        </w:rPr>
        <w:t xml:space="preserve"> </w:t>
      </w:r>
      <w:proofErr w:type="spellStart"/>
      <w:r>
        <w:rPr>
          <w:lang w:val="pt-PT"/>
        </w:rPr>
        <w:t>ekvivalentu</w:t>
      </w:r>
      <w:proofErr w:type="spellEnd"/>
      <w:r>
        <w:rPr>
          <w:lang w:val="pt-PT"/>
        </w:rPr>
        <w:t xml:space="preserve"> </w:t>
      </w:r>
      <w:proofErr w:type="spellStart"/>
      <w:r>
        <w:rPr>
          <w:lang w:val="pt-PT"/>
        </w:rPr>
        <w:t>pirminės</w:t>
      </w:r>
      <w:proofErr w:type="spellEnd"/>
      <w:r>
        <w:rPr>
          <w:lang w:val="pt-PT"/>
        </w:rPr>
        <w:t xml:space="preserve"> </w:t>
      </w:r>
      <w:proofErr w:type="spellStart"/>
      <w:r>
        <w:rPr>
          <w:lang w:val="pt-PT"/>
        </w:rPr>
        <w:t>energijos</w:t>
      </w:r>
      <w:proofErr w:type="spellEnd"/>
      <w:r>
        <w:rPr>
          <w:lang w:val="pt-PT"/>
        </w:rPr>
        <w:t xml:space="preserve"> per </w:t>
      </w:r>
      <w:proofErr w:type="spellStart"/>
      <w:r>
        <w:rPr>
          <w:lang w:val="pt-PT"/>
        </w:rPr>
        <w:t>metus</w:t>
      </w:r>
      <w:proofErr w:type="spellEnd"/>
      <w:r>
        <w:rPr>
          <w:lang w:val="pt-PT"/>
        </w:rPr>
        <w:t xml:space="preserve"> (</w:t>
      </w:r>
      <w:proofErr w:type="spellStart"/>
      <w:r>
        <w:rPr>
          <w:lang w:val="pt-PT"/>
        </w:rPr>
        <w:t>maždaug</w:t>
      </w:r>
      <w:proofErr w:type="spellEnd"/>
      <w:r>
        <w:rPr>
          <w:lang w:val="pt-PT"/>
        </w:rPr>
        <w:t xml:space="preserve"> 15 proc. </w:t>
      </w:r>
      <w:proofErr w:type="spellStart"/>
      <w:r>
        <w:rPr>
          <w:lang w:val="pt-PT"/>
        </w:rPr>
        <w:t>būtų</w:t>
      </w:r>
      <w:proofErr w:type="spellEnd"/>
      <w:r>
        <w:rPr>
          <w:lang w:val="pt-PT"/>
        </w:rPr>
        <w:t xml:space="preserve"> </w:t>
      </w:r>
      <w:proofErr w:type="spellStart"/>
      <w:r>
        <w:rPr>
          <w:lang w:val="pt-PT"/>
        </w:rPr>
        <w:t>sutaupoma</w:t>
      </w:r>
      <w:proofErr w:type="spellEnd"/>
      <w:r>
        <w:rPr>
          <w:lang w:val="pt-PT"/>
        </w:rPr>
        <w:t xml:space="preserve"> </w:t>
      </w:r>
      <w:proofErr w:type="spellStart"/>
      <w:r>
        <w:rPr>
          <w:lang w:val="pt-PT"/>
        </w:rPr>
        <w:t>dėl</w:t>
      </w:r>
      <w:proofErr w:type="spellEnd"/>
      <w:r>
        <w:rPr>
          <w:lang w:val="pt-PT"/>
        </w:rPr>
        <w:t xml:space="preserve"> </w:t>
      </w:r>
      <w:proofErr w:type="spellStart"/>
      <w:r>
        <w:rPr>
          <w:lang w:val="pt-PT"/>
        </w:rPr>
        <w:t>energijos</w:t>
      </w:r>
      <w:proofErr w:type="spellEnd"/>
      <w:r>
        <w:rPr>
          <w:lang w:val="pt-PT"/>
        </w:rPr>
        <w:t xml:space="preserve"> </w:t>
      </w:r>
      <w:proofErr w:type="spellStart"/>
      <w:r>
        <w:rPr>
          <w:lang w:val="pt-PT"/>
        </w:rPr>
        <w:t>suvartojimo</w:t>
      </w:r>
      <w:proofErr w:type="spellEnd"/>
      <w:r>
        <w:rPr>
          <w:lang w:val="pt-PT"/>
        </w:rPr>
        <w:t xml:space="preserve"> </w:t>
      </w:r>
      <w:proofErr w:type="spellStart"/>
      <w:r>
        <w:rPr>
          <w:lang w:val="pt-PT"/>
        </w:rPr>
        <w:t>ženklinimo</w:t>
      </w:r>
      <w:proofErr w:type="spellEnd"/>
      <w:r>
        <w:rPr>
          <w:lang w:val="pt-PT"/>
        </w:rPr>
        <w:t xml:space="preserve"> </w:t>
      </w:r>
      <w:proofErr w:type="spellStart"/>
      <w:r>
        <w:rPr>
          <w:lang w:val="pt-PT"/>
        </w:rPr>
        <w:t>priemonių</w:t>
      </w:r>
      <w:proofErr w:type="spellEnd"/>
      <w:r>
        <w:rPr>
          <w:lang w:val="pt-PT"/>
        </w:rPr>
        <w:t xml:space="preserve">, </w:t>
      </w:r>
      <w:proofErr w:type="spellStart"/>
      <w:r>
        <w:rPr>
          <w:lang w:val="pt-PT"/>
        </w:rPr>
        <w:t>atsižvelgiant</w:t>
      </w:r>
      <w:proofErr w:type="spellEnd"/>
      <w:r>
        <w:rPr>
          <w:lang w:val="pt-PT"/>
        </w:rPr>
        <w:t xml:space="preserve"> į tai, </w:t>
      </w:r>
      <w:proofErr w:type="spellStart"/>
      <w:r>
        <w:rPr>
          <w:lang w:val="pt-PT"/>
        </w:rPr>
        <w:t>kad</w:t>
      </w:r>
      <w:proofErr w:type="spellEnd"/>
      <w:r>
        <w:rPr>
          <w:lang w:val="pt-PT"/>
        </w:rPr>
        <w:t xml:space="preserve"> </w:t>
      </w:r>
      <w:proofErr w:type="spellStart"/>
      <w:r>
        <w:rPr>
          <w:lang w:val="pt-PT"/>
        </w:rPr>
        <w:t>ekologinio</w:t>
      </w:r>
      <w:proofErr w:type="spellEnd"/>
      <w:r>
        <w:rPr>
          <w:lang w:val="pt-PT"/>
        </w:rPr>
        <w:t xml:space="preserve"> </w:t>
      </w:r>
      <w:proofErr w:type="spellStart"/>
      <w:r>
        <w:rPr>
          <w:lang w:val="pt-PT"/>
        </w:rPr>
        <w:t>projektavimo</w:t>
      </w:r>
      <w:proofErr w:type="spellEnd"/>
      <w:r>
        <w:rPr>
          <w:lang w:val="pt-PT"/>
        </w:rPr>
        <w:t xml:space="preserve"> </w:t>
      </w:r>
      <w:proofErr w:type="spellStart"/>
      <w:r>
        <w:rPr>
          <w:lang w:val="pt-PT"/>
        </w:rPr>
        <w:t>reikalavimai</w:t>
      </w:r>
      <w:proofErr w:type="spellEnd"/>
      <w:r>
        <w:rPr>
          <w:lang w:val="pt-PT"/>
        </w:rPr>
        <w:t xml:space="preserve"> </w:t>
      </w:r>
      <w:proofErr w:type="spellStart"/>
      <w:r>
        <w:rPr>
          <w:lang w:val="pt-PT"/>
        </w:rPr>
        <w:t>taikomi</w:t>
      </w:r>
      <w:proofErr w:type="spellEnd"/>
      <w:r>
        <w:rPr>
          <w:lang w:val="pt-PT"/>
        </w:rPr>
        <w:t xml:space="preserve"> </w:t>
      </w:r>
      <w:proofErr w:type="spellStart"/>
      <w:r>
        <w:rPr>
          <w:lang w:val="pt-PT"/>
        </w:rPr>
        <w:t>tik</w:t>
      </w:r>
      <w:proofErr w:type="spellEnd"/>
      <w:r>
        <w:rPr>
          <w:lang w:val="pt-PT"/>
        </w:rPr>
        <w:t xml:space="preserve"> </w:t>
      </w:r>
      <w:proofErr w:type="spellStart"/>
      <w:r>
        <w:rPr>
          <w:lang w:val="pt-PT"/>
        </w:rPr>
        <w:t>maždaug</w:t>
      </w:r>
      <w:proofErr w:type="spellEnd"/>
      <w:r>
        <w:rPr>
          <w:lang w:val="pt-PT"/>
        </w:rPr>
        <w:t xml:space="preserve"> </w:t>
      </w:r>
      <w:proofErr w:type="spellStart"/>
      <w:r>
        <w:rPr>
          <w:lang w:val="pt-PT"/>
        </w:rPr>
        <w:t>pusei</w:t>
      </w:r>
      <w:proofErr w:type="spellEnd"/>
      <w:r>
        <w:rPr>
          <w:lang w:val="pt-PT"/>
        </w:rPr>
        <w:t xml:space="preserve"> </w:t>
      </w:r>
      <w:proofErr w:type="spellStart"/>
      <w:r>
        <w:rPr>
          <w:lang w:val="pt-PT"/>
        </w:rPr>
        <w:t>gaminių</w:t>
      </w:r>
      <w:proofErr w:type="spellEnd"/>
      <w:r>
        <w:rPr>
          <w:lang w:val="pt-PT"/>
        </w:rPr>
        <w:t xml:space="preserve"> </w:t>
      </w:r>
      <w:proofErr w:type="spellStart"/>
      <w:r>
        <w:rPr>
          <w:lang w:val="pt-PT"/>
        </w:rPr>
        <w:t>grupių</w:t>
      </w:r>
      <w:proofErr w:type="spellEnd"/>
      <w:r>
        <w:rPr>
          <w:lang w:val="pt-PT"/>
        </w:rPr>
        <w:t xml:space="preserve">). Tai </w:t>
      </w:r>
      <w:proofErr w:type="spellStart"/>
      <w:r>
        <w:rPr>
          <w:lang w:val="pt-PT"/>
        </w:rPr>
        <w:t>atitinka</w:t>
      </w:r>
      <w:proofErr w:type="spellEnd"/>
      <w:r>
        <w:rPr>
          <w:lang w:val="pt-PT"/>
        </w:rPr>
        <w:t xml:space="preserve"> 19 proc. </w:t>
      </w:r>
      <w:proofErr w:type="spellStart"/>
      <w:proofErr w:type="gramStart"/>
      <w:r>
        <w:rPr>
          <w:lang w:val="pt-PT"/>
        </w:rPr>
        <w:t>energijos</w:t>
      </w:r>
      <w:proofErr w:type="spellEnd"/>
      <w:proofErr w:type="gramEnd"/>
      <w:r>
        <w:rPr>
          <w:lang w:val="pt-PT"/>
        </w:rPr>
        <w:t xml:space="preserve"> </w:t>
      </w:r>
      <w:proofErr w:type="spellStart"/>
      <w:r>
        <w:rPr>
          <w:lang w:val="pt-PT"/>
        </w:rPr>
        <w:t>ekonomiją</w:t>
      </w:r>
      <w:proofErr w:type="spellEnd"/>
      <w:r>
        <w:rPr>
          <w:lang w:val="pt-PT"/>
        </w:rPr>
        <w:t xml:space="preserve">, </w:t>
      </w:r>
      <w:proofErr w:type="spellStart"/>
      <w:r>
        <w:rPr>
          <w:lang w:val="pt-PT"/>
        </w:rPr>
        <w:t>palyginti</w:t>
      </w:r>
      <w:proofErr w:type="spellEnd"/>
      <w:r>
        <w:rPr>
          <w:lang w:val="pt-PT"/>
        </w:rPr>
        <w:t xml:space="preserve"> </w:t>
      </w:r>
      <w:proofErr w:type="spellStart"/>
      <w:r>
        <w:rPr>
          <w:lang w:val="pt-PT"/>
        </w:rPr>
        <w:t>su</w:t>
      </w:r>
      <w:proofErr w:type="spellEnd"/>
      <w:r>
        <w:rPr>
          <w:lang w:val="pt-PT"/>
        </w:rPr>
        <w:t xml:space="preserve"> </w:t>
      </w:r>
      <w:proofErr w:type="spellStart"/>
      <w:r>
        <w:rPr>
          <w:lang w:val="pt-PT"/>
        </w:rPr>
        <w:t>tų</w:t>
      </w:r>
      <w:proofErr w:type="spellEnd"/>
      <w:r>
        <w:rPr>
          <w:lang w:val="pt-PT"/>
        </w:rPr>
        <w:t xml:space="preserve"> </w:t>
      </w:r>
      <w:proofErr w:type="spellStart"/>
      <w:r>
        <w:rPr>
          <w:lang w:val="pt-PT"/>
        </w:rPr>
        <w:t>gaminių</w:t>
      </w:r>
      <w:proofErr w:type="spellEnd"/>
      <w:r>
        <w:rPr>
          <w:lang w:val="pt-PT"/>
        </w:rPr>
        <w:t xml:space="preserve"> </w:t>
      </w:r>
      <w:proofErr w:type="spellStart"/>
      <w:r>
        <w:rPr>
          <w:lang w:val="pt-PT"/>
        </w:rPr>
        <w:t>energijos</w:t>
      </w:r>
      <w:proofErr w:type="spellEnd"/>
      <w:r>
        <w:rPr>
          <w:lang w:val="pt-PT"/>
        </w:rPr>
        <w:t xml:space="preserve"> </w:t>
      </w:r>
      <w:proofErr w:type="spellStart"/>
      <w:r>
        <w:rPr>
          <w:lang w:val="pt-PT"/>
        </w:rPr>
        <w:t>suvartojimu</w:t>
      </w:r>
      <w:proofErr w:type="spellEnd"/>
      <w:r>
        <w:rPr>
          <w:lang w:val="pt-PT"/>
        </w:rPr>
        <w:t xml:space="preserve"> </w:t>
      </w:r>
      <w:proofErr w:type="spellStart"/>
      <w:r>
        <w:rPr>
          <w:lang w:val="pt-PT"/>
        </w:rPr>
        <w:t>pagal</w:t>
      </w:r>
      <w:proofErr w:type="spellEnd"/>
      <w:r>
        <w:rPr>
          <w:lang w:val="pt-PT"/>
        </w:rPr>
        <w:t xml:space="preserve"> </w:t>
      </w:r>
      <w:proofErr w:type="spellStart"/>
      <w:r>
        <w:rPr>
          <w:lang w:val="pt-PT"/>
        </w:rPr>
        <w:t>įprastinės</w:t>
      </w:r>
      <w:proofErr w:type="spellEnd"/>
      <w:r>
        <w:rPr>
          <w:lang w:val="pt-PT"/>
        </w:rPr>
        <w:t xml:space="preserve"> </w:t>
      </w:r>
      <w:proofErr w:type="spellStart"/>
      <w:r>
        <w:rPr>
          <w:lang w:val="pt-PT"/>
        </w:rPr>
        <w:t>veiklos</w:t>
      </w:r>
      <w:proofErr w:type="spellEnd"/>
      <w:r>
        <w:rPr>
          <w:lang w:val="pt-PT"/>
        </w:rPr>
        <w:t xml:space="preserve"> </w:t>
      </w:r>
      <w:proofErr w:type="spellStart"/>
      <w:r>
        <w:rPr>
          <w:lang w:val="pt-PT"/>
        </w:rPr>
        <w:t>scenarijų</w:t>
      </w:r>
      <w:proofErr w:type="spellEnd"/>
      <w:r>
        <w:rPr>
          <w:lang w:val="pt-PT"/>
        </w:rPr>
        <w:t xml:space="preserve">. </w:t>
      </w:r>
      <w:proofErr w:type="spellStart"/>
      <w:r>
        <w:rPr>
          <w:lang w:val="pt-PT"/>
        </w:rPr>
        <w:t>Taikant</w:t>
      </w:r>
      <w:proofErr w:type="spellEnd"/>
      <w:r>
        <w:rPr>
          <w:lang w:val="pt-PT"/>
        </w:rPr>
        <w:t xml:space="preserve"> </w:t>
      </w:r>
      <w:proofErr w:type="spellStart"/>
      <w:r>
        <w:rPr>
          <w:lang w:val="pt-PT"/>
        </w:rPr>
        <w:t>šias</w:t>
      </w:r>
      <w:proofErr w:type="spellEnd"/>
      <w:r>
        <w:rPr>
          <w:lang w:val="pt-PT"/>
        </w:rPr>
        <w:t xml:space="preserve"> </w:t>
      </w:r>
      <w:proofErr w:type="spellStart"/>
      <w:r>
        <w:rPr>
          <w:lang w:val="pt-PT"/>
        </w:rPr>
        <w:t>politikos</w:t>
      </w:r>
      <w:proofErr w:type="spellEnd"/>
      <w:r>
        <w:rPr>
          <w:lang w:val="pt-PT"/>
        </w:rPr>
        <w:t xml:space="preserve"> </w:t>
      </w:r>
      <w:proofErr w:type="spellStart"/>
      <w:r>
        <w:rPr>
          <w:lang w:val="pt-PT"/>
        </w:rPr>
        <w:t>priemones</w:t>
      </w:r>
      <w:proofErr w:type="spellEnd"/>
      <w:r>
        <w:rPr>
          <w:lang w:val="pt-PT"/>
        </w:rPr>
        <w:t xml:space="preserve"> bus </w:t>
      </w:r>
      <w:proofErr w:type="spellStart"/>
      <w:r>
        <w:rPr>
          <w:lang w:val="pt-PT"/>
        </w:rPr>
        <w:t>pasiekta</w:t>
      </w:r>
      <w:proofErr w:type="spellEnd"/>
      <w:r>
        <w:rPr>
          <w:lang w:val="pt-PT"/>
        </w:rPr>
        <w:t xml:space="preserve"> </w:t>
      </w:r>
      <w:proofErr w:type="spellStart"/>
      <w:r>
        <w:rPr>
          <w:lang w:val="pt-PT"/>
        </w:rPr>
        <w:t>beveik</w:t>
      </w:r>
      <w:proofErr w:type="spellEnd"/>
      <w:r>
        <w:rPr>
          <w:lang w:val="pt-PT"/>
        </w:rPr>
        <w:t xml:space="preserve"> </w:t>
      </w:r>
      <w:proofErr w:type="spellStart"/>
      <w:proofErr w:type="gramStart"/>
      <w:r>
        <w:rPr>
          <w:lang w:val="pt-PT"/>
        </w:rPr>
        <w:t>pus</w:t>
      </w:r>
      <w:proofErr w:type="gramEnd"/>
      <w:r>
        <w:rPr>
          <w:lang w:val="pt-PT"/>
        </w:rPr>
        <w:t>ė</w:t>
      </w:r>
      <w:proofErr w:type="spellEnd"/>
      <w:r>
        <w:rPr>
          <w:lang w:val="pt-PT"/>
        </w:rPr>
        <w:t xml:space="preserve"> 20 proc. </w:t>
      </w:r>
      <w:proofErr w:type="spellStart"/>
      <w:proofErr w:type="gramStart"/>
      <w:r>
        <w:rPr>
          <w:lang w:val="pt-PT"/>
        </w:rPr>
        <w:t>energijos</w:t>
      </w:r>
      <w:proofErr w:type="spellEnd"/>
      <w:proofErr w:type="gramEnd"/>
      <w:r>
        <w:rPr>
          <w:lang w:val="pt-PT"/>
        </w:rPr>
        <w:t xml:space="preserve"> </w:t>
      </w:r>
      <w:proofErr w:type="spellStart"/>
      <w:r>
        <w:rPr>
          <w:lang w:val="pt-PT"/>
        </w:rPr>
        <w:t>vartojimo</w:t>
      </w:r>
      <w:proofErr w:type="spellEnd"/>
      <w:r>
        <w:rPr>
          <w:lang w:val="pt-PT"/>
        </w:rPr>
        <w:t xml:space="preserve"> </w:t>
      </w:r>
      <w:proofErr w:type="spellStart"/>
      <w:r>
        <w:rPr>
          <w:lang w:val="pt-PT"/>
        </w:rPr>
        <w:t>efektyvum</w:t>
      </w:r>
      <w:r>
        <w:rPr>
          <w:lang w:val="pt-PT"/>
        </w:rPr>
        <w:t>o</w:t>
      </w:r>
      <w:proofErr w:type="spellEnd"/>
      <w:r>
        <w:rPr>
          <w:lang w:val="pt-PT"/>
        </w:rPr>
        <w:t xml:space="preserve"> </w:t>
      </w:r>
      <w:proofErr w:type="spellStart"/>
      <w:r>
        <w:rPr>
          <w:lang w:val="pt-PT"/>
        </w:rPr>
        <w:t>tikslo</w:t>
      </w:r>
      <w:proofErr w:type="spellEnd"/>
      <w:r>
        <w:rPr>
          <w:lang w:val="pt-PT"/>
        </w:rPr>
        <w:t xml:space="preserve"> </w:t>
      </w:r>
      <w:proofErr w:type="spellStart"/>
      <w:r>
        <w:rPr>
          <w:lang w:val="pt-PT"/>
        </w:rPr>
        <w:t>iki</w:t>
      </w:r>
      <w:proofErr w:type="spellEnd"/>
      <w:r>
        <w:rPr>
          <w:lang w:val="pt-PT"/>
        </w:rPr>
        <w:t xml:space="preserve"> 2020 m. </w:t>
      </w:r>
      <w:proofErr w:type="spellStart"/>
      <w:r>
        <w:rPr>
          <w:lang w:val="pt-PT"/>
        </w:rPr>
        <w:t>Priklausomybė</w:t>
      </w:r>
      <w:proofErr w:type="spellEnd"/>
      <w:r>
        <w:rPr>
          <w:lang w:val="pt-PT"/>
        </w:rPr>
        <w:t xml:space="preserve"> nuo </w:t>
      </w:r>
      <w:proofErr w:type="spellStart"/>
      <w:r>
        <w:rPr>
          <w:lang w:val="pt-PT"/>
        </w:rPr>
        <w:t>energijos</w:t>
      </w:r>
      <w:proofErr w:type="spellEnd"/>
      <w:r>
        <w:rPr>
          <w:lang w:val="pt-PT"/>
        </w:rPr>
        <w:t xml:space="preserve"> </w:t>
      </w:r>
      <w:proofErr w:type="spellStart"/>
      <w:r>
        <w:rPr>
          <w:lang w:val="pt-PT"/>
        </w:rPr>
        <w:t>išteklių</w:t>
      </w:r>
      <w:proofErr w:type="spellEnd"/>
      <w:r>
        <w:rPr>
          <w:lang w:val="pt-PT"/>
        </w:rPr>
        <w:t xml:space="preserve"> – </w:t>
      </w:r>
      <w:proofErr w:type="spellStart"/>
      <w:r>
        <w:rPr>
          <w:lang w:val="pt-PT"/>
        </w:rPr>
        <w:t>gamtinių</w:t>
      </w:r>
      <w:proofErr w:type="spellEnd"/>
      <w:r>
        <w:rPr>
          <w:lang w:val="pt-PT"/>
        </w:rPr>
        <w:t xml:space="preserve"> </w:t>
      </w:r>
      <w:proofErr w:type="spellStart"/>
      <w:r>
        <w:rPr>
          <w:lang w:val="pt-PT"/>
        </w:rPr>
        <w:t>dujų</w:t>
      </w:r>
      <w:proofErr w:type="spellEnd"/>
      <w:r>
        <w:rPr>
          <w:lang w:val="pt-PT"/>
        </w:rPr>
        <w:t xml:space="preserve"> ir </w:t>
      </w:r>
      <w:proofErr w:type="spellStart"/>
      <w:r>
        <w:rPr>
          <w:lang w:val="pt-PT"/>
        </w:rPr>
        <w:t>anglių</w:t>
      </w:r>
      <w:proofErr w:type="spellEnd"/>
      <w:r>
        <w:rPr>
          <w:lang w:val="pt-PT"/>
        </w:rPr>
        <w:t xml:space="preserve"> – </w:t>
      </w:r>
      <w:proofErr w:type="gramStart"/>
      <w:r>
        <w:rPr>
          <w:lang w:val="pt-PT"/>
        </w:rPr>
        <w:t>importo</w:t>
      </w:r>
      <w:proofErr w:type="gramEnd"/>
      <w:r>
        <w:rPr>
          <w:lang w:val="pt-PT"/>
        </w:rPr>
        <w:t xml:space="preserve"> </w:t>
      </w:r>
      <w:proofErr w:type="spellStart"/>
      <w:r>
        <w:rPr>
          <w:lang w:val="pt-PT"/>
        </w:rPr>
        <w:t>būtų</w:t>
      </w:r>
      <w:proofErr w:type="spellEnd"/>
      <w:r>
        <w:rPr>
          <w:lang w:val="pt-PT"/>
        </w:rPr>
        <w:t xml:space="preserve"> </w:t>
      </w:r>
      <w:proofErr w:type="spellStart"/>
      <w:r>
        <w:rPr>
          <w:lang w:val="pt-PT"/>
        </w:rPr>
        <w:t>sumažinta</w:t>
      </w:r>
      <w:proofErr w:type="spellEnd"/>
      <w:r>
        <w:rPr>
          <w:lang w:val="pt-PT"/>
        </w:rPr>
        <w:t xml:space="preserve"> </w:t>
      </w:r>
      <w:proofErr w:type="spellStart"/>
      <w:r>
        <w:rPr>
          <w:lang w:val="pt-PT"/>
        </w:rPr>
        <w:t>atitinkamai</w:t>
      </w:r>
      <w:proofErr w:type="spellEnd"/>
      <w:r>
        <w:rPr>
          <w:lang w:val="pt-PT"/>
        </w:rPr>
        <w:t xml:space="preserve"> 23 ir 37 proc. </w:t>
      </w:r>
      <w:proofErr w:type="spellStart"/>
      <w:r>
        <w:rPr>
          <w:lang w:val="pt-PT"/>
        </w:rPr>
        <w:t>Numatoma</w:t>
      </w:r>
      <w:proofErr w:type="spellEnd"/>
      <w:r>
        <w:rPr>
          <w:lang w:val="pt-PT"/>
        </w:rPr>
        <w:t xml:space="preserve">, </w:t>
      </w:r>
      <w:proofErr w:type="spellStart"/>
      <w:r>
        <w:rPr>
          <w:lang w:val="pt-PT"/>
        </w:rPr>
        <w:t>kad</w:t>
      </w:r>
      <w:proofErr w:type="spellEnd"/>
      <w:r>
        <w:rPr>
          <w:lang w:val="pt-PT"/>
        </w:rPr>
        <w:t xml:space="preserve"> </w:t>
      </w:r>
      <w:proofErr w:type="spellStart"/>
      <w:r>
        <w:rPr>
          <w:lang w:val="pt-PT"/>
        </w:rPr>
        <w:t>iš</w:t>
      </w:r>
      <w:proofErr w:type="spellEnd"/>
      <w:r>
        <w:rPr>
          <w:lang w:val="pt-PT"/>
        </w:rPr>
        <w:t xml:space="preserve"> </w:t>
      </w:r>
      <w:proofErr w:type="gramStart"/>
      <w:r>
        <w:rPr>
          <w:lang w:val="pt-PT"/>
        </w:rPr>
        <w:t>viso</w:t>
      </w:r>
      <w:proofErr w:type="gramEnd"/>
      <w:r>
        <w:rPr>
          <w:lang w:val="pt-PT"/>
        </w:rPr>
        <w:t xml:space="preserve"> </w:t>
      </w:r>
      <w:proofErr w:type="spellStart"/>
      <w:r>
        <w:rPr>
          <w:lang w:val="pt-PT"/>
        </w:rPr>
        <w:t>iki</w:t>
      </w:r>
      <w:proofErr w:type="spellEnd"/>
      <w:r>
        <w:rPr>
          <w:lang w:val="pt-PT"/>
        </w:rPr>
        <w:t xml:space="preserve"> 2020 m. </w:t>
      </w:r>
      <w:proofErr w:type="spellStart"/>
      <w:proofErr w:type="gramStart"/>
      <w:r>
        <w:rPr>
          <w:lang w:val="pt-PT"/>
        </w:rPr>
        <w:t>ekologinio</w:t>
      </w:r>
      <w:proofErr w:type="spellEnd"/>
      <w:proofErr w:type="gramEnd"/>
      <w:r>
        <w:rPr>
          <w:lang w:val="pt-PT"/>
        </w:rPr>
        <w:t xml:space="preserve"> </w:t>
      </w:r>
      <w:proofErr w:type="spellStart"/>
      <w:r>
        <w:rPr>
          <w:lang w:val="pt-PT"/>
        </w:rPr>
        <w:t>projektavimo</w:t>
      </w:r>
      <w:proofErr w:type="spellEnd"/>
      <w:r>
        <w:rPr>
          <w:lang w:val="pt-PT"/>
        </w:rPr>
        <w:t xml:space="preserve"> ir </w:t>
      </w:r>
      <w:proofErr w:type="spellStart"/>
      <w:r>
        <w:rPr>
          <w:lang w:val="pt-PT"/>
        </w:rPr>
        <w:t>energijos</w:t>
      </w:r>
      <w:proofErr w:type="spellEnd"/>
      <w:r>
        <w:rPr>
          <w:lang w:val="pt-PT"/>
        </w:rPr>
        <w:t xml:space="preserve"> </w:t>
      </w:r>
      <w:proofErr w:type="spellStart"/>
      <w:r>
        <w:rPr>
          <w:lang w:val="pt-PT"/>
        </w:rPr>
        <w:t>vartojimo</w:t>
      </w:r>
      <w:proofErr w:type="spellEnd"/>
      <w:r>
        <w:rPr>
          <w:lang w:val="pt-PT"/>
        </w:rPr>
        <w:t xml:space="preserve"> </w:t>
      </w:r>
      <w:proofErr w:type="spellStart"/>
      <w:r>
        <w:rPr>
          <w:lang w:val="pt-PT"/>
        </w:rPr>
        <w:t>ženklinimo</w:t>
      </w:r>
      <w:proofErr w:type="spellEnd"/>
      <w:r>
        <w:rPr>
          <w:lang w:val="pt-PT"/>
        </w:rPr>
        <w:t xml:space="preserve"> </w:t>
      </w:r>
      <w:proofErr w:type="spellStart"/>
      <w:r>
        <w:rPr>
          <w:lang w:val="pt-PT"/>
        </w:rPr>
        <w:t>priemonės</w:t>
      </w:r>
      <w:proofErr w:type="spellEnd"/>
      <w:r>
        <w:rPr>
          <w:lang w:val="pt-PT"/>
        </w:rPr>
        <w:t xml:space="preserve"> </w:t>
      </w:r>
      <w:proofErr w:type="spellStart"/>
      <w:r>
        <w:rPr>
          <w:lang w:val="pt-PT"/>
        </w:rPr>
        <w:t>gaminių</w:t>
      </w:r>
      <w:proofErr w:type="spellEnd"/>
      <w:r>
        <w:rPr>
          <w:lang w:val="pt-PT"/>
        </w:rPr>
        <w:t xml:space="preserve"> </w:t>
      </w:r>
      <w:proofErr w:type="spellStart"/>
      <w:r>
        <w:rPr>
          <w:lang w:val="pt-PT"/>
        </w:rPr>
        <w:t>galutiniam</w:t>
      </w:r>
      <w:r>
        <w:rPr>
          <w:lang w:val="pt-PT"/>
        </w:rPr>
        <w:t>s</w:t>
      </w:r>
      <w:proofErr w:type="spellEnd"/>
      <w:r>
        <w:rPr>
          <w:lang w:val="pt-PT"/>
        </w:rPr>
        <w:t xml:space="preserve"> </w:t>
      </w:r>
      <w:proofErr w:type="spellStart"/>
      <w:r>
        <w:rPr>
          <w:lang w:val="pt-PT"/>
        </w:rPr>
        <w:t>naudotojams</w:t>
      </w:r>
      <w:proofErr w:type="spellEnd"/>
      <w:r>
        <w:rPr>
          <w:lang w:val="pt-PT"/>
        </w:rPr>
        <w:t xml:space="preserve"> </w:t>
      </w:r>
      <w:proofErr w:type="spellStart"/>
      <w:r>
        <w:rPr>
          <w:lang w:val="pt-PT"/>
        </w:rPr>
        <w:t>sutaupys</w:t>
      </w:r>
      <w:proofErr w:type="spellEnd"/>
      <w:r>
        <w:rPr>
          <w:lang w:val="pt-PT"/>
        </w:rPr>
        <w:t xml:space="preserve"> 100 </w:t>
      </w:r>
      <w:proofErr w:type="spellStart"/>
      <w:r>
        <w:rPr>
          <w:lang w:val="pt-PT"/>
        </w:rPr>
        <w:t>mlrd</w:t>
      </w:r>
      <w:proofErr w:type="spellEnd"/>
      <w:r>
        <w:rPr>
          <w:lang w:val="pt-PT"/>
        </w:rPr>
        <w:t xml:space="preserve">. EUR per </w:t>
      </w:r>
      <w:proofErr w:type="spellStart"/>
      <w:r>
        <w:rPr>
          <w:lang w:val="pt-PT"/>
        </w:rPr>
        <w:t>metus</w:t>
      </w:r>
      <w:proofErr w:type="spellEnd"/>
      <w:r>
        <w:rPr>
          <w:lang w:val="pt-PT"/>
        </w:rPr>
        <w:t xml:space="preserve"> </w:t>
      </w:r>
      <w:proofErr w:type="spellStart"/>
      <w:r>
        <w:rPr>
          <w:lang w:val="pt-PT"/>
        </w:rPr>
        <w:t>dėl</w:t>
      </w:r>
      <w:proofErr w:type="spellEnd"/>
      <w:r>
        <w:rPr>
          <w:lang w:val="pt-PT"/>
        </w:rPr>
        <w:t xml:space="preserve"> </w:t>
      </w:r>
      <w:proofErr w:type="spellStart"/>
      <w:r>
        <w:rPr>
          <w:lang w:val="pt-PT"/>
        </w:rPr>
        <w:t>mažesnių</w:t>
      </w:r>
      <w:proofErr w:type="spellEnd"/>
      <w:r>
        <w:rPr>
          <w:lang w:val="pt-PT"/>
        </w:rPr>
        <w:t xml:space="preserve"> </w:t>
      </w:r>
      <w:proofErr w:type="spellStart"/>
      <w:r>
        <w:rPr>
          <w:lang w:val="pt-PT"/>
        </w:rPr>
        <w:t>sąskaitų</w:t>
      </w:r>
      <w:proofErr w:type="spellEnd"/>
      <w:r>
        <w:rPr>
          <w:lang w:val="pt-PT"/>
        </w:rPr>
        <w:t xml:space="preserve"> </w:t>
      </w:r>
      <w:proofErr w:type="spellStart"/>
      <w:r>
        <w:rPr>
          <w:lang w:val="pt-PT"/>
        </w:rPr>
        <w:t>už</w:t>
      </w:r>
      <w:proofErr w:type="spellEnd"/>
      <w:r>
        <w:rPr>
          <w:lang w:val="pt-PT"/>
        </w:rPr>
        <w:t xml:space="preserve"> </w:t>
      </w:r>
      <w:proofErr w:type="spellStart"/>
      <w:r>
        <w:rPr>
          <w:lang w:val="pt-PT"/>
        </w:rPr>
        <w:t>komunalines</w:t>
      </w:r>
      <w:proofErr w:type="spellEnd"/>
      <w:r>
        <w:rPr>
          <w:lang w:val="pt-PT"/>
        </w:rPr>
        <w:t xml:space="preserve"> </w:t>
      </w:r>
      <w:proofErr w:type="spellStart"/>
      <w:r>
        <w:rPr>
          <w:lang w:val="pt-PT"/>
        </w:rPr>
        <w:t>paslaugas</w:t>
      </w:r>
      <w:proofErr w:type="spellEnd"/>
      <w:r>
        <w:rPr>
          <w:lang w:val="pt-PT"/>
        </w:rPr>
        <w:t>.</w:t>
      </w:r>
    </w:p>
  </w:footnote>
  <w:footnote w:id="6">
    <w:p w:rsidR="00221D6A" w:rsidRDefault="00BA3780">
      <w:pPr>
        <w:pStyle w:val="FootnoteText"/>
        <w:rPr>
          <w:lang w:val="pt-PT"/>
        </w:rPr>
      </w:pPr>
      <w:r>
        <w:rPr>
          <w:rStyle w:val="FootnoteReference"/>
        </w:rPr>
        <w:footnoteRef/>
      </w:r>
      <w:r>
        <w:rPr>
          <w:lang w:val="pt-PT"/>
        </w:rPr>
        <w:tab/>
      </w:r>
      <w:proofErr w:type="spellStart"/>
      <w:r>
        <w:rPr>
          <w:lang w:val="pt-PT"/>
        </w:rPr>
        <w:t>Nors</w:t>
      </w:r>
      <w:proofErr w:type="spellEnd"/>
      <w:r>
        <w:rPr>
          <w:lang w:val="pt-PT"/>
        </w:rPr>
        <w:t xml:space="preserve"> </w:t>
      </w:r>
      <w:proofErr w:type="spellStart"/>
      <w:r>
        <w:rPr>
          <w:lang w:val="pt-PT"/>
        </w:rPr>
        <w:t>reikalavimų</w:t>
      </w:r>
      <w:proofErr w:type="spellEnd"/>
      <w:r>
        <w:rPr>
          <w:lang w:val="pt-PT"/>
        </w:rPr>
        <w:t xml:space="preserve"> </w:t>
      </w:r>
      <w:proofErr w:type="spellStart"/>
      <w:r>
        <w:rPr>
          <w:lang w:val="pt-PT"/>
        </w:rPr>
        <w:t>laikymosi</w:t>
      </w:r>
      <w:proofErr w:type="spellEnd"/>
      <w:r>
        <w:rPr>
          <w:lang w:val="pt-PT"/>
        </w:rPr>
        <w:t xml:space="preserve"> ir </w:t>
      </w:r>
      <w:proofErr w:type="spellStart"/>
      <w:r>
        <w:rPr>
          <w:lang w:val="pt-PT"/>
        </w:rPr>
        <w:t>ženklinimo</w:t>
      </w:r>
      <w:proofErr w:type="spellEnd"/>
      <w:r>
        <w:rPr>
          <w:lang w:val="pt-PT"/>
        </w:rPr>
        <w:t xml:space="preserve"> </w:t>
      </w:r>
      <w:proofErr w:type="spellStart"/>
      <w:r>
        <w:rPr>
          <w:lang w:val="pt-PT"/>
        </w:rPr>
        <w:t>išlaidos</w:t>
      </w:r>
      <w:proofErr w:type="spellEnd"/>
      <w:r>
        <w:rPr>
          <w:lang w:val="pt-PT"/>
        </w:rPr>
        <w:t xml:space="preserve"> </w:t>
      </w:r>
      <w:proofErr w:type="spellStart"/>
      <w:r>
        <w:rPr>
          <w:lang w:val="pt-PT"/>
        </w:rPr>
        <w:t>visų</w:t>
      </w:r>
      <w:proofErr w:type="spellEnd"/>
      <w:r>
        <w:rPr>
          <w:lang w:val="pt-PT"/>
        </w:rPr>
        <w:t xml:space="preserve"> </w:t>
      </w:r>
      <w:proofErr w:type="spellStart"/>
      <w:r>
        <w:rPr>
          <w:lang w:val="pt-PT"/>
        </w:rPr>
        <w:t>pirma</w:t>
      </w:r>
      <w:proofErr w:type="spellEnd"/>
      <w:r>
        <w:rPr>
          <w:lang w:val="pt-PT"/>
        </w:rPr>
        <w:t xml:space="preserve"> </w:t>
      </w:r>
      <w:proofErr w:type="spellStart"/>
      <w:r>
        <w:rPr>
          <w:lang w:val="pt-PT"/>
        </w:rPr>
        <w:t>tenka</w:t>
      </w:r>
      <w:proofErr w:type="spellEnd"/>
      <w:r>
        <w:rPr>
          <w:lang w:val="pt-PT"/>
        </w:rPr>
        <w:t xml:space="preserve"> </w:t>
      </w:r>
      <w:proofErr w:type="spellStart"/>
      <w:r>
        <w:rPr>
          <w:lang w:val="pt-PT"/>
        </w:rPr>
        <w:t>gamintojams</w:t>
      </w:r>
      <w:proofErr w:type="spellEnd"/>
      <w:r>
        <w:rPr>
          <w:lang w:val="pt-PT"/>
        </w:rPr>
        <w:t xml:space="preserve">, </w:t>
      </w:r>
      <w:proofErr w:type="spellStart"/>
      <w:r>
        <w:rPr>
          <w:lang w:val="pt-PT"/>
        </w:rPr>
        <w:t>jos</w:t>
      </w:r>
      <w:proofErr w:type="spellEnd"/>
      <w:r>
        <w:rPr>
          <w:lang w:val="pt-PT"/>
        </w:rPr>
        <w:t xml:space="preserve"> </w:t>
      </w:r>
      <w:proofErr w:type="spellStart"/>
      <w:r>
        <w:rPr>
          <w:lang w:val="pt-PT"/>
        </w:rPr>
        <w:t>toliau</w:t>
      </w:r>
      <w:proofErr w:type="spellEnd"/>
      <w:r>
        <w:rPr>
          <w:lang w:val="pt-PT"/>
        </w:rPr>
        <w:t xml:space="preserve"> </w:t>
      </w:r>
      <w:proofErr w:type="spellStart"/>
      <w:r>
        <w:rPr>
          <w:lang w:val="pt-PT"/>
        </w:rPr>
        <w:t>perkeliamos</w:t>
      </w:r>
      <w:proofErr w:type="spellEnd"/>
      <w:r>
        <w:rPr>
          <w:lang w:val="pt-PT"/>
        </w:rPr>
        <w:t xml:space="preserve"> </w:t>
      </w:r>
      <w:proofErr w:type="spellStart"/>
      <w:r>
        <w:rPr>
          <w:lang w:val="pt-PT"/>
        </w:rPr>
        <w:t>galutiniams</w:t>
      </w:r>
      <w:proofErr w:type="spellEnd"/>
      <w:r>
        <w:rPr>
          <w:lang w:val="pt-PT"/>
        </w:rPr>
        <w:t xml:space="preserve"> </w:t>
      </w:r>
      <w:proofErr w:type="spellStart"/>
      <w:r>
        <w:rPr>
          <w:lang w:val="pt-PT"/>
        </w:rPr>
        <w:t>naudotojams</w:t>
      </w:r>
      <w:proofErr w:type="spellEnd"/>
      <w:r>
        <w:rPr>
          <w:lang w:val="pt-PT"/>
        </w:rPr>
        <w:t xml:space="preserve"> (</w:t>
      </w:r>
      <w:proofErr w:type="spellStart"/>
      <w:r>
        <w:rPr>
          <w:lang w:val="pt-PT"/>
        </w:rPr>
        <w:t>namų</w:t>
      </w:r>
      <w:proofErr w:type="spellEnd"/>
      <w:r>
        <w:rPr>
          <w:lang w:val="pt-PT"/>
        </w:rPr>
        <w:t xml:space="preserve"> </w:t>
      </w:r>
      <w:proofErr w:type="spellStart"/>
      <w:r>
        <w:rPr>
          <w:lang w:val="pt-PT"/>
        </w:rPr>
        <w:t>ūkiams</w:t>
      </w:r>
      <w:proofErr w:type="spellEnd"/>
      <w:r>
        <w:rPr>
          <w:lang w:val="pt-PT"/>
        </w:rPr>
        <w:t xml:space="preserve"> ir </w:t>
      </w:r>
      <w:proofErr w:type="spellStart"/>
      <w:r>
        <w:rPr>
          <w:lang w:val="pt-PT"/>
        </w:rPr>
        <w:t>kitoms</w:t>
      </w:r>
      <w:proofErr w:type="spellEnd"/>
      <w:r>
        <w:rPr>
          <w:lang w:val="pt-PT"/>
        </w:rPr>
        <w:t xml:space="preserve"> </w:t>
      </w:r>
      <w:proofErr w:type="spellStart"/>
      <w:r>
        <w:rPr>
          <w:lang w:val="pt-PT"/>
        </w:rPr>
        <w:t>įmonėms</w:t>
      </w:r>
      <w:proofErr w:type="spellEnd"/>
      <w:r>
        <w:rPr>
          <w:lang w:val="pt-PT"/>
        </w:rPr>
        <w:t>),</w:t>
      </w:r>
      <w:r>
        <w:rPr>
          <w:lang w:val="pt-PT"/>
        </w:rPr>
        <w:t xml:space="preserve"> </w:t>
      </w:r>
      <w:proofErr w:type="spellStart"/>
      <w:r>
        <w:rPr>
          <w:lang w:val="pt-PT"/>
        </w:rPr>
        <w:t>kurie</w:t>
      </w:r>
      <w:proofErr w:type="spellEnd"/>
      <w:r>
        <w:rPr>
          <w:lang w:val="pt-PT"/>
        </w:rPr>
        <w:t xml:space="preserve"> </w:t>
      </w:r>
      <w:proofErr w:type="spellStart"/>
      <w:r>
        <w:rPr>
          <w:lang w:val="pt-PT"/>
        </w:rPr>
        <w:t>dėl</w:t>
      </w:r>
      <w:proofErr w:type="spellEnd"/>
      <w:r>
        <w:rPr>
          <w:lang w:val="pt-PT"/>
        </w:rPr>
        <w:t xml:space="preserve"> </w:t>
      </w:r>
      <w:proofErr w:type="spellStart"/>
      <w:r>
        <w:rPr>
          <w:lang w:val="pt-PT"/>
        </w:rPr>
        <w:t>mažesnių</w:t>
      </w:r>
      <w:proofErr w:type="spellEnd"/>
      <w:r>
        <w:rPr>
          <w:lang w:val="pt-PT"/>
        </w:rPr>
        <w:t xml:space="preserve"> </w:t>
      </w:r>
      <w:proofErr w:type="spellStart"/>
      <w:r>
        <w:rPr>
          <w:lang w:val="pt-PT"/>
        </w:rPr>
        <w:t>energijos</w:t>
      </w:r>
      <w:proofErr w:type="spellEnd"/>
      <w:r>
        <w:rPr>
          <w:lang w:val="pt-PT"/>
        </w:rPr>
        <w:t xml:space="preserve"> </w:t>
      </w:r>
      <w:proofErr w:type="spellStart"/>
      <w:r>
        <w:rPr>
          <w:lang w:val="pt-PT"/>
        </w:rPr>
        <w:t>sąnaudų</w:t>
      </w:r>
      <w:proofErr w:type="spellEnd"/>
      <w:r>
        <w:rPr>
          <w:lang w:val="pt-PT"/>
        </w:rPr>
        <w:t xml:space="preserve"> </w:t>
      </w:r>
      <w:proofErr w:type="spellStart"/>
      <w:r>
        <w:rPr>
          <w:lang w:val="pt-PT"/>
        </w:rPr>
        <w:t>gauna</w:t>
      </w:r>
      <w:proofErr w:type="spellEnd"/>
      <w:r>
        <w:rPr>
          <w:lang w:val="pt-PT"/>
        </w:rPr>
        <w:t xml:space="preserve"> </w:t>
      </w:r>
      <w:proofErr w:type="spellStart"/>
      <w:r>
        <w:rPr>
          <w:lang w:val="pt-PT"/>
        </w:rPr>
        <w:t>naudos</w:t>
      </w:r>
      <w:proofErr w:type="spellEnd"/>
      <w:r>
        <w:rPr>
          <w:lang w:val="pt-PT"/>
        </w:rPr>
        <w:t xml:space="preserve">, </w:t>
      </w:r>
      <w:proofErr w:type="spellStart"/>
      <w:r>
        <w:rPr>
          <w:lang w:val="pt-PT"/>
        </w:rPr>
        <w:t>gerokai</w:t>
      </w:r>
      <w:proofErr w:type="spellEnd"/>
      <w:r>
        <w:rPr>
          <w:lang w:val="pt-PT"/>
        </w:rPr>
        <w:t xml:space="preserve"> </w:t>
      </w:r>
      <w:proofErr w:type="spellStart"/>
      <w:r>
        <w:rPr>
          <w:lang w:val="pt-PT"/>
        </w:rPr>
        <w:t>nusveriančios</w:t>
      </w:r>
      <w:proofErr w:type="spellEnd"/>
      <w:r>
        <w:rPr>
          <w:lang w:val="pt-PT"/>
        </w:rPr>
        <w:t xml:space="preserve"> </w:t>
      </w:r>
      <w:proofErr w:type="spellStart"/>
      <w:r>
        <w:rPr>
          <w:lang w:val="pt-PT"/>
        </w:rPr>
        <w:t>išankstines</w:t>
      </w:r>
      <w:proofErr w:type="spellEnd"/>
      <w:r>
        <w:rPr>
          <w:lang w:val="pt-PT"/>
        </w:rPr>
        <w:t xml:space="preserve"> </w:t>
      </w:r>
      <w:proofErr w:type="spellStart"/>
      <w:r>
        <w:rPr>
          <w:lang w:val="pt-PT"/>
        </w:rPr>
        <w:t>pirkimo</w:t>
      </w:r>
      <w:proofErr w:type="spellEnd"/>
      <w:r>
        <w:rPr>
          <w:lang w:val="pt-PT"/>
        </w:rPr>
        <w:t xml:space="preserve"> </w:t>
      </w:r>
      <w:proofErr w:type="spellStart"/>
      <w:r>
        <w:rPr>
          <w:lang w:val="pt-PT"/>
        </w:rPr>
        <w:t>išlaidas</w:t>
      </w:r>
      <w:proofErr w:type="spellEnd"/>
      <w:r>
        <w:rPr>
          <w:lang w:val="pt-PT"/>
        </w:rPr>
        <w:t xml:space="preserve">. </w:t>
      </w:r>
      <w:proofErr w:type="spellStart"/>
      <w:r>
        <w:rPr>
          <w:lang w:val="pt-PT"/>
        </w:rPr>
        <w:t>Išsamių</w:t>
      </w:r>
      <w:proofErr w:type="spellEnd"/>
      <w:r>
        <w:rPr>
          <w:lang w:val="pt-PT"/>
        </w:rPr>
        <w:t xml:space="preserve"> </w:t>
      </w:r>
      <w:proofErr w:type="spellStart"/>
      <w:r>
        <w:rPr>
          <w:lang w:val="pt-PT"/>
        </w:rPr>
        <w:t>duomenų</w:t>
      </w:r>
      <w:proofErr w:type="spellEnd"/>
      <w:r>
        <w:rPr>
          <w:lang w:val="pt-PT"/>
        </w:rPr>
        <w:t xml:space="preserve"> visos ES </w:t>
      </w:r>
      <w:proofErr w:type="spellStart"/>
      <w:r>
        <w:rPr>
          <w:lang w:val="pt-PT"/>
        </w:rPr>
        <w:t>mastu</w:t>
      </w:r>
      <w:proofErr w:type="spellEnd"/>
      <w:r>
        <w:rPr>
          <w:lang w:val="pt-PT"/>
        </w:rPr>
        <w:t xml:space="preserve"> </w:t>
      </w:r>
      <w:proofErr w:type="spellStart"/>
      <w:r>
        <w:rPr>
          <w:lang w:val="pt-PT"/>
        </w:rPr>
        <w:t>nėra</w:t>
      </w:r>
      <w:proofErr w:type="spellEnd"/>
      <w:r>
        <w:rPr>
          <w:lang w:val="pt-PT"/>
        </w:rPr>
        <w:t xml:space="preserve">. </w:t>
      </w:r>
      <w:proofErr w:type="spellStart"/>
      <w:r>
        <w:rPr>
          <w:lang w:val="pt-PT"/>
        </w:rPr>
        <w:t>Apskaičiuota</w:t>
      </w:r>
      <w:proofErr w:type="spellEnd"/>
      <w:r>
        <w:rPr>
          <w:lang w:val="pt-PT"/>
        </w:rPr>
        <w:t xml:space="preserve">, </w:t>
      </w:r>
      <w:proofErr w:type="spellStart"/>
      <w:r>
        <w:rPr>
          <w:lang w:val="pt-PT"/>
        </w:rPr>
        <w:t>kad</w:t>
      </w:r>
      <w:proofErr w:type="spellEnd"/>
      <w:r>
        <w:rPr>
          <w:lang w:val="pt-PT"/>
        </w:rPr>
        <w:t xml:space="preserve"> </w:t>
      </w:r>
      <w:proofErr w:type="spellStart"/>
      <w:r>
        <w:rPr>
          <w:lang w:val="pt-PT"/>
        </w:rPr>
        <w:t>Jungtinėje</w:t>
      </w:r>
      <w:proofErr w:type="spellEnd"/>
      <w:r>
        <w:rPr>
          <w:lang w:val="pt-PT"/>
        </w:rPr>
        <w:t xml:space="preserve"> </w:t>
      </w:r>
      <w:proofErr w:type="spellStart"/>
      <w:r>
        <w:rPr>
          <w:lang w:val="pt-PT"/>
        </w:rPr>
        <w:t>Karalystėje</w:t>
      </w:r>
      <w:proofErr w:type="spellEnd"/>
      <w:r>
        <w:rPr>
          <w:lang w:val="pt-PT"/>
        </w:rPr>
        <w:t xml:space="preserve"> </w:t>
      </w:r>
      <w:proofErr w:type="spellStart"/>
      <w:r>
        <w:rPr>
          <w:lang w:val="pt-PT"/>
        </w:rPr>
        <w:t>naudos</w:t>
      </w:r>
      <w:proofErr w:type="spellEnd"/>
      <w:r>
        <w:rPr>
          <w:lang w:val="pt-PT"/>
        </w:rPr>
        <w:t xml:space="preserve"> ir </w:t>
      </w:r>
      <w:proofErr w:type="spellStart"/>
      <w:r>
        <w:rPr>
          <w:lang w:val="pt-PT"/>
        </w:rPr>
        <w:t>išlaidų</w:t>
      </w:r>
      <w:proofErr w:type="spellEnd"/>
      <w:r>
        <w:rPr>
          <w:lang w:val="pt-PT"/>
        </w:rPr>
        <w:t xml:space="preserve"> </w:t>
      </w:r>
      <w:proofErr w:type="spellStart"/>
      <w:r>
        <w:rPr>
          <w:lang w:val="pt-PT"/>
        </w:rPr>
        <w:t>santykis</w:t>
      </w:r>
      <w:proofErr w:type="spellEnd"/>
      <w:r>
        <w:rPr>
          <w:lang w:val="pt-PT"/>
        </w:rPr>
        <w:t xml:space="preserve"> </w:t>
      </w:r>
      <w:proofErr w:type="spellStart"/>
      <w:r>
        <w:rPr>
          <w:lang w:val="pt-PT"/>
        </w:rPr>
        <w:t>yra</w:t>
      </w:r>
      <w:proofErr w:type="spellEnd"/>
      <w:r>
        <w:rPr>
          <w:lang w:val="pt-PT"/>
        </w:rPr>
        <w:t xml:space="preserve"> 3,8.</w:t>
      </w:r>
    </w:p>
  </w:footnote>
  <w:footnote w:id="7">
    <w:p w:rsidR="00221D6A" w:rsidRDefault="00BA3780">
      <w:pPr>
        <w:pStyle w:val="FootnoteText"/>
        <w:rPr>
          <w:lang w:val="pt-PT"/>
        </w:rPr>
      </w:pPr>
      <w:r>
        <w:rPr>
          <w:rStyle w:val="FootnoteReference"/>
        </w:rPr>
        <w:footnoteRef/>
      </w:r>
      <w:r>
        <w:rPr>
          <w:lang w:val="pt-PT"/>
        </w:rPr>
        <w:tab/>
      </w:r>
      <w:proofErr w:type="spellStart"/>
      <w:r>
        <w:rPr>
          <w:lang w:val="pt-PT"/>
        </w:rPr>
        <w:t>Pakeista</w:t>
      </w:r>
      <w:proofErr w:type="spellEnd"/>
      <w:r>
        <w:rPr>
          <w:lang w:val="pt-PT"/>
        </w:rPr>
        <w:t xml:space="preserve"> </w:t>
      </w:r>
      <w:proofErr w:type="spellStart"/>
      <w:r>
        <w:rPr>
          <w:lang w:val="pt-PT"/>
        </w:rPr>
        <w:t>etiketė</w:t>
      </w:r>
      <w:proofErr w:type="spellEnd"/>
      <w:r>
        <w:rPr>
          <w:lang w:val="pt-PT"/>
        </w:rPr>
        <w:t xml:space="preserve">, </w:t>
      </w:r>
      <w:proofErr w:type="spellStart"/>
      <w:r>
        <w:rPr>
          <w:lang w:val="pt-PT"/>
        </w:rPr>
        <w:t>kurioje</w:t>
      </w:r>
      <w:proofErr w:type="spellEnd"/>
      <w:r>
        <w:rPr>
          <w:lang w:val="pt-PT"/>
        </w:rPr>
        <w:t xml:space="preserve"> </w:t>
      </w:r>
      <w:proofErr w:type="spellStart"/>
      <w:r>
        <w:rPr>
          <w:lang w:val="pt-PT"/>
        </w:rPr>
        <w:t>aukštesnės</w:t>
      </w:r>
      <w:proofErr w:type="spellEnd"/>
      <w:r>
        <w:rPr>
          <w:lang w:val="pt-PT"/>
        </w:rPr>
        <w:t xml:space="preserve"> </w:t>
      </w:r>
      <w:proofErr w:type="spellStart"/>
      <w:r>
        <w:rPr>
          <w:lang w:val="pt-PT"/>
        </w:rPr>
        <w:t>nei</w:t>
      </w:r>
      <w:proofErr w:type="spellEnd"/>
      <w:r>
        <w:rPr>
          <w:lang w:val="pt-PT"/>
        </w:rPr>
        <w:t xml:space="preserve"> A </w:t>
      </w:r>
      <w:proofErr w:type="spellStart"/>
      <w:r>
        <w:rPr>
          <w:lang w:val="pt-PT"/>
        </w:rPr>
        <w:t>efektyvumo</w:t>
      </w:r>
      <w:proofErr w:type="spellEnd"/>
      <w:r>
        <w:rPr>
          <w:lang w:val="pt-PT"/>
        </w:rPr>
        <w:t xml:space="preserve"> </w:t>
      </w:r>
      <w:proofErr w:type="spellStart"/>
      <w:r>
        <w:rPr>
          <w:lang w:val="pt-PT"/>
        </w:rPr>
        <w:t>klasės</w:t>
      </w:r>
      <w:proofErr w:type="spellEnd"/>
      <w:r>
        <w:rPr>
          <w:lang w:val="pt-PT"/>
        </w:rPr>
        <w:t xml:space="preserve"> </w:t>
      </w:r>
      <w:proofErr w:type="spellStart"/>
      <w:r>
        <w:rPr>
          <w:lang w:val="pt-PT"/>
        </w:rPr>
        <w:t>žymimos</w:t>
      </w:r>
      <w:proofErr w:type="spellEnd"/>
      <w:r>
        <w:rPr>
          <w:lang w:val="pt-PT"/>
        </w:rPr>
        <w:t xml:space="preserve"> </w:t>
      </w:r>
      <w:proofErr w:type="spellStart"/>
      <w:r>
        <w:rPr>
          <w:lang w:val="pt-PT"/>
        </w:rPr>
        <w:t>papildomais</w:t>
      </w:r>
      <w:proofErr w:type="spellEnd"/>
      <w:r>
        <w:rPr>
          <w:lang w:val="pt-PT"/>
        </w:rPr>
        <w:t xml:space="preserve"> </w:t>
      </w:r>
      <w:proofErr w:type="spellStart"/>
      <w:r>
        <w:rPr>
          <w:lang w:val="pt-PT"/>
        </w:rPr>
        <w:t>pliusais</w:t>
      </w:r>
      <w:proofErr w:type="spellEnd"/>
      <w:r>
        <w:rPr>
          <w:lang w:val="pt-PT"/>
        </w:rPr>
        <w:t xml:space="preserve">, </w:t>
      </w:r>
      <w:proofErr w:type="spellStart"/>
      <w:r>
        <w:rPr>
          <w:lang w:val="pt-PT"/>
        </w:rPr>
        <w:t>yra</w:t>
      </w:r>
      <w:proofErr w:type="spellEnd"/>
      <w:r>
        <w:rPr>
          <w:lang w:val="pt-PT"/>
        </w:rPr>
        <w:t xml:space="preserve"> </w:t>
      </w:r>
      <w:proofErr w:type="spellStart"/>
      <w:r>
        <w:rPr>
          <w:lang w:val="pt-PT"/>
        </w:rPr>
        <w:t>mažiau</w:t>
      </w:r>
      <w:proofErr w:type="spellEnd"/>
      <w:r>
        <w:rPr>
          <w:lang w:val="pt-PT"/>
        </w:rPr>
        <w:t xml:space="preserve"> </w:t>
      </w:r>
      <w:proofErr w:type="spellStart"/>
      <w:r>
        <w:rPr>
          <w:lang w:val="pt-PT"/>
        </w:rPr>
        <w:t>veiksminga</w:t>
      </w:r>
      <w:proofErr w:type="spellEnd"/>
      <w:r>
        <w:rPr>
          <w:lang w:val="pt-PT"/>
        </w:rPr>
        <w:t xml:space="preserve"> </w:t>
      </w:r>
      <w:proofErr w:type="spellStart"/>
      <w:r>
        <w:rPr>
          <w:lang w:val="pt-PT"/>
        </w:rPr>
        <w:t>skatinant</w:t>
      </w:r>
      <w:proofErr w:type="spellEnd"/>
      <w:r>
        <w:rPr>
          <w:lang w:val="pt-PT"/>
        </w:rPr>
        <w:t xml:space="preserve"> </w:t>
      </w:r>
      <w:proofErr w:type="spellStart"/>
      <w:r>
        <w:rPr>
          <w:lang w:val="pt-PT"/>
        </w:rPr>
        <w:t>pirkti</w:t>
      </w:r>
      <w:proofErr w:type="spellEnd"/>
      <w:r>
        <w:rPr>
          <w:lang w:val="pt-PT"/>
        </w:rPr>
        <w:t xml:space="preserve"> </w:t>
      </w:r>
      <w:proofErr w:type="spellStart"/>
      <w:r>
        <w:rPr>
          <w:lang w:val="pt-PT"/>
        </w:rPr>
        <w:t>didesnio</w:t>
      </w:r>
      <w:proofErr w:type="spellEnd"/>
      <w:r>
        <w:rPr>
          <w:lang w:val="pt-PT"/>
        </w:rPr>
        <w:t xml:space="preserve"> </w:t>
      </w:r>
      <w:proofErr w:type="spellStart"/>
      <w:r>
        <w:rPr>
          <w:lang w:val="pt-PT"/>
        </w:rPr>
        <w:t>efektyvumo</w:t>
      </w:r>
      <w:proofErr w:type="spellEnd"/>
      <w:r>
        <w:rPr>
          <w:lang w:val="pt-PT"/>
        </w:rPr>
        <w:t xml:space="preserve"> </w:t>
      </w:r>
      <w:proofErr w:type="spellStart"/>
      <w:r>
        <w:rPr>
          <w:lang w:val="pt-PT"/>
        </w:rPr>
        <w:t>gaminius</w:t>
      </w:r>
      <w:proofErr w:type="spellEnd"/>
      <w:r>
        <w:rPr>
          <w:lang w:val="pt-PT"/>
        </w:rPr>
        <w:t xml:space="preserve"> </w:t>
      </w:r>
      <w:proofErr w:type="spellStart"/>
      <w:r>
        <w:rPr>
          <w:lang w:val="pt-PT"/>
        </w:rPr>
        <w:t>nei</w:t>
      </w:r>
      <w:proofErr w:type="spellEnd"/>
      <w:r>
        <w:rPr>
          <w:lang w:val="pt-PT"/>
        </w:rPr>
        <w:t xml:space="preserve"> </w:t>
      </w:r>
      <w:proofErr w:type="spellStart"/>
      <w:r>
        <w:rPr>
          <w:lang w:val="pt-PT"/>
        </w:rPr>
        <w:t>pradinė</w:t>
      </w:r>
      <w:proofErr w:type="spellEnd"/>
      <w:r>
        <w:rPr>
          <w:lang w:val="pt-PT"/>
        </w:rPr>
        <w:t xml:space="preserve"> </w:t>
      </w:r>
      <w:proofErr w:type="gramStart"/>
      <w:r>
        <w:rPr>
          <w:lang w:val="pt-PT"/>
        </w:rPr>
        <w:t>A–G</w:t>
      </w:r>
      <w:proofErr w:type="gramEnd"/>
      <w:r>
        <w:rPr>
          <w:lang w:val="pt-PT"/>
        </w:rPr>
        <w:t xml:space="preserve"> </w:t>
      </w:r>
      <w:proofErr w:type="spellStart"/>
      <w:r>
        <w:rPr>
          <w:lang w:val="pt-PT"/>
        </w:rPr>
        <w:t>skalės</w:t>
      </w:r>
      <w:proofErr w:type="spellEnd"/>
      <w:r>
        <w:rPr>
          <w:lang w:val="pt-PT"/>
        </w:rPr>
        <w:t xml:space="preserve"> </w:t>
      </w:r>
      <w:proofErr w:type="spellStart"/>
      <w:r>
        <w:rPr>
          <w:lang w:val="pt-PT"/>
        </w:rPr>
        <w:t>etiketė</w:t>
      </w:r>
      <w:proofErr w:type="spellEnd"/>
      <w:r>
        <w:rPr>
          <w:lang w:val="pt-PT"/>
        </w:rPr>
        <w:t xml:space="preserve">. </w:t>
      </w:r>
      <w:proofErr w:type="spellStart"/>
      <w:r>
        <w:rPr>
          <w:lang w:val="pt-PT"/>
        </w:rPr>
        <w:t>Nors</w:t>
      </w:r>
      <w:proofErr w:type="spellEnd"/>
      <w:r>
        <w:rPr>
          <w:lang w:val="pt-PT"/>
        </w:rPr>
        <w:t xml:space="preserve"> </w:t>
      </w:r>
      <w:proofErr w:type="spellStart"/>
      <w:r>
        <w:rPr>
          <w:lang w:val="pt-PT"/>
        </w:rPr>
        <w:t>vartotojų</w:t>
      </w:r>
      <w:proofErr w:type="spellEnd"/>
      <w:r>
        <w:rPr>
          <w:lang w:val="pt-PT"/>
        </w:rPr>
        <w:t xml:space="preserve"> </w:t>
      </w:r>
      <w:proofErr w:type="spellStart"/>
      <w:r>
        <w:rPr>
          <w:lang w:val="pt-PT"/>
        </w:rPr>
        <w:t>tyrimai</w:t>
      </w:r>
      <w:proofErr w:type="spellEnd"/>
      <w:r>
        <w:rPr>
          <w:lang w:val="pt-PT"/>
        </w:rPr>
        <w:t xml:space="preserve"> </w:t>
      </w:r>
      <w:proofErr w:type="gramStart"/>
      <w:r>
        <w:rPr>
          <w:lang w:val="pt-PT"/>
        </w:rPr>
        <w:t>rodo</w:t>
      </w:r>
      <w:proofErr w:type="gramEnd"/>
      <w:r>
        <w:rPr>
          <w:lang w:val="pt-PT"/>
        </w:rPr>
        <w:t xml:space="preserve">, </w:t>
      </w:r>
      <w:proofErr w:type="spellStart"/>
      <w:r>
        <w:rPr>
          <w:lang w:val="pt-PT"/>
        </w:rPr>
        <w:t>kad</w:t>
      </w:r>
      <w:proofErr w:type="spellEnd"/>
      <w:r>
        <w:rPr>
          <w:lang w:val="pt-PT"/>
        </w:rPr>
        <w:t xml:space="preserve"> </w:t>
      </w:r>
      <w:proofErr w:type="spellStart"/>
      <w:r>
        <w:rPr>
          <w:lang w:val="pt-PT"/>
        </w:rPr>
        <w:t>naujos</w:t>
      </w:r>
      <w:proofErr w:type="spellEnd"/>
      <w:r>
        <w:rPr>
          <w:lang w:val="pt-PT"/>
        </w:rPr>
        <w:t xml:space="preserve"> </w:t>
      </w:r>
      <w:proofErr w:type="spellStart"/>
      <w:r>
        <w:rPr>
          <w:lang w:val="pt-PT"/>
        </w:rPr>
        <w:t>etiketės</w:t>
      </w:r>
      <w:proofErr w:type="spellEnd"/>
      <w:r>
        <w:rPr>
          <w:lang w:val="pt-PT"/>
        </w:rPr>
        <w:t xml:space="preserve"> </w:t>
      </w:r>
      <w:proofErr w:type="spellStart"/>
      <w:r>
        <w:rPr>
          <w:lang w:val="pt-PT"/>
        </w:rPr>
        <w:t>skalė</w:t>
      </w:r>
      <w:proofErr w:type="spellEnd"/>
      <w:r>
        <w:rPr>
          <w:lang w:val="pt-PT"/>
        </w:rPr>
        <w:t xml:space="preserve"> </w:t>
      </w:r>
      <w:proofErr w:type="spellStart"/>
      <w:r>
        <w:rPr>
          <w:lang w:val="pt-PT"/>
        </w:rPr>
        <w:t>vartotojams</w:t>
      </w:r>
      <w:proofErr w:type="spellEnd"/>
      <w:r>
        <w:rPr>
          <w:lang w:val="pt-PT"/>
        </w:rPr>
        <w:t xml:space="preserve"> </w:t>
      </w:r>
      <w:proofErr w:type="spellStart"/>
      <w:r>
        <w:rPr>
          <w:lang w:val="pt-PT"/>
        </w:rPr>
        <w:t>suprantama</w:t>
      </w:r>
      <w:proofErr w:type="spellEnd"/>
      <w:r>
        <w:rPr>
          <w:lang w:val="pt-PT"/>
        </w:rPr>
        <w:t xml:space="preserve">, ji </w:t>
      </w:r>
      <w:proofErr w:type="spellStart"/>
      <w:r>
        <w:rPr>
          <w:lang w:val="pt-PT"/>
        </w:rPr>
        <w:t>sumažino</w:t>
      </w:r>
      <w:proofErr w:type="spellEnd"/>
      <w:r>
        <w:rPr>
          <w:lang w:val="pt-PT"/>
        </w:rPr>
        <w:t xml:space="preserve"> </w:t>
      </w:r>
      <w:proofErr w:type="spellStart"/>
      <w:r>
        <w:rPr>
          <w:lang w:val="pt-PT"/>
        </w:rPr>
        <w:t>jų</w:t>
      </w:r>
      <w:proofErr w:type="spellEnd"/>
      <w:r>
        <w:rPr>
          <w:lang w:val="pt-PT"/>
        </w:rPr>
        <w:t xml:space="preserve"> </w:t>
      </w:r>
      <w:proofErr w:type="spellStart"/>
      <w:r>
        <w:rPr>
          <w:lang w:val="pt-PT"/>
        </w:rPr>
        <w:t>norą</w:t>
      </w:r>
      <w:proofErr w:type="spellEnd"/>
      <w:r>
        <w:rPr>
          <w:lang w:val="pt-PT"/>
        </w:rPr>
        <w:t xml:space="preserve"> </w:t>
      </w:r>
      <w:proofErr w:type="spellStart"/>
      <w:r>
        <w:rPr>
          <w:lang w:val="pt-PT"/>
        </w:rPr>
        <w:t>mo</w:t>
      </w:r>
      <w:r>
        <w:rPr>
          <w:lang w:val="pt-PT"/>
        </w:rPr>
        <w:t>kėti</w:t>
      </w:r>
      <w:proofErr w:type="spellEnd"/>
      <w:r>
        <w:rPr>
          <w:lang w:val="pt-PT"/>
        </w:rPr>
        <w:t xml:space="preserve"> </w:t>
      </w:r>
      <w:proofErr w:type="spellStart"/>
      <w:r>
        <w:rPr>
          <w:lang w:val="pt-PT"/>
        </w:rPr>
        <w:t>daugiau</w:t>
      </w:r>
      <w:proofErr w:type="spellEnd"/>
      <w:r>
        <w:rPr>
          <w:lang w:val="pt-PT"/>
        </w:rPr>
        <w:t xml:space="preserve"> </w:t>
      </w:r>
      <w:proofErr w:type="spellStart"/>
      <w:r>
        <w:rPr>
          <w:lang w:val="pt-PT"/>
        </w:rPr>
        <w:t>už</w:t>
      </w:r>
      <w:proofErr w:type="spellEnd"/>
      <w:r>
        <w:rPr>
          <w:lang w:val="pt-PT"/>
        </w:rPr>
        <w:t xml:space="preserve"> </w:t>
      </w:r>
      <w:proofErr w:type="spellStart"/>
      <w:r>
        <w:rPr>
          <w:lang w:val="pt-PT"/>
        </w:rPr>
        <w:t>energiją</w:t>
      </w:r>
      <w:proofErr w:type="spellEnd"/>
      <w:r>
        <w:rPr>
          <w:lang w:val="pt-PT"/>
        </w:rPr>
        <w:t xml:space="preserve"> </w:t>
      </w:r>
      <w:proofErr w:type="spellStart"/>
      <w:r>
        <w:rPr>
          <w:lang w:val="pt-PT"/>
        </w:rPr>
        <w:t>efektyviau</w:t>
      </w:r>
      <w:proofErr w:type="spellEnd"/>
      <w:r>
        <w:rPr>
          <w:lang w:val="pt-PT"/>
        </w:rPr>
        <w:t xml:space="preserve"> </w:t>
      </w:r>
      <w:proofErr w:type="spellStart"/>
      <w:r>
        <w:rPr>
          <w:lang w:val="pt-PT"/>
        </w:rPr>
        <w:t>vartojančius</w:t>
      </w:r>
      <w:proofErr w:type="spellEnd"/>
      <w:r>
        <w:rPr>
          <w:lang w:val="pt-PT"/>
        </w:rPr>
        <w:t xml:space="preserve"> </w:t>
      </w:r>
      <w:proofErr w:type="spellStart"/>
      <w:r>
        <w:rPr>
          <w:lang w:val="pt-PT"/>
        </w:rPr>
        <w:t>gaminius</w:t>
      </w:r>
      <w:proofErr w:type="spellEnd"/>
      <w:r>
        <w:rPr>
          <w:lang w:val="pt-PT"/>
        </w:rPr>
        <w:t xml:space="preserve">, </w:t>
      </w:r>
      <w:proofErr w:type="spellStart"/>
      <w:r>
        <w:rPr>
          <w:lang w:val="pt-PT"/>
        </w:rPr>
        <w:t>nes</w:t>
      </w:r>
      <w:proofErr w:type="spellEnd"/>
      <w:r>
        <w:rPr>
          <w:lang w:val="pt-PT"/>
        </w:rPr>
        <w:t xml:space="preserve"> </w:t>
      </w:r>
      <w:proofErr w:type="spellStart"/>
      <w:r>
        <w:rPr>
          <w:lang w:val="pt-PT"/>
        </w:rPr>
        <w:t>jiems</w:t>
      </w:r>
      <w:proofErr w:type="spellEnd"/>
      <w:r>
        <w:rPr>
          <w:lang w:val="pt-PT"/>
        </w:rPr>
        <w:t xml:space="preserve"> </w:t>
      </w:r>
      <w:proofErr w:type="spellStart"/>
      <w:r>
        <w:rPr>
          <w:lang w:val="pt-PT"/>
        </w:rPr>
        <w:t>atrodo</w:t>
      </w:r>
      <w:proofErr w:type="spellEnd"/>
      <w:r>
        <w:rPr>
          <w:lang w:val="pt-PT"/>
        </w:rPr>
        <w:t xml:space="preserve">, </w:t>
      </w:r>
      <w:proofErr w:type="spellStart"/>
      <w:r>
        <w:rPr>
          <w:lang w:val="pt-PT"/>
        </w:rPr>
        <w:t>kad</w:t>
      </w:r>
      <w:proofErr w:type="spellEnd"/>
      <w:r>
        <w:rPr>
          <w:lang w:val="pt-PT"/>
        </w:rPr>
        <w:t xml:space="preserve"> A+ ir A+++ </w:t>
      </w:r>
      <w:proofErr w:type="spellStart"/>
      <w:r>
        <w:rPr>
          <w:lang w:val="pt-PT"/>
        </w:rPr>
        <w:t>klasės</w:t>
      </w:r>
      <w:proofErr w:type="spellEnd"/>
      <w:r>
        <w:rPr>
          <w:lang w:val="pt-PT"/>
        </w:rPr>
        <w:t xml:space="preserve"> </w:t>
      </w:r>
      <w:proofErr w:type="spellStart"/>
      <w:r>
        <w:rPr>
          <w:lang w:val="pt-PT"/>
        </w:rPr>
        <w:t>skiriasi</w:t>
      </w:r>
      <w:proofErr w:type="spellEnd"/>
      <w:r>
        <w:rPr>
          <w:lang w:val="pt-PT"/>
        </w:rPr>
        <w:t xml:space="preserve"> </w:t>
      </w:r>
      <w:proofErr w:type="spellStart"/>
      <w:r>
        <w:rPr>
          <w:lang w:val="pt-PT"/>
        </w:rPr>
        <w:t>mažiau</w:t>
      </w:r>
      <w:proofErr w:type="spellEnd"/>
      <w:r>
        <w:rPr>
          <w:lang w:val="pt-PT"/>
        </w:rPr>
        <w:t xml:space="preserve">, </w:t>
      </w:r>
      <w:proofErr w:type="spellStart"/>
      <w:r>
        <w:rPr>
          <w:lang w:val="pt-PT"/>
        </w:rPr>
        <w:t>nei</w:t>
      </w:r>
      <w:proofErr w:type="spellEnd"/>
      <w:r>
        <w:rPr>
          <w:lang w:val="pt-PT"/>
        </w:rPr>
        <w:t xml:space="preserve"> A ir C. </w:t>
      </w:r>
      <w:proofErr w:type="spellStart"/>
      <w:r>
        <w:rPr>
          <w:lang w:val="pt-PT"/>
        </w:rPr>
        <w:t>Išsamiau</w:t>
      </w:r>
      <w:proofErr w:type="spellEnd"/>
      <w:r>
        <w:rPr>
          <w:lang w:val="pt-PT"/>
        </w:rPr>
        <w:t xml:space="preserve"> </w:t>
      </w:r>
      <w:proofErr w:type="spellStart"/>
      <w:r>
        <w:rPr>
          <w:lang w:val="pt-PT"/>
        </w:rPr>
        <w:t>žr</w:t>
      </w:r>
      <w:proofErr w:type="spellEnd"/>
      <w:r>
        <w:rPr>
          <w:lang w:val="pt-PT"/>
        </w:rPr>
        <w:t>. „</w:t>
      </w:r>
      <w:proofErr w:type="spellStart"/>
      <w:r>
        <w:rPr>
          <w:lang w:val="pt-PT"/>
        </w:rPr>
        <w:t>Energijos</w:t>
      </w:r>
      <w:proofErr w:type="spellEnd"/>
      <w:r>
        <w:rPr>
          <w:lang w:val="pt-PT"/>
        </w:rPr>
        <w:t xml:space="preserve"> </w:t>
      </w:r>
      <w:proofErr w:type="spellStart"/>
      <w:r>
        <w:rPr>
          <w:lang w:val="pt-PT"/>
        </w:rPr>
        <w:t>vartojimo</w:t>
      </w:r>
      <w:proofErr w:type="spellEnd"/>
      <w:r>
        <w:rPr>
          <w:lang w:val="pt-PT"/>
        </w:rPr>
        <w:t xml:space="preserve"> </w:t>
      </w:r>
      <w:proofErr w:type="spellStart"/>
      <w:r>
        <w:rPr>
          <w:lang w:val="pt-PT"/>
        </w:rPr>
        <w:t>efektyvumo</w:t>
      </w:r>
      <w:proofErr w:type="spellEnd"/>
      <w:r>
        <w:rPr>
          <w:lang w:val="pt-PT"/>
        </w:rPr>
        <w:t xml:space="preserve"> </w:t>
      </w:r>
      <w:proofErr w:type="spellStart"/>
      <w:r>
        <w:rPr>
          <w:lang w:val="pt-PT"/>
        </w:rPr>
        <w:t>etiketės</w:t>
      </w:r>
      <w:proofErr w:type="spellEnd"/>
      <w:r>
        <w:rPr>
          <w:lang w:val="pt-PT"/>
        </w:rPr>
        <w:t xml:space="preserve"> </w:t>
      </w:r>
      <w:proofErr w:type="spellStart"/>
      <w:r>
        <w:rPr>
          <w:lang w:val="pt-PT"/>
        </w:rPr>
        <w:t>suprantamumo</w:t>
      </w:r>
      <w:proofErr w:type="spellEnd"/>
      <w:r>
        <w:rPr>
          <w:lang w:val="pt-PT"/>
        </w:rPr>
        <w:t xml:space="preserve"> </w:t>
      </w:r>
      <w:proofErr w:type="spellStart"/>
      <w:r>
        <w:rPr>
          <w:lang w:val="pt-PT"/>
        </w:rPr>
        <w:t>vartotojams</w:t>
      </w:r>
      <w:proofErr w:type="spellEnd"/>
      <w:r>
        <w:rPr>
          <w:lang w:val="pt-PT"/>
        </w:rPr>
        <w:t xml:space="preserve"> bei </w:t>
      </w:r>
      <w:proofErr w:type="spellStart"/>
      <w:r>
        <w:rPr>
          <w:lang w:val="pt-PT"/>
        </w:rPr>
        <w:t>įtakos</w:t>
      </w:r>
      <w:proofErr w:type="spellEnd"/>
      <w:r>
        <w:rPr>
          <w:lang w:val="pt-PT"/>
        </w:rPr>
        <w:t xml:space="preserve"> </w:t>
      </w:r>
      <w:proofErr w:type="spellStart"/>
      <w:r>
        <w:rPr>
          <w:lang w:val="pt-PT"/>
        </w:rPr>
        <w:t>pirkimo</w:t>
      </w:r>
      <w:proofErr w:type="spellEnd"/>
      <w:r>
        <w:rPr>
          <w:lang w:val="pt-PT"/>
        </w:rPr>
        <w:t xml:space="preserve"> </w:t>
      </w:r>
      <w:proofErr w:type="spellStart"/>
      <w:r>
        <w:rPr>
          <w:lang w:val="pt-PT"/>
        </w:rPr>
        <w:t>sprendimams</w:t>
      </w:r>
      <w:proofErr w:type="spellEnd"/>
      <w:r>
        <w:rPr>
          <w:lang w:val="pt-PT"/>
        </w:rPr>
        <w:t xml:space="preserve"> ir </w:t>
      </w:r>
      <w:proofErr w:type="spellStart"/>
      <w:r>
        <w:rPr>
          <w:lang w:val="pt-PT"/>
        </w:rPr>
        <w:t>etiketės</w:t>
      </w:r>
      <w:proofErr w:type="spellEnd"/>
      <w:r>
        <w:rPr>
          <w:lang w:val="pt-PT"/>
        </w:rPr>
        <w:t xml:space="preserve"> </w:t>
      </w:r>
      <w:proofErr w:type="spellStart"/>
      <w:r>
        <w:rPr>
          <w:lang w:val="pt-PT"/>
        </w:rPr>
        <w:t>keitim</w:t>
      </w:r>
      <w:r>
        <w:rPr>
          <w:lang w:val="pt-PT"/>
        </w:rPr>
        <w:t>o</w:t>
      </w:r>
      <w:proofErr w:type="spellEnd"/>
      <w:r>
        <w:rPr>
          <w:lang w:val="pt-PT"/>
        </w:rPr>
        <w:t xml:space="preserve"> </w:t>
      </w:r>
      <w:proofErr w:type="spellStart"/>
      <w:r>
        <w:rPr>
          <w:lang w:val="pt-PT"/>
        </w:rPr>
        <w:t>galimybių</w:t>
      </w:r>
      <w:proofErr w:type="spellEnd"/>
      <w:r>
        <w:rPr>
          <w:lang w:val="pt-PT"/>
        </w:rPr>
        <w:t xml:space="preserve"> </w:t>
      </w:r>
      <w:proofErr w:type="spellStart"/>
      <w:r>
        <w:rPr>
          <w:lang w:val="pt-PT"/>
        </w:rPr>
        <w:t>tyrimas</w:t>
      </w:r>
      <w:proofErr w:type="spellEnd"/>
      <w:r>
        <w:rPr>
          <w:lang w:val="pt-PT"/>
        </w:rPr>
        <w:t>“ (</w:t>
      </w:r>
      <w:r>
        <w:rPr>
          <w:i/>
          <w:lang w:val="pt-PT"/>
        </w:rPr>
        <w:t xml:space="preserve">A </w:t>
      </w:r>
      <w:proofErr w:type="spellStart"/>
      <w:r>
        <w:rPr>
          <w:i/>
          <w:lang w:val="pt-PT"/>
        </w:rPr>
        <w:t>study</w:t>
      </w:r>
      <w:proofErr w:type="spellEnd"/>
      <w:r>
        <w:rPr>
          <w:i/>
          <w:lang w:val="pt-PT"/>
        </w:rPr>
        <w:t xml:space="preserve"> </w:t>
      </w:r>
      <w:proofErr w:type="spellStart"/>
      <w:r>
        <w:rPr>
          <w:i/>
          <w:lang w:val="pt-PT"/>
        </w:rPr>
        <w:t>on</w:t>
      </w:r>
      <w:proofErr w:type="spellEnd"/>
      <w:r>
        <w:rPr>
          <w:i/>
          <w:lang w:val="pt-PT"/>
        </w:rPr>
        <w:t xml:space="preserve"> </w:t>
      </w:r>
      <w:proofErr w:type="spellStart"/>
      <w:r>
        <w:rPr>
          <w:i/>
          <w:lang w:val="pt-PT"/>
        </w:rPr>
        <w:t>the</w:t>
      </w:r>
      <w:proofErr w:type="spellEnd"/>
      <w:r>
        <w:rPr>
          <w:i/>
          <w:lang w:val="pt-PT"/>
        </w:rPr>
        <w:t xml:space="preserve"> </w:t>
      </w:r>
      <w:proofErr w:type="spellStart"/>
      <w:r>
        <w:rPr>
          <w:i/>
          <w:lang w:val="pt-PT"/>
        </w:rPr>
        <w:t>impact</w:t>
      </w:r>
      <w:proofErr w:type="spellEnd"/>
      <w:r>
        <w:rPr>
          <w:i/>
          <w:lang w:val="pt-PT"/>
        </w:rPr>
        <w:t xml:space="preserve"> </w:t>
      </w:r>
      <w:proofErr w:type="spellStart"/>
      <w:r>
        <w:rPr>
          <w:i/>
          <w:lang w:val="pt-PT"/>
        </w:rPr>
        <w:t>of</w:t>
      </w:r>
      <w:proofErr w:type="spellEnd"/>
      <w:r>
        <w:rPr>
          <w:i/>
          <w:lang w:val="pt-PT"/>
        </w:rPr>
        <w:t xml:space="preserve"> </w:t>
      </w:r>
      <w:proofErr w:type="spellStart"/>
      <w:r>
        <w:rPr>
          <w:i/>
          <w:lang w:val="pt-PT"/>
        </w:rPr>
        <w:t>the</w:t>
      </w:r>
      <w:proofErr w:type="spellEnd"/>
      <w:r>
        <w:rPr>
          <w:i/>
          <w:lang w:val="pt-PT"/>
        </w:rPr>
        <w:t xml:space="preserve"> </w:t>
      </w:r>
      <w:proofErr w:type="spellStart"/>
      <w:r>
        <w:rPr>
          <w:i/>
          <w:lang w:val="pt-PT"/>
        </w:rPr>
        <w:t>energy</w:t>
      </w:r>
      <w:proofErr w:type="spellEnd"/>
      <w:r>
        <w:rPr>
          <w:i/>
          <w:lang w:val="pt-PT"/>
        </w:rPr>
        <w:t xml:space="preserve"> </w:t>
      </w:r>
      <w:proofErr w:type="spellStart"/>
      <w:r>
        <w:rPr>
          <w:i/>
          <w:lang w:val="pt-PT"/>
        </w:rPr>
        <w:t>label</w:t>
      </w:r>
      <w:proofErr w:type="spellEnd"/>
      <w:r>
        <w:rPr>
          <w:i/>
          <w:lang w:val="pt-PT"/>
        </w:rPr>
        <w:t xml:space="preserve"> – </w:t>
      </w:r>
      <w:proofErr w:type="spellStart"/>
      <w:r>
        <w:rPr>
          <w:i/>
          <w:lang w:val="pt-PT"/>
        </w:rPr>
        <w:t>and</w:t>
      </w:r>
      <w:proofErr w:type="spellEnd"/>
      <w:r>
        <w:rPr>
          <w:i/>
          <w:lang w:val="pt-PT"/>
        </w:rPr>
        <w:t xml:space="preserve"> </w:t>
      </w:r>
      <w:proofErr w:type="spellStart"/>
      <w:r>
        <w:rPr>
          <w:i/>
          <w:lang w:val="pt-PT"/>
        </w:rPr>
        <w:t>of</w:t>
      </w:r>
      <w:proofErr w:type="spellEnd"/>
      <w:r>
        <w:rPr>
          <w:i/>
          <w:lang w:val="pt-PT"/>
        </w:rPr>
        <w:t xml:space="preserve"> </w:t>
      </w:r>
      <w:proofErr w:type="spellStart"/>
      <w:r>
        <w:rPr>
          <w:i/>
          <w:lang w:val="pt-PT"/>
        </w:rPr>
        <w:t>potential</w:t>
      </w:r>
      <w:proofErr w:type="spellEnd"/>
      <w:r>
        <w:rPr>
          <w:i/>
          <w:lang w:val="pt-PT"/>
        </w:rPr>
        <w:t xml:space="preserve"> </w:t>
      </w:r>
      <w:proofErr w:type="spellStart"/>
      <w:r>
        <w:rPr>
          <w:i/>
          <w:lang w:val="pt-PT"/>
        </w:rPr>
        <w:t>changes</w:t>
      </w:r>
      <w:proofErr w:type="spellEnd"/>
      <w:r>
        <w:rPr>
          <w:i/>
          <w:lang w:val="pt-PT"/>
        </w:rPr>
        <w:t xml:space="preserve"> to </w:t>
      </w:r>
      <w:proofErr w:type="spellStart"/>
      <w:r>
        <w:rPr>
          <w:i/>
          <w:lang w:val="pt-PT"/>
        </w:rPr>
        <w:t>it</w:t>
      </w:r>
      <w:proofErr w:type="spellEnd"/>
      <w:r>
        <w:rPr>
          <w:i/>
          <w:lang w:val="pt-PT"/>
        </w:rPr>
        <w:t xml:space="preserve"> – </w:t>
      </w:r>
      <w:proofErr w:type="spellStart"/>
      <w:r>
        <w:rPr>
          <w:i/>
          <w:lang w:val="pt-PT"/>
        </w:rPr>
        <w:t>on</w:t>
      </w:r>
      <w:proofErr w:type="spellEnd"/>
      <w:r>
        <w:rPr>
          <w:i/>
          <w:lang w:val="pt-PT"/>
        </w:rPr>
        <w:t xml:space="preserve"> </w:t>
      </w:r>
      <w:proofErr w:type="spellStart"/>
      <w:r>
        <w:rPr>
          <w:i/>
          <w:lang w:val="pt-PT"/>
        </w:rPr>
        <w:t>consumer</w:t>
      </w:r>
      <w:proofErr w:type="spellEnd"/>
      <w:r>
        <w:rPr>
          <w:i/>
          <w:lang w:val="pt-PT"/>
        </w:rPr>
        <w:t xml:space="preserve"> </w:t>
      </w:r>
      <w:proofErr w:type="spellStart"/>
      <w:r>
        <w:rPr>
          <w:i/>
          <w:lang w:val="pt-PT"/>
        </w:rPr>
        <w:t>understanding</w:t>
      </w:r>
      <w:proofErr w:type="spellEnd"/>
      <w:r>
        <w:rPr>
          <w:i/>
          <w:lang w:val="pt-PT"/>
        </w:rPr>
        <w:t xml:space="preserve"> </w:t>
      </w:r>
      <w:proofErr w:type="spellStart"/>
      <w:r>
        <w:rPr>
          <w:i/>
          <w:lang w:val="pt-PT"/>
        </w:rPr>
        <w:t>and</w:t>
      </w:r>
      <w:proofErr w:type="spellEnd"/>
      <w:r>
        <w:rPr>
          <w:i/>
          <w:lang w:val="pt-PT"/>
        </w:rPr>
        <w:t xml:space="preserve"> </w:t>
      </w:r>
      <w:proofErr w:type="spellStart"/>
      <w:r>
        <w:rPr>
          <w:i/>
          <w:lang w:val="pt-PT"/>
        </w:rPr>
        <w:t>on</w:t>
      </w:r>
      <w:proofErr w:type="spellEnd"/>
      <w:r>
        <w:rPr>
          <w:i/>
          <w:lang w:val="pt-PT"/>
        </w:rPr>
        <w:t xml:space="preserve"> </w:t>
      </w:r>
      <w:proofErr w:type="spellStart"/>
      <w:r>
        <w:rPr>
          <w:i/>
          <w:lang w:val="pt-PT"/>
        </w:rPr>
        <w:t>purchase</w:t>
      </w:r>
      <w:proofErr w:type="spellEnd"/>
      <w:r>
        <w:rPr>
          <w:i/>
          <w:lang w:val="pt-PT"/>
        </w:rPr>
        <w:t xml:space="preserve"> </w:t>
      </w:r>
      <w:proofErr w:type="spellStart"/>
      <w:r>
        <w:rPr>
          <w:i/>
          <w:lang w:val="pt-PT"/>
        </w:rPr>
        <w:t>decisions</w:t>
      </w:r>
      <w:proofErr w:type="spellEnd"/>
      <w:r>
        <w:rPr>
          <w:lang w:val="pt-PT"/>
        </w:rPr>
        <w:t xml:space="preserve">), </w:t>
      </w:r>
      <w:r>
        <w:rPr>
          <w:i/>
          <w:lang w:val="pt-PT"/>
        </w:rPr>
        <w:t xml:space="preserve">„London </w:t>
      </w:r>
      <w:proofErr w:type="spellStart"/>
      <w:r>
        <w:rPr>
          <w:i/>
          <w:lang w:val="pt-PT"/>
        </w:rPr>
        <w:t>Economics</w:t>
      </w:r>
      <w:proofErr w:type="spellEnd"/>
      <w:r>
        <w:rPr>
          <w:i/>
          <w:lang w:val="pt-PT"/>
        </w:rPr>
        <w:t xml:space="preserve"> &amp; </w:t>
      </w:r>
      <w:proofErr w:type="spellStart"/>
      <w:r>
        <w:rPr>
          <w:i/>
          <w:lang w:val="pt-PT"/>
        </w:rPr>
        <w:t>Ipsos</w:t>
      </w:r>
      <w:proofErr w:type="spellEnd"/>
      <w:r>
        <w:rPr>
          <w:i/>
          <w:lang w:val="pt-PT"/>
        </w:rPr>
        <w:t xml:space="preserve"> Mori“</w:t>
      </w:r>
      <w:r>
        <w:rPr>
          <w:lang w:val="pt-PT"/>
        </w:rPr>
        <w:t>, 2014 m.</w:t>
      </w:r>
    </w:p>
  </w:footnote>
  <w:footnote w:id="8">
    <w:p w:rsidR="00221D6A" w:rsidRDefault="00BA3780">
      <w:pPr>
        <w:pStyle w:val="FootnoteText"/>
        <w:rPr>
          <w:lang w:val="pt-PT"/>
        </w:rPr>
      </w:pPr>
      <w:r>
        <w:rPr>
          <w:rStyle w:val="FootnoteReference"/>
        </w:rPr>
        <w:footnoteRef/>
      </w:r>
      <w:r>
        <w:rPr>
          <w:lang w:val="pt-PT"/>
        </w:rPr>
        <w:tab/>
      </w:r>
      <w:proofErr w:type="spellStart"/>
      <w:r>
        <w:rPr>
          <w:lang w:val="pt-PT"/>
        </w:rPr>
        <w:t>Pvz</w:t>
      </w:r>
      <w:proofErr w:type="spellEnd"/>
      <w:r>
        <w:rPr>
          <w:lang w:val="pt-PT"/>
        </w:rPr>
        <w:t xml:space="preserve">., </w:t>
      </w:r>
      <w:proofErr w:type="spellStart"/>
      <w:r>
        <w:rPr>
          <w:lang w:val="pt-PT"/>
        </w:rPr>
        <w:t>sprendžiant</w:t>
      </w:r>
      <w:proofErr w:type="spellEnd"/>
      <w:r>
        <w:rPr>
          <w:lang w:val="pt-PT"/>
        </w:rPr>
        <w:t xml:space="preserve"> </w:t>
      </w:r>
      <w:proofErr w:type="spellStart"/>
      <w:r>
        <w:rPr>
          <w:lang w:val="pt-PT"/>
        </w:rPr>
        <w:t>pakartotinio</w:t>
      </w:r>
      <w:proofErr w:type="spellEnd"/>
      <w:r>
        <w:rPr>
          <w:lang w:val="pt-PT"/>
        </w:rPr>
        <w:t xml:space="preserve"> </w:t>
      </w:r>
      <w:proofErr w:type="spellStart"/>
      <w:r>
        <w:rPr>
          <w:lang w:val="pt-PT"/>
        </w:rPr>
        <w:t>panaudojimo</w:t>
      </w:r>
      <w:proofErr w:type="spellEnd"/>
      <w:r>
        <w:rPr>
          <w:lang w:val="pt-PT"/>
        </w:rPr>
        <w:t xml:space="preserve">, </w:t>
      </w:r>
      <w:proofErr w:type="spellStart"/>
      <w:r>
        <w:rPr>
          <w:lang w:val="pt-PT"/>
        </w:rPr>
        <w:t>tinkamumo</w:t>
      </w:r>
      <w:proofErr w:type="spellEnd"/>
      <w:r>
        <w:rPr>
          <w:lang w:val="pt-PT"/>
        </w:rPr>
        <w:t xml:space="preserve"> </w:t>
      </w:r>
      <w:proofErr w:type="spellStart"/>
      <w:r>
        <w:rPr>
          <w:lang w:val="pt-PT"/>
        </w:rPr>
        <w:t>perdir</w:t>
      </w:r>
      <w:r>
        <w:rPr>
          <w:lang w:val="pt-PT"/>
        </w:rPr>
        <w:t>bti</w:t>
      </w:r>
      <w:proofErr w:type="spellEnd"/>
      <w:r>
        <w:rPr>
          <w:lang w:val="pt-PT"/>
        </w:rPr>
        <w:t xml:space="preserve">, </w:t>
      </w:r>
      <w:proofErr w:type="spellStart"/>
      <w:r>
        <w:rPr>
          <w:lang w:val="pt-PT"/>
        </w:rPr>
        <w:t>medžiagų</w:t>
      </w:r>
      <w:proofErr w:type="spellEnd"/>
      <w:r>
        <w:rPr>
          <w:lang w:val="pt-PT"/>
        </w:rPr>
        <w:t xml:space="preserve"> </w:t>
      </w:r>
      <w:proofErr w:type="spellStart"/>
      <w:r>
        <w:rPr>
          <w:lang w:val="pt-PT"/>
        </w:rPr>
        <w:t>atgavimo</w:t>
      </w:r>
      <w:proofErr w:type="spellEnd"/>
      <w:r>
        <w:rPr>
          <w:lang w:val="pt-PT"/>
        </w:rPr>
        <w:t xml:space="preserve">, </w:t>
      </w:r>
      <w:proofErr w:type="spellStart"/>
      <w:r>
        <w:rPr>
          <w:lang w:val="pt-PT"/>
        </w:rPr>
        <w:t>perdirbto</w:t>
      </w:r>
      <w:proofErr w:type="spellEnd"/>
      <w:r>
        <w:rPr>
          <w:lang w:val="pt-PT"/>
        </w:rPr>
        <w:t xml:space="preserve"> </w:t>
      </w:r>
      <w:proofErr w:type="spellStart"/>
      <w:r>
        <w:rPr>
          <w:lang w:val="pt-PT"/>
        </w:rPr>
        <w:t>turinio</w:t>
      </w:r>
      <w:proofErr w:type="spellEnd"/>
      <w:r>
        <w:rPr>
          <w:lang w:val="pt-PT"/>
        </w:rPr>
        <w:t xml:space="preserve">, </w:t>
      </w:r>
      <w:proofErr w:type="spellStart"/>
      <w:r>
        <w:rPr>
          <w:lang w:val="pt-PT"/>
        </w:rPr>
        <w:t>prioritetinių</w:t>
      </w:r>
      <w:proofErr w:type="spellEnd"/>
      <w:r>
        <w:rPr>
          <w:lang w:val="pt-PT"/>
        </w:rPr>
        <w:t xml:space="preserve"> </w:t>
      </w:r>
      <w:proofErr w:type="spellStart"/>
      <w:r>
        <w:rPr>
          <w:lang w:val="pt-PT"/>
        </w:rPr>
        <w:t>medžiagų</w:t>
      </w:r>
      <w:proofErr w:type="spellEnd"/>
      <w:r>
        <w:rPr>
          <w:lang w:val="pt-PT"/>
        </w:rPr>
        <w:t xml:space="preserve"> ir </w:t>
      </w:r>
      <w:proofErr w:type="spellStart"/>
      <w:r>
        <w:rPr>
          <w:lang w:val="pt-PT"/>
        </w:rPr>
        <w:t>pavojingųjų</w:t>
      </w:r>
      <w:proofErr w:type="spellEnd"/>
      <w:r>
        <w:rPr>
          <w:lang w:val="pt-PT"/>
        </w:rPr>
        <w:t xml:space="preserve"> </w:t>
      </w:r>
      <w:proofErr w:type="spellStart"/>
      <w:r>
        <w:rPr>
          <w:lang w:val="pt-PT"/>
        </w:rPr>
        <w:t>medžiagų</w:t>
      </w:r>
      <w:proofErr w:type="spellEnd"/>
      <w:r>
        <w:rPr>
          <w:lang w:val="pt-PT"/>
        </w:rPr>
        <w:t xml:space="preserve"> </w:t>
      </w:r>
      <w:proofErr w:type="spellStart"/>
      <w:r>
        <w:rPr>
          <w:lang w:val="pt-PT"/>
        </w:rPr>
        <w:t>naudojimo</w:t>
      </w:r>
      <w:proofErr w:type="spellEnd"/>
      <w:r>
        <w:rPr>
          <w:lang w:val="pt-PT"/>
        </w:rPr>
        <w:t xml:space="preserve"> bei </w:t>
      </w:r>
      <w:proofErr w:type="spellStart"/>
      <w:r>
        <w:rPr>
          <w:lang w:val="pt-PT"/>
        </w:rPr>
        <w:t>patvarumo</w:t>
      </w:r>
      <w:proofErr w:type="spellEnd"/>
      <w:r>
        <w:rPr>
          <w:lang w:val="pt-PT"/>
        </w:rPr>
        <w:t xml:space="preserve"> </w:t>
      </w:r>
      <w:proofErr w:type="spellStart"/>
      <w:r>
        <w:rPr>
          <w:lang w:val="pt-PT"/>
        </w:rPr>
        <w:t>klausimus</w:t>
      </w:r>
      <w:proofErr w:type="spellEnd"/>
      <w:r>
        <w:rPr>
          <w:lang w:val="pt-PT"/>
        </w:rPr>
        <w:t>.</w:t>
      </w:r>
    </w:p>
  </w:footnote>
  <w:footnote w:id="9">
    <w:p w:rsidR="00221D6A" w:rsidRDefault="00BA3780">
      <w:pPr>
        <w:pStyle w:val="FootnoteText"/>
        <w:rPr>
          <w:lang w:val="es-ES"/>
        </w:rPr>
      </w:pPr>
      <w:r>
        <w:rPr>
          <w:rStyle w:val="FootnoteReference"/>
        </w:rPr>
        <w:footnoteRef/>
      </w:r>
      <w:r>
        <w:rPr>
          <w:lang w:val="es-ES"/>
        </w:rPr>
        <w:tab/>
      </w:r>
      <w:proofErr w:type="spellStart"/>
      <w:r>
        <w:rPr>
          <w:lang w:val="es-ES"/>
        </w:rPr>
        <w:t>Direktyva</w:t>
      </w:r>
      <w:proofErr w:type="spellEnd"/>
      <w:r>
        <w:rPr>
          <w:lang w:val="es-ES"/>
        </w:rPr>
        <w:t xml:space="preserve"> 2012/27/ES, OL L 315, 2012 11 14, p. 1.</w:t>
      </w:r>
    </w:p>
  </w:footnote>
  <w:footnote w:id="10">
    <w:p w:rsidR="00221D6A" w:rsidRDefault="00BA3780">
      <w:pPr>
        <w:pStyle w:val="FootnoteText"/>
        <w:rPr>
          <w:lang w:val="es-ES"/>
        </w:rPr>
      </w:pPr>
      <w:r>
        <w:rPr>
          <w:rStyle w:val="FootnoteReference"/>
        </w:rPr>
        <w:footnoteRef/>
      </w:r>
      <w:r>
        <w:rPr>
          <w:lang w:val="es-ES"/>
        </w:rPr>
        <w:tab/>
        <w:t>https://ec.europa.eu/energy/sites/ener/files/documents/Background_document_II</w:t>
      </w:r>
      <w:r>
        <w:rPr>
          <w:lang w:val="es-ES"/>
        </w:rPr>
        <w:t>_-_Survey_results.pdf.</w:t>
      </w:r>
    </w:p>
  </w:footnote>
  <w:footnote w:id="11">
    <w:p w:rsidR="00221D6A" w:rsidRDefault="00BA3780">
      <w:pPr>
        <w:pStyle w:val="FootnoteText"/>
        <w:rPr>
          <w:lang w:val="es-ES"/>
        </w:rPr>
      </w:pPr>
      <w:r>
        <w:rPr>
          <w:rStyle w:val="FootnoteReference"/>
        </w:rPr>
        <w:footnoteRef/>
      </w:r>
      <w:r>
        <w:rPr>
          <w:lang w:val="es-ES"/>
        </w:rPr>
        <w:tab/>
        <w:t>http://ec.europa.eu/energy/en/studies?field_associated_topic_tid=45.</w:t>
      </w:r>
    </w:p>
  </w:footnote>
  <w:footnote w:id="12">
    <w:p w:rsidR="00221D6A" w:rsidRDefault="00BA3780">
      <w:pPr>
        <w:pStyle w:val="FootnoteText"/>
        <w:rPr>
          <w:lang w:val="es-ES"/>
        </w:rPr>
      </w:pPr>
      <w:r>
        <w:rPr>
          <w:rStyle w:val="FootnoteReference"/>
        </w:rPr>
        <w:footnoteRef/>
      </w:r>
      <w:r>
        <w:rPr>
          <w:lang w:val="es-ES"/>
        </w:rPr>
        <w:tab/>
        <w:t>http://ec.europa.eu/smart-regulation/impact/ia_carried_out/cia_2015_en.htm.</w:t>
      </w:r>
    </w:p>
  </w:footnote>
  <w:footnote w:id="13">
    <w:p w:rsidR="00221D6A" w:rsidRDefault="00BA3780">
      <w:pPr>
        <w:pStyle w:val="FootnoteText"/>
        <w:ind w:left="0" w:firstLine="0"/>
        <w:rPr>
          <w:lang w:val="es-ES"/>
        </w:rPr>
      </w:pPr>
      <w:r>
        <w:rPr>
          <w:rStyle w:val="FootnoteReference"/>
        </w:rPr>
        <w:footnoteRef/>
      </w:r>
      <w:r>
        <w:rPr>
          <w:lang w:val="es-ES"/>
        </w:rPr>
        <w:tab/>
      </w:r>
      <w:proofErr w:type="spellStart"/>
      <w:r>
        <w:rPr>
          <w:lang w:val="es-ES"/>
        </w:rPr>
        <w:t>Visų</w:t>
      </w:r>
      <w:proofErr w:type="spellEnd"/>
      <w:r>
        <w:rPr>
          <w:lang w:val="es-ES"/>
        </w:rPr>
        <w:t xml:space="preserve"> </w:t>
      </w:r>
      <w:proofErr w:type="spellStart"/>
      <w:r>
        <w:rPr>
          <w:lang w:val="es-ES"/>
        </w:rPr>
        <w:t>pirma</w:t>
      </w:r>
      <w:proofErr w:type="spellEnd"/>
      <w:r>
        <w:rPr>
          <w:lang w:val="es-ES"/>
        </w:rPr>
        <w:t xml:space="preserve"> su 2008 m. </w:t>
      </w:r>
      <w:proofErr w:type="spellStart"/>
      <w:r>
        <w:rPr>
          <w:lang w:val="es-ES"/>
        </w:rPr>
        <w:t>liepos</w:t>
      </w:r>
      <w:proofErr w:type="spellEnd"/>
      <w:r>
        <w:rPr>
          <w:lang w:val="es-ES"/>
        </w:rPr>
        <w:t xml:space="preserve"> 9 d. </w:t>
      </w:r>
      <w:proofErr w:type="spellStart"/>
      <w:r>
        <w:rPr>
          <w:lang w:val="es-ES"/>
        </w:rPr>
        <w:t>Europos</w:t>
      </w:r>
      <w:proofErr w:type="spellEnd"/>
      <w:r>
        <w:rPr>
          <w:lang w:val="es-ES"/>
        </w:rPr>
        <w:t xml:space="preserve"> Parlamento ir </w:t>
      </w:r>
      <w:proofErr w:type="spellStart"/>
      <w:r>
        <w:rPr>
          <w:lang w:val="es-ES"/>
        </w:rPr>
        <w:t>Tarybos</w:t>
      </w:r>
      <w:proofErr w:type="spellEnd"/>
      <w:r>
        <w:rPr>
          <w:lang w:val="es-ES"/>
        </w:rPr>
        <w:t xml:space="preserve"> </w:t>
      </w:r>
      <w:proofErr w:type="spellStart"/>
      <w:r>
        <w:rPr>
          <w:lang w:val="es-ES"/>
        </w:rPr>
        <w:t>reglamentu</w:t>
      </w:r>
      <w:proofErr w:type="spellEnd"/>
      <w:r>
        <w:rPr>
          <w:lang w:val="es-ES"/>
        </w:rPr>
        <w:t xml:space="preserve"> (EB) </w:t>
      </w:r>
      <w:proofErr w:type="spellStart"/>
      <w:r>
        <w:rPr>
          <w:lang w:val="es-ES"/>
        </w:rPr>
        <w:t>Nr</w:t>
      </w:r>
      <w:proofErr w:type="spellEnd"/>
      <w:r>
        <w:rPr>
          <w:lang w:val="es-ES"/>
        </w:rPr>
        <w:t xml:space="preserve">. 765/2008, </w:t>
      </w:r>
      <w:proofErr w:type="spellStart"/>
      <w:r>
        <w:rPr>
          <w:lang w:val="es-ES"/>
        </w:rPr>
        <w:t>nustatančiu</w:t>
      </w:r>
      <w:proofErr w:type="spellEnd"/>
      <w:r>
        <w:rPr>
          <w:lang w:val="es-ES"/>
        </w:rPr>
        <w:t xml:space="preserve"> su </w:t>
      </w:r>
      <w:proofErr w:type="spellStart"/>
      <w:r>
        <w:rPr>
          <w:lang w:val="es-ES"/>
        </w:rPr>
        <w:t>gaminių</w:t>
      </w:r>
      <w:proofErr w:type="spellEnd"/>
      <w:r>
        <w:rPr>
          <w:lang w:val="es-ES"/>
        </w:rPr>
        <w:t xml:space="preserve"> </w:t>
      </w:r>
      <w:proofErr w:type="spellStart"/>
      <w:r>
        <w:rPr>
          <w:lang w:val="es-ES"/>
        </w:rPr>
        <w:t>prekyba</w:t>
      </w:r>
      <w:proofErr w:type="spellEnd"/>
      <w:r>
        <w:rPr>
          <w:lang w:val="es-ES"/>
        </w:rPr>
        <w:t xml:space="preserve"> </w:t>
      </w:r>
      <w:proofErr w:type="spellStart"/>
      <w:r>
        <w:rPr>
          <w:lang w:val="es-ES"/>
        </w:rPr>
        <w:t>susijusius</w:t>
      </w:r>
      <w:proofErr w:type="spellEnd"/>
      <w:r>
        <w:rPr>
          <w:lang w:val="es-ES"/>
        </w:rPr>
        <w:t xml:space="preserve"> </w:t>
      </w:r>
      <w:proofErr w:type="spellStart"/>
      <w:r>
        <w:rPr>
          <w:lang w:val="es-ES"/>
        </w:rPr>
        <w:t>akreditavimo</w:t>
      </w:r>
      <w:proofErr w:type="spellEnd"/>
      <w:r>
        <w:rPr>
          <w:lang w:val="es-ES"/>
        </w:rPr>
        <w:t xml:space="preserve"> ir </w:t>
      </w:r>
      <w:proofErr w:type="spellStart"/>
      <w:r>
        <w:rPr>
          <w:lang w:val="es-ES"/>
        </w:rPr>
        <w:t>rinkos</w:t>
      </w:r>
      <w:proofErr w:type="spellEnd"/>
      <w:r>
        <w:rPr>
          <w:lang w:val="es-ES"/>
        </w:rPr>
        <w:t xml:space="preserve"> </w:t>
      </w:r>
      <w:proofErr w:type="spellStart"/>
      <w:r>
        <w:rPr>
          <w:lang w:val="es-ES"/>
        </w:rPr>
        <w:t>priežiūros</w:t>
      </w:r>
      <w:proofErr w:type="spellEnd"/>
      <w:r>
        <w:rPr>
          <w:lang w:val="es-ES"/>
        </w:rPr>
        <w:t xml:space="preserve"> </w:t>
      </w:r>
      <w:proofErr w:type="spellStart"/>
      <w:r>
        <w:rPr>
          <w:lang w:val="es-ES"/>
        </w:rPr>
        <w:t>reikalavimus</w:t>
      </w:r>
      <w:proofErr w:type="spellEnd"/>
      <w:r>
        <w:rPr>
          <w:lang w:val="es-ES"/>
        </w:rPr>
        <w:t xml:space="preserve"> ir </w:t>
      </w:r>
      <w:proofErr w:type="spellStart"/>
      <w:r>
        <w:rPr>
          <w:lang w:val="es-ES"/>
        </w:rPr>
        <w:t>panaikinančiu</w:t>
      </w:r>
      <w:proofErr w:type="spellEnd"/>
      <w:r>
        <w:rPr>
          <w:lang w:val="es-ES"/>
        </w:rPr>
        <w:t xml:space="preserve"> </w:t>
      </w:r>
      <w:proofErr w:type="spellStart"/>
      <w:r>
        <w:rPr>
          <w:lang w:val="es-ES"/>
        </w:rPr>
        <w:t>Reglamentą</w:t>
      </w:r>
      <w:proofErr w:type="spellEnd"/>
      <w:r>
        <w:rPr>
          <w:lang w:val="es-ES"/>
        </w:rPr>
        <w:t xml:space="preserve"> (EEB) </w:t>
      </w:r>
      <w:proofErr w:type="spellStart"/>
      <w:r>
        <w:rPr>
          <w:lang w:val="es-ES"/>
        </w:rPr>
        <w:t>Nr</w:t>
      </w:r>
      <w:proofErr w:type="spellEnd"/>
      <w:r>
        <w:rPr>
          <w:lang w:val="es-ES"/>
        </w:rPr>
        <w:t>. 339/93.</w:t>
      </w:r>
    </w:p>
  </w:footnote>
  <w:footnote w:id="14">
    <w:p w:rsidR="00221D6A" w:rsidRDefault="00BA3780">
      <w:pPr>
        <w:pStyle w:val="FootnoteText"/>
        <w:rPr>
          <w:lang w:val="pt-PT"/>
        </w:rPr>
      </w:pPr>
      <w:r>
        <w:rPr>
          <w:rStyle w:val="FootnoteReference"/>
        </w:rPr>
        <w:footnoteRef/>
      </w:r>
      <w:r>
        <w:rPr>
          <w:lang w:val="pt-PT"/>
        </w:rPr>
        <w:tab/>
        <w:t xml:space="preserve">OL </w:t>
      </w:r>
      <w:proofErr w:type="gramStart"/>
      <w:r>
        <w:rPr>
          <w:lang w:val="pt-PT"/>
        </w:rPr>
        <w:t>C , ,</w:t>
      </w:r>
      <w:proofErr w:type="gramEnd"/>
      <w:r>
        <w:rPr>
          <w:lang w:val="pt-PT"/>
        </w:rPr>
        <w:t xml:space="preserve"> p. .</w:t>
      </w:r>
    </w:p>
  </w:footnote>
  <w:footnote w:id="15">
    <w:p w:rsidR="00221D6A" w:rsidRDefault="00BA3780">
      <w:pPr>
        <w:pStyle w:val="FootnoteText"/>
        <w:rPr>
          <w:lang w:val="pt-PT"/>
        </w:rPr>
      </w:pPr>
      <w:r>
        <w:rPr>
          <w:rStyle w:val="FootnoteReference"/>
        </w:rPr>
        <w:footnoteRef/>
      </w:r>
      <w:r>
        <w:rPr>
          <w:lang w:val="pt-PT"/>
        </w:rPr>
        <w:tab/>
        <w:t xml:space="preserve">OL </w:t>
      </w:r>
      <w:proofErr w:type="gramStart"/>
      <w:r>
        <w:rPr>
          <w:lang w:val="pt-PT"/>
        </w:rPr>
        <w:t>C , ,</w:t>
      </w:r>
      <w:proofErr w:type="gramEnd"/>
      <w:r>
        <w:rPr>
          <w:lang w:val="pt-PT"/>
        </w:rPr>
        <w:t xml:space="preserve"> p. .</w:t>
      </w:r>
    </w:p>
  </w:footnote>
  <w:footnote w:id="16">
    <w:p w:rsidR="00221D6A" w:rsidRDefault="00BA3780">
      <w:pPr>
        <w:pStyle w:val="FootnoteText"/>
        <w:rPr>
          <w:lang w:val="pt-PT"/>
        </w:rPr>
      </w:pPr>
      <w:r>
        <w:rPr>
          <w:rStyle w:val="FootnoteReference"/>
        </w:rPr>
        <w:footnoteRef/>
      </w:r>
      <w:r>
        <w:rPr>
          <w:lang w:val="pt-PT"/>
        </w:rPr>
        <w:tab/>
        <w:t>OL L 153, 2010 6 18, p. 1.</w:t>
      </w:r>
    </w:p>
  </w:footnote>
  <w:footnote w:id="17">
    <w:p w:rsidR="00221D6A" w:rsidRDefault="00BA3780">
      <w:pPr>
        <w:pStyle w:val="FootnoteText"/>
        <w:rPr>
          <w:lang w:val="pt-PT"/>
        </w:rPr>
      </w:pPr>
      <w:r>
        <w:rPr>
          <w:rStyle w:val="FootnoteReference"/>
        </w:rPr>
        <w:footnoteRef/>
      </w:r>
      <w:r>
        <w:rPr>
          <w:lang w:val="pt-PT"/>
        </w:rPr>
        <w:tab/>
      </w:r>
      <w:proofErr w:type="gramStart"/>
      <w:r>
        <w:rPr>
          <w:lang w:val="pt-PT"/>
        </w:rPr>
        <w:t>COM(2015</w:t>
      </w:r>
      <w:proofErr w:type="gramEnd"/>
      <w:r>
        <w:rPr>
          <w:lang w:val="pt-PT"/>
        </w:rPr>
        <w:t>) 143</w:t>
      </w:r>
    </w:p>
  </w:footnote>
  <w:footnote w:id="18">
    <w:p w:rsidR="00221D6A" w:rsidRDefault="00BA3780">
      <w:pPr>
        <w:pStyle w:val="FootnoteText"/>
        <w:rPr>
          <w:lang w:val="pt-PT"/>
        </w:rPr>
      </w:pPr>
      <w:r>
        <w:rPr>
          <w:rStyle w:val="FootnoteReference"/>
        </w:rPr>
        <w:footnoteRef/>
      </w:r>
      <w:r>
        <w:rPr>
          <w:lang w:val="pt-PT"/>
        </w:rPr>
        <w:tab/>
      </w:r>
      <w:proofErr w:type="gramStart"/>
      <w:r>
        <w:rPr>
          <w:lang w:val="pt-PT"/>
        </w:rPr>
        <w:t>COM(2014</w:t>
      </w:r>
      <w:proofErr w:type="gramEnd"/>
      <w:r>
        <w:rPr>
          <w:lang w:val="pt-PT"/>
        </w:rPr>
        <w:t xml:space="preserve">) 330 </w:t>
      </w:r>
      <w:r>
        <w:rPr>
          <w:i/>
          <w:lang w:val="pt-PT"/>
        </w:rPr>
        <w:t>final</w:t>
      </w:r>
      <w:r>
        <w:rPr>
          <w:lang w:val="pt-PT"/>
        </w:rPr>
        <w:t>.</w:t>
      </w:r>
    </w:p>
  </w:footnote>
  <w:footnote w:id="19">
    <w:p w:rsidR="00221D6A" w:rsidRDefault="00BA3780">
      <w:pPr>
        <w:pStyle w:val="FootnoteText"/>
        <w:rPr>
          <w:lang w:val="pt-PT"/>
        </w:rPr>
      </w:pPr>
      <w:r>
        <w:rPr>
          <w:rStyle w:val="FootnoteReference"/>
        </w:rPr>
        <w:footnoteRef/>
      </w:r>
      <w:r>
        <w:rPr>
          <w:lang w:val="pt-PT"/>
        </w:rPr>
        <w:tab/>
      </w:r>
      <w:proofErr w:type="gramStart"/>
      <w:r>
        <w:rPr>
          <w:lang w:val="pt-PT"/>
        </w:rPr>
        <w:t>COM(201</w:t>
      </w:r>
      <w:r>
        <w:rPr>
          <w:lang w:val="pt-PT"/>
        </w:rPr>
        <w:t>5</w:t>
      </w:r>
      <w:proofErr w:type="gramEnd"/>
      <w:r>
        <w:rPr>
          <w:lang w:val="pt-PT"/>
        </w:rPr>
        <w:t xml:space="preserve">) 80 </w:t>
      </w:r>
      <w:r>
        <w:rPr>
          <w:i/>
          <w:lang w:val="pt-PT"/>
        </w:rPr>
        <w:t>final</w:t>
      </w:r>
      <w:r>
        <w:rPr>
          <w:lang w:val="pt-PT"/>
        </w:rPr>
        <w:t>.</w:t>
      </w:r>
    </w:p>
  </w:footnote>
  <w:footnote w:id="20">
    <w:p w:rsidR="00221D6A" w:rsidRDefault="00BA3780">
      <w:pPr>
        <w:pStyle w:val="FootnoteText"/>
        <w:rPr>
          <w:lang w:val="pt-PT"/>
        </w:rPr>
      </w:pPr>
      <w:r>
        <w:rPr>
          <w:rStyle w:val="FootnoteReference"/>
        </w:rPr>
        <w:footnoteRef/>
      </w:r>
      <w:r>
        <w:rPr>
          <w:lang w:val="pt-PT"/>
        </w:rPr>
        <w:tab/>
        <w:t>OL L 218, 2008 8 13, p. 30.</w:t>
      </w:r>
    </w:p>
  </w:footnote>
  <w:footnote w:id="21">
    <w:p w:rsidR="00221D6A" w:rsidRDefault="00BA3780">
      <w:pPr>
        <w:pStyle w:val="FootnoteText"/>
        <w:rPr>
          <w:lang w:val="pt-PT"/>
        </w:rPr>
      </w:pPr>
      <w:r>
        <w:rPr>
          <w:rStyle w:val="FootnoteReference"/>
        </w:rPr>
        <w:footnoteRef/>
      </w:r>
      <w:r>
        <w:rPr>
          <w:lang w:val="pt-PT"/>
        </w:rPr>
        <w:tab/>
      </w:r>
      <w:proofErr w:type="spellStart"/>
      <w:r>
        <w:rPr>
          <w:lang w:val="pt-PT"/>
        </w:rPr>
        <w:t>Europos</w:t>
      </w:r>
      <w:proofErr w:type="spellEnd"/>
      <w:r>
        <w:rPr>
          <w:lang w:val="pt-PT"/>
        </w:rPr>
        <w:t xml:space="preserve"> Parlamento ir </w:t>
      </w:r>
      <w:proofErr w:type="spellStart"/>
      <w:r>
        <w:rPr>
          <w:lang w:val="pt-PT"/>
        </w:rPr>
        <w:t>Tarybos</w:t>
      </w:r>
      <w:proofErr w:type="spellEnd"/>
      <w:r>
        <w:rPr>
          <w:lang w:val="pt-PT"/>
        </w:rPr>
        <w:t xml:space="preserve"> </w:t>
      </w:r>
      <w:proofErr w:type="spellStart"/>
      <w:r>
        <w:rPr>
          <w:lang w:val="pt-PT"/>
        </w:rPr>
        <w:t>reglamentas</w:t>
      </w:r>
      <w:proofErr w:type="spellEnd"/>
      <w:r>
        <w:rPr>
          <w:lang w:val="pt-PT"/>
        </w:rPr>
        <w:t xml:space="preserve"> (ES) </w:t>
      </w:r>
      <w:proofErr w:type="spellStart"/>
      <w:r>
        <w:rPr>
          <w:lang w:val="pt-PT"/>
        </w:rPr>
        <w:t>Nr</w:t>
      </w:r>
      <w:proofErr w:type="spellEnd"/>
      <w:r>
        <w:rPr>
          <w:lang w:val="pt-PT"/>
        </w:rPr>
        <w:t xml:space="preserve">. 1025/2012 </w:t>
      </w:r>
      <w:proofErr w:type="spellStart"/>
      <w:proofErr w:type="gramStart"/>
      <w:r>
        <w:rPr>
          <w:lang w:val="pt-PT"/>
        </w:rPr>
        <w:t>dėl</w:t>
      </w:r>
      <w:proofErr w:type="spellEnd"/>
      <w:proofErr w:type="gramEnd"/>
      <w:r>
        <w:rPr>
          <w:lang w:val="pt-PT"/>
        </w:rPr>
        <w:t xml:space="preserve"> </w:t>
      </w:r>
      <w:proofErr w:type="spellStart"/>
      <w:r>
        <w:rPr>
          <w:lang w:val="pt-PT"/>
        </w:rPr>
        <w:t>Europos</w:t>
      </w:r>
      <w:proofErr w:type="spellEnd"/>
      <w:r>
        <w:rPr>
          <w:lang w:val="pt-PT"/>
        </w:rPr>
        <w:t xml:space="preserve"> </w:t>
      </w:r>
      <w:proofErr w:type="spellStart"/>
      <w:r>
        <w:rPr>
          <w:lang w:val="pt-PT"/>
        </w:rPr>
        <w:t>standartizacijos</w:t>
      </w:r>
      <w:proofErr w:type="spellEnd"/>
      <w:r>
        <w:rPr>
          <w:lang w:val="pt-PT"/>
        </w:rPr>
        <w:t xml:space="preserve"> (OL L 316, 2012 11 14, p. 12).</w:t>
      </w:r>
    </w:p>
  </w:footnote>
  <w:footnote w:id="22">
    <w:p w:rsidR="00221D6A" w:rsidRDefault="00BA3780">
      <w:pPr>
        <w:pStyle w:val="FootnoteText"/>
      </w:pPr>
      <w:r>
        <w:rPr>
          <w:rStyle w:val="FootnoteReference"/>
        </w:rPr>
        <w:footnoteRef/>
      </w:r>
      <w:r>
        <w:tab/>
      </w:r>
      <w:r>
        <w:t>OL L 316, 2012 11 14, p. 12.</w:t>
      </w:r>
    </w:p>
  </w:footnote>
  <w:footnote w:id="23">
    <w:p w:rsidR="00221D6A" w:rsidRDefault="00BA3780">
      <w:pPr>
        <w:pStyle w:val="FootnoteText"/>
        <w:rPr>
          <w:szCs w:val="24"/>
        </w:rPr>
      </w:pPr>
      <w:r>
        <w:rPr>
          <w:rStyle w:val="FootnoteReference"/>
        </w:rPr>
        <w:footnoteRef/>
      </w:r>
      <w:r>
        <w:tab/>
      </w:r>
      <w:r>
        <w:t xml:space="preserve">VGV – veikla grindžiamas valdymas; VGB – veikla </w:t>
      </w:r>
      <w:r>
        <w:t>grindžiamas biudžeto sudarymas.</w:t>
      </w:r>
    </w:p>
  </w:footnote>
  <w:footnote w:id="24">
    <w:p w:rsidR="00221D6A" w:rsidRDefault="00BA3780">
      <w:pPr>
        <w:pStyle w:val="FootnoteText"/>
        <w:rPr>
          <w:szCs w:val="24"/>
        </w:rPr>
      </w:pPr>
      <w:r>
        <w:rPr>
          <w:rStyle w:val="FootnoteReference"/>
        </w:rPr>
        <w:footnoteRef/>
      </w:r>
      <w:r>
        <w:tab/>
      </w:r>
      <w:r>
        <w:t>Informacija apie valdymo būdus ir nuorodos į Finansinį reglamentą pateikiamos svetainėje „</w:t>
      </w:r>
      <w:proofErr w:type="spellStart"/>
      <w:r>
        <w:t>BudgWeb</w:t>
      </w:r>
      <w:proofErr w:type="spellEnd"/>
      <w:r>
        <w:t>“ http://ec.europa.eu/budget/index_en.cfm</w:t>
      </w:r>
    </w:p>
  </w:footnote>
  <w:footnote w:id="25">
    <w:p w:rsidR="00221D6A" w:rsidRDefault="00BA3780">
      <w:pPr>
        <w:pStyle w:val="FootnoteText"/>
        <w:rPr>
          <w:szCs w:val="24"/>
        </w:rPr>
      </w:pPr>
      <w:r>
        <w:rPr>
          <w:rStyle w:val="FootnoteReference"/>
        </w:rPr>
        <w:footnoteRef/>
      </w:r>
      <w:r>
        <w:tab/>
      </w:r>
      <w:r>
        <w:t>DA – diferencijuotieji asignavimai, NDA – nediferencijuotieji asignavimai.</w:t>
      </w:r>
    </w:p>
  </w:footnote>
  <w:footnote w:id="26">
    <w:p w:rsidR="00221D6A" w:rsidRDefault="00BA3780">
      <w:pPr>
        <w:pStyle w:val="FootnoteText"/>
        <w:rPr>
          <w:szCs w:val="24"/>
          <w:lang w:val="es-ES"/>
        </w:rPr>
      </w:pPr>
      <w:r>
        <w:rPr>
          <w:rStyle w:val="FootnoteReference"/>
        </w:rPr>
        <w:footnoteRef/>
      </w:r>
      <w:r>
        <w:rPr>
          <w:lang w:val="es-ES"/>
        </w:rPr>
        <w:tab/>
      </w:r>
      <w:r>
        <w:rPr>
          <w:lang w:val="es-ES"/>
        </w:rPr>
        <w:t xml:space="preserve">ELPA – </w:t>
      </w:r>
      <w:proofErr w:type="spellStart"/>
      <w:r>
        <w:rPr>
          <w:lang w:val="es-ES"/>
        </w:rPr>
        <w:t>Europos</w:t>
      </w:r>
      <w:proofErr w:type="spellEnd"/>
      <w:r>
        <w:rPr>
          <w:lang w:val="es-ES"/>
        </w:rPr>
        <w:t xml:space="preserve"> </w:t>
      </w:r>
      <w:proofErr w:type="spellStart"/>
      <w:r>
        <w:rPr>
          <w:lang w:val="es-ES"/>
        </w:rPr>
        <w:t>laisvosios</w:t>
      </w:r>
      <w:proofErr w:type="spellEnd"/>
      <w:r>
        <w:rPr>
          <w:lang w:val="es-ES"/>
        </w:rPr>
        <w:t xml:space="preserve"> </w:t>
      </w:r>
      <w:proofErr w:type="spellStart"/>
      <w:r>
        <w:rPr>
          <w:lang w:val="es-ES"/>
        </w:rPr>
        <w:t>prekybos</w:t>
      </w:r>
      <w:proofErr w:type="spellEnd"/>
      <w:r>
        <w:rPr>
          <w:lang w:val="es-ES"/>
        </w:rPr>
        <w:t xml:space="preserve"> </w:t>
      </w:r>
      <w:proofErr w:type="spellStart"/>
      <w:r>
        <w:rPr>
          <w:lang w:val="es-ES"/>
        </w:rPr>
        <w:t>asociacija</w:t>
      </w:r>
      <w:proofErr w:type="spellEnd"/>
      <w:r>
        <w:rPr>
          <w:lang w:val="es-ES"/>
        </w:rPr>
        <w:t xml:space="preserve">. </w:t>
      </w:r>
    </w:p>
  </w:footnote>
  <w:footnote w:id="27">
    <w:p w:rsidR="00221D6A" w:rsidRDefault="00BA3780">
      <w:pPr>
        <w:pStyle w:val="FootnoteText"/>
        <w:rPr>
          <w:szCs w:val="24"/>
          <w:lang w:val="es-ES"/>
        </w:rPr>
      </w:pPr>
      <w:r>
        <w:rPr>
          <w:rStyle w:val="FootnoteReference"/>
        </w:rPr>
        <w:footnoteRef/>
      </w:r>
      <w:r>
        <w:rPr>
          <w:lang w:val="es-ES"/>
        </w:rPr>
        <w:tab/>
      </w:r>
      <w:proofErr w:type="spellStart"/>
      <w:r>
        <w:rPr>
          <w:lang w:val="es-ES"/>
        </w:rPr>
        <w:t>Šalių</w:t>
      </w:r>
      <w:proofErr w:type="spellEnd"/>
      <w:r>
        <w:rPr>
          <w:lang w:val="es-ES"/>
        </w:rPr>
        <w:t xml:space="preserve"> </w:t>
      </w:r>
      <w:proofErr w:type="spellStart"/>
      <w:r>
        <w:rPr>
          <w:lang w:val="es-ES"/>
        </w:rPr>
        <w:t>kandidačių</w:t>
      </w:r>
      <w:proofErr w:type="spellEnd"/>
      <w:r>
        <w:rPr>
          <w:lang w:val="es-ES"/>
        </w:rPr>
        <w:t xml:space="preserve"> ir, </w:t>
      </w:r>
      <w:proofErr w:type="spellStart"/>
      <w:r>
        <w:rPr>
          <w:lang w:val="es-ES"/>
        </w:rPr>
        <w:t>kai</w:t>
      </w:r>
      <w:proofErr w:type="spellEnd"/>
      <w:r>
        <w:rPr>
          <w:lang w:val="es-ES"/>
        </w:rPr>
        <w:t xml:space="preserve"> </w:t>
      </w:r>
      <w:proofErr w:type="spellStart"/>
      <w:r>
        <w:rPr>
          <w:lang w:val="es-ES"/>
        </w:rPr>
        <w:t>taikoma</w:t>
      </w:r>
      <w:proofErr w:type="spellEnd"/>
      <w:r>
        <w:rPr>
          <w:lang w:val="es-ES"/>
        </w:rPr>
        <w:t xml:space="preserve">, </w:t>
      </w:r>
      <w:proofErr w:type="spellStart"/>
      <w:r>
        <w:rPr>
          <w:lang w:val="es-ES"/>
        </w:rPr>
        <w:t>Vakarų</w:t>
      </w:r>
      <w:proofErr w:type="spellEnd"/>
      <w:r>
        <w:rPr>
          <w:lang w:val="es-ES"/>
        </w:rPr>
        <w:t xml:space="preserve"> </w:t>
      </w:r>
      <w:proofErr w:type="spellStart"/>
      <w:r>
        <w:rPr>
          <w:lang w:val="es-ES"/>
        </w:rPr>
        <w:t>Balkanų</w:t>
      </w:r>
      <w:proofErr w:type="spellEnd"/>
      <w:r>
        <w:rPr>
          <w:lang w:val="es-ES"/>
        </w:rPr>
        <w:t xml:space="preserve"> </w:t>
      </w:r>
      <w:proofErr w:type="spellStart"/>
      <w:r>
        <w:rPr>
          <w:lang w:val="es-ES"/>
        </w:rPr>
        <w:t>potencialių</w:t>
      </w:r>
      <w:proofErr w:type="spellEnd"/>
      <w:r>
        <w:rPr>
          <w:lang w:val="es-ES"/>
        </w:rPr>
        <w:t xml:space="preserve"> </w:t>
      </w:r>
      <w:proofErr w:type="spellStart"/>
      <w:r>
        <w:rPr>
          <w:lang w:val="es-ES"/>
        </w:rPr>
        <w:t>šalių</w:t>
      </w:r>
      <w:proofErr w:type="spellEnd"/>
      <w:r>
        <w:rPr>
          <w:lang w:val="es-ES"/>
        </w:rPr>
        <w:t xml:space="preserve"> </w:t>
      </w:r>
      <w:proofErr w:type="spellStart"/>
      <w:r>
        <w:rPr>
          <w:lang w:val="es-ES"/>
        </w:rPr>
        <w:t>kandidačių</w:t>
      </w:r>
      <w:proofErr w:type="spellEnd"/>
      <w:r>
        <w:rPr>
          <w:lang w:val="es-ES"/>
        </w:rPr>
        <w:t>.</w:t>
      </w:r>
    </w:p>
  </w:footnote>
  <w:footnote w:id="28">
    <w:p w:rsidR="00221D6A" w:rsidRDefault="00BA3780">
      <w:pPr>
        <w:pStyle w:val="FootnoteText"/>
        <w:rPr>
          <w:szCs w:val="24"/>
        </w:rPr>
      </w:pPr>
      <w:r>
        <w:rPr>
          <w:rStyle w:val="FootnoteReference"/>
        </w:rPr>
        <w:footnoteRef/>
      </w:r>
      <w:r>
        <w:tab/>
      </w:r>
      <w:r>
        <w:t>Techninė ir (arba) administracinė pagalba bei išlaidos ES programų ir (arba) veiksmų įgyvendinimui remti (buvusios BA eilutės</w:t>
      </w:r>
      <w:r>
        <w:t>), netiesioginiai moksliniai tyrimai, tiesioginiai moksliniai tyrimai.</w:t>
      </w:r>
    </w:p>
  </w:footnote>
  <w:footnote w:id="29">
    <w:p w:rsidR="00221D6A" w:rsidRDefault="00BA3780">
      <w:pPr>
        <w:pStyle w:val="FootnoteText"/>
        <w:rPr>
          <w:szCs w:val="24"/>
        </w:rPr>
      </w:pPr>
      <w:r>
        <w:rPr>
          <w:rStyle w:val="FootnoteReference"/>
        </w:rPr>
        <w:footnoteRef/>
      </w:r>
      <w:r>
        <w:tab/>
      </w:r>
      <w:r>
        <w:t>Rezultatai – tai būsimi produktai ir paslaugos (pvz., finansuota studentų mainų, nutiesta kelių kilometrų ir kt.).</w:t>
      </w:r>
    </w:p>
  </w:footnote>
  <w:footnote w:id="30">
    <w:p w:rsidR="00221D6A" w:rsidRDefault="00BA3780">
      <w:pPr>
        <w:pStyle w:val="FootnoteText"/>
        <w:rPr>
          <w:szCs w:val="24"/>
        </w:rPr>
      </w:pPr>
      <w:r>
        <w:rPr>
          <w:rStyle w:val="FootnoteReference"/>
        </w:rPr>
        <w:footnoteRef/>
      </w:r>
      <w:r>
        <w:tab/>
      </w:r>
      <w:r>
        <w:t>Techninė ir (arba) administracinė pagalba bei išlaidos ES programų</w:t>
      </w:r>
      <w:r>
        <w:t xml:space="preserve"> ir (arba) veiksmų įgyvendinimui remti (buvusios BA eilutės), netiesioginiai moksliniai tyrimai, tiesioginiai moksliniai tyrimai.</w:t>
      </w:r>
    </w:p>
  </w:footnote>
  <w:footnote w:id="31">
    <w:p w:rsidR="00221D6A" w:rsidRDefault="00BA3780">
      <w:pPr>
        <w:pStyle w:val="FootnoteText"/>
        <w:rPr>
          <w:szCs w:val="24"/>
        </w:rPr>
      </w:pPr>
      <w:r>
        <w:rPr>
          <w:rStyle w:val="FootnoteReference"/>
        </w:rPr>
        <w:footnoteRef/>
      </w:r>
      <w:r>
        <w:tab/>
      </w:r>
      <w:r>
        <w:t>CA – sutartininkas („</w:t>
      </w:r>
      <w:proofErr w:type="spellStart"/>
      <w:r>
        <w:t>Contract</w:t>
      </w:r>
      <w:proofErr w:type="spellEnd"/>
      <w:r>
        <w:t xml:space="preserve"> </w:t>
      </w:r>
      <w:proofErr w:type="spellStart"/>
      <w:r>
        <w:t>Staff</w:t>
      </w:r>
      <w:proofErr w:type="spellEnd"/>
      <w:r>
        <w:t>“), LA – vietinis darbuotojas („</w:t>
      </w:r>
      <w:proofErr w:type="spellStart"/>
      <w:r>
        <w:t>Local</w:t>
      </w:r>
      <w:proofErr w:type="spellEnd"/>
      <w:r>
        <w:t xml:space="preserve"> </w:t>
      </w:r>
      <w:proofErr w:type="spellStart"/>
      <w:r>
        <w:t>Staff</w:t>
      </w:r>
      <w:proofErr w:type="spellEnd"/>
      <w:r>
        <w:t xml:space="preserve">“), SNE – deleguotasis nacionalinis ekspertas </w:t>
      </w:r>
      <w:r>
        <w:t>(„</w:t>
      </w:r>
      <w:proofErr w:type="spellStart"/>
      <w:r>
        <w:t>Seconded</w:t>
      </w:r>
      <w:proofErr w:type="spellEnd"/>
      <w:r>
        <w:t xml:space="preserve"> </w:t>
      </w:r>
      <w:proofErr w:type="spellStart"/>
      <w:r>
        <w:t>National</w:t>
      </w:r>
      <w:proofErr w:type="spellEnd"/>
      <w:r>
        <w:t xml:space="preserve"> </w:t>
      </w:r>
      <w:proofErr w:type="spellStart"/>
      <w:r>
        <w:t>Expert</w:t>
      </w:r>
      <w:proofErr w:type="spellEnd"/>
      <w:r>
        <w:t>“), INT – per agentūrą įdarbintas darbuotojas („</w:t>
      </w:r>
      <w:proofErr w:type="spellStart"/>
      <w:r>
        <w:t>Agency</w:t>
      </w:r>
      <w:proofErr w:type="spellEnd"/>
      <w:r>
        <w:t xml:space="preserve"> </w:t>
      </w:r>
      <w:proofErr w:type="spellStart"/>
      <w:r>
        <w:t>Staff</w:t>
      </w:r>
      <w:proofErr w:type="spellEnd"/>
      <w:r>
        <w:t>“), JED – jaunesnysis delegacijos ekspertas („</w:t>
      </w:r>
      <w:proofErr w:type="spellStart"/>
      <w:r>
        <w:t>Junior</w:t>
      </w:r>
      <w:proofErr w:type="spellEnd"/>
      <w:r>
        <w:t xml:space="preserve"> </w:t>
      </w:r>
      <w:proofErr w:type="spellStart"/>
      <w:r>
        <w:t>Expert</w:t>
      </w:r>
      <w:proofErr w:type="spellEnd"/>
      <w:r>
        <w:t xml:space="preserve"> </w:t>
      </w:r>
      <w:proofErr w:type="spellStart"/>
      <w:r>
        <w:t>in</w:t>
      </w:r>
      <w:proofErr w:type="spellEnd"/>
      <w:r>
        <w:t xml:space="preserve"> </w:t>
      </w:r>
      <w:proofErr w:type="spellStart"/>
      <w:r>
        <w:t>Delegations</w:t>
      </w:r>
      <w:proofErr w:type="spellEnd"/>
      <w:r>
        <w:t xml:space="preserve">“). </w:t>
      </w:r>
    </w:p>
  </w:footnote>
  <w:footnote w:id="32">
    <w:p w:rsidR="00221D6A" w:rsidRDefault="00BA3780">
      <w:pPr>
        <w:pStyle w:val="FootnoteText"/>
        <w:rPr>
          <w:szCs w:val="24"/>
        </w:rPr>
      </w:pPr>
      <w:r>
        <w:rPr>
          <w:rStyle w:val="FootnoteReference"/>
        </w:rPr>
        <w:footnoteRef/>
      </w:r>
      <w:r>
        <w:tab/>
      </w:r>
      <w:r>
        <w:t xml:space="preserve">Neviršijant viršutinės ribos, nustatytos išorės darbuotojams, finansuojamiems iš veiklos </w:t>
      </w:r>
      <w:r>
        <w:t>asignavimų (buvusių BA eilučių).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D6A" w:rsidRDefault="00221D6A">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D6A" w:rsidRDefault="00221D6A">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D6A" w:rsidRDefault="00221D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D6A" w:rsidRDefault="00221D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312DD7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334207E"/>
    <w:lvl w:ilvl="0">
      <w:start w:val="1"/>
      <w:numFmt w:val="decimal"/>
      <w:pStyle w:val="ListNumber3"/>
      <w:lvlText w:val="%1."/>
      <w:lvlJc w:val="left"/>
      <w:pPr>
        <w:tabs>
          <w:tab w:val="num" w:pos="926"/>
        </w:tabs>
        <w:ind w:left="926" w:hanging="360"/>
      </w:pPr>
    </w:lvl>
  </w:abstractNum>
  <w:abstractNum w:abstractNumId="2">
    <w:nsid w:val="FFFFFF7F"/>
    <w:multiLevelType w:val="singleLevel"/>
    <w:tmpl w:val="9080FCDC"/>
    <w:lvl w:ilvl="0">
      <w:start w:val="1"/>
      <w:numFmt w:val="decimal"/>
      <w:pStyle w:val="ListNumber2"/>
      <w:lvlText w:val="%1."/>
      <w:lvlJc w:val="left"/>
      <w:pPr>
        <w:tabs>
          <w:tab w:val="num" w:pos="643"/>
        </w:tabs>
        <w:ind w:left="643" w:hanging="360"/>
      </w:pPr>
    </w:lvl>
  </w:abstractNum>
  <w:abstractNum w:abstractNumId="3">
    <w:nsid w:val="FFFFFF81"/>
    <w:multiLevelType w:val="singleLevel"/>
    <w:tmpl w:val="2C2863E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CF47E5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856329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F12EA28"/>
    <w:name w:val="0.4376293"/>
    <w:lvl w:ilvl="0">
      <w:start w:val="1"/>
      <w:numFmt w:val="decimal"/>
      <w:pStyle w:val="ListNumber"/>
      <w:lvlText w:val="%1."/>
      <w:lvlJc w:val="left"/>
      <w:pPr>
        <w:tabs>
          <w:tab w:val="num" w:pos="360"/>
        </w:tabs>
        <w:ind w:left="360" w:hanging="360"/>
      </w:pPr>
    </w:lvl>
  </w:abstractNum>
  <w:abstractNum w:abstractNumId="7">
    <w:nsid w:val="FFFFFF89"/>
    <w:multiLevelType w:val="singleLevel"/>
    <w:tmpl w:val="851C1D2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7">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8">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9"/>
  </w:num>
  <w:num w:numId="15">
    <w:abstractNumId w:val="13"/>
    <w:lvlOverride w:ilvl="0">
      <w:startOverride w:val="1"/>
    </w:lvlOverride>
  </w:num>
  <w:num w:numId="16">
    <w:abstractNumId w:val="15"/>
    <w:lvlOverride w:ilvl="0">
      <w:startOverride w:val="1"/>
    </w:lvlOverride>
  </w:num>
  <w:num w:numId="17">
    <w:abstractNumId w:val="8"/>
  </w:num>
  <w:num w:numId="18">
    <w:abstractNumId w:val="18"/>
  </w:num>
  <w:num w:numId="19">
    <w:abstractNumId w:val="17"/>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3"/>
  </w:num>
  <w:num w:numId="25">
    <w:abstractNumId w:val="24"/>
  </w:num>
  <w:num w:numId="26">
    <w:abstractNumId w:val="12"/>
  </w:num>
  <w:num w:numId="27">
    <w:abstractNumId w:val="14"/>
  </w:num>
  <w:num w:numId="28">
    <w:abstractNumId w:val="10"/>
  </w:num>
  <w:num w:numId="29">
    <w:abstractNumId w:val="23"/>
  </w:num>
  <w:num w:numId="30">
    <w:abstractNumId w:val="9"/>
  </w:num>
  <w:num w:numId="31">
    <w:abstractNumId w:val="15"/>
  </w:num>
  <w:num w:numId="32">
    <w:abstractNumId w:val="20"/>
  </w:num>
  <w:num w:numId="33">
    <w:abstractNumId w:val="21"/>
  </w:num>
  <w:num w:numId="34">
    <w:abstractNumId w:val="11"/>
  </w:num>
  <w:num w:numId="35">
    <w:abstractNumId w:val="19"/>
  </w:num>
  <w:num w:numId="36">
    <w:abstractNumId w:val="25"/>
  </w:num>
  <w:num w:numId="37">
    <w:abstractNumId w:val="22"/>
  </w:num>
  <w:num w:numId="38">
    <w:abstractNumId w:val="13"/>
  </w:num>
  <w:num w:numId="39">
    <w:abstractNumId w:val="24"/>
  </w:num>
  <w:num w:numId="40">
    <w:abstractNumId w:val="12"/>
  </w:num>
  <w:num w:numId="41">
    <w:abstractNumId w:val="14"/>
  </w:num>
  <w:num w:numId="42">
    <w:abstractNumId w:val="10"/>
  </w:num>
  <w:num w:numId="43">
    <w:abstractNumId w:val="23"/>
  </w:num>
  <w:num w:numId="44">
    <w:abstractNumId w:val="9"/>
  </w:num>
  <w:num w:numId="45">
    <w:abstractNumId w:val="15"/>
  </w:num>
  <w:num w:numId="46">
    <w:abstractNumId w:val="20"/>
  </w:num>
  <w:num w:numId="47">
    <w:abstractNumId w:val="21"/>
  </w:num>
  <w:num w:numId="48">
    <w:abstractNumId w:val="11"/>
  </w:num>
  <w:num w:numId="49">
    <w:abstractNumId w:val="19"/>
  </w:num>
  <w:num w:numId="50">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attachedTemplate r:id="rId1"/>
  <w:defaultTabStop w:val="720"/>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7-20 10:38:2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1"/>
    <w:docVar w:name="DQCResult_StructureCheck" w:val="0;0"/>
    <w:docVar w:name="DQCResult_SuperfluousWhitespace" w:val="0;2"/>
    <w:docVar w:name="DQCResult_UnknownFonts" w:val="0;0"/>
    <w:docVar w:name="DQCResult_UnknownStyles" w:val="0;0"/>
    <w:docVar w:name="DQCStatus" w:val="Yellow"/>
    <w:docVar w:name="DQCVersion" w:val="2"/>
    <w:docVar w:name="DQCWithWarnings" w:val="0"/>
    <w:docVar w:name="LW_CONFIDENCE" w:val=" "/>
    <w:docVar w:name="LW_CONST_RESTREINT_UE" w:val="RESTREINT UE"/>
    <w:docVar w:name="LW_CORRIGENDUM" w:val="&lt;UNUSED&gt;"/>
    <w:docVar w:name="LW_COVERPAGE_GUID" w:val="8283AF0E3CB44E3E9CAE030776C6AAC9"/>
    <w:docVar w:name="LW_CROSSREFERENCE" w:val="{SWD(2015) 139 final}_x000b_{SWD(2015) 140 final}"/>
    <w:docVar w:name="LW_DocType" w:val="COM"/>
    <w:docVar w:name="LW_EMISSION" w:val="2015 07 15"/>
    <w:docVar w:name="LW_EMISSION_ISODATE" w:val="2015-07-15"/>
    <w:docVar w:name="LW_EMISSION_LOCATION" w:val="BRX"/>
    <w:docVar w:name="LW_EMISSION_PREFIX" w:val="Briuselis, "/>
    <w:docVar w:name="LW_EMISSION_SUFFIX" w:val=" "/>
    <w:docVar w:name="LW_ID_DOCMODEL" w:val="SJ-023"/>
    <w:docVar w:name="LW_ID_DOCSIGNATURE" w:val="SJ-023"/>
    <w:docVar w:name="LW_ID_DOCSTRUCTURE" w:val="COM/PL/ORG"/>
    <w:docVar w:name="LW_ID_DOCTYPE" w:val="SJ-023"/>
    <w:docVar w:name="LW_ID_STATUT" w:val="SJ-023"/>
    <w:docVar w:name="LW_INTERETEEE.CP" w:val="(Tekstas svarbus EEE)"/>
    <w:docVar w:name="LW_LANGUE" w:val="LT"/>
    <w:docVar w:name="LW_MARKING" w:val="&lt;UNUSED&gt;"/>
    <w:docVar w:name="LW_NOM.INST" w:val="EUROPOS KOMISIJA"/>
    <w:docVar w:name="LW_NOM.INST_JOINTDOC" w:val="&lt;EMPTY&gt;"/>
    <w:docVar w:name="LW_PART_NBR" w:val="1"/>
    <w:docVar w:name="LW_PART_NBR_TOTAL" w:val="1"/>
    <w:docVar w:name="LW_REF.II.NEW.CP" w:val="COD"/>
    <w:docVar w:name="LW_REF.II.NEW.CP_NUMBER" w:val="0149"/>
    <w:docVar w:name="LW_REF.II.NEW.CP_YEAR" w:val="2015"/>
    <w:docVar w:name="LW_REF.INST.NEW" w:val="COM"/>
    <w:docVar w:name="LW_REF.INST.NEW_ADOPTED" w:val="final"/>
    <w:docVar w:name="LW_REF.INST.NEW_TEXT" w:val="(2015) 341"/>
    <w:docVar w:name="LW_REF.INTERNE" w:val="&lt;UNUSED&gt;"/>
    <w:docVar w:name="LW_SOUS.TITRE.OBJ.CP" w:val="&lt;UNUSED&gt;"/>
    <w:docVar w:name="LW_STATUT.CP" w:val="Pasi\u363?lymas"/>
    <w:docVar w:name="LW_SUPERTITRE" w:val="&lt;UNUSED&gt;"/>
    <w:docVar w:name="LW_TITRE.OBJ.CP" w:val="kuriuo nustatomi energijos vartojimo efektyvumo \u382?enklinimo pagrindai _x000b_ir panaikinama Direktyva 2010/30/ES"/>
    <w:docVar w:name="LW_TYPE.DOC.CP" w:val="EUROPOS PARLAMENTO IR TARYBOS REGLAMENTAS"/>
  </w:docVars>
  <w:rsids>
    <w:rsidRoot w:val="00221D6A"/>
    <w:rsid w:val="00221D6A"/>
    <w:rsid w:val="00BA3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99"/>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paragraph" w:customStyle="1" w:styleId="ListDash3">
    <w:name w:val="List Dash 3"/>
    <w:basedOn w:val="Text3"/>
    <w:pPr>
      <w:numPr>
        <w:numId w:val="13"/>
      </w:numPr>
      <w:spacing w:before="0" w:after="240"/>
    </w:pPr>
    <w:rPr>
      <w:rFonts w:eastAsia="Times New Roman"/>
      <w:szCs w:val="20"/>
    </w:rPr>
  </w:style>
  <w:style w:type="paragraph" w:customStyle="1" w:styleId="ListNumberLevel2">
    <w:name w:val="List Number (Level 2)"/>
    <w:basedOn w:val="Normal"/>
    <w:pPr>
      <w:tabs>
        <w:tab w:val="num" w:pos="1417"/>
      </w:tabs>
      <w:spacing w:before="0" w:after="240"/>
      <w:ind w:left="1417" w:hanging="708"/>
    </w:pPr>
    <w:rPr>
      <w:rFonts w:eastAsia="Times New Roman"/>
      <w:szCs w:val="20"/>
    </w:rPr>
  </w:style>
  <w:style w:type="paragraph" w:customStyle="1" w:styleId="ListNumberLevel3">
    <w:name w:val="List Number (Level 3)"/>
    <w:basedOn w:val="Normal"/>
    <w:pPr>
      <w:tabs>
        <w:tab w:val="num" w:pos="2126"/>
      </w:tabs>
      <w:spacing w:before="0" w:after="240"/>
      <w:ind w:left="2126" w:hanging="709"/>
    </w:pPr>
    <w:rPr>
      <w:rFonts w:eastAsia="Times New Roman"/>
      <w:szCs w:val="20"/>
    </w:rPr>
  </w:style>
  <w:style w:type="paragraph" w:customStyle="1" w:styleId="ListNumberLevel4">
    <w:name w:val="List Number (Level 4)"/>
    <w:basedOn w:val="Normal"/>
    <w:pPr>
      <w:tabs>
        <w:tab w:val="num" w:pos="2835"/>
      </w:tabs>
      <w:spacing w:before="0" w:after="240"/>
      <w:ind w:left="2835" w:hanging="709"/>
    </w:pPr>
    <w:rPr>
      <w:rFonts w:eastAsia="Times New Roman"/>
      <w:szCs w:val="20"/>
    </w:rPr>
  </w:style>
  <w:style w:type="paragraph" w:customStyle="1" w:styleId="ListBullet1">
    <w:name w:val="List Bullet 1"/>
    <w:basedOn w:val="Normal"/>
    <w:pPr>
      <w:numPr>
        <w:numId w:val="17"/>
      </w:numPr>
    </w:pPr>
    <w:rPr>
      <w:rFonts w:eastAsia="Times New Roman"/>
    </w:rPr>
  </w:style>
  <w:style w:type="paragraph" w:customStyle="1" w:styleId="ListDash1">
    <w:name w:val="List Dash 1"/>
    <w:basedOn w:val="Normal"/>
    <w:pPr>
      <w:numPr>
        <w:numId w:val="18"/>
      </w:numPr>
    </w:pPr>
    <w:rPr>
      <w:rFonts w:eastAsia="Times New Roman"/>
    </w:rPr>
  </w:style>
  <w:style w:type="paragraph" w:customStyle="1" w:styleId="ListDash2">
    <w:name w:val="List Dash 2"/>
    <w:basedOn w:val="Normal"/>
    <w:pPr>
      <w:numPr>
        <w:numId w:val="19"/>
      </w:numPr>
    </w:pPr>
    <w:rPr>
      <w:rFonts w:eastAsia="Times New Roman"/>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99"/>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paragraph" w:customStyle="1" w:styleId="ListDash3">
    <w:name w:val="List Dash 3"/>
    <w:basedOn w:val="Text3"/>
    <w:pPr>
      <w:numPr>
        <w:numId w:val="13"/>
      </w:numPr>
      <w:spacing w:before="0" w:after="240"/>
    </w:pPr>
    <w:rPr>
      <w:rFonts w:eastAsia="Times New Roman"/>
      <w:szCs w:val="20"/>
    </w:rPr>
  </w:style>
  <w:style w:type="paragraph" w:customStyle="1" w:styleId="ListNumberLevel2">
    <w:name w:val="List Number (Level 2)"/>
    <w:basedOn w:val="Normal"/>
    <w:pPr>
      <w:tabs>
        <w:tab w:val="num" w:pos="1417"/>
      </w:tabs>
      <w:spacing w:before="0" w:after="240"/>
      <w:ind w:left="1417" w:hanging="708"/>
    </w:pPr>
    <w:rPr>
      <w:rFonts w:eastAsia="Times New Roman"/>
      <w:szCs w:val="20"/>
    </w:rPr>
  </w:style>
  <w:style w:type="paragraph" w:customStyle="1" w:styleId="ListNumberLevel3">
    <w:name w:val="List Number (Level 3)"/>
    <w:basedOn w:val="Normal"/>
    <w:pPr>
      <w:tabs>
        <w:tab w:val="num" w:pos="2126"/>
      </w:tabs>
      <w:spacing w:before="0" w:after="240"/>
      <w:ind w:left="2126" w:hanging="709"/>
    </w:pPr>
    <w:rPr>
      <w:rFonts w:eastAsia="Times New Roman"/>
      <w:szCs w:val="20"/>
    </w:rPr>
  </w:style>
  <w:style w:type="paragraph" w:customStyle="1" w:styleId="ListNumberLevel4">
    <w:name w:val="List Number (Level 4)"/>
    <w:basedOn w:val="Normal"/>
    <w:pPr>
      <w:tabs>
        <w:tab w:val="num" w:pos="2835"/>
      </w:tabs>
      <w:spacing w:before="0" w:after="240"/>
      <w:ind w:left="2835" w:hanging="709"/>
    </w:pPr>
    <w:rPr>
      <w:rFonts w:eastAsia="Times New Roman"/>
      <w:szCs w:val="20"/>
    </w:rPr>
  </w:style>
  <w:style w:type="paragraph" w:customStyle="1" w:styleId="ListBullet1">
    <w:name w:val="List Bullet 1"/>
    <w:basedOn w:val="Normal"/>
    <w:pPr>
      <w:numPr>
        <w:numId w:val="17"/>
      </w:numPr>
    </w:pPr>
    <w:rPr>
      <w:rFonts w:eastAsia="Times New Roman"/>
    </w:rPr>
  </w:style>
  <w:style w:type="paragraph" w:customStyle="1" w:styleId="ListDash1">
    <w:name w:val="List Dash 1"/>
    <w:basedOn w:val="Normal"/>
    <w:pPr>
      <w:numPr>
        <w:numId w:val="18"/>
      </w:numPr>
    </w:pPr>
    <w:rPr>
      <w:rFonts w:eastAsia="Times New Roman"/>
    </w:rPr>
  </w:style>
  <w:style w:type="paragraph" w:customStyle="1" w:styleId="ListDash2">
    <w:name w:val="List Dash 2"/>
    <w:basedOn w:val="Normal"/>
    <w:pPr>
      <w:numPr>
        <w:numId w:val="19"/>
      </w:numPr>
    </w:pPr>
    <w:rPr>
      <w:rFonts w:eastAsia="Times New Roman"/>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7443">
      <w:bodyDiv w:val="1"/>
      <w:marLeft w:val="0"/>
      <w:marRight w:val="0"/>
      <w:marTop w:val="0"/>
      <w:marBottom w:val="0"/>
      <w:divBdr>
        <w:top w:val="none" w:sz="0" w:space="0" w:color="auto"/>
        <w:left w:val="none" w:sz="0" w:space="0" w:color="auto"/>
        <w:bottom w:val="none" w:sz="0" w:space="0" w:color="auto"/>
        <w:right w:val="none" w:sz="0" w:space="0" w:color="auto"/>
      </w:divBdr>
    </w:div>
    <w:div w:id="151921186">
      <w:bodyDiv w:val="1"/>
      <w:marLeft w:val="0"/>
      <w:marRight w:val="0"/>
      <w:marTop w:val="0"/>
      <w:marBottom w:val="0"/>
      <w:divBdr>
        <w:top w:val="none" w:sz="0" w:space="0" w:color="auto"/>
        <w:left w:val="none" w:sz="0" w:space="0" w:color="auto"/>
        <w:bottom w:val="none" w:sz="0" w:space="0" w:color="auto"/>
        <w:right w:val="none" w:sz="0" w:space="0" w:color="auto"/>
      </w:divBdr>
    </w:div>
    <w:div w:id="240023862">
      <w:bodyDiv w:val="1"/>
      <w:marLeft w:val="0"/>
      <w:marRight w:val="0"/>
      <w:marTop w:val="0"/>
      <w:marBottom w:val="0"/>
      <w:divBdr>
        <w:top w:val="none" w:sz="0" w:space="0" w:color="auto"/>
        <w:left w:val="none" w:sz="0" w:space="0" w:color="auto"/>
        <w:bottom w:val="none" w:sz="0" w:space="0" w:color="auto"/>
        <w:right w:val="none" w:sz="0" w:space="0" w:color="auto"/>
      </w:divBdr>
      <w:divsChild>
        <w:div w:id="1433361498">
          <w:marLeft w:val="0"/>
          <w:marRight w:val="0"/>
          <w:marTop w:val="0"/>
          <w:marBottom w:val="0"/>
          <w:divBdr>
            <w:top w:val="none" w:sz="0" w:space="0" w:color="auto"/>
            <w:left w:val="none" w:sz="0" w:space="0" w:color="auto"/>
            <w:bottom w:val="none" w:sz="0" w:space="0" w:color="auto"/>
            <w:right w:val="none" w:sz="0" w:space="0" w:color="auto"/>
          </w:divBdr>
          <w:divsChild>
            <w:div w:id="1864830265">
              <w:marLeft w:val="0"/>
              <w:marRight w:val="0"/>
              <w:marTop w:val="0"/>
              <w:marBottom w:val="0"/>
              <w:divBdr>
                <w:top w:val="none" w:sz="0" w:space="0" w:color="auto"/>
                <w:left w:val="none" w:sz="0" w:space="0" w:color="auto"/>
                <w:bottom w:val="none" w:sz="0" w:space="0" w:color="auto"/>
                <w:right w:val="none" w:sz="0" w:space="0" w:color="auto"/>
              </w:divBdr>
              <w:divsChild>
                <w:div w:id="23021229">
                  <w:marLeft w:val="0"/>
                  <w:marRight w:val="0"/>
                  <w:marTop w:val="0"/>
                  <w:marBottom w:val="0"/>
                  <w:divBdr>
                    <w:top w:val="none" w:sz="0" w:space="0" w:color="auto"/>
                    <w:left w:val="none" w:sz="0" w:space="0" w:color="auto"/>
                    <w:bottom w:val="none" w:sz="0" w:space="0" w:color="auto"/>
                    <w:right w:val="none" w:sz="0" w:space="0" w:color="auto"/>
                  </w:divBdr>
                  <w:divsChild>
                    <w:div w:id="2101876938">
                      <w:marLeft w:val="1"/>
                      <w:marRight w:val="1"/>
                      <w:marTop w:val="0"/>
                      <w:marBottom w:val="0"/>
                      <w:divBdr>
                        <w:top w:val="none" w:sz="0" w:space="0" w:color="auto"/>
                        <w:left w:val="none" w:sz="0" w:space="0" w:color="auto"/>
                        <w:bottom w:val="none" w:sz="0" w:space="0" w:color="auto"/>
                        <w:right w:val="none" w:sz="0" w:space="0" w:color="auto"/>
                      </w:divBdr>
                      <w:divsChild>
                        <w:div w:id="724261450">
                          <w:marLeft w:val="0"/>
                          <w:marRight w:val="0"/>
                          <w:marTop w:val="0"/>
                          <w:marBottom w:val="0"/>
                          <w:divBdr>
                            <w:top w:val="none" w:sz="0" w:space="0" w:color="auto"/>
                            <w:left w:val="none" w:sz="0" w:space="0" w:color="auto"/>
                            <w:bottom w:val="none" w:sz="0" w:space="0" w:color="auto"/>
                            <w:right w:val="none" w:sz="0" w:space="0" w:color="auto"/>
                          </w:divBdr>
                          <w:divsChild>
                            <w:div w:id="316496363">
                              <w:marLeft w:val="0"/>
                              <w:marRight w:val="0"/>
                              <w:marTop w:val="0"/>
                              <w:marBottom w:val="360"/>
                              <w:divBdr>
                                <w:top w:val="none" w:sz="0" w:space="0" w:color="auto"/>
                                <w:left w:val="none" w:sz="0" w:space="0" w:color="auto"/>
                                <w:bottom w:val="none" w:sz="0" w:space="0" w:color="auto"/>
                                <w:right w:val="none" w:sz="0" w:space="0" w:color="auto"/>
                              </w:divBdr>
                              <w:divsChild>
                                <w:div w:id="1249539848">
                                  <w:marLeft w:val="0"/>
                                  <w:marRight w:val="0"/>
                                  <w:marTop w:val="0"/>
                                  <w:marBottom w:val="0"/>
                                  <w:divBdr>
                                    <w:top w:val="none" w:sz="0" w:space="0" w:color="auto"/>
                                    <w:left w:val="none" w:sz="0" w:space="0" w:color="auto"/>
                                    <w:bottom w:val="none" w:sz="0" w:space="0" w:color="auto"/>
                                    <w:right w:val="none" w:sz="0" w:space="0" w:color="auto"/>
                                  </w:divBdr>
                                  <w:divsChild>
                                    <w:div w:id="1030955983">
                                      <w:marLeft w:val="0"/>
                                      <w:marRight w:val="0"/>
                                      <w:marTop w:val="0"/>
                                      <w:marBottom w:val="0"/>
                                      <w:divBdr>
                                        <w:top w:val="none" w:sz="0" w:space="0" w:color="auto"/>
                                        <w:left w:val="none" w:sz="0" w:space="0" w:color="auto"/>
                                        <w:bottom w:val="none" w:sz="0" w:space="0" w:color="auto"/>
                                        <w:right w:val="none" w:sz="0" w:space="0" w:color="auto"/>
                                      </w:divBdr>
                                      <w:divsChild>
                                        <w:div w:id="114990332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 w:id="276723697">
      <w:bodyDiv w:val="1"/>
      <w:marLeft w:val="0"/>
      <w:marRight w:val="0"/>
      <w:marTop w:val="0"/>
      <w:marBottom w:val="0"/>
      <w:divBdr>
        <w:top w:val="none" w:sz="0" w:space="0" w:color="auto"/>
        <w:left w:val="none" w:sz="0" w:space="0" w:color="auto"/>
        <w:bottom w:val="none" w:sz="0" w:space="0" w:color="auto"/>
        <w:right w:val="none" w:sz="0" w:space="0" w:color="auto"/>
      </w:divBdr>
    </w:div>
    <w:div w:id="332496386">
      <w:bodyDiv w:val="1"/>
      <w:marLeft w:val="0"/>
      <w:marRight w:val="0"/>
      <w:marTop w:val="0"/>
      <w:marBottom w:val="0"/>
      <w:divBdr>
        <w:top w:val="none" w:sz="0" w:space="0" w:color="auto"/>
        <w:left w:val="none" w:sz="0" w:space="0" w:color="auto"/>
        <w:bottom w:val="none" w:sz="0" w:space="0" w:color="auto"/>
        <w:right w:val="none" w:sz="0" w:space="0" w:color="auto"/>
      </w:divBdr>
    </w:div>
    <w:div w:id="364136034">
      <w:marLeft w:val="0"/>
      <w:marRight w:val="0"/>
      <w:marTop w:val="0"/>
      <w:marBottom w:val="0"/>
      <w:divBdr>
        <w:top w:val="none" w:sz="0" w:space="0" w:color="auto"/>
        <w:left w:val="none" w:sz="0" w:space="0" w:color="auto"/>
        <w:bottom w:val="none" w:sz="0" w:space="0" w:color="auto"/>
        <w:right w:val="none" w:sz="0" w:space="0" w:color="auto"/>
      </w:divBdr>
      <w:divsChild>
        <w:div w:id="364136047">
          <w:marLeft w:val="0"/>
          <w:marRight w:val="0"/>
          <w:marTop w:val="0"/>
          <w:marBottom w:val="0"/>
          <w:divBdr>
            <w:top w:val="none" w:sz="0" w:space="0" w:color="auto"/>
            <w:left w:val="none" w:sz="0" w:space="0" w:color="auto"/>
            <w:bottom w:val="none" w:sz="0" w:space="0" w:color="auto"/>
            <w:right w:val="none" w:sz="0" w:space="0" w:color="auto"/>
          </w:divBdr>
          <w:divsChild>
            <w:div w:id="364136050">
              <w:marLeft w:val="0"/>
              <w:marRight w:val="0"/>
              <w:marTop w:val="0"/>
              <w:marBottom w:val="0"/>
              <w:divBdr>
                <w:top w:val="none" w:sz="0" w:space="0" w:color="auto"/>
                <w:left w:val="none" w:sz="0" w:space="0" w:color="auto"/>
                <w:bottom w:val="none" w:sz="0" w:space="0" w:color="auto"/>
                <w:right w:val="none" w:sz="0" w:space="0" w:color="auto"/>
              </w:divBdr>
              <w:divsChild>
                <w:div w:id="364136033">
                  <w:marLeft w:val="0"/>
                  <w:marRight w:val="0"/>
                  <w:marTop w:val="0"/>
                  <w:marBottom w:val="0"/>
                  <w:divBdr>
                    <w:top w:val="none" w:sz="0" w:space="0" w:color="auto"/>
                    <w:left w:val="none" w:sz="0" w:space="0" w:color="auto"/>
                    <w:bottom w:val="none" w:sz="0" w:space="0" w:color="auto"/>
                    <w:right w:val="none" w:sz="0" w:space="0" w:color="auto"/>
                  </w:divBdr>
                  <w:divsChild>
                    <w:div w:id="364136053">
                      <w:marLeft w:val="1"/>
                      <w:marRight w:val="1"/>
                      <w:marTop w:val="0"/>
                      <w:marBottom w:val="0"/>
                      <w:divBdr>
                        <w:top w:val="none" w:sz="0" w:space="0" w:color="auto"/>
                        <w:left w:val="none" w:sz="0" w:space="0" w:color="auto"/>
                        <w:bottom w:val="none" w:sz="0" w:space="0" w:color="auto"/>
                        <w:right w:val="none" w:sz="0" w:space="0" w:color="auto"/>
                      </w:divBdr>
                      <w:divsChild>
                        <w:div w:id="364136039">
                          <w:marLeft w:val="0"/>
                          <w:marRight w:val="0"/>
                          <w:marTop w:val="0"/>
                          <w:marBottom w:val="0"/>
                          <w:divBdr>
                            <w:top w:val="none" w:sz="0" w:space="0" w:color="auto"/>
                            <w:left w:val="none" w:sz="0" w:space="0" w:color="auto"/>
                            <w:bottom w:val="none" w:sz="0" w:space="0" w:color="auto"/>
                            <w:right w:val="none" w:sz="0" w:space="0" w:color="auto"/>
                          </w:divBdr>
                          <w:divsChild>
                            <w:div w:id="364136035">
                              <w:marLeft w:val="0"/>
                              <w:marRight w:val="0"/>
                              <w:marTop w:val="0"/>
                              <w:marBottom w:val="360"/>
                              <w:divBdr>
                                <w:top w:val="none" w:sz="0" w:space="0" w:color="auto"/>
                                <w:left w:val="none" w:sz="0" w:space="0" w:color="auto"/>
                                <w:bottom w:val="none" w:sz="0" w:space="0" w:color="auto"/>
                                <w:right w:val="none" w:sz="0" w:space="0" w:color="auto"/>
                              </w:divBdr>
                              <w:divsChild>
                                <w:div w:id="364136045">
                                  <w:marLeft w:val="0"/>
                                  <w:marRight w:val="0"/>
                                  <w:marTop w:val="0"/>
                                  <w:marBottom w:val="0"/>
                                  <w:divBdr>
                                    <w:top w:val="none" w:sz="0" w:space="0" w:color="auto"/>
                                    <w:left w:val="none" w:sz="0" w:space="0" w:color="auto"/>
                                    <w:bottom w:val="none" w:sz="0" w:space="0" w:color="auto"/>
                                    <w:right w:val="none" w:sz="0" w:space="0" w:color="auto"/>
                                  </w:divBdr>
                                  <w:divsChild>
                                    <w:div w:id="364136041">
                                      <w:marLeft w:val="0"/>
                                      <w:marRight w:val="0"/>
                                      <w:marTop w:val="0"/>
                                      <w:marBottom w:val="0"/>
                                      <w:divBdr>
                                        <w:top w:val="none" w:sz="0" w:space="0" w:color="auto"/>
                                        <w:left w:val="none" w:sz="0" w:space="0" w:color="auto"/>
                                        <w:bottom w:val="none" w:sz="0" w:space="0" w:color="auto"/>
                                        <w:right w:val="none" w:sz="0" w:space="0" w:color="auto"/>
                                      </w:divBdr>
                                      <w:divsChild>
                                        <w:div w:id="36413604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 w:id="364136040">
      <w:marLeft w:val="0"/>
      <w:marRight w:val="0"/>
      <w:marTop w:val="0"/>
      <w:marBottom w:val="0"/>
      <w:divBdr>
        <w:top w:val="none" w:sz="0" w:space="0" w:color="auto"/>
        <w:left w:val="none" w:sz="0" w:space="0" w:color="auto"/>
        <w:bottom w:val="none" w:sz="0" w:space="0" w:color="auto"/>
        <w:right w:val="none" w:sz="0" w:space="0" w:color="auto"/>
      </w:divBdr>
    </w:div>
    <w:div w:id="364136044">
      <w:marLeft w:val="0"/>
      <w:marRight w:val="0"/>
      <w:marTop w:val="0"/>
      <w:marBottom w:val="0"/>
      <w:divBdr>
        <w:top w:val="none" w:sz="0" w:space="0" w:color="auto"/>
        <w:left w:val="none" w:sz="0" w:space="0" w:color="auto"/>
        <w:bottom w:val="none" w:sz="0" w:space="0" w:color="auto"/>
        <w:right w:val="none" w:sz="0" w:space="0" w:color="auto"/>
      </w:divBdr>
      <w:divsChild>
        <w:div w:id="364136052">
          <w:marLeft w:val="0"/>
          <w:marRight w:val="0"/>
          <w:marTop w:val="0"/>
          <w:marBottom w:val="0"/>
          <w:divBdr>
            <w:top w:val="none" w:sz="0" w:space="0" w:color="auto"/>
            <w:left w:val="none" w:sz="0" w:space="0" w:color="auto"/>
            <w:bottom w:val="none" w:sz="0" w:space="0" w:color="auto"/>
            <w:right w:val="none" w:sz="0" w:space="0" w:color="auto"/>
          </w:divBdr>
          <w:divsChild>
            <w:div w:id="364136048">
              <w:marLeft w:val="0"/>
              <w:marRight w:val="0"/>
              <w:marTop w:val="0"/>
              <w:marBottom w:val="0"/>
              <w:divBdr>
                <w:top w:val="none" w:sz="0" w:space="0" w:color="auto"/>
                <w:left w:val="none" w:sz="0" w:space="0" w:color="auto"/>
                <w:bottom w:val="none" w:sz="0" w:space="0" w:color="auto"/>
                <w:right w:val="none" w:sz="0" w:space="0" w:color="auto"/>
              </w:divBdr>
              <w:divsChild>
                <w:div w:id="364136049">
                  <w:marLeft w:val="0"/>
                  <w:marRight w:val="0"/>
                  <w:marTop w:val="0"/>
                  <w:marBottom w:val="0"/>
                  <w:divBdr>
                    <w:top w:val="none" w:sz="0" w:space="0" w:color="auto"/>
                    <w:left w:val="none" w:sz="0" w:space="0" w:color="auto"/>
                    <w:bottom w:val="none" w:sz="0" w:space="0" w:color="auto"/>
                    <w:right w:val="none" w:sz="0" w:space="0" w:color="auto"/>
                  </w:divBdr>
                  <w:divsChild>
                    <w:div w:id="364136051">
                      <w:marLeft w:val="1"/>
                      <w:marRight w:val="1"/>
                      <w:marTop w:val="0"/>
                      <w:marBottom w:val="0"/>
                      <w:divBdr>
                        <w:top w:val="none" w:sz="0" w:space="0" w:color="auto"/>
                        <w:left w:val="none" w:sz="0" w:space="0" w:color="auto"/>
                        <w:bottom w:val="none" w:sz="0" w:space="0" w:color="auto"/>
                        <w:right w:val="none" w:sz="0" w:space="0" w:color="auto"/>
                      </w:divBdr>
                      <w:divsChild>
                        <w:div w:id="364136046">
                          <w:marLeft w:val="0"/>
                          <w:marRight w:val="0"/>
                          <w:marTop w:val="0"/>
                          <w:marBottom w:val="0"/>
                          <w:divBdr>
                            <w:top w:val="none" w:sz="0" w:space="0" w:color="auto"/>
                            <w:left w:val="none" w:sz="0" w:space="0" w:color="auto"/>
                            <w:bottom w:val="none" w:sz="0" w:space="0" w:color="auto"/>
                            <w:right w:val="none" w:sz="0" w:space="0" w:color="auto"/>
                          </w:divBdr>
                          <w:divsChild>
                            <w:div w:id="364136043">
                              <w:marLeft w:val="0"/>
                              <w:marRight w:val="0"/>
                              <w:marTop w:val="0"/>
                              <w:marBottom w:val="360"/>
                              <w:divBdr>
                                <w:top w:val="none" w:sz="0" w:space="0" w:color="auto"/>
                                <w:left w:val="none" w:sz="0" w:space="0" w:color="auto"/>
                                <w:bottom w:val="none" w:sz="0" w:space="0" w:color="auto"/>
                                <w:right w:val="none" w:sz="0" w:space="0" w:color="auto"/>
                              </w:divBdr>
                              <w:divsChild>
                                <w:div w:id="364136036">
                                  <w:marLeft w:val="0"/>
                                  <w:marRight w:val="0"/>
                                  <w:marTop w:val="0"/>
                                  <w:marBottom w:val="0"/>
                                  <w:divBdr>
                                    <w:top w:val="none" w:sz="0" w:space="0" w:color="auto"/>
                                    <w:left w:val="none" w:sz="0" w:space="0" w:color="auto"/>
                                    <w:bottom w:val="none" w:sz="0" w:space="0" w:color="auto"/>
                                    <w:right w:val="none" w:sz="0" w:space="0" w:color="auto"/>
                                  </w:divBdr>
                                  <w:divsChild>
                                    <w:div w:id="364136038">
                                      <w:marLeft w:val="0"/>
                                      <w:marRight w:val="0"/>
                                      <w:marTop w:val="0"/>
                                      <w:marBottom w:val="0"/>
                                      <w:divBdr>
                                        <w:top w:val="none" w:sz="0" w:space="0" w:color="auto"/>
                                        <w:left w:val="none" w:sz="0" w:space="0" w:color="auto"/>
                                        <w:bottom w:val="none" w:sz="0" w:space="0" w:color="auto"/>
                                        <w:right w:val="none" w:sz="0" w:space="0" w:color="auto"/>
                                      </w:divBdr>
                                      <w:divsChild>
                                        <w:div w:id="36413603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 w:id="856194017">
      <w:bodyDiv w:val="1"/>
      <w:marLeft w:val="0"/>
      <w:marRight w:val="0"/>
      <w:marTop w:val="0"/>
      <w:marBottom w:val="0"/>
      <w:divBdr>
        <w:top w:val="none" w:sz="0" w:space="0" w:color="auto"/>
        <w:left w:val="none" w:sz="0" w:space="0" w:color="auto"/>
        <w:bottom w:val="none" w:sz="0" w:space="0" w:color="auto"/>
        <w:right w:val="none" w:sz="0" w:space="0" w:color="auto"/>
      </w:divBdr>
    </w:div>
    <w:div w:id="962538387">
      <w:bodyDiv w:val="1"/>
      <w:marLeft w:val="0"/>
      <w:marRight w:val="0"/>
      <w:marTop w:val="0"/>
      <w:marBottom w:val="0"/>
      <w:divBdr>
        <w:top w:val="none" w:sz="0" w:space="0" w:color="auto"/>
        <w:left w:val="none" w:sz="0" w:space="0" w:color="auto"/>
        <w:bottom w:val="none" w:sz="0" w:space="0" w:color="auto"/>
        <w:right w:val="none" w:sz="0" w:space="0" w:color="auto"/>
      </w:divBdr>
    </w:div>
    <w:div w:id="1202279936">
      <w:bodyDiv w:val="1"/>
      <w:marLeft w:val="0"/>
      <w:marRight w:val="0"/>
      <w:marTop w:val="0"/>
      <w:marBottom w:val="0"/>
      <w:divBdr>
        <w:top w:val="none" w:sz="0" w:space="0" w:color="auto"/>
        <w:left w:val="none" w:sz="0" w:space="0" w:color="auto"/>
        <w:bottom w:val="none" w:sz="0" w:space="0" w:color="auto"/>
        <w:right w:val="none" w:sz="0" w:space="0" w:color="auto"/>
      </w:divBdr>
      <w:divsChild>
        <w:div w:id="1974406907">
          <w:marLeft w:val="0"/>
          <w:marRight w:val="0"/>
          <w:marTop w:val="0"/>
          <w:marBottom w:val="0"/>
          <w:divBdr>
            <w:top w:val="none" w:sz="0" w:space="0" w:color="auto"/>
            <w:left w:val="none" w:sz="0" w:space="0" w:color="auto"/>
            <w:bottom w:val="none" w:sz="0" w:space="0" w:color="auto"/>
            <w:right w:val="none" w:sz="0" w:space="0" w:color="auto"/>
          </w:divBdr>
          <w:divsChild>
            <w:div w:id="1546017695">
              <w:marLeft w:val="0"/>
              <w:marRight w:val="0"/>
              <w:marTop w:val="0"/>
              <w:marBottom w:val="0"/>
              <w:divBdr>
                <w:top w:val="none" w:sz="0" w:space="0" w:color="auto"/>
                <w:left w:val="none" w:sz="0" w:space="0" w:color="auto"/>
                <w:bottom w:val="none" w:sz="0" w:space="0" w:color="auto"/>
                <w:right w:val="none" w:sz="0" w:space="0" w:color="auto"/>
              </w:divBdr>
              <w:divsChild>
                <w:div w:id="1569070221">
                  <w:marLeft w:val="0"/>
                  <w:marRight w:val="0"/>
                  <w:marTop w:val="0"/>
                  <w:marBottom w:val="0"/>
                  <w:divBdr>
                    <w:top w:val="none" w:sz="0" w:space="0" w:color="auto"/>
                    <w:left w:val="none" w:sz="0" w:space="0" w:color="auto"/>
                    <w:bottom w:val="none" w:sz="0" w:space="0" w:color="auto"/>
                    <w:right w:val="none" w:sz="0" w:space="0" w:color="auto"/>
                  </w:divBdr>
                  <w:divsChild>
                    <w:div w:id="1922521530">
                      <w:marLeft w:val="1"/>
                      <w:marRight w:val="1"/>
                      <w:marTop w:val="0"/>
                      <w:marBottom w:val="0"/>
                      <w:divBdr>
                        <w:top w:val="none" w:sz="0" w:space="0" w:color="auto"/>
                        <w:left w:val="none" w:sz="0" w:space="0" w:color="auto"/>
                        <w:bottom w:val="none" w:sz="0" w:space="0" w:color="auto"/>
                        <w:right w:val="none" w:sz="0" w:space="0" w:color="auto"/>
                      </w:divBdr>
                      <w:divsChild>
                        <w:div w:id="1250969838">
                          <w:marLeft w:val="0"/>
                          <w:marRight w:val="0"/>
                          <w:marTop w:val="0"/>
                          <w:marBottom w:val="0"/>
                          <w:divBdr>
                            <w:top w:val="none" w:sz="0" w:space="0" w:color="auto"/>
                            <w:left w:val="none" w:sz="0" w:space="0" w:color="auto"/>
                            <w:bottom w:val="none" w:sz="0" w:space="0" w:color="auto"/>
                            <w:right w:val="none" w:sz="0" w:space="0" w:color="auto"/>
                          </w:divBdr>
                          <w:divsChild>
                            <w:div w:id="1184436547">
                              <w:marLeft w:val="0"/>
                              <w:marRight w:val="0"/>
                              <w:marTop w:val="0"/>
                              <w:marBottom w:val="360"/>
                              <w:divBdr>
                                <w:top w:val="none" w:sz="0" w:space="0" w:color="auto"/>
                                <w:left w:val="none" w:sz="0" w:space="0" w:color="auto"/>
                                <w:bottom w:val="none" w:sz="0" w:space="0" w:color="auto"/>
                                <w:right w:val="none" w:sz="0" w:space="0" w:color="auto"/>
                              </w:divBdr>
                              <w:divsChild>
                                <w:div w:id="405346404">
                                  <w:marLeft w:val="0"/>
                                  <w:marRight w:val="0"/>
                                  <w:marTop w:val="0"/>
                                  <w:marBottom w:val="0"/>
                                  <w:divBdr>
                                    <w:top w:val="none" w:sz="0" w:space="0" w:color="auto"/>
                                    <w:left w:val="none" w:sz="0" w:space="0" w:color="auto"/>
                                    <w:bottom w:val="none" w:sz="0" w:space="0" w:color="auto"/>
                                    <w:right w:val="none" w:sz="0" w:space="0" w:color="auto"/>
                                  </w:divBdr>
                                  <w:divsChild>
                                    <w:div w:id="622460938">
                                      <w:marLeft w:val="0"/>
                                      <w:marRight w:val="0"/>
                                      <w:marTop w:val="0"/>
                                      <w:marBottom w:val="0"/>
                                      <w:divBdr>
                                        <w:top w:val="none" w:sz="0" w:space="0" w:color="auto"/>
                                        <w:left w:val="none" w:sz="0" w:space="0" w:color="auto"/>
                                        <w:bottom w:val="none" w:sz="0" w:space="0" w:color="auto"/>
                                        <w:right w:val="none" w:sz="0" w:space="0" w:color="auto"/>
                                      </w:divBdr>
                                      <w:divsChild>
                                        <w:div w:id="44566229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 w:id="132542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6115-46BD-4599-A7C7-5783DDD7B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38</Pages>
  <Words>9967</Words>
  <Characters>67581</Characters>
  <Application>Microsoft Office Word</Application>
  <DocSecurity>0</DocSecurity>
  <Lines>4505</Lines>
  <Paragraphs>4081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20</cp:revision>
  <cp:lastPrinted>2015-07-06T15:09:00Z</cp:lastPrinted>
  <dcterms:created xsi:type="dcterms:W3CDTF">2015-07-17T12:47:00Z</dcterms:created>
  <dcterms:modified xsi:type="dcterms:W3CDTF">2015-07-20T10:11:00Z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02)</vt:lpwstr>
  </property>
</Properties>
</file>