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E7" w:rsidRPr="005F5406" w:rsidRDefault="00201EF4" w:rsidP="002C09B1">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11E4B40FDB646BEA4EE78EC82836363" style="width:450.75pt;height:423.75pt">
            <v:imagedata r:id="rId9" o:title=""/>
          </v:shape>
        </w:pict>
      </w:r>
    </w:p>
    <w:p w:rsidR="00FE3AE7" w:rsidRPr="005F5406" w:rsidRDefault="00FE3AE7" w:rsidP="00FE3AE7">
      <w:pPr>
        <w:sectPr w:rsidR="00FE3AE7" w:rsidRPr="005F5406" w:rsidSect="00D23D9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85123" w:rsidRPr="005F5406" w:rsidRDefault="005F5406" w:rsidP="00285123">
      <w:pPr>
        <w:pStyle w:val="Exposdesmotifstitre"/>
      </w:pPr>
      <w:r>
        <w:lastRenderedPageBreak/>
        <w:t>PASKAIDROJUMA RAKSTS</w:t>
      </w:r>
    </w:p>
    <w:p w:rsidR="00285123" w:rsidRPr="005F5406" w:rsidRDefault="00285123" w:rsidP="00285123">
      <w:pPr>
        <w:pStyle w:val="ManualHeading1"/>
      </w:pPr>
      <w:r w:rsidRPr="003752EA">
        <w:t>1</w:t>
      </w:r>
      <w:r w:rsidRPr="005F5406">
        <w:t>.</w:t>
      </w:r>
      <w:r w:rsidRPr="005F5406">
        <w:tab/>
        <w:t>PRIEKŠLIKUMA KONTEKSTS</w:t>
      </w:r>
    </w:p>
    <w:p w:rsidR="00285123" w:rsidRPr="005F5406" w:rsidRDefault="00285123" w:rsidP="00285123">
      <w:pPr>
        <w:pStyle w:val="ManualHeading2"/>
        <w:rPr>
          <w:rFonts w:eastAsia="Arial Unicode MS"/>
        </w:rPr>
      </w:pPr>
      <w:r w:rsidRPr="005F5406">
        <w:t>•</w:t>
      </w:r>
      <w:r w:rsidRPr="005F5406">
        <w:tab/>
        <w:t>Priekšlikuma pamatojums un mērķi</w:t>
      </w:r>
    </w:p>
    <w:p w:rsidR="00285123" w:rsidRPr="005F5406" w:rsidRDefault="00285123" w:rsidP="00285123">
      <w:r w:rsidRPr="005F5406">
        <w:t xml:space="preserve">Lai efektīvi risinātu klimata pārmaiņu problēmu un sasniegtu ES ilgtermiņa mērķus dekarbonizācijas jomā, proti, līdz </w:t>
      </w:r>
      <w:r w:rsidRPr="003752EA">
        <w:t>2050</w:t>
      </w:r>
      <w:r w:rsidRPr="005F5406">
        <w:t xml:space="preserve">. gadam samazinātu emisijas vismaz par </w:t>
      </w:r>
      <w:r w:rsidRPr="003752EA">
        <w:t>80</w:t>
      </w:r>
      <w:r w:rsidRPr="005F5406">
        <w:t xml:space="preserve"> %, nepieciešama nepārtraukta virzība uz </w:t>
      </w:r>
      <w:proofErr w:type="spellStart"/>
      <w:r w:rsidRPr="005F5406">
        <w:t>mazoglekļa</w:t>
      </w:r>
      <w:proofErr w:type="spellEnd"/>
      <w:r w:rsidRPr="005F5406">
        <w:t xml:space="preserve"> ekonomiku ar jaunām izaugsmes un nodarbinātības iespējām. Sperot būtisku soli šajā virzienā, Eiropadome </w:t>
      </w:r>
      <w:r w:rsidRPr="003752EA">
        <w:t>2014</w:t>
      </w:r>
      <w:r w:rsidRPr="005F5406">
        <w:t xml:space="preserve">. gada oktobrī vienojās par klimata un enerģētikas politikas satvaru laikposmam līdz </w:t>
      </w:r>
      <w:r w:rsidRPr="003752EA">
        <w:t>2030</w:t>
      </w:r>
      <w:r w:rsidRPr="005F5406">
        <w:t>. gadam.</w:t>
      </w:r>
    </w:p>
    <w:p w:rsidR="00285123" w:rsidRPr="005F5406" w:rsidRDefault="00285123" w:rsidP="00285123">
      <w:r w:rsidRPr="005F5406">
        <w:t xml:space="preserve">Šā </w:t>
      </w:r>
      <w:r w:rsidRPr="003752EA">
        <w:t>2030</w:t>
      </w:r>
      <w:r w:rsidRPr="005F5406">
        <w:t xml:space="preserve">. gada klimata un enerģētikas politikas satvara īstenošana ir viens no būtiskākajiem faktoriem, lai izveidotu noturīgu Enerģētikas savienību ar tālredzīgu klimata pārmaiņu politiku, kas nākamajos gados būs Komisijas galvenā prioritāte. Vienlaikus, vienodamās par politikas satvaru laikposmam līdz </w:t>
      </w:r>
      <w:r w:rsidRPr="003752EA">
        <w:t>2030</w:t>
      </w:r>
      <w:r w:rsidRPr="005F5406">
        <w:t xml:space="preserve">. gadam un tā īstenošanu ar šo priekšlikumu, ES ir spērusi būtisku soli pretī spēcīgam starptautiskam nolīgumam klimata pārmaiņu jomā, ko paredzēts pieņemt Parīzē </w:t>
      </w:r>
      <w:r w:rsidRPr="003752EA">
        <w:t>2015</w:t>
      </w:r>
      <w:r w:rsidRPr="005F5406">
        <w:t xml:space="preserve">. gada decembrī. </w:t>
      </w:r>
    </w:p>
    <w:p w:rsidR="00285123" w:rsidRPr="005F5406" w:rsidRDefault="00285123" w:rsidP="00285123">
      <w:r w:rsidRPr="005F5406">
        <w:t xml:space="preserve">Viens no jautājumiem, kuriem </w:t>
      </w:r>
      <w:r w:rsidRPr="003752EA">
        <w:t>2030</w:t>
      </w:r>
      <w:r w:rsidRPr="005F5406">
        <w:t xml:space="preserve">. gada politikas satvarā ir pievērsta galvenā uzmanība, ir saistošais mērķis līdz </w:t>
      </w:r>
      <w:r w:rsidRPr="003752EA">
        <w:t>2030</w:t>
      </w:r>
      <w:r w:rsidRPr="005F5406">
        <w:t xml:space="preserve">. gadam samazināt ES kopējās iekšējās siltumnīcefekta gāzu emisijas vismaz par </w:t>
      </w:r>
      <w:r w:rsidRPr="003752EA">
        <w:t>40</w:t>
      </w:r>
      <w:r w:rsidRPr="005F5406">
        <w:t xml:space="preserve"> % salīdzinājumā ar </w:t>
      </w:r>
      <w:r w:rsidRPr="003752EA">
        <w:t>1990</w:t>
      </w:r>
      <w:r w:rsidRPr="005F5406">
        <w:t xml:space="preserve">. gada līmeni. Lai rentabli sasniegtu šo mērķi, sektoros, kuriem piemēro ES emisijas kvotu tirdzniecības sistēmu (ES ETS), emisijas salīdzinājumā ar </w:t>
      </w:r>
      <w:r w:rsidRPr="003752EA">
        <w:t>2005</w:t>
      </w:r>
      <w:r w:rsidRPr="005F5406">
        <w:t xml:space="preserve">. gada līmeni būs jāsamazina par </w:t>
      </w:r>
      <w:r w:rsidRPr="003752EA">
        <w:t>43</w:t>
      </w:r>
      <w:r w:rsidRPr="005F5406">
        <w:t xml:space="preserve"> %, bet sektoros, kuriem ETS nepiemēro, emisijas salīdzinājumā ar </w:t>
      </w:r>
      <w:r w:rsidRPr="003752EA">
        <w:t>2005</w:t>
      </w:r>
      <w:r w:rsidRPr="005F5406">
        <w:t xml:space="preserve">. gada līmeni būs jāsamazina par </w:t>
      </w:r>
      <w:r w:rsidRPr="003752EA">
        <w:t>30</w:t>
      </w:r>
      <w:r w:rsidRPr="005F5406">
        <w:t> %. Eiropadome ir ieskicējusi galvenos principus, kas jāievēro, lai panāktu minēto samazinājumu ES ETS</w:t>
      </w:r>
      <w:r w:rsidRPr="005F5406">
        <w:rPr>
          <w:rStyle w:val="FootnoteReference"/>
        </w:rPr>
        <w:footnoteReference w:id="1"/>
      </w:r>
      <w:r w:rsidRPr="005F5406">
        <w:t>. Ar šo priekšlikumu izveido nepieciešamo tiesisko regulējumu, ar kuru īsteno Eiropadomes izklāstītos principus, risinot trīs galvenos jautājumus.</w:t>
      </w:r>
    </w:p>
    <w:p w:rsidR="00285123" w:rsidRPr="005F5406" w:rsidRDefault="00285123" w:rsidP="00285123">
      <w:r w:rsidRPr="003752EA">
        <w:t>1</w:t>
      </w:r>
      <w:r w:rsidRPr="005F5406">
        <w:t xml:space="preserve">) Šajā priekšlikumā ETS aptverto sektoru siltumnīcefekta gāzu emisiju samazinājums par </w:t>
      </w:r>
      <w:r w:rsidRPr="003752EA">
        <w:t>43</w:t>
      </w:r>
      <w:r w:rsidRPr="005F5406">
        <w:t xml:space="preserve"> %, ko paredzēts sasniegt līdz </w:t>
      </w:r>
      <w:r w:rsidRPr="003752EA">
        <w:t>2030</w:t>
      </w:r>
      <w:r w:rsidRPr="005F5406">
        <w:t xml:space="preserve">. gadam, ir izteikts kā emisiju maksimālā robežvērtība, kuru no </w:t>
      </w:r>
      <w:r w:rsidRPr="003752EA">
        <w:t>2021</w:t>
      </w:r>
      <w:r w:rsidRPr="005F5406">
        <w:t xml:space="preserve">. gada ik gadu samazina par </w:t>
      </w:r>
      <w:r w:rsidRPr="003752EA">
        <w:t>2</w:t>
      </w:r>
      <w:r w:rsidRPr="005F5406">
        <w:t>,</w:t>
      </w:r>
      <w:r w:rsidRPr="003752EA">
        <w:t>2</w:t>
      </w:r>
      <w:r w:rsidRPr="005F5406">
        <w:t xml:space="preserve"> %, kas salīdzinājumā ar pašreizējo ikgadējo samazinājumu, proti, </w:t>
      </w:r>
      <w:r w:rsidRPr="003752EA">
        <w:t>1</w:t>
      </w:r>
      <w:r w:rsidRPr="005F5406">
        <w:t>,</w:t>
      </w:r>
      <w:r w:rsidRPr="003752EA">
        <w:t>74</w:t>
      </w:r>
      <w:r w:rsidRPr="005F5406">
        <w:t xml:space="preserve"> %, ļauj laikposmā no </w:t>
      </w:r>
      <w:r w:rsidRPr="003752EA">
        <w:t>2021</w:t>
      </w:r>
      <w:r w:rsidRPr="005F5406">
        <w:t xml:space="preserve">. līdz </w:t>
      </w:r>
      <w:r w:rsidRPr="003752EA">
        <w:t>2030</w:t>
      </w:r>
      <w:r w:rsidRPr="005F5406">
        <w:t xml:space="preserve">. gadam samazināt oglekļa dioksīda emisijas vēl par aptuveni </w:t>
      </w:r>
      <w:r w:rsidRPr="003752EA">
        <w:t>556</w:t>
      </w:r>
      <w:r w:rsidRPr="005F5406">
        <w:t> miljoniem tonnu.</w:t>
      </w:r>
    </w:p>
    <w:p w:rsidR="00285123" w:rsidRPr="005F5406" w:rsidRDefault="00285123" w:rsidP="00285123">
      <w:pPr>
        <w:rPr>
          <w:noProof/>
        </w:rPr>
      </w:pPr>
      <w:r w:rsidRPr="003752EA">
        <w:t>2</w:t>
      </w:r>
      <w:r w:rsidRPr="005F5406">
        <w:t xml:space="preserve">) Šajā priekšlikumā, pamatojoties uz pozitīvo pieredzi ar saskaņotajiem noteikumiem, ko īsteno kopš </w:t>
      </w:r>
      <w:r w:rsidRPr="003752EA">
        <w:t>2013</w:t>
      </w:r>
      <w:r w:rsidRPr="005F5406">
        <w:t xml:space="preserve">. gada, izstrādāti paredzami, pamatīgi un taisnīgi noteikumi bezmaksas kvotu iedalīšanai rūpniecības nozarei, lai pienācīgi novērstu potenciālo oglekļa emisiju pārvirzes risku. Ierosināto noteikumu mērķis ir aizsargāt ES energoietilpīgo nozaru starptautisko konkurētspēju, kamēr notiek pakāpeniska pāreja uz </w:t>
      </w:r>
      <w:proofErr w:type="spellStart"/>
      <w:r w:rsidRPr="005F5406">
        <w:t>mazoglekļa</w:t>
      </w:r>
      <w:proofErr w:type="spellEnd"/>
      <w:r w:rsidRPr="005F5406">
        <w:t xml:space="preserve"> ekonomiku un kamēr citās tautsaimnieciski attīstītajās valstīs netiek veikti līdzīgi pasākumi, un saglabāt stimulu ilgtermiņa ieguldījumiem </w:t>
      </w:r>
      <w:proofErr w:type="spellStart"/>
      <w:r w:rsidRPr="005F5406">
        <w:t>mazoglekļa</w:t>
      </w:r>
      <w:proofErr w:type="spellEnd"/>
      <w:r w:rsidRPr="005F5406">
        <w:t xml:space="preserve"> tehnoloģijās. Ņemot vērā to, ka saskaņā ar Eiropadomes lēmumu izsolāmo kvotu daļai nevajadzētu samazināties, rūpniecībai piešķiramo bezmaksas kvotu daudzums</w:t>
      </w:r>
      <w:r w:rsidR="009650E9">
        <w:t xml:space="preserve"> </w:t>
      </w:r>
      <w:r w:rsidRPr="005F5406">
        <w:t xml:space="preserve">ir ierobežots, tāpēc ir nepieciešami ļoti mērķtiecīgi noteikumi. Šāda mērķtiecība galvenokārt tiek panākta, izmantojot trīs līdzekļus. </w:t>
      </w:r>
      <w:r w:rsidRPr="005F5406">
        <w:rPr>
          <w:i/>
        </w:rPr>
        <w:t>Bezmaksas kvotu un ražošanas datu biežāka saskaņošana</w:t>
      </w:r>
      <w:r w:rsidRPr="005F5406">
        <w:t xml:space="preserve"> nodrošinās to, ka tiks sniegts atbalsts augošiem uzņēmumiem un sektoriem. Bezmaksas kvotu aprēķināšanai izmantojamo </w:t>
      </w:r>
      <w:proofErr w:type="spellStart"/>
      <w:r w:rsidRPr="005F5406">
        <w:rPr>
          <w:i/>
        </w:rPr>
        <w:t>līmeņatzīmju</w:t>
      </w:r>
      <w:proofErr w:type="spellEnd"/>
      <w:r w:rsidRPr="005F5406">
        <w:rPr>
          <w:i/>
        </w:rPr>
        <w:t xml:space="preserve"> atjaunināšana</w:t>
      </w:r>
      <w:r w:rsidRPr="005F5406">
        <w:t xml:space="preserve"> atspoguļos nozaru tehnoloģiskās iespējas un progresu, kas panākts iepriekšējo desmit gadu laikā. To </w:t>
      </w:r>
      <w:r w:rsidRPr="005F5406">
        <w:rPr>
          <w:i/>
        </w:rPr>
        <w:t>sektoru saraksts</w:t>
      </w:r>
      <w:r w:rsidRPr="005F5406">
        <w:t>, kas saņem lielāko daļu bezmaksas kvotu, būs vairāk vērsts uz sektoriem, kuros ir vislielākais oglekļa emisiju pārvirzes risks. Noteikumos par oglekļa emisiju pārvirzi galvenokārt tiek runāts par tiešo oglekļa izmaksu kompensēšanu, taču šajā priekšlikumā ir iekļautas arī netiešās oglekļa izmaksas.</w:t>
      </w:r>
    </w:p>
    <w:p w:rsidR="00285123" w:rsidRPr="005F5406" w:rsidRDefault="00285123" w:rsidP="00285123">
      <w:pPr>
        <w:rPr>
          <w:noProof/>
        </w:rPr>
      </w:pPr>
      <w:r w:rsidRPr="005F5406">
        <w:lastRenderedPageBreak/>
        <w:t>Ņemot vērā dalībvalstu atšķirīgās energoresursu struktūras, ES ETS ienākumi būtu jāizmanto, lai atbilstoši valsts atbalsta noteikumiem kompensētu netiešās oglekļa izmaksas. Dalībvalstīm būtu jāpiedāvā daļējas kompensācijas iekārtām nozarēs vai apakšnozarēs, kurās konstatēts būtisks oglekļa emisiju pārvirzes risks, ko izraisa ar siltumnīcefekta gāzu emisijām saistīto izmaksu iekļaušana elektroenerģijas cenā, ja šāds atbalsts ir nepieciešams un proporcionāls un ja saglabājas stimuls taupīt enerģiju un veicināt pieprasījuma maiņu, “pelēkās” elektroenerģijas vietā izvēloties “zaļo”.</w:t>
      </w:r>
    </w:p>
    <w:p w:rsidR="00285123" w:rsidRPr="005F5406" w:rsidRDefault="00285123" w:rsidP="00285123">
      <w:pPr>
        <w:rPr>
          <w:noProof/>
        </w:rPr>
      </w:pPr>
      <w:r w:rsidRPr="005F5406">
        <w:t xml:space="preserve">Protokolam un attiecīgajiem pušu konferences lēmumiem jānodrošina, lai puses, kurām uz to ir tiesības, īpaši puses ar sevišķi ierobežotām iespējām, varētu dinamiski piesaistīt klimata finansējumu, izmantot tehnoloģiju nodošanu un spēju veidošanu Publiskā sektora nodrošinātajam klimata finansējumam būs izšķirīga nozīme, lai piesaistītu resursus pēc </w:t>
      </w:r>
      <w:r w:rsidRPr="003752EA">
        <w:t>2020</w:t>
      </w:r>
      <w:r w:rsidRPr="005F5406">
        <w:t xml:space="preserve">. gada. Tāpēc izsoļu ienākumi būtu jāizmanto arī tam, lai neaizsargātās trešās valstīs īstenotu finansēšanas pasākumus klimata pārmaiņu jomā, tostarp saistībā ar pielāgošanos klimata ietekmei. Tas, cik liels finansējums klimata pārmaiņu jomā jāmobilizē, būs atkarīgs arī no pušu iecerētā valsts noteiktā devuma </w:t>
      </w:r>
      <w:r w:rsidRPr="005F5406">
        <w:rPr>
          <w:i/>
        </w:rPr>
        <w:t>(</w:t>
      </w:r>
      <w:proofErr w:type="spellStart"/>
      <w:r w:rsidRPr="005F5406">
        <w:rPr>
          <w:i/>
        </w:rPr>
        <w:t>Intended</w:t>
      </w:r>
      <w:proofErr w:type="spellEnd"/>
      <w:r w:rsidRPr="005F5406">
        <w:rPr>
          <w:i/>
        </w:rPr>
        <w:t xml:space="preserve"> </w:t>
      </w:r>
      <w:proofErr w:type="spellStart"/>
      <w:r w:rsidRPr="005F5406">
        <w:rPr>
          <w:i/>
        </w:rPr>
        <w:t>Nationally</w:t>
      </w:r>
      <w:proofErr w:type="spellEnd"/>
      <w:r w:rsidRPr="005F5406">
        <w:rPr>
          <w:i/>
        </w:rPr>
        <w:t xml:space="preserve"> </w:t>
      </w:r>
      <w:proofErr w:type="spellStart"/>
      <w:r w:rsidRPr="005F5406">
        <w:rPr>
          <w:i/>
        </w:rPr>
        <w:t>Determined</w:t>
      </w:r>
      <w:proofErr w:type="spellEnd"/>
      <w:r w:rsidRPr="005F5406">
        <w:rPr>
          <w:i/>
        </w:rPr>
        <w:t xml:space="preserve"> </w:t>
      </w:r>
      <w:proofErr w:type="spellStart"/>
      <w:r w:rsidRPr="005F5406">
        <w:rPr>
          <w:i/>
        </w:rPr>
        <w:t>Contribution</w:t>
      </w:r>
      <w:proofErr w:type="spellEnd"/>
      <w:r w:rsidRPr="005F5406">
        <w:rPr>
          <w:i/>
        </w:rPr>
        <w:t>, INDC)</w:t>
      </w:r>
      <w:r w:rsidRPr="005F5406">
        <w:t xml:space="preserve"> vērienīguma un kvalitātes, turpmākiem ieguldījumu plāniem un nacionālajiem pielāgošanās pasākumu plānošanas procesiem. </w:t>
      </w:r>
    </w:p>
    <w:p w:rsidR="00285123" w:rsidRPr="005F5406" w:rsidRDefault="00285123" w:rsidP="00285123">
      <w:r w:rsidRPr="005F5406">
        <w:t>ES ETS ienākumi būtu jāizmanto arī tam, lai ciešā sadarbībā ar sociālajiem partneriem veicinātu jaunu prasmju apguvi un palīdzētu pārorientēties tiem darbiniekiem, kurus saistībā ar ekonomikas dekarbonizāciju skārušas profesionālas pārmaiņas.</w:t>
      </w:r>
    </w:p>
    <w:p w:rsidR="00285123" w:rsidRPr="005F5406" w:rsidRDefault="00285123" w:rsidP="00285123">
      <w:r w:rsidRPr="003752EA">
        <w:t>3</w:t>
      </w:r>
      <w:r w:rsidRPr="005F5406">
        <w:t xml:space="preserve">) Šajā priekšlikumā ir iekļauti vairāki finansēšanas mehānismi, lai palīdzētu ekonomikas dalībniekiem enerģētikas un rūpniecības nozarē risināt inovāciju un investīciju problēmas, ar kurām tie saskaras, pārejot uz </w:t>
      </w:r>
      <w:proofErr w:type="spellStart"/>
      <w:r w:rsidRPr="005F5406">
        <w:t>mazoglekļa</w:t>
      </w:r>
      <w:proofErr w:type="spellEnd"/>
      <w:r w:rsidRPr="005F5406">
        <w:t xml:space="preserve"> ekonomiku. Konkrētāk, šis priekšlikums papildina esošo atbalstu inovatīvu tehnoloģiju demonstrējumiem un paplašina tā darbības jomu, aptverot būtiskas inovācijas rūpniecības nozarē. Lai modernizētu enerģētikas nozari dalībvalstīs ar zemākiem ienākumiem, joprojām var izmantot bezmaksas kvotas, turklāt ir izveidots īpašs fonds, lai atvieglotu ieguldījumus energosistēmu modernizēšanā un uzlabotu energoefektivitāti, tādējādi veicinot emisiju samazināšanos. Šāda papildu finansējuma pamatā ir līdzšinējā pieredze, kas gūta, Komisijai ES ETS kontekstā sadarbojoties ar Eiropas Investīciju banku (EIB), un attiecīgos gadījumos arī Eiropas Stratēģisko investīciju fonda (ESIF) darbības principi.</w:t>
      </w:r>
    </w:p>
    <w:p w:rsidR="00285123" w:rsidRPr="005F5406" w:rsidRDefault="00285123" w:rsidP="00285123">
      <w:pPr>
        <w:rPr>
          <w:noProof/>
        </w:rPr>
      </w:pPr>
      <w:r w:rsidRPr="005F5406">
        <w:t>Turklāt ar šo priekšlikumu direktīvu un visas agrāk deleģētās pilnvaras, ko Komisija varēja izmantot saskaņā ar regulatīvo kontroles procedūru, pielāgo deleģēto un īstenošanas aktu sistēmai, par kuru panākta vienošanās saskaņā ar Lisabonas līgumu</w:t>
      </w:r>
      <w:r w:rsidRPr="005F5406">
        <w:rPr>
          <w:rStyle w:val="FootnoteReference"/>
        </w:rPr>
        <w:footnoteReference w:id="2"/>
      </w:r>
      <w:r w:rsidRPr="005F5406">
        <w:t>. Ņemot vērā ES apņemšanos ieviest labāku regulējumu, deleģētos un īstenošanas aktus izmanto tikai tad, ja tas ir nepieciešams ES ETS efektīvai darbībai.</w:t>
      </w:r>
    </w:p>
    <w:p w:rsidR="00285123" w:rsidRPr="005F5406" w:rsidRDefault="00285123" w:rsidP="00285123">
      <w:pPr>
        <w:rPr>
          <w:b/>
          <w:u w:color="000000"/>
          <w:bdr w:val="nil"/>
        </w:rPr>
      </w:pPr>
      <w:r w:rsidRPr="005F5406">
        <w:t xml:space="preserve">Šajā priekšlikumā nav iekļauti jautājumi, kas saistīti ar aviācijas sektoru ES ETS. Korekcijām attiecībā uz Direktīvas piemērošanu aviācijas darbībām būtu jāstājas spēkā pēc tam, kad </w:t>
      </w:r>
      <w:r w:rsidRPr="005F5406">
        <w:rPr>
          <w:i/>
        </w:rPr>
        <w:t>ICAO</w:t>
      </w:r>
      <w:r w:rsidRPr="005F5406">
        <w:t xml:space="preserve"> asamblejā </w:t>
      </w:r>
      <w:r w:rsidRPr="003752EA">
        <w:t>2016</w:t>
      </w:r>
      <w:r w:rsidRPr="005F5406">
        <w:t xml:space="preserve">. gadā būs panākta starptautiska vienošanās par pasaules mēroga tirgus pasākumiem, kas īstenojami līdz </w:t>
      </w:r>
      <w:r w:rsidRPr="003752EA">
        <w:t>2020</w:t>
      </w:r>
      <w:r w:rsidRPr="005F5406">
        <w:t>. gadam.</w:t>
      </w:r>
    </w:p>
    <w:p w:rsidR="00285123" w:rsidRPr="005F5406" w:rsidRDefault="00285123" w:rsidP="00285123">
      <w:pPr>
        <w:pStyle w:val="ManualHeading2"/>
        <w:rPr>
          <w:rFonts w:eastAsia="Arial Unicode MS"/>
          <w:u w:color="000000"/>
          <w:bdr w:val="nil"/>
        </w:rPr>
      </w:pPr>
      <w:r w:rsidRPr="005F5406">
        <w:tab/>
        <w:t>Atbilstība spēkā esošiem politikas noteikumiem šajā politikas jomā</w:t>
      </w:r>
    </w:p>
    <w:p w:rsidR="00285123" w:rsidRPr="005F5406" w:rsidRDefault="00285123" w:rsidP="00285123">
      <w:pPr>
        <w:rPr>
          <w:noProof/>
        </w:rPr>
      </w:pPr>
      <w:r w:rsidRPr="005F5406">
        <w:t xml:space="preserve">Runājot par saskaņotību ar pārējām klimta </w:t>
      </w:r>
      <w:proofErr w:type="spellStart"/>
      <w:r w:rsidRPr="005F5406">
        <w:t>rīcībpolitikām</w:t>
      </w:r>
      <w:proofErr w:type="spellEnd"/>
      <w:r w:rsidRPr="005F5406">
        <w:t xml:space="preserve">, visbūtiskākā ir atjaunojamo energoresursu un energoefektivitātes politika. Abas minētās </w:t>
      </w:r>
      <w:proofErr w:type="spellStart"/>
      <w:r w:rsidRPr="005F5406">
        <w:t>rīcībpolitikas</w:t>
      </w:r>
      <w:proofErr w:type="spellEnd"/>
      <w:r w:rsidRPr="005F5406">
        <w:t xml:space="preserve"> pilnībā atbalsta ES ETS efektivitāti vides aizsardzības jomā, un nesen panāktā vienošanās par tirgus stabilitātes rezervi ir nostiprinājusi šo </w:t>
      </w:r>
      <w:proofErr w:type="spellStart"/>
      <w:r w:rsidRPr="005F5406">
        <w:t>rīcībpolitiku</w:t>
      </w:r>
      <w:proofErr w:type="spellEnd"/>
      <w:r w:rsidRPr="005F5406">
        <w:t xml:space="preserve"> un ES ETS savstarpējo sinerģiju. Kā norādīts ietekmes novērtējumā, kas pievienots </w:t>
      </w:r>
      <w:r w:rsidRPr="003752EA">
        <w:t>2030</w:t>
      </w:r>
      <w:r w:rsidRPr="005F5406">
        <w:t xml:space="preserve">. gada klimata un enerģētikas satvaram, lai rentabli sasniegtu </w:t>
      </w:r>
      <w:r w:rsidRPr="005F5406">
        <w:lastRenderedPageBreak/>
        <w:t xml:space="preserve">kopējo mērķi samazināt emisijas par </w:t>
      </w:r>
      <w:r w:rsidRPr="003752EA">
        <w:t>40</w:t>
      </w:r>
      <w:r w:rsidRPr="005F5406">
        <w:t xml:space="preserve"> % salīdzinājumā ar </w:t>
      </w:r>
      <w:r w:rsidRPr="003752EA">
        <w:t>1990</w:t>
      </w:r>
      <w:r w:rsidRPr="005F5406">
        <w:t>. gada līmeni, ir nepieciešami būtiski pasākumi atjaunojamo energoresursu un energoefektivitātes jomā.</w:t>
      </w:r>
    </w:p>
    <w:p w:rsidR="00285123" w:rsidRPr="005F5406" w:rsidRDefault="00285123" w:rsidP="00285123">
      <w:pPr>
        <w:rPr>
          <w:noProof/>
        </w:rPr>
      </w:pPr>
      <w:r w:rsidRPr="005F5406">
        <w:t>Runājot par saskaņotību ar starptautisko klimata pārmaiņu politiku, ir svarīgi norādīt, ka ES ETS būtībā ļāva noteikt oglekļa cenu un to plaši izmanto kā paraugu citām emisijas kvotu tirdzniecība sistēmām visā pasaulē, izmantojot ES gūto pieredzi.</w:t>
      </w:r>
    </w:p>
    <w:p w:rsidR="00285123" w:rsidRPr="005F5406" w:rsidRDefault="00285123" w:rsidP="00285123">
      <w:pPr>
        <w:pStyle w:val="ManualHeading2"/>
        <w:rPr>
          <w:rFonts w:eastAsia="Arial Unicode MS"/>
        </w:rPr>
      </w:pPr>
      <w:r w:rsidRPr="005F5406">
        <w:tab/>
        <w:t>Atbilstība pārējiem Savienības politikas virzieniem</w:t>
      </w:r>
    </w:p>
    <w:p w:rsidR="00285123" w:rsidRPr="005F5406" w:rsidRDefault="00285123" w:rsidP="00285123">
      <w:pPr>
        <w:pBdr>
          <w:top w:val="nil"/>
          <w:left w:val="nil"/>
          <w:bottom w:val="nil"/>
          <w:right w:val="nil"/>
          <w:between w:val="nil"/>
          <w:bar w:val="nil"/>
        </w:pBdr>
        <w:spacing w:before="0" w:after="240"/>
      </w:pPr>
      <w:r w:rsidRPr="005F5406">
        <w:t xml:space="preserve">Šajā priekšlikumā paredzēts daļēji īstenot </w:t>
      </w:r>
      <w:r w:rsidRPr="003752EA">
        <w:t>2030</w:t>
      </w:r>
      <w:r w:rsidRPr="005F5406">
        <w:t>. gada klimata un enerģētikas politikas satvaru, kas ir viens no būtiskākajiem faktoriem, lai izveidotu noturīgu Enerģētikas savienību ar tālredzīgu klimata pārmaiņu politiku.</w:t>
      </w:r>
    </w:p>
    <w:p w:rsidR="00285123" w:rsidRPr="005F5406" w:rsidRDefault="00285123" w:rsidP="00285123">
      <w:pPr>
        <w:pBdr>
          <w:top w:val="nil"/>
          <w:left w:val="nil"/>
          <w:bottom w:val="nil"/>
          <w:right w:val="nil"/>
          <w:between w:val="nil"/>
          <w:bar w:val="nil"/>
        </w:pBdr>
        <w:spacing w:before="0" w:after="240"/>
      </w:pPr>
      <w:r w:rsidRPr="005F5406">
        <w:t xml:space="preserve">Dekarbonizācija prasa pielāgošanos. ES politikas un fondi ļauj aktīvi atbalstīt šos pielāgojumus. Papildus pasākumiem, kas ir tieši saistīti ar ES ETS, iespēju saņemt finansējumu ieguldījumiem </w:t>
      </w:r>
      <w:proofErr w:type="spellStart"/>
      <w:r w:rsidRPr="005F5406">
        <w:t>mazoglekļa</w:t>
      </w:r>
      <w:proofErr w:type="spellEnd"/>
      <w:r w:rsidRPr="005F5406">
        <w:t xml:space="preserve"> inovācijā piedāvā arī tādi ES instrumenti kā Eiropas Stratēģisko investīciju fonds vai programma “Apvārsnis </w:t>
      </w:r>
      <w:r w:rsidRPr="003752EA">
        <w:t>2020</w:t>
      </w:r>
      <w:r w:rsidRPr="005F5406">
        <w:t xml:space="preserve">”, kā arī Eiropas strukturālie un investīciju fondi (ESIF), kas var radīt bažas par finansējuma dublēšanās risku. Atjaunojamo energoresursu plašāka izmantošana un </w:t>
      </w:r>
      <w:proofErr w:type="spellStart"/>
      <w:r w:rsidRPr="005F5406">
        <w:t>resursefektivitāte</w:t>
      </w:r>
      <w:proofErr w:type="spellEnd"/>
      <w:r w:rsidRPr="005F5406">
        <w:t>, kā arī pētniecība un izstrāde ir Eiropas Stratēģisko investīciju fonda prioritārās jomas, un šis fonds nākamo trīs gadu laikā ES radīs papildu investīcijas EUR </w:t>
      </w:r>
      <w:r w:rsidRPr="003752EA">
        <w:t>315</w:t>
      </w:r>
      <w:r w:rsidRPr="005F5406">
        <w:t> miljardu apmērā. Eiropas Stratēģisko investīciju fonds izmantos tikai finanšu instrumentus, aizdodot līdzekļus esošiem projektiem, kurus var sākt trīs gadu laikā, un tam būs plašāka darbības joma, kas aptvers dažādus sektorus, piemēram, digitālo ekonomiku un izglītību. ES ETS finansējums ir izstrādāts saskaņā ar valsts atbalsta noteikumiem, lai nodrošinātu valsts izdevumu lietderību un novērstu tirgus izkropļojumus. ES nodarbinātības, sociālās un prasmju politika palīdz pielāgoties profesionālajām pārmaiņām, kas saistītas ar ekonomikas dekarbonizāciju, tostarp izmantojot Eiropas Sociālā fonda līdzekļus.</w:t>
      </w:r>
    </w:p>
    <w:p w:rsidR="00285123" w:rsidRPr="005F5406" w:rsidRDefault="00285123" w:rsidP="00285123">
      <w:pPr>
        <w:pStyle w:val="ManualHeading1"/>
      </w:pPr>
      <w:r w:rsidRPr="005F5406">
        <w:t xml:space="preserve"> </w:t>
      </w:r>
      <w:r w:rsidRPr="003752EA">
        <w:t>2</w:t>
      </w:r>
      <w:r w:rsidRPr="005F5406">
        <w:t>.</w:t>
      </w:r>
      <w:r w:rsidRPr="005F5406">
        <w:tab/>
        <w:t>JURIDISKAIS PAMATS, SUBSIDIARITĀTE UN PROPORCIONALITĀTE</w:t>
      </w:r>
    </w:p>
    <w:p w:rsidR="00285123" w:rsidRPr="005F5406" w:rsidRDefault="00285123" w:rsidP="00285123">
      <w:pPr>
        <w:pStyle w:val="ManualHeading2"/>
        <w:rPr>
          <w:rFonts w:eastAsia="Arial Unicode MS"/>
          <w:u w:color="000000"/>
          <w:bdr w:val="nil"/>
        </w:rPr>
      </w:pPr>
      <w:r w:rsidRPr="005F5406">
        <w:tab/>
        <w:t>Juridiskais pamats</w:t>
      </w:r>
    </w:p>
    <w:p w:rsidR="00285123" w:rsidRPr="005F5406" w:rsidRDefault="00285123" w:rsidP="00285123">
      <w:pPr>
        <w:rPr>
          <w:rFonts w:eastAsia="Arial Unicode MS"/>
        </w:rPr>
      </w:pPr>
      <w:r w:rsidRPr="005F5406">
        <w:t xml:space="preserve">Līguma par Eiropas Savienības darbību (LESD) </w:t>
      </w:r>
      <w:r w:rsidRPr="003752EA">
        <w:t>191</w:t>
      </w:r>
      <w:r w:rsidRPr="005F5406">
        <w:t>.–</w:t>
      </w:r>
      <w:r w:rsidRPr="003752EA">
        <w:t>193</w:t>
      </w:r>
      <w:r w:rsidRPr="005F5406">
        <w:t xml:space="preserve">. pantā ir apstiprinātas un sīkāk precizētas ES kompetences klimata pārmaiņu jomā. Šā priekšlikuma juridiskais pamats ir LESD </w:t>
      </w:r>
      <w:r w:rsidRPr="003752EA">
        <w:t>192</w:t>
      </w:r>
      <w:r w:rsidRPr="005F5406">
        <w:t xml:space="preserve">. pants. </w:t>
      </w:r>
    </w:p>
    <w:p w:rsidR="00285123" w:rsidRPr="005F5406" w:rsidRDefault="00285123" w:rsidP="00285123">
      <w:pPr>
        <w:pStyle w:val="ManualHeading2"/>
        <w:rPr>
          <w:rFonts w:eastAsia="Arial Unicode MS"/>
          <w:u w:color="000000"/>
          <w:bdr w:val="nil"/>
        </w:rPr>
      </w:pPr>
      <w:r w:rsidRPr="005F5406">
        <w:tab/>
        <w:t xml:space="preserve">Subsidiaritāte (jomās, kas nav Savienības ekskluzīvā kompetencē) </w:t>
      </w:r>
    </w:p>
    <w:p w:rsidR="00285123" w:rsidRPr="005F5406" w:rsidRDefault="00285123" w:rsidP="00285123">
      <w:pPr>
        <w:rPr>
          <w:rFonts w:eastAsia="Times New Roman"/>
          <w:szCs w:val="24"/>
        </w:rPr>
      </w:pPr>
      <w:r w:rsidRPr="005F5406">
        <w:t xml:space="preserve">ES ETS direktīva ir pašlaik spēkā esošs ES politikas instruments, kas būs spēkā pēc </w:t>
      </w:r>
      <w:r w:rsidRPr="003752EA">
        <w:t>2020</w:t>
      </w:r>
      <w:r w:rsidRPr="005F5406">
        <w:t xml:space="preserve">. gada. Saskaņā ar subsidiaritātes principu, kas noteikts Līguma par Eiropas Savienības darbību </w:t>
      </w:r>
      <w:r w:rsidRPr="003752EA">
        <w:t>5</w:t>
      </w:r>
      <w:r w:rsidRPr="005F5406">
        <w:t xml:space="preserve">. pantā, mērķus, kas paredzēti priekšlikumā, ar kuru groza šo instrumentu, var sasniegt tikai ar Komisijas priekšlikumu ES līmenī. </w:t>
      </w:r>
    </w:p>
    <w:p w:rsidR="00285123" w:rsidRPr="005F5406" w:rsidRDefault="00285123" w:rsidP="00285123">
      <w:pPr>
        <w:rPr>
          <w:rFonts w:eastAsia="Times New Roman"/>
          <w:szCs w:val="24"/>
        </w:rPr>
      </w:pPr>
      <w:r w:rsidRPr="005F5406">
        <w:t xml:space="preserve">Klimata pārmaiņas ir pārrobežu problēma, tāpēc ir nepieciešama klimata politikas koordinēšana Eiropas un, ja iespējams, arī globālā līmenī. Konkrētāk, rīcība ES līmenī ļaus visefektīvāk īstenot oglekļa dioksīda emisiju tirgus reformu laikposmā pēc </w:t>
      </w:r>
      <w:r w:rsidRPr="003752EA">
        <w:t>2020</w:t>
      </w:r>
      <w:r w:rsidRPr="005F5406">
        <w:t xml:space="preserve">. gada, stimulējot rūpniecības nozares uzņēmumus ieguldīt līdzekļus </w:t>
      </w:r>
      <w:proofErr w:type="spellStart"/>
      <w:r w:rsidRPr="005F5406">
        <w:t>mazoglekļa</w:t>
      </w:r>
      <w:proofErr w:type="spellEnd"/>
      <w:r w:rsidRPr="005F5406">
        <w:t xml:space="preserve"> tehnoloģijās un vienlaikus aizsargājot šo uzņēmumu starptautisko konkurētspēju un ES iekšējo tirgu.</w:t>
      </w:r>
    </w:p>
    <w:p w:rsidR="00285123" w:rsidRPr="005F5406" w:rsidRDefault="00285123" w:rsidP="00285123">
      <w:pPr>
        <w:rPr>
          <w:rFonts w:eastAsia="Times New Roman"/>
          <w:szCs w:val="24"/>
        </w:rPr>
      </w:pPr>
      <w:r w:rsidRPr="005F5406">
        <w:t>Tāpēc šīs direktīvas mērķus nevar pietiekami labi sasniegt, ja dalībvalstis darbojas vienpusēji, bet direktīvas mēroga vai radīto seku dēļ tie ir labāk sasniedzami Savienības līmenī.</w:t>
      </w:r>
    </w:p>
    <w:p w:rsidR="00285123" w:rsidRPr="005F5406" w:rsidRDefault="00285123" w:rsidP="00285123">
      <w:pPr>
        <w:pStyle w:val="ManualHeading2"/>
        <w:rPr>
          <w:rFonts w:eastAsia="Arial Unicode MS"/>
          <w:u w:color="000000"/>
          <w:bdr w:val="nil"/>
        </w:rPr>
      </w:pPr>
      <w:r w:rsidRPr="005F5406">
        <w:tab/>
        <w:t>Proporcionalitāte</w:t>
      </w:r>
    </w:p>
    <w:p w:rsidR="00285123" w:rsidRPr="005F5406" w:rsidRDefault="00285123" w:rsidP="00285123">
      <w:r w:rsidRPr="005F5406">
        <w:t xml:space="preserve">Kā norādīts ietekmes novērtējumā, šis priekšlikums ir saskaņā ar proporcionalitātes principu, jo tajā ir paredzēti tikai tie pasākumi, kas nepieciešami, lai rentabli sasniegtu ES </w:t>
      </w:r>
      <w:r w:rsidRPr="003752EA">
        <w:t>2030</w:t>
      </w:r>
      <w:r w:rsidRPr="005F5406">
        <w:t xml:space="preserve">. gadam </w:t>
      </w:r>
      <w:r w:rsidRPr="005F5406">
        <w:lastRenderedPageBreak/>
        <w:t>nosprausto siltumnīcefekta gāzu emisiju samazināšanas mērķi, vienlaikus nodrošinot iekšējā tirgus pienācīgu darbību.</w:t>
      </w:r>
    </w:p>
    <w:p w:rsidR="00285123" w:rsidRPr="005F5406" w:rsidRDefault="00285123" w:rsidP="00285123">
      <w:pPr>
        <w:keepNext/>
        <w:rPr>
          <w:rFonts w:eastAsia="Arial Unicode MS"/>
          <w:u w:color="000000"/>
          <w:bdr w:val="nil"/>
        </w:rPr>
      </w:pPr>
      <w:r w:rsidRPr="005F5406">
        <w:tab/>
      </w:r>
      <w:r w:rsidRPr="005F5406">
        <w:rPr>
          <w:b/>
          <w:u w:color="000000"/>
          <w:bdr w:val="nil"/>
        </w:rPr>
        <w:t>Juridisko instrumentu izvēle</w:t>
      </w:r>
    </w:p>
    <w:p w:rsidR="00285123" w:rsidRPr="005F5406" w:rsidRDefault="00285123" w:rsidP="00285123">
      <w:r w:rsidRPr="005F5406">
        <w:t>Šā priekšlikuma mērķus vislabāk var sasniegt ar direktīvu. Tas ir vispiemērotākais juridiskais instruments, lai grozītu pašlaik spēkā esošo ES ETS direktīvu (Direktīva </w:t>
      </w:r>
      <w:r w:rsidRPr="003752EA">
        <w:t>2003</w:t>
      </w:r>
      <w:r w:rsidRPr="005F5406">
        <w:t>/</w:t>
      </w:r>
      <w:r w:rsidRPr="003752EA">
        <w:t>87</w:t>
      </w:r>
      <w:r w:rsidRPr="005F5406">
        <w:t>/EK).</w:t>
      </w:r>
    </w:p>
    <w:p w:rsidR="00285123" w:rsidRPr="005F5406" w:rsidRDefault="00285123" w:rsidP="00285123">
      <w:r w:rsidRPr="005F5406">
        <w:t>Direktīva uzliek dalībvalstīm pienākumu sasniegt noteiktus mērķus un ieviest noteiktus pasākumus valsts materiālo un procesuālo tiesību normu sistēmā. Šāda pieeja sniedz dalībvalstīm daudz lielāku rīcības brīvību, īstenojot ES pasākumus, nekā regulas, jo dalībvalstis var izvēlēties piemērotāko veidu, kā īstenot direktīvā paredzētos pasākumus. Tas ļauj dalībvalstīm nodrošināt to, ka grozītie noteikumi atbilst to spēkā esošajām materiālo un procesuālo tiesību normām, ar kurām īsteno ES ETS, un jo īpaši tiesību normām, kas reglamentē atļauju izsniegšanu iekārtu izmantošanai, izpildes pasākumus un sodus.</w:t>
      </w:r>
    </w:p>
    <w:p w:rsidR="00285123" w:rsidRPr="005F5406" w:rsidRDefault="00285123" w:rsidP="00285123">
      <w:r w:rsidRPr="005F5406">
        <w:t>Visbeidzot direktīvas kā piemērota instrumenta izvēle atbilst principam, ka dažādi iejaukšanās pasākumi būtu jāizmanto iespējami reti, ja vien tiek sasniegti noteiktie mērķi.</w:t>
      </w:r>
    </w:p>
    <w:p w:rsidR="00285123" w:rsidRPr="005F5406" w:rsidRDefault="00285123" w:rsidP="00285123">
      <w:pPr>
        <w:pStyle w:val="ManualHeading1"/>
      </w:pPr>
      <w:r w:rsidRPr="003752EA">
        <w:t>3</w:t>
      </w:r>
      <w:r w:rsidRPr="005F5406">
        <w:t>.</w:t>
      </w:r>
      <w:r w:rsidRPr="005F5406">
        <w:tab/>
      </w:r>
      <w:r w:rsidRPr="00967A94">
        <w:rPr>
          <w:i/>
        </w:rPr>
        <w:t>EX-POST</w:t>
      </w:r>
      <w:r w:rsidRPr="005F5406">
        <w:t xml:space="preserve"> NOVĒRTĒJUMU REZULTĀTI, APSPRIEŠANĀS AR IEINTERESĒTAJĀM PERSONĀM UN IETEKMES NOVĒRTĒJUMS</w:t>
      </w:r>
    </w:p>
    <w:p w:rsidR="00285123" w:rsidRPr="005F5406" w:rsidRDefault="00285123" w:rsidP="00285123">
      <w:pPr>
        <w:pStyle w:val="ManualHeading2"/>
        <w:rPr>
          <w:rFonts w:eastAsia="Arial Unicode MS"/>
          <w:u w:color="000000"/>
          <w:bdr w:val="nil"/>
        </w:rPr>
      </w:pPr>
      <w:r w:rsidRPr="005F5406">
        <w:tab/>
      </w:r>
      <w:proofErr w:type="spellStart"/>
      <w:r w:rsidRPr="00967A94">
        <w:rPr>
          <w:i/>
        </w:rPr>
        <w:t>Ex-post</w:t>
      </w:r>
      <w:proofErr w:type="spellEnd"/>
      <w:r w:rsidRPr="005F5406">
        <w:t xml:space="preserve"> novērtējums/spēkā esošo tiesību aktu atbilstības pārbaude</w:t>
      </w:r>
    </w:p>
    <w:p w:rsidR="00285123" w:rsidRPr="005F5406" w:rsidRDefault="00285123" w:rsidP="00285123">
      <w:pPr>
        <w:spacing w:before="60"/>
        <w:rPr>
          <w:szCs w:val="24"/>
        </w:rPr>
      </w:pPr>
      <w:r w:rsidRPr="005F5406">
        <w:t xml:space="preserve">Sākotnējie konstatējumi pētījumā, kurā tika vērtēta spēkā esošās ETS direktīvas nozīmība, efektivitāte, lietderība, ES pievienotā vērtība un saskaņotība ar citiem Savienības politikas virzieniem, liecina, ka kopumā ES ETS kā politikas instruments, kurā regulējums vides jomā ir apvienots ar tirgus instrumentu, praksē darbojas un ļauj sasniegt noteiktos mērķus. Šis instruments ir ļoti būtisks, lai tiktu sasniegti ES mērķi klimata pārmaiņu jomā, jo tas ļauj rentabli samazināt emisijas. Aptvertajos sektoros emisijas ir pakāpeniski samazinājušās, un, lai gan emisiju samazināšanās ne vienmēr ir saistīta tikai ar ES ETS, ir pierādīts, ka šī sistēma tiešām efektīvi veicina emisiju samazināšanos. </w:t>
      </w:r>
    </w:p>
    <w:p w:rsidR="00285123" w:rsidRPr="005F5406" w:rsidRDefault="00285123" w:rsidP="00285123">
      <w:pPr>
        <w:spacing w:before="60"/>
        <w:rPr>
          <w:szCs w:val="24"/>
        </w:rPr>
      </w:pPr>
      <w:r w:rsidRPr="005F5406">
        <w:t>ES ETS veicina CO</w:t>
      </w:r>
      <w:r w:rsidRPr="003752EA">
        <w:rPr>
          <w:vertAlign w:val="subscript"/>
        </w:rPr>
        <w:t>2</w:t>
      </w:r>
      <w:r w:rsidRPr="005F5406">
        <w:t xml:space="preserve"> izmaksu </w:t>
      </w:r>
      <w:proofErr w:type="spellStart"/>
      <w:r w:rsidRPr="005F5406">
        <w:t>internalizāciju</w:t>
      </w:r>
      <w:proofErr w:type="spellEnd"/>
      <w:r w:rsidRPr="005F5406">
        <w:t>. Tam ir nozīme, pieņemot lēmumus par ieguldījumiem, kaut gan pašlaik oglekļa cena ir zema un CO</w:t>
      </w:r>
      <w:r w:rsidRPr="003752EA">
        <w:rPr>
          <w:vertAlign w:val="subscript"/>
        </w:rPr>
        <w:t>2</w:t>
      </w:r>
      <w:r w:rsidRPr="005F5406">
        <w:t xml:space="preserve"> izmaksas bieži vien tiek iekļautas kopējās enerģijas izmaksās. Nelieli uzlabojumi SEG emisiju efektivitātes ziņā ir kļuvuši par ierastu praksi, taču lielāki ieguldījumi SEG emisiju efektivitātes uzlabošanā joprojām ir retums. </w:t>
      </w:r>
    </w:p>
    <w:p w:rsidR="00285123" w:rsidRPr="005F5406" w:rsidRDefault="00285123" w:rsidP="00285123">
      <w:pPr>
        <w:spacing w:before="60"/>
        <w:rPr>
          <w:szCs w:val="24"/>
        </w:rPr>
      </w:pPr>
      <w:r w:rsidRPr="005F5406">
        <w:t xml:space="preserve">Turklāt ES ETS ir skaidra ES pievienotā vērtība, jo atšķirīgas sistēmas vai citi klimata pārmaiņu politikas pasākumi dalībvalstu līmeni radītu sadrumstalotību un papildu izdevumus struktūrām, kurām regulējums jāievēro, kā arī dažāda vēriena mērķus un atšķirīgas oglekļa cenas visā ES, kas novestu pie administratīviem sarežģījumiem. ES ETS, kas ļauj visā ES noteikt vienotu oglekļa cenu un nodrošina saskaņotu infrastruktūru, ļauj izmantot sinerģiju, ko var nodrošināt rīcība ES līmenī. </w:t>
      </w:r>
    </w:p>
    <w:p w:rsidR="00285123" w:rsidRPr="005F5406" w:rsidRDefault="00285123" w:rsidP="00285123">
      <w:pPr>
        <w:rPr>
          <w:rFonts w:eastAsia="Arial Unicode MS"/>
        </w:rPr>
      </w:pPr>
      <w:r w:rsidRPr="005F5406">
        <w:t xml:space="preserve">Tomēr, lai sasniegtu </w:t>
      </w:r>
      <w:r w:rsidRPr="003752EA">
        <w:t>2030</w:t>
      </w:r>
      <w:r w:rsidRPr="005F5406">
        <w:t xml:space="preserve">. gadam nosprausto emisiju samazināšanas mērķi un noteiktu tādu emisiju maksimālo robežvērtību, kas ļautu emisijas samazināt par </w:t>
      </w:r>
      <w:r w:rsidRPr="003752EA">
        <w:t>43</w:t>
      </w:r>
      <w:r w:rsidRPr="005F5406">
        <w:t xml:space="preserve"> % salīdzinājumā ar </w:t>
      </w:r>
      <w:r w:rsidRPr="003752EA">
        <w:t>2005</w:t>
      </w:r>
      <w:r w:rsidRPr="005F5406">
        <w:t xml:space="preserve">. gada līmeni, esošā sistēma ir jāmaina. Nepieciešamās pārmaiņas galvenokārt attiecas uz lineāro samazinājuma koeficientu, kas no </w:t>
      </w:r>
      <w:r w:rsidRPr="003752EA">
        <w:t>2021</w:t>
      </w:r>
      <w:r w:rsidRPr="005F5406">
        <w:t xml:space="preserve">. gada tiks piemērots, lai ik gadu samazinātu ES ETS emisiju maksimālo robežvērtību, kā arī uz </w:t>
      </w:r>
      <w:r w:rsidR="00967A94" w:rsidRPr="005F5406">
        <w:t>bezmaksas</w:t>
      </w:r>
      <w:r w:rsidRPr="005F5406">
        <w:t xml:space="preserve"> kvotu piešķiršanu, oglekļa emisiju pārvirzi, izsolāmo kvotu daļu un </w:t>
      </w:r>
      <w:proofErr w:type="spellStart"/>
      <w:r w:rsidRPr="005F5406">
        <w:t>mazoglekļa</w:t>
      </w:r>
      <w:proofErr w:type="spellEnd"/>
      <w:r w:rsidRPr="005F5406">
        <w:t xml:space="preserve"> tehnoloģiju finansēšanas mehānismiem.</w:t>
      </w:r>
      <w:r w:rsidRPr="005F5406">
        <w:rPr>
          <w:highlight w:val="yellow"/>
        </w:rPr>
        <w:t xml:space="preserve"> </w:t>
      </w:r>
    </w:p>
    <w:p w:rsidR="00285123" w:rsidRPr="005F5406" w:rsidRDefault="00285123" w:rsidP="00285123">
      <w:pPr>
        <w:pStyle w:val="ManualHeading2"/>
        <w:rPr>
          <w:rFonts w:eastAsia="Arial Unicode MS"/>
          <w:u w:color="000000"/>
          <w:bdr w:val="nil"/>
        </w:rPr>
      </w:pPr>
      <w:r w:rsidRPr="005F5406">
        <w:lastRenderedPageBreak/>
        <w:tab/>
        <w:t>Apspriešanās ar ieinteresētajām personām</w:t>
      </w:r>
    </w:p>
    <w:p w:rsidR="00285123" w:rsidRPr="005F5406" w:rsidRDefault="00285123" w:rsidP="00285123">
      <w:pPr>
        <w:rPr>
          <w:rFonts w:eastAsia="Times New Roman"/>
          <w:iCs/>
          <w:szCs w:val="24"/>
        </w:rPr>
      </w:pPr>
      <w:r w:rsidRPr="005F5406">
        <w:t xml:space="preserve">Dažādos priekšlikuma sagatavošanas posmos tika iesaistītas dalībvalstis, rūpniecības nozares pārstāvji, NVO, pētniecības un akadēmiskās iestādes, arodbiedrības un iedzīvotāji. Papildus sabiedriskajai apspriešanai par </w:t>
      </w:r>
      <w:r w:rsidRPr="003752EA">
        <w:t>2030</w:t>
      </w:r>
      <w:r w:rsidRPr="005F5406">
        <w:t xml:space="preserve">. gada satvaru tika organizēta plaša apspriešanās ar ieinteresētajām personām par dažādiem tehniskajiem aspektiem, kas saistīti ar oglekļa emisiju pārvirzes noteikumiem laikposmam pēc </w:t>
      </w:r>
      <w:r w:rsidRPr="003752EA">
        <w:t>2020</w:t>
      </w:r>
      <w:r w:rsidRPr="005F5406">
        <w:t xml:space="preserve">. gada, un dažādiem inovāciju atbalstīšanas aspektiem. Rakstveida apspriešanās, kurā komentārus varēja iesniegt no </w:t>
      </w:r>
      <w:r w:rsidRPr="003752EA">
        <w:t>2014</w:t>
      </w:r>
      <w:r w:rsidRPr="005F5406">
        <w:t>. gada maija līdz jūlijam</w:t>
      </w:r>
      <w:r w:rsidRPr="005F5406">
        <w:rPr>
          <w:rStyle w:val="FootnoteReference"/>
        </w:rPr>
        <w:footnoteReference w:id="3"/>
      </w:r>
      <w:r w:rsidRPr="005F5406">
        <w:t xml:space="preserve">, un trīs ieinteresēto personu sanāksmes, kas notika </w:t>
      </w:r>
      <w:r w:rsidRPr="003752EA">
        <w:t>2014</w:t>
      </w:r>
      <w:r w:rsidRPr="005F5406">
        <w:t>. gada jūnijā, jūlijā un septembrī</w:t>
      </w:r>
      <w:r w:rsidRPr="005F5406">
        <w:rPr>
          <w:rStyle w:val="FootnoteReference"/>
        </w:rPr>
        <w:footnoteReference w:id="4"/>
      </w:r>
      <w:r w:rsidRPr="005F5406">
        <w:t xml:space="preserve"> un kurās galvenā uzmanība tika pievērsta oglekļa emisiju pārvirzei, sniedza Komisijai vērtīgas atziņas. Apspriešanās gaitā gūtās atziņas un konstatējumi ir publiskoti šādā tīmekļa vietnē:</w:t>
      </w:r>
    </w:p>
    <w:p w:rsidR="00285123" w:rsidRPr="005F5406" w:rsidRDefault="00201EF4" w:rsidP="00285123">
      <w:pPr>
        <w:rPr>
          <w:rFonts w:eastAsia="Times New Roman"/>
          <w:iCs/>
          <w:szCs w:val="24"/>
        </w:rPr>
      </w:pPr>
      <w:hyperlink r:id="rId16">
        <w:r w:rsidR="00285123" w:rsidRPr="005F5406">
          <w:rPr>
            <w:rStyle w:val="Hyperlink"/>
          </w:rPr>
          <w:t>http://ec.europa.eu/clima/policies/ets/cap/leakage/documentation_en.htm</w:t>
        </w:r>
      </w:hyperlink>
      <w:r w:rsidR="00285123" w:rsidRPr="005F5406">
        <w:t xml:space="preserve"> </w:t>
      </w:r>
    </w:p>
    <w:p w:rsidR="00285123" w:rsidRPr="005F5406" w:rsidRDefault="00285123" w:rsidP="00285123">
      <w:r w:rsidRPr="005F5406">
        <w:t xml:space="preserve">Pēc tam notika apspriešanās tiešsaistē, kurā komentārus varēja iesniegt no </w:t>
      </w:r>
      <w:r w:rsidRPr="003752EA">
        <w:t>2014</w:t>
      </w:r>
      <w:r w:rsidRPr="005F5406">
        <w:t xml:space="preserve">. gada decembra līdz </w:t>
      </w:r>
      <w:r w:rsidRPr="003752EA">
        <w:t>2015</w:t>
      </w:r>
      <w:r w:rsidRPr="005F5406">
        <w:t xml:space="preserve">. gada martam un kurā galvenā uzmanība tika pievērsta citiem ES ETS aspektiem, piemēram, turpmākai bezmaksas kvotu piešķiršanai enerģētikas nozarei, atziņām, kas gūtas, īstenojot programmu </w:t>
      </w:r>
      <w:r w:rsidRPr="005F5406">
        <w:rPr>
          <w:i/>
        </w:rPr>
        <w:t>NER</w:t>
      </w:r>
      <w:r w:rsidRPr="003752EA">
        <w:rPr>
          <w:i/>
        </w:rPr>
        <w:t>300</w:t>
      </w:r>
      <w:r w:rsidRPr="005F5406">
        <w:t xml:space="preserve">, un būtu piemērojamas topošajam Inovācijas fondam, un fonda darbības paplašināšanai, ietverot rūpnieciskās inovācijas projektus, Modernizācijas fonda pārvaldības struktūrai un pieredzei, kas saistīta ar mazo emitētāju fakultatīvo izslēgšanu no ETS </w:t>
      </w:r>
      <w:r w:rsidRPr="003752EA">
        <w:t>3</w:t>
      </w:r>
      <w:r w:rsidRPr="005F5406">
        <w:t xml:space="preserve">. posma, kā arī Savienības reģistra nodevām un ES ETS vispārējam novērtējumam. Komisija saņēma vairāk nekā </w:t>
      </w:r>
      <w:r w:rsidRPr="003752EA">
        <w:t>500</w:t>
      </w:r>
      <w:r w:rsidRPr="005F5406">
        <w:t xml:space="preserve"> iesniegumu no plaša ieinteresēto personu loka. Otrās apspriešanās rezultāti ir izklāstīti šim priekšlikumam pievienotā ietekmes novērtējuma </w:t>
      </w:r>
      <w:r w:rsidRPr="003752EA">
        <w:t>1</w:t>
      </w:r>
      <w:r w:rsidRPr="005F5406">
        <w:t>.</w:t>
      </w:r>
      <w:r w:rsidRPr="003752EA">
        <w:t>3</w:t>
      </w:r>
      <w:r w:rsidRPr="005F5406">
        <w:t>.</w:t>
      </w:r>
      <w:r w:rsidRPr="003752EA">
        <w:t>2</w:t>
      </w:r>
      <w:r w:rsidRPr="005F5406">
        <w:t xml:space="preserve">. iedaļā un </w:t>
      </w:r>
      <w:r w:rsidRPr="003752EA">
        <w:t>3</w:t>
      </w:r>
      <w:r w:rsidRPr="005F5406">
        <w:t>. pielikumā</w:t>
      </w:r>
      <w:r w:rsidRPr="005F5406">
        <w:rPr>
          <w:rStyle w:val="FootnoteReference"/>
        </w:rPr>
        <w:footnoteReference w:id="5"/>
      </w:r>
      <w:r w:rsidRPr="005F5406">
        <w:t xml:space="preserve"> un, ciktāl iespējams, ņemti vērā, sagatavojot šo priekšlikumu.</w:t>
      </w:r>
    </w:p>
    <w:p w:rsidR="00285123" w:rsidRPr="005F5406" w:rsidRDefault="00285123" w:rsidP="00285123">
      <w:r w:rsidRPr="005F5406">
        <w:t>Kopumā sabiedriskā apspriešana atklāja, ka ES ETS kā politikas instruments ir guvis plašu atbalstu.</w:t>
      </w:r>
    </w:p>
    <w:p w:rsidR="00285123" w:rsidRPr="005F5406" w:rsidRDefault="00285123" w:rsidP="00285123">
      <w:r w:rsidRPr="005F5406">
        <w:t xml:space="preserve">Runājot par bezmaksas kvotu piešķiršanu un oglekļa emisiju pārvirzes riska novēršanu, vairākas rūpniecības nozares ieinteresētās personas atbalsta nelielus pašreizējās sistēmas grozījumus, turpretī citas ieinteresētās personas, tostarp dalībvalstis un pilsoniskā sabiedrība, uzskata, ka nepieciešami mērķtiecīgāki pasākumi vai plašāka saskaņošana. Ņemot vērā šos komentārus, priekšlikumā ir paredzēti nelieli spēkā esošo noteikumu grozījumi un mērķtiecīgāka bezmaksas kvotu piešķiršanai, proti, </w:t>
      </w:r>
      <w:proofErr w:type="spellStart"/>
      <w:r w:rsidRPr="005F5406">
        <w:t>līmeņatzīmes</w:t>
      </w:r>
      <w:proofErr w:type="spellEnd"/>
      <w:r w:rsidRPr="005F5406">
        <w:t xml:space="preserve"> tiks atjauninātas atbilstoši laika gaitā panāktajam tehnikas progresam un vienlaikus tiks pienācīgi aizsargāta rūpniecības nozares starptautiskā konkurētspēja. Priekšlikums ļauj bezmaksas kvotu skaitu precīzāk saskaņot ar pašreizējo ražošanas līmeni, biežāk aprēķinot individuālās kvotas.</w:t>
      </w:r>
    </w:p>
    <w:p w:rsidR="00285123" w:rsidRPr="005F5406" w:rsidRDefault="00285123" w:rsidP="00285123">
      <w:r w:rsidRPr="005F5406">
        <w:t xml:space="preserve">Attiecībā uz Inovācijas fondu enerģētikas un rūpniecības nozares ieinteresētās personas kopumā atbalsta ierosmi arī turpmāk atbalstīt </w:t>
      </w:r>
      <w:proofErr w:type="spellStart"/>
      <w:r w:rsidRPr="005F5406">
        <w:t>mazoglekļa</w:t>
      </w:r>
      <w:proofErr w:type="spellEnd"/>
      <w:r w:rsidRPr="005F5406">
        <w:t xml:space="preserve"> inovāciju un paplašināt fonda darbības jomu, iekļaujot tajā rūpniecību, kā atspoguļots šajā priekšlikumā. Ieinteresētajām personām bija atšķirīgi viedokļi par to, kā riska dalīšanas pieeju varētu piemērot rūpniecības nozarei vai oglekļa dioksīda uztveršanai un uzglabāšanai, lai uzlabotu efektivitāti salīdzinājumā ar pašreizējo programmas </w:t>
      </w:r>
      <w:r w:rsidRPr="005F5406">
        <w:rPr>
          <w:i/>
        </w:rPr>
        <w:t>NER</w:t>
      </w:r>
      <w:r w:rsidRPr="003752EA">
        <w:rPr>
          <w:i/>
        </w:rPr>
        <w:t>300</w:t>
      </w:r>
      <w:r w:rsidRPr="005F5406">
        <w:t xml:space="preserve"> mehānismu. Priekšlikumā šie jautājumi risināti, paredzot augstāku atbalsta likmi un iespēju sniegt atbalstu agrākā projekta cikla posmā. </w:t>
      </w:r>
    </w:p>
    <w:p w:rsidR="00285123" w:rsidRPr="005F5406" w:rsidRDefault="00285123" w:rsidP="00285123">
      <w:r w:rsidRPr="005F5406">
        <w:lastRenderedPageBreak/>
        <w:t>Zināmā mērā atšķīrās arī ieinteresēto personu viedokļi par Modernizācijas fonda piemērotāko pārvaldības struktūru. Dažas ieinteresētās personas uzskata, ka Fonda pārvaldībā lielākai ietekmei būtu jābūt tām dalībvalstīm, kuras saņem atbalstu, bet citas rosina palielināt visu dalībvalstu, Komisijas un Eiropas Investīciju bankas ietekmi. Šajā priekšlikumā ir panākts pienācīgs līdzsvars starp nepieciešamību, no vienas puses, nodrošināt efektīvu projektu finansēšanu saņēmējās dalībvalstīs un, no otras puses, nodrošināt to, ka visu dalībvalstu intereses un EIB zināšanas tiek ņemtas vērā, lai modernizētu energosistēmas.</w:t>
      </w:r>
    </w:p>
    <w:p w:rsidR="00285123" w:rsidRPr="005F5406" w:rsidRDefault="00285123" w:rsidP="00285123">
      <w:r w:rsidRPr="005F5406">
        <w:t xml:space="preserve">Attiecībā uz neobligāto bezmaksas kvotu iedalīšanu enerģētikas uzņēmumiem tirgus dalībnieki kopumā atbalsta racionālu un vienkāršotu noteikumu, kā arī saskaņotu ziņošanas pamatnostādņu ieviešanu, lai uzlabotu šā mehānisma </w:t>
      </w:r>
      <w:proofErr w:type="spellStart"/>
      <w:r w:rsidRPr="005F5406">
        <w:t>pārredzamību</w:t>
      </w:r>
      <w:proofErr w:type="spellEnd"/>
      <w:r w:rsidRPr="005F5406">
        <w:t xml:space="preserve">. Nepieciešamība nodrošināt lielāku </w:t>
      </w:r>
      <w:proofErr w:type="spellStart"/>
      <w:r w:rsidRPr="005F5406">
        <w:t>pārredzamību</w:t>
      </w:r>
      <w:proofErr w:type="spellEnd"/>
      <w:r w:rsidRPr="005F5406">
        <w:t xml:space="preserve"> un ieviest skaidrākus noteikumus ir pienācīgi atspoguļota šajā priekšlikumā, proti, Komisijai ir dota iespēja publiskot informāciju par ieguldījumiem, kas saņemta no dalībvalstīm.</w:t>
      </w:r>
    </w:p>
    <w:p w:rsidR="00285123" w:rsidRPr="005F5406" w:rsidRDefault="00285123" w:rsidP="00285123">
      <w:pPr>
        <w:pStyle w:val="ManualHeading2"/>
        <w:rPr>
          <w:rFonts w:eastAsia="Arial Unicode MS"/>
          <w:u w:color="000000"/>
          <w:bdr w:val="nil"/>
        </w:rPr>
      </w:pPr>
      <w:r w:rsidRPr="005F5406">
        <w:t>•</w:t>
      </w:r>
      <w:r w:rsidRPr="005F5406">
        <w:tab/>
        <w:t>Ekspertu atzinumu pieprasīšana un izmantošana</w:t>
      </w:r>
    </w:p>
    <w:p w:rsidR="00285123" w:rsidRPr="005F5406" w:rsidRDefault="00285123" w:rsidP="00285123">
      <w:pPr>
        <w:rPr>
          <w:szCs w:val="24"/>
        </w:rPr>
      </w:pPr>
      <w:r w:rsidRPr="005F5406">
        <w:t xml:space="preserve">Kas attiecas uz ārējo ekspertu atzinumiem, Komisija balstās uz zinātniski recenzētiem empīriskiem pētījumiem par ES ETS, kuru skaits arvien palielinās. Papildus tam Komisija ieguva datus no pētījuma par ETS novērtējumu, kas tika pasūtīts </w:t>
      </w:r>
      <w:r w:rsidRPr="003752EA">
        <w:t>2014</w:t>
      </w:r>
      <w:r w:rsidRPr="005F5406">
        <w:t xml:space="preserve">. gadā un ko veica “ICF </w:t>
      </w:r>
      <w:proofErr w:type="spellStart"/>
      <w:r w:rsidRPr="005F5406">
        <w:t>International</w:t>
      </w:r>
      <w:proofErr w:type="spellEnd"/>
      <w:r w:rsidRPr="005F5406">
        <w:t>” vadītais konsorcijs</w:t>
      </w:r>
      <w:r w:rsidRPr="005F5406">
        <w:rPr>
          <w:rStyle w:val="FootnoteReference"/>
        </w:rPr>
        <w:footnoteReference w:id="6"/>
      </w:r>
      <w:r w:rsidRPr="005F5406">
        <w:t xml:space="preserve">. Turklāt </w:t>
      </w:r>
      <w:r w:rsidRPr="003752EA">
        <w:t>2014</w:t>
      </w:r>
      <w:r w:rsidRPr="005F5406">
        <w:t>. gadā tika pasūtīts pētījums</w:t>
      </w:r>
      <w:r w:rsidRPr="005F5406">
        <w:rPr>
          <w:rStyle w:val="FootnoteReference"/>
        </w:rPr>
        <w:footnoteReference w:id="7"/>
      </w:r>
      <w:r w:rsidRPr="005F5406">
        <w:t>, lai izvērtētu jautājumu par to, ka rūpniecības sektoros izmaksas tiek pārnestas uz pakārtotajiem klientiem, un lai noteiktu, kādi faktori ietekmē iespējas izmaksas pārnest tālāk, attiecībā uz lielākajām energoietilpīgajām nozarēm izsakot to kvantitatīvi. Vēl kāds pētījums</w:t>
      </w:r>
      <w:r w:rsidRPr="005F5406">
        <w:rPr>
          <w:rStyle w:val="FootnoteReference"/>
        </w:rPr>
        <w:footnoteReference w:id="8"/>
      </w:r>
      <w:r w:rsidRPr="005F5406">
        <w:t xml:space="preserve"> tika pasūtīts tālab, lai novērtētu pieredzi, kas gūta ar saskaņoto kvotu piešķiršanas procesu, kura pamatā ir </w:t>
      </w:r>
      <w:proofErr w:type="spellStart"/>
      <w:r w:rsidRPr="005F5406">
        <w:t>līmeņatzīmes</w:t>
      </w:r>
      <w:proofErr w:type="spellEnd"/>
      <w:r w:rsidRPr="005F5406">
        <w:t xml:space="preserve">, un jo īpaši, lai noteiktu, vai minētās </w:t>
      </w:r>
      <w:proofErr w:type="spellStart"/>
      <w:r w:rsidRPr="005F5406">
        <w:t>līmeņatzīmes</w:t>
      </w:r>
      <w:proofErr w:type="spellEnd"/>
      <w:r w:rsidRPr="005F5406">
        <w:t xml:space="preserve"> ir ļāvušas sasniegt paredzētos mērķus. Visbeidzot </w:t>
      </w:r>
      <w:r w:rsidRPr="003752EA">
        <w:t>2013</w:t>
      </w:r>
      <w:r w:rsidRPr="005F5406">
        <w:t>. gadā tika pasūtīts pētījums</w:t>
      </w:r>
      <w:r w:rsidRPr="005F5406">
        <w:rPr>
          <w:rStyle w:val="FootnoteReference"/>
        </w:rPr>
        <w:footnoteReference w:id="9"/>
      </w:r>
      <w:r w:rsidRPr="005F5406">
        <w:t xml:space="preserve">, lai izvērtētu pierādījumus par oglekļa emisiju pārvirzi desmit lielākajās energoietilpīgajās rūpniecības nozarēs laika posmā no </w:t>
      </w:r>
      <w:r w:rsidRPr="003752EA">
        <w:t>2005</w:t>
      </w:r>
      <w:r w:rsidRPr="005F5406">
        <w:t xml:space="preserve">. līdz </w:t>
      </w:r>
      <w:r w:rsidRPr="003752EA">
        <w:t>2012</w:t>
      </w:r>
      <w:r w:rsidRPr="005F5406">
        <w:t>. gadam. Šo pētījumu gaitā iegūtie dati ir izklāstīti priekšlikumam pievienotajā ietekmes novērtējumā.</w:t>
      </w:r>
    </w:p>
    <w:p w:rsidR="00285123" w:rsidRPr="005F5406" w:rsidRDefault="00285123" w:rsidP="00285123">
      <w:pPr>
        <w:rPr>
          <w:szCs w:val="24"/>
        </w:rPr>
      </w:pPr>
      <w:r w:rsidRPr="005F5406">
        <w:t xml:space="preserve">Ietekmes novērtējuma gaitā veiktajā analīzē tika izmantoti arī verificēti dati, kas saņemti no dalībvalstīm, lai noteiktu </w:t>
      </w:r>
      <w:r w:rsidRPr="003752EA">
        <w:t>3</w:t>
      </w:r>
      <w:r w:rsidRPr="005F5406">
        <w:t>. posmā piešķiramo bezmaksas kvotu skaitu.</w:t>
      </w:r>
    </w:p>
    <w:p w:rsidR="00285123" w:rsidRPr="005F5406" w:rsidRDefault="00285123" w:rsidP="00285123">
      <w:pPr>
        <w:pStyle w:val="ManualHeading2"/>
        <w:rPr>
          <w:rFonts w:eastAsia="Arial Unicode MS"/>
          <w:u w:color="000000"/>
          <w:bdr w:val="nil"/>
        </w:rPr>
      </w:pPr>
      <w:r w:rsidRPr="005F5406">
        <w:t>•</w:t>
      </w:r>
      <w:r w:rsidRPr="005F5406">
        <w:tab/>
        <w:t>Ietekmes novērtējums</w:t>
      </w:r>
    </w:p>
    <w:p w:rsidR="00285123" w:rsidRPr="005F5406" w:rsidRDefault="00285123" w:rsidP="00285123">
      <w:pPr>
        <w:rPr>
          <w:rFonts w:eastAsia="Times New Roman"/>
          <w:iCs/>
          <w:szCs w:val="24"/>
        </w:rPr>
      </w:pPr>
      <w:r w:rsidRPr="005F5406">
        <w:t xml:space="preserve">Ierosinātajai direktīvai ir pievienots ietekmes novērtējums, kura pamatā galvenokārt ir dati, kuri iegūti, veicot vispusīgu ietekmes novērtējumu saistībā ar </w:t>
      </w:r>
      <w:r w:rsidRPr="003752EA">
        <w:t>2030</w:t>
      </w:r>
      <w:r w:rsidRPr="005F5406">
        <w:t>. gada</w:t>
      </w:r>
      <w:r w:rsidRPr="005F5406">
        <w:rPr>
          <w:rStyle w:val="FootnoteReference"/>
        </w:rPr>
        <w:footnoteReference w:id="10"/>
      </w:r>
      <w:r w:rsidRPr="005F5406">
        <w:t>, un īpaša uzmanība pievērsta</w:t>
      </w:r>
      <w:r w:rsidR="009650E9">
        <w:t xml:space="preserve"> </w:t>
      </w:r>
      <w:r w:rsidRPr="005F5406">
        <w:t xml:space="preserve">atsevišķiem, ETS specifiskiem metodoloģiskiem elementiem, kas vēl nav novērtēti. </w:t>
      </w:r>
    </w:p>
    <w:p w:rsidR="00285123" w:rsidRPr="005F5406" w:rsidRDefault="00285123" w:rsidP="00285123">
      <w:pPr>
        <w:rPr>
          <w:rFonts w:eastAsia="Times New Roman"/>
          <w:iCs/>
          <w:szCs w:val="24"/>
        </w:rPr>
      </w:pPr>
      <w:r w:rsidRPr="005F5406">
        <w:t xml:space="preserve">Ietekmes novērtējuma kopsavilkuma lapa, analītiskais kopsavilkums un Ietekmes novērtējuma padomes pozitīvais atzinums būs publiski pieejami. Ietekmes novērtējumā tika analizēti vairāki aspekti, attiecībā uz kuriem Eiropadome savos secinājumos par </w:t>
      </w:r>
      <w:r w:rsidRPr="003752EA">
        <w:t>2030</w:t>
      </w:r>
      <w:r w:rsidRPr="005F5406">
        <w:t xml:space="preserve">. gada satvaru ir </w:t>
      </w:r>
      <w:r w:rsidRPr="005F5406">
        <w:lastRenderedPageBreak/>
        <w:t>devusi stratēģiskus norādījumus. Te ietilpst potenciālā oglekļa emisiju pārvirzes riska novēršana, Modernizācijas un Inovācijas fonda izveidošana, neobligāta</w:t>
      </w:r>
      <w:r w:rsidR="009650E9">
        <w:t xml:space="preserve"> </w:t>
      </w:r>
      <w:r w:rsidRPr="005F5406">
        <w:t xml:space="preserve">bezmaksas kvotu iedalīšana elektroenerģijas nozares modernizācijai dalībvalstīs ar zemākiem ienākumiem, kā arī vairāki aspekti, kuru pamatā </w:t>
      </w:r>
      <w:r w:rsidR="00967A94" w:rsidRPr="005F5406">
        <w:t>ir kopš</w:t>
      </w:r>
      <w:r w:rsidRPr="005F5406">
        <w:t xml:space="preserve"> </w:t>
      </w:r>
      <w:r w:rsidRPr="003752EA">
        <w:t>2013</w:t>
      </w:r>
      <w:r w:rsidRPr="005F5406">
        <w:t>. gada uzkrātā pieredze, piemēram, emisijas kvotu derīgums, stabila un droša reģistra nodrošināšana un turpmāka mazo emitētāju fakultatīva izslēgšana no shēmas.</w:t>
      </w:r>
    </w:p>
    <w:p w:rsidR="00285123" w:rsidRPr="005F5406" w:rsidRDefault="00285123" w:rsidP="00285123">
      <w:pPr>
        <w:rPr>
          <w:rFonts w:eastAsia="Times New Roman"/>
          <w:iCs/>
          <w:szCs w:val="24"/>
        </w:rPr>
      </w:pPr>
      <w:r w:rsidRPr="005F5406">
        <w:t xml:space="preserve">Attiecībā uz potenciālā oglekļa emisiju pārvirzes riska novēršanu tika apsvērtas vairākas iespējas, kas saistītas ar </w:t>
      </w:r>
      <w:proofErr w:type="spellStart"/>
      <w:r w:rsidRPr="005F5406">
        <w:t>līmeņatzīmju</w:t>
      </w:r>
      <w:proofErr w:type="spellEnd"/>
      <w:r w:rsidRPr="005F5406">
        <w:t xml:space="preserve"> atjaunināšanu, ražošanas līmeņa korekcijām, sektoru iedalīšanu oglekļa emisiju pārvirzes riska grupās un netiešo izmaksu kompensēšanu. Attiecībā uz Inovācijas fondu galvenā uzmanība tika </w:t>
      </w:r>
      <w:r w:rsidR="00967A94" w:rsidRPr="005F5406">
        <w:t>pievērsta projektu</w:t>
      </w:r>
      <w:r w:rsidRPr="005F5406">
        <w:t xml:space="preserve"> atlasei un izraudzīšanai un finansiālā atbalsta sniegšanai. Attiecībā uz Modernizācijas fondu tika apsvērtas dažādas fonda pārvaldības iespējas. Attiecībā uz neobligāto bezmaksas kvotu iedalīšanu enerģētikas uzņēmumiem ir izstrādāti iespējamie risinājumi, kas salīdzinājumā ar pašreizējo praksi ļautu uzlabot piešķiršanas kārtību un </w:t>
      </w:r>
      <w:proofErr w:type="spellStart"/>
      <w:r w:rsidRPr="005F5406">
        <w:t>pārredzamību</w:t>
      </w:r>
      <w:proofErr w:type="spellEnd"/>
      <w:r w:rsidRPr="005F5406">
        <w:t>.</w:t>
      </w:r>
    </w:p>
    <w:p w:rsidR="00285123" w:rsidRPr="005F5406" w:rsidRDefault="00285123" w:rsidP="00285123">
      <w:pPr>
        <w:pBdr>
          <w:top w:val="nil"/>
          <w:left w:val="nil"/>
          <w:bottom w:val="nil"/>
          <w:right w:val="nil"/>
          <w:between w:val="nil"/>
          <w:bar w:val="nil"/>
        </w:pBdr>
        <w:spacing w:before="0" w:after="240"/>
        <w:rPr>
          <w:rFonts w:eastAsia="Times New Roman"/>
          <w:iCs/>
          <w:szCs w:val="24"/>
        </w:rPr>
      </w:pPr>
      <w:r w:rsidRPr="005F5406">
        <w:t xml:space="preserve">Ietekmes ziņā ES ETS mērķi vides aizsardzības jomā ir atkarīgi no emisiju maksimālās robežvērtības, un ierosinātie lineārā samazinājuma koeficienta mainīšana ļauj sasniegt saskaņoto pamatmērķi, proti, samazināt emisijas ES ETS aptvertajos sektoros par </w:t>
      </w:r>
      <w:r w:rsidRPr="003752EA">
        <w:t>43</w:t>
      </w:r>
      <w:r w:rsidRPr="005F5406">
        <w:t xml:space="preserve"> % salīdzinājumā ar </w:t>
      </w:r>
      <w:r w:rsidRPr="003752EA">
        <w:t>2005</w:t>
      </w:r>
      <w:r w:rsidRPr="005F5406">
        <w:t xml:space="preserve">. gada līmeni. Tas, ka ES ETS devums, kas nepieciešams, lai tiktu sasniegts ES kopējais emisiju samazināšanas mērķis </w:t>
      </w:r>
      <w:r w:rsidRPr="003752EA">
        <w:t>2030</w:t>
      </w:r>
      <w:r w:rsidRPr="005F5406">
        <w:t>. gadam, jau ir noteikts, ir viens no iemesliem, kuru dēļ vispārējā ietekme nebija atkarīga no izvērtētajiem politikas risinājumiem.</w:t>
      </w:r>
    </w:p>
    <w:p w:rsidR="00285123" w:rsidRPr="005F5406" w:rsidRDefault="00285123" w:rsidP="00285123">
      <w:pPr>
        <w:pBdr>
          <w:top w:val="nil"/>
          <w:left w:val="nil"/>
          <w:bottom w:val="nil"/>
          <w:right w:val="nil"/>
          <w:between w:val="nil"/>
          <w:bar w:val="nil"/>
        </w:pBdr>
        <w:spacing w:before="0" w:after="240"/>
        <w:rPr>
          <w:rFonts w:eastAsia="Times New Roman"/>
          <w:iCs/>
          <w:szCs w:val="24"/>
        </w:rPr>
      </w:pPr>
      <w:r w:rsidRPr="005F5406">
        <w:t xml:space="preserve">Pārmaiņas tieši ietekmē uzņēmumus, uz kuriem attiecas ES ETS. Nozaru līmenī ietekme lielākajās rūpniecības nozarēs, kurām piemēro ES ETS, zināmā mērā atšķiras atkarībā no izvēlētā varianta. Tomēr politikas risinājumi, kas ļauj samazināt izmaksas un ietekmi atsevišķās rūpniecības nozarēs, parasti rada augstākas izmaksas un lielāku ietekmi citās rūpniecības nozarēs, jo bezmaksas kvotu kopējais daudzums ir ierobežots. Šajā priekšlikumā ir paredzētas dažādas iespējas arī atjaunojamās enerģijas un </w:t>
      </w:r>
      <w:proofErr w:type="spellStart"/>
      <w:r w:rsidRPr="005F5406">
        <w:t>mazoglekļa</w:t>
      </w:r>
      <w:proofErr w:type="spellEnd"/>
      <w:r w:rsidRPr="005F5406">
        <w:t xml:space="preserve"> tehnoloģiju iekārtu ražotājiem. Konkrētāk, papildu finansējums inovatīvām tehnoloģijām nodrošinās jaunas uzņēmējdarbības iespējas.</w:t>
      </w:r>
    </w:p>
    <w:p w:rsidR="00285123" w:rsidRPr="005F5406" w:rsidRDefault="00285123" w:rsidP="00285123">
      <w:pPr>
        <w:pStyle w:val="ManualHeading2"/>
        <w:rPr>
          <w:rFonts w:eastAsia="Arial Unicode MS"/>
          <w:u w:color="000000"/>
          <w:bdr w:val="nil"/>
        </w:rPr>
      </w:pPr>
      <w:r w:rsidRPr="005F5406">
        <w:t>•</w:t>
      </w:r>
      <w:r w:rsidRPr="005F5406">
        <w:tab/>
        <w:t>Normatīvā atbilstība un vienkāršošana</w:t>
      </w:r>
    </w:p>
    <w:p w:rsidR="00285123" w:rsidRPr="005F5406" w:rsidRDefault="00285123" w:rsidP="00285123">
      <w:pPr>
        <w:pBdr>
          <w:top w:val="nil"/>
          <w:left w:val="nil"/>
          <w:bottom w:val="nil"/>
          <w:right w:val="nil"/>
          <w:between w:val="nil"/>
          <w:bar w:val="nil"/>
        </w:pBdr>
        <w:spacing w:before="0" w:after="240"/>
        <w:rPr>
          <w:rFonts w:eastAsia="Times New Roman"/>
          <w:iCs/>
          <w:szCs w:val="24"/>
        </w:rPr>
      </w:pPr>
      <w:r w:rsidRPr="005F5406">
        <w:t xml:space="preserve">Saskaņā ar Komisijas apņemšanos ieviest labāku regulējumu šis priekšlikums sagatavots, iesaistot iespējami plašu ieinteresēto personu loku, pamatojoties uz pilnīgu </w:t>
      </w:r>
      <w:proofErr w:type="spellStart"/>
      <w:r w:rsidRPr="005F5406">
        <w:t>pārredzamību</w:t>
      </w:r>
      <w:proofErr w:type="spellEnd"/>
      <w:r w:rsidRPr="005F5406">
        <w:t xml:space="preserve"> un nepārtrauktu sadarbību ar ieinteresētajām personām, ņemot vērā ārējās atsauksmes un ārējās pārbaudes rezultātus, lai priekšlikumā panāktu pareizo līdzsvaru (</w:t>
      </w:r>
      <w:proofErr w:type="spellStart"/>
      <w:r w:rsidRPr="005F5406">
        <w:t>skat</w:t>
      </w:r>
      <w:proofErr w:type="spellEnd"/>
      <w:r w:rsidRPr="005F5406">
        <w:t xml:space="preserve">. arī iedaļu par ekspertu atzinumu pieprasīšana un izmantošana). </w:t>
      </w:r>
    </w:p>
    <w:p w:rsidR="00285123" w:rsidRPr="005F5406" w:rsidRDefault="00285123" w:rsidP="00285123">
      <w:pPr>
        <w:pBdr>
          <w:top w:val="nil"/>
          <w:left w:val="nil"/>
          <w:bottom w:val="nil"/>
          <w:right w:val="nil"/>
          <w:between w:val="nil"/>
          <w:bar w:val="nil"/>
        </w:pBdr>
        <w:spacing w:before="0" w:after="240"/>
        <w:rPr>
          <w:rFonts w:eastAsia="Times New Roman"/>
          <w:iCs/>
          <w:szCs w:val="24"/>
        </w:rPr>
      </w:pPr>
      <w:r w:rsidRPr="005F5406">
        <w:t xml:space="preserve">Lai gan lielākā daļa iekārtu, uz kurām attiecas ES ETS, tiek izmantotas energoietilpīgajās rūpniecības nozarēs, kuru tirgus struktūrai raksturīgi lieli uzņēmumi, šajā priekšlikumā ir ņemti vērā arī mazie emitētāji, kas var piederēt MVU vai </w:t>
      </w:r>
      <w:proofErr w:type="spellStart"/>
      <w:r w:rsidRPr="005F5406">
        <w:t>mikrouzņēmumiem</w:t>
      </w:r>
      <w:proofErr w:type="spellEnd"/>
      <w:r w:rsidRPr="005F5406">
        <w:t>. Papildus spēkā esošajiem noteikumiem, kas mazina administratīvo slogu un emisiju monitoringa un ziņošanas izmaksas, uz iekārtām ar zemu emisiju līmeni attiecas ierosinājums arī turpmāk ļaut dalībvalstīm izslēgt šīs iekārtas no ES ETS, ja tām tiek piemēroti valsts pasākumi, kas nodrošina līdzvērtīgu emisiju samazinājumu.</w:t>
      </w:r>
    </w:p>
    <w:p w:rsidR="00285123" w:rsidRPr="005F5406" w:rsidRDefault="00285123" w:rsidP="00285123">
      <w:pPr>
        <w:pStyle w:val="ManualHeading2"/>
        <w:rPr>
          <w:rFonts w:eastAsia="Arial Unicode MS"/>
          <w:u w:color="000000"/>
          <w:bdr w:val="nil"/>
        </w:rPr>
      </w:pPr>
      <w:r w:rsidRPr="005F5406">
        <w:lastRenderedPageBreak/>
        <w:t>•</w:t>
      </w:r>
      <w:r w:rsidRPr="005F5406">
        <w:tab/>
        <w:t>Pamattiesības</w:t>
      </w:r>
    </w:p>
    <w:p w:rsidR="00285123" w:rsidRPr="005F5406" w:rsidRDefault="00285123" w:rsidP="00285123">
      <w:pPr>
        <w:pBdr>
          <w:top w:val="nil"/>
          <w:left w:val="nil"/>
          <w:bottom w:val="nil"/>
          <w:right w:val="nil"/>
          <w:between w:val="nil"/>
          <w:bar w:val="nil"/>
        </w:pBdr>
        <w:spacing w:before="0" w:after="240"/>
      </w:pPr>
      <w:r w:rsidRPr="005F5406">
        <w:t xml:space="preserve">Šis priekšlikums atbilst pamattiesībām un principiem, kas jo īpaši atzīti Eiropas Savienības Pamattiesību hartā. Konkrētāk, tas palīdz sasniegt augstu vides aizsardzības līmeni saskaņā ar ilgtspējīgas attīstības principu, kā noteikts Eiropas Savienības Pamattiesību hartas </w:t>
      </w:r>
      <w:r w:rsidRPr="003752EA">
        <w:t>37</w:t>
      </w:r>
      <w:r w:rsidRPr="005F5406">
        <w:t>. pantā</w:t>
      </w:r>
      <w:r w:rsidRPr="005F5406">
        <w:rPr>
          <w:rStyle w:val="FootnoteReference"/>
        </w:rPr>
        <w:footnoteReference w:id="11"/>
      </w:r>
      <w:r w:rsidRPr="005F5406">
        <w:t>.</w:t>
      </w:r>
    </w:p>
    <w:p w:rsidR="00285123" w:rsidRPr="005F5406" w:rsidRDefault="00285123" w:rsidP="00285123">
      <w:pPr>
        <w:pStyle w:val="ManualHeading1"/>
      </w:pPr>
      <w:r w:rsidRPr="005F5406">
        <w:t xml:space="preserve"> </w:t>
      </w:r>
      <w:r w:rsidRPr="003752EA">
        <w:t>4</w:t>
      </w:r>
      <w:r w:rsidRPr="005F5406">
        <w:t>.</w:t>
      </w:r>
      <w:r w:rsidRPr="005F5406">
        <w:tab/>
        <w:t>IETEKME UZ BUDŽETU</w:t>
      </w:r>
    </w:p>
    <w:p w:rsidR="00285123" w:rsidRPr="005F5406" w:rsidRDefault="00285123" w:rsidP="00285123">
      <w:r w:rsidRPr="005F5406">
        <w:t xml:space="preserve">ES ETS ļauj dalībvalstīm gūt būtiskus budžeta ieņēmumus. Tieši tāpēc šis priekšlikums ietekmē valstu budžetus un pārvaldes iestādes. Savienības reģistra drošai darbībai nepieciešamo finansējumu piešķir no Savienības budžeta. Šim priekšlikumam ir arī neliela un ierobežota ietekme uz ES budžetu, tomēr to pilnībā sedz pašreizējā daudzgadu finanšu shēma </w:t>
      </w:r>
      <w:r w:rsidRPr="003752EA">
        <w:t>2014</w:t>
      </w:r>
      <w:r w:rsidRPr="005F5406">
        <w:t>.–</w:t>
      </w:r>
      <w:r w:rsidRPr="003752EA">
        <w:t>2020</w:t>
      </w:r>
      <w:r w:rsidRPr="005F5406">
        <w:t>. gadam.</w:t>
      </w:r>
    </w:p>
    <w:p w:rsidR="00285123" w:rsidRPr="005F5406" w:rsidRDefault="00285123" w:rsidP="00285123">
      <w:pPr>
        <w:pStyle w:val="ManualHeading1"/>
      </w:pPr>
      <w:r w:rsidRPr="003752EA">
        <w:t>5</w:t>
      </w:r>
      <w:r w:rsidRPr="005F5406">
        <w:t>.</w:t>
      </w:r>
      <w:r w:rsidRPr="005F5406">
        <w:tab/>
        <w:t>PĀRĒJIE ELEMENTI</w:t>
      </w:r>
    </w:p>
    <w:p w:rsidR="00285123" w:rsidRPr="005F5406" w:rsidRDefault="00285123" w:rsidP="00285123">
      <w:pPr>
        <w:pStyle w:val="ManualHeading2"/>
        <w:rPr>
          <w:rFonts w:eastAsia="Arial Unicode MS"/>
          <w:u w:color="000000"/>
          <w:bdr w:val="nil"/>
        </w:rPr>
      </w:pPr>
      <w:r w:rsidRPr="005F5406">
        <w:tab/>
        <w:t>Īstenošanas plāni un pārraudzības, novērtēšanas un ziņojumu sniegšanas kārtība</w:t>
      </w:r>
    </w:p>
    <w:p w:rsidR="00285123" w:rsidRPr="005F5406" w:rsidRDefault="00285123" w:rsidP="00285123">
      <w:pPr>
        <w:pBdr>
          <w:top w:val="nil"/>
          <w:left w:val="nil"/>
          <w:bottom w:val="nil"/>
          <w:right w:val="nil"/>
          <w:between w:val="nil"/>
          <w:bar w:val="nil"/>
        </w:pBdr>
        <w:spacing w:before="0" w:after="240"/>
        <w:rPr>
          <w:rFonts w:eastAsia="Arial Unicode MS"/>
        </w:rPr>
      </w:pPr>
      <w:r w:rsidRPr="003752EA">
        <w:t>2030</w:t>
      </w:r>
      <w:r w:rsidRPr="005F5406">
        <w:t>. gada klimata un enerģētikas satvara īstenošana būs ietverta Enerģētikas savienības integrētajā pārvaldības un pārraudzības procesā.</w:t>
      </w:r>
    </w:p>
    <w:p w:rsidR="00285123" w:rsidRPr="005F5406" w:rsidRDefault="00285123" w:rsidP="00285123">
      <w:pPr>
        <w:pBdr>
          <w:top w:val="nil"/>
          <w:left w:val="nil"/>
          <w:bottom w:val="nil"/>
          <w:right w:val="nil"/>
          <w:between w:val="nil"/>
          <w:bar w:val="nil"/>
        </w:pBdr>
        <w:spacing w:before="0" w:after="240"/>
        <w:rPr>
          <w:rFonts w:eastAsia="Arial Unicode MS"/>
        </w:rPr>
      </w:pPr>
      <w:r w:rsidRPr="005F5406">
        <w:t xml:space="preserve">Spēkā esošās direktīvas </w:t>
      </w:r>
      <w:r w:rsidRPr="003752EA">
        <w:t>10</w:t>
      </w:r>
      <w:r w:rsidRPr="005F5406">
        <w:t xml:space="preserve">. panta </w:t>
      </w:r>
      <w:r w:rsidRPr="003752EA">
        <w:t>5</w:t>
      </w:r>
      <w:r w:rsidRPr="005F5406">
        <w:t>. punktā noteikts, ka Komisijai ir jāuzrauga Eiropas oglekļa dioksīda emisiju tirgus darbība un katru gadu jāiesniedz Eiropas Parlamentam un Padomei attiecīgs ziņojums. Saistībā ar pārraudzības procesu Komisija turpinās dialogu ar visām ieinteresētajām personām.</w:t>
      </w:r>
    </w:p>
    <w:p w:rsidR="00285123" w:rsidRPr="005F5406" w:rsidRDefault="00285123" w:rsidP="00285123">
      <w:pPr>
        <w:pBdr>
          <w:top w:val="nil"/>
          <w:left w:val="nil"/>
          <w:bottom w:val="nil"/>
          <w:right w:val="nil"/>
          <w:between w:val="nil"/>
          <w:bar w:val="nil"/>
        </w:pBdr>
        <w:spacing w:before="0" w:after="240"/>
        <w:rPr>
          <w:rFonts w:eastAsia="Arial Unicode MS"/>
        </w:rPr>
      </w:pPr>
      <w:r w:rsidRPr="005F5406">
        <w:t xml:space="preserve">Pēc tam, kad ierosinātā direktīva būs pieņemta, Komisija turpinās pārraudzīt tiesisko regulējumu, ar kuru dalībvalstīs transponē no ES ETS izrietošās saistības, kā arī jebkādu īpašu saistību izpildi. Šim nolūkam </w:t>
      </w:r>
      <w:r w:rsidRPr="003752EA">
        <w:t>21</w:t>
      </w:r>
      <w:r w:rsidRPr="005F5406">
        <w:t>. pantā paredzēts, ka dalībvalstis katru gadu iesniedz Komisijai ziņojumu par direktīvas piemērošanu.</w:t>
      </w:r>
    </w:p>
    <w:p w:rsidR="00285123" w:rsidRPr="005F5406" w:rsidRDefault="00285123" w:rsidP="00285123">
      <w:pPr>
        <w:pBdr>
          <w:top w:val="nil"/>
          <w:left w:val="nil"/>
          <w:bottom w:val="nil"/>
          <w:right w:val="nil"/>
          <w:between w:val="nil"/>
          <w:bar w:val="nil"/>
        </w:pBdr>
        <w:spacing w:before="0" w:after="240"/>
        <w:rPr>
          <w:rFonts w:eastAsia="Arial Unicode MS"/>
        </w:rPr>
      </w:pPr>
      <w:r w:rsidRPr="005F5406">
        <w:t>Ar šo priekšlikumu iepriekš minētās ziņošanas</w:t>
      </w:r>
      <w:r w:rsidR="009650E9">
        <w:t xml:space="preserve"> </w:t>
      </w:r>
      <w:r w:rsidRPr="005F5406">
        <w:t xml:space="preserve">prasības netiek grozītas. Tomēr priekšlikumā ir paredzētas vēl citas īpašas ziņošanas prasības dalībvalstīm, piemēram, saistībā ar bezmaksas kvotu iedalīšanu enerģētikas nozarei un finansējumu, kas, izmantojot Modernizācijas fondu, tiks piešķirts energosistēmu modernizēšanai dalībvalstīs ar zemākiem ienākumiem. Šīs ziņošanas prasības ir izstrādātas tālab, lai uzlabotu un nodrošinātu atbalstīto investīciju īstenošanas </w:t>
      </w:r>
      <w:proofErr w:type="spellStart"/>
      <w:r w:rsidRPr="005F5406">
        <w:t>pārredzamību</w:t>
      </w:r>
      <w:proofErr w:type="spellEnd"/>
      <w:r w:rsidRPr="005F5406">
        <w:t>.</w:t>
      </w:r>
    </w:p>
    <w:p w:rsidR="00285123" w:rsidRPr="005F5406" w:rsidRDefault="00285123" w:rsidP="00285123">
      <w:pPr>
        <w:pBdr>
          <w:top w:val="nil"/>
          <w:left w:val="nil"/>
          <w:bottom w:val="nil"/>
          <w:right w:val="nil"/>
          <w:between w:val="nil"/>
          <w:bar w:val="nil"/>
        </w:pBdr>
        <w:spacing w:before="0" w:after="240"/>
        <w:rPr>
          <w:rFonts w:eastAsia="Arial Unicode MS"/>
          <w:u w:color="000000"/>
          <w:bdr w:val="nil"/>
        </w:rPr>
      </w:pPr>
      <w:r w:rsidRPr="005F5406">
        <w:t xml:space="preserve">Visbeidzot tad, kad priekšlikumā ierosinātie pasākumi būs pilnīgi ieviesti dalībvalstīs un būs darbojušies ilgāku laiku, tiks veikts </w:t>
      </w:r>
      <w:proofErr w:type="spellStart"/>
      <w:r w:rsidRPr="005F5406">
        <w:rPr>
          <w:i/>
        </w:rPr>
        <w:t>ex-post</w:t>
      </w:r>
      <w:proofErr w:type="spellEnd"/>
      <w:r w:rsidRPr="005F5406">
        <w:t xml:space="preserve"> novērtējums.</w:t>
      </w:r>
    </w:p>
    <w:p w:rsidR="00285123" w:rsidRPr="005F5406" w:rsidRDefault="00285123" w:rsidP="00285123">
      <w:pPr>
        <w:pStyle w:val="ManualHeading2"/>
        <w:rPr>
          <w:rFonts w:eastAsia="Arial Unicode MS"/>
          <w:u w:color="000000"/>
          <w:bdr w:val="nil"/>
        </w:rPr>
      </w:pPr>
      <w:r w:rsidRPr="005F5406">
        <w:tab/>
        <w:t xml:space="preserve">Skaidrojoši dokumenti </w:t>
      </w:r>
    </w:p>
    <w:p w:rsidR="00285123" w:rsidRPr="005F5406" w:rsidRDefault="00285123" w:rsidP="00285123">
      <w:pPr>
        <w:pBdr>
          <w:top w:val="nil"/>
          <w:left w:val="nil"/>
          <w:bottom w:val="nil"/>
          <w:right w:val="nil"/>
          <w:between w:val="nil"/>
          <w:bar w:val="nil"/>
        </w:pBdr>
        <w:spacing w:before="0" w:after="240"/>
        <w:rPr>
          <w:rFonts w:eastAsia="Arial Unicode MS"/>
        </w:rPr>
      </w:pPr>
      <w:r w:rsidRPr="005F5406">
        <w:t>Ierosinātajā direktīvā ir paredzēti īpaši pasākumi, ar kuriem groza esošo ES ETS kārtību. No ierosinātās direktīvas izriet vairāki juridiskie pienākumi. Tāpēc tās efektīvai transponēšanai būs nepieciešami konkrēti un precīzi attiecīgo valsts tiesību aktu grozījumi. Tomēr, lai Komisija varētu pārraudzīt, vai Direktīva tiek piemērota pareizi, atsevišķos gadījumos var nepietikt ar to, ka dalībvalstis tai nosūta grozīto valsts piemērošanas noteikumu tekstu. Tāpēc iespējams, ka attiecīgos gadījumos būs nepieciešami skaidrojoši dokumenti par priekšlikuma transponēšanu.</w:t>
      </w:r>
    </w:p>
    <w:p w:rsidR="00285123" w:rsidRPr="005F5406" w:rsidRDefault="00285123" w:rsidP="00285123">
      <w:pPr>
        <w:pStyle w:val="ManualHeading2"/>
        <w:rPr>
          <w:rFonts w:eastAsia="Arial Unicode MS"/>
          <w:u w:color="000000"/>
          <w:bdr w:val="nil"/>
        </w:rPr>
      </w:pPr>
      <w:r w:rsidRPr="005F5406">
        <w:lastRenderedPageBreak/>
        <w:tab/>
        <w:t>Priekšlikuma noteikumu sīkāks skaidrojums</w:t>
      </w:r>
    </w:p>
    <w:p w:rsidR="00285123" w:rsidRPr="005F5406" w:rsidRDefault="00285123" w:rsidP="00285123">
      <w:pPr>
        <w:rPr>
          <w:rFonts w:eastAsia="Times New Roman"/>
          <w:szCs w:val="24"/>
        </w:rPr>
      </w:pPr>
      <w:r w:rsidRPr="005F5406">
        <w:t>Turpmāk norādīti ES ETS direktīvas galvenie elementi, kas tiek grozīti ar šo priekšlikumu.</w:t>
      </w:r>
    </w:p>
    <w:p w:rsidR="00285123" w:rsidRPr="005F5406" w:rsidRDefault="00285123" w:rsidP="00285123">
      <w:r w:rsidRPr="005F5406">
        <w:t>Lineārais samazinājuma koeficients (</w:t>
      </w:r>
      <w:r w:rsidRPr="003752EA">
        <w:t>9</w:t>
      </w:r>
      <w:r w:rsidRPr="005F5406">
        <w:t>. pants)</w:t>
      </w:r>
    </w:p>
    <w:p w:rsidR="00285123" w:rsidRPr="005F5406" w:rsidRDefault="00285123" w:rsidP="00285123">
      <w:pPr>
        <w:rPr>
          <w:rFonts w:eastAsia="Times New Roman"/>
          <w:szCs w:val="24"/>
        </w:rPr>
      </w:pPr>
      <w:r w:rsidRPr="005F5406">
        <w:t xml:space="preserve">No </w:t>
      </w:r>
      <w:r w:rsidRPr="003752EA">
        <w:t>2021</w:t>
      </w:r>
      <w:r w:rsidRPr="005F5406">
        <w:t xml:space="preserve">. gada lineārais samazinājuma koeficients tiek mainīts uz </w:t>
      </w:r>
      <w:r w:rsidRPr="003752EA">
        <w:t>2</w:t>
      </w:r>
      <w:r w:rsidRPr="005F5406">
        <w:t>,</w:t>
      </w:r>
      <w:r w:rsidRPr="003752EA">
        <w:t>2</w:t>
      </w:r>
      <w:r w:rsidRPr="005F5406">
        <w:t xml:space="preserve"> %. Tas nozīmē, ka kopējā kvotu daudzuma (emisiju maksimālās robežvērtības) ikgadējais samazinājums būs lielāks, kas ļaus līdz </w:t>
      </w:r>
      <w:r w:rsidRPr="003752EA">
        <w:t>2030</w:t>
      </w:r>
      <w:r w:rsidRPr="005F5406">
        <w:t xml:space="preserve">. gadam samazināt ES ETS aptverto sektoru kopējās emisijas par </w:t>
      </w:r>
      <w:r w:rsidRPr="003752EA">
        <w:t>43</w:t>
      </w:r>
      <w:r w:rsidRPr="005F5406">
        <w:t> %.</w:t>
      </w:r>
    </w:p>
    <w:p w:rsidR="00285123" w:rsidRPr="005F5406" w:rsidRDefault="00285123" w:rsidP="00285123">
      <w:r w:rsidRPr="005F5406">
        <w:t>Izsolāmo kvotu daļa (</w:t>
      </w:r>
      <w:r w:rsidRPr="003752EA">
        <w:t>10</w:t>
      </w:r>
      <w:r w:rsidRPr="005F5406">
        <w:t>. pants)</w:t>
      </w:r>
    </w:p>
    <w:p w:rsidR="00285123" w:rsidRPr="005F5406" w:rsidRDefault="00285123" w:rsidP="00285123">
      <w:pPr>
        <w:rPr>
          <w:rFonts w:eastAsia="Times New Roman"/>
          <w:szCs w:val="24"/>
        </w:rPr>
      </w:pPr>
      <w:r w:rsidRPr="005F5406">
        <w:t xml:space="preserve">Saskaņā ar Eiropadomes </w:t>
      </w:r>
      <w:r w:rsidRPr="003752EA">
        <w:t>2014</w:t>
      </w:r>
      <w:r w:rsidRPr="005F5406">
        <w:t xml:space="preserve">. gada oktobra norādījumu, ka izsolāmo kvotu daļai nevajadzētu samazināties, šajā priekšlikumā attiecīgā daļa izteikta procentos, ņemot vērā dažādos elementus, kas nosaka šīs daļas lielumu no </w:t>
      </w:r>
      <w:r w:rsidRPr="003752EA">
        <w:t>2013</w:t>
      </w:r>
      <w:r w:rsidRPr="005F5406">
        <w:t xml:space="preserve">.gada līdz </w:t>
      </w:r>
      <w:r w:rsidRPr="003752EA">
        <w:t>2020</w:t>
      </w:r>
      <w:r w:rsidRPr="005F5406">
        <w:t xml:space="preserve">. gadam. Sadalījuma ziņā </w:t>
      </w:r>
      <w:r w:rsidRPr="003752EA">
        <w:t>10</w:t>
      </w:r>
      <w:r w:rsidRPr="005F5406">
        <w:t xml:space="preserve"> % dalībvalstīm izsolāmo ES ETS kvotu apjoma arī turpmāk tiks sadalīti starp atsevišķām dalībvalstīm ar zemākiem ienākumiem solidaritātes, izaugsmes un </w:t>
      </w:r>
      <w:proofErr w:type="spellStart"/>
      <w:r w:rsidRPr="005F5406">
        <w:t>starpsavienojumu</w:t>
      </w:r>
      <w:proofErr w:type="spellEnd"/>
      <w:r w:rsidRPr="005F5406">
        <w:t xml:space="preserve"> labad, bet pārējās kvotas tiks sadalītas starp visām dalībvalstīm.</w:t>
      </w:r>
    </w:p>
    <w:p w:rsidR="00285123" w:rsidRPr="005F5406" w:rsidRDefault="00285123" w:rsidP="00285123">
      <w:r w:rsidRPr="005F5406">
        <w:t>Bezmaksas kvotu iedalīšanas un oglekļa emisiju pārvirzes noteikumi (</w:t>
      </w:r>
      <w:r w:rsidRPr="003752EA">
        <w:t>10</w:t>
      </w:r>
      <w:r w:rsidRPr="005F5406">
        <w:t xml:space="preserve">.a un </w:t>
      </w:r>
      <w:r w:rsidRPr="003752EA">
        <w:t>10</w:t>
      </w:r>
      <w:r w:rsidRPr="005F5406">
        <w:t>.b pants)</w:t>
      </w:r>
    </w:p>
    <w:p w:rsidR="00285123" w:rsidRPr="005F5406" w:rsidRDefault="00285123" w:rsidP="00285123">
      <w:pPr>
        <w:rPr>
          <w:rFonts w:eastAsia="Times New Roman"/>
          <w:szCs w:val="24"/>
        </w:rPr>
      </w:pPr>
      <w:r w:rsidRPr="005F5406">
        <w:t xml:space="preserve">Šajā priekšlikumā paredzēts, ka </w:t>
      </w:r>
      <w:proofErr w:type="spellStart"/>
      <w:r w:rsidRPr="005F5406">
        <w:t>līmeņatzīmes</w:t>
      </w:r>
      <w:proofErr w:type="spellEnd"/>
      <w:r w:rsidRPr="005F5406">
        <w:t xml:space="preserve">, ko izmanto, lai noteiktu, cik lielas emisijas kvotas bez maksas piešķiramas rūpniecības nozarei, tiks atjauninātas, lai tās atspoguļotu tehnikas progresu, kas laika gaitā panākts attiecīgajos sektoros. Tālab tiks piemērots standarta koeficients un paredzēta iespēja piemērot </w:t>
      </w:r>
      <w:r w:rsidR="00967A94" w:rsidRPr="005F5406">
        <w:t>koriģētu koeficientu</w:t>
      </w:r>
      <w:r w:rsidRPr="005F5406">
        <w:t>, ja tiks konstatēts, ka tehnikas progresa faktiskie tempi kādā sektorā būtiski atšķiras no minētā standarta koeficienta.</w:t>
      </w:r>
    </w:p>
    <w:p w:rsidR="00285123" w:rsidRPr="005F5406" w:rsidRDefault="00285123" w:rsidP="00285123">
      <w:pPr>
        <w:rPr>
          <w:rFonts w:eastAsia="Times New Roman"/>
          <w:szCs w:val="24"/>
        </w:rPr>
      </w:pPr>
      <w:r w:rsidRPr="005F5406">
        <w:t xml:space="preserve">Nozarēm, kuras uzskata par pakļautām oglekļa emisiju pārvirzes riskam, arī turpmāk tiks piešķirtas lielākas kvotas nekā citām, kurās attiecīgās izmaksas ir vieglāk iekļaut galaprodukta cenā. Pārskatītā metodika, ko izmanto, lai noteiktu, kurās nozarēs un apakšnozarēs patiešām pastāv oglekļa emisiju pārvirzes risks, izstrādāta, pamatojoties uz diviem saistītiem kritērijiem, proti, uz emisiju intensitāti un tirdzniecības intensitāti. </w:t>
      </w:r>
    </w:p>
    <w:p w:rsidR="00285123" w:rsidRPr="005F5406" w:rsidRDefault="00285123" w:rsidP="00285123">
      <w:pPr>
        <w:rPr>
          <w:rFonts w:eastAsia="Times New Roman"/>
          <w:szCs w:val="24"/>
        </w:rPr>
      </w:pPr>
      <w:r w:rsidRPr="005F5406">
        <w:t>Turklāt bezmaksas kvotu daudzums tiks precīzāk pieskaņots nozaru faktiskajam ražošanas līmenim. Šim nolūkam bezmaksas kvotu daudzums tiks periodiski atjaunināts, taču stimuls ieviest inovācijas tiks saglabāts un dalībvalstīm, operatoriem un Komisijai uzliktais administratīvais slogs un izmaksas joprojām būs samērīgas.</w:t>
      </w:r>
    </w:p>
    <w:p w:rsidR="00285123" w:rsidRPr="005F5406" w:rsidRDefault="00285123" w:rsidP="00285123">
      <w:pPr>
        <w:rPr>
          <w:rFonts w:eastAsia="Times New Roman"/>
          <w:szCs w:val="24"/>
        </w:rPr>
      </w:pPr>
      <w:r w:rsidRPr="005F5406">
        <w:t xml:space="preserve">Kvotas, kas piešķiramas jaunām iekārtām, kā arī gadījumos, kad būtiski palielinājies ražošanas apjoms, tiks nodrošinātas, izmantojot īpašu rezervi. Šī jauno iekārtu rezerve tiks izveidota, izmantojot </w:t>
      </w:r>
      <w:r w:rsidRPr="003752EA">
        <w:t>250</w:t>
      </w:r>
      <w:r w:rsidRPr="005F5406">
        <w:t xml:space="preserve"> miljonus neiedalīto kvotu no tirgus stabilitātes rezerves, un pēc </w:t>
      </w:r>
      <w:r w:rsidRPr="003752EA">
        <w:t>2021</w:t>
      </w:r>
      <w:r w:rsidRPr="005F5406">
        <w:t xml:space="preserve">. gada to papildinās kvotas, kas nav izmantotas iekārtu slēgšanas dēļ vai tāpēc, ka būtiski mainījies ražošanas apjoms. Rūpniecības nozares kvotas, kas līdz </w:t>
      </w:r>
      <w:r w:rsidRPr="003752EA">
        <w:t>2020</w:t>
      </w:r>
      <w:r w:rsidRPr="005F5406">
        <w:t>. gadam nebūs piešķirtas bez maksas un nebūs iekļautas tirgus stabilitātes rezervē, arī tiks iekļautas minētajā jauno iekārtu rezervē.</w:t>
      </w:r>
    </w:p>
    <w:p w:rsidR="00285123" w:rsidRPr="005F5406" w:rsidRDefault="00285123" w:rsidP="00285123">
      <w:r w:rsidRPr="005F5406">
        <w:t>Netiešās oglekļa izmaksas (</w:t>
      </w:r>
      <w:r w:rsidRPr="003752EA">
        <w:t>10</w:t>
      </w:r>
      <w:r w:rsidRPr="005F5406">
        <w:t xml:space="preserve">.a panta </w:t>
      </w:r>
      <w:r w:rsidRPr="003752EA">
        <w:t>6</w:t>
      </w:r>
      <w:r w:rsidRPr="005F5406">
        <w:t>. punkts)</w:t>
      </w:r>
    </w:p>
    <w:p w:rsidR="00285123" w:rsidRPr="005F5406" w:rsidRDefault="00285123" w:rsidP="00285123">
      <w:pPr>
        <w:rPr>
          <w:rFonts w:eastAsia="Times New Roman"/>
          <w:szCs w:val="24"/>
        </w:rPr>
      </w:pPr>
      <w:r w:rsidRPr="005F5406">
        <w:t>Attiecībā uz netiešajām oglekļa izmaksām, kas rodas tāpēc, ka oglekļa izmaksas tiek iekļautas elektroenerģijas cenā, šajā priekšlikumā paredzēts, ka dalībvalstīm būtu tas jākompensē atbilstoši valsts atbalsta noteikumiem un ka šim nolūkam būtu jāizmanto kvotu izsolēs gūtie ienākumi.</w:t>
      </w:r>
    </w:p>
    <w:p w:rsidR="00285123" w:rsidRPr="005F5406" w:rsidRDefault="00285123" w:rsidP="00285123">
      <w:r w:rsidRPr="005F5406">
        <w:t>Iekārtas ar zemu emisiju līmeni (mazie emitētāji) (</w:t>
      </w:r>
      <w:r w:rsidRPr="003752EA">
        <w:t>27</w:t>
      </w:r>
      <w:r w:rsidRPr="005F5406">
        <w:t xml:space="preserve">. pants un </w:t>
      </w:r>
      <w:r w:rsidRPr="003752EA">
        <w:t>11</w:t>
      </w:r>
      <w:r w:rsidRPr="005F5406">
        <w:t xml:space="preserve">. panta </w:t>
      </w:r>
      <w:r w:rsidRPr="003752EA">
        <w:t>1</w:t>
      </w:r>
      <w:r w:rsidRPr="005F5406">
        <w:t>. punkts)</w:t>
      </w:r>
    </w:p>
    <w:p w:rsidR="00285123" w:rsidRPr="005F5406" w:rsidRDefault="00285123" w:rsidP="00285123">
      <w:pPr>
        <w:rPr>
          <w:rFonts w:eastAsia="Times New Roman"/>
          <w:szCs w:val="24"/>
        </w:rPr>
      </w:pPr>
      <w:r w:rsidRPr="005F5406">
        <w:t xml:space="preserve">Attiecībā uz iekārtām ar zemu emisiju līmeni, ņemot vērā salīdzinoši augstos administratīvos izdevumus, kas saistīti ar šo iekārtu iekļaušanu ES ETS, ir lietderīgi arī turpmāk paredzēt </w:t>
      </w:r>
      <w:r w:rsidRPr="005F5406">
        <w:lastRenderedPageBreak/>
        <w:t xml:space="preserve">iespēju izslēgt šādas iekārtas no kvotu tirdzniecības sistēmas. Tāpēc priekšlikumā ir paredzēts, ka iekārtām, kuras pašlaik ir izslēgtas no sistēmas, šo sistēmu var arī turpmāk nepiemērot, ja vien tiek nodrošināts līdzvērtīgs emisiju samazinājums. No </w:t>
      </w:r>
      <w:r w:rsidRPr="003752EA">
        <w:t>2021</w:t>
      </w:r>
      <w:r w:rsidRPr="005F5406">
        <w:t>. gada dalībvalstis no kvotu tirdzniecības sistēmas var izslēgt arī vēl citas iekārtas.</w:t>
      </w:r>
    </w:p>
    <w:p w:rsidR="00285123" w:rsidRPr="005F5406" w:rsidRDefault="00285123" w:rsidP="00285123">
      <w:r w:rsidRPr="005F5406">
        <w:t>Inovāciju atbalstīšana (</w:t>
      </w:r>
      <w:r w:rsidRPr="003752EA">
        <w:t>10</w:t>
      </w:r>
      <w:r w:rsidRPr="005F5406">
        <w:t xml:space="preserve">.a panta </w:t>
      </w:r>
      <w:r w:rsidRPr="003752EA">
        <w:t>8</w:t>
      </w:r>
      <w:r w:rsidRPr="005F5406">
        <w:t>. punkts)</w:t>
      </w:r>
    </w:p>
    <w:p w:rsidR="00285123" w:rsidRPr="005F5406" w:rsidRDefault="00285123" w:rsidP="00285123">
      <w:pPr>
        <w:rPr>
          <w:rFonts w:eastAsia="Times New Roman"/>
          <w:szCs w:val="24"/>
        </w:rPr>
      </w:pPr>
      <w:r w:rsidRPr="005F5406">
        <w:t xml:space="preserve">Esošos ES līmeņa inovāciju atbalsta pasākumus papildina, paredzot šim nolūkam </w:t>
      </w:r>
      <w:r w:rsidRPr="003752EA">
        <w:t>400</w:t>
      </w:r>
      <w:r w:rsidRPr="005F5406">
        <w:t xml:space="preserve"> miljonus kvotu. Minētajam daudzumam pievieno vēl </w:t>
      </w:r>
      <w:r w:rsidRPr="003752EA">
        <w:t>50</w:t>
      </w:r>
      <w:r w:rsidRPr="005F5406">
        <w:t xml:space="preserve"> miljonus kvotu, šim nolūkam izmantojot kvotas, kas nav izmantotas laikposmā no </w:t>
      </w:r>
      <w:r w:rsidRPr="003752EA">
        <w:t>2013</w:t>
      </w:r>
      <w:r w:rsidRPr="005F5406">
        <w:t xml:space="preserve">. līdz </w:t>
      </w:r>
      <w:r w:rsidRPr="003752EA">
        <w:t>2020</w:t>
      </w:r>
      <w:r w:rsidRPr="005F5406">
        <w:t xml:space="preserve">. gadam un kas citādi </w:t>
      </w:r>
      <w:r w:rsidRPr="003752EA">
        <w:t>2020</w:t>
      </w:r>
      <w:r w:rsidRPr="005F5406">
        <w:t xml:space="preserve">. gadā tiktu iekļautas tirgus stabilitātes rezervē. Pašlaik atbalsts inovācijām attiecas tikai uz oglekļa dioksīda uztveršanas un uzglabāšanas un atjaunojamo energoresursu projektiem, bet priekšlikumā ir paredzēts plašāks atbalsts, kas aptver arī rūpniecības nozari, lai veicinātu inovāciju </w:t>
      </w:r>
      <w:proofErr w:type="spellStart"/>
      <w:r w:rsidRPr="005F5406">
        <w:t>mazoglekļa</w:t>
      </w:r>
      <w:proofErr w:type="spellEnd"/>
      <w:r w:rsidRPr="005F5406">
        <w:t xml:space="preserve"> jomā.</w:t>
      </w:r>
    </w:p>
    <w:p w:rsidR="00285123" w:rsidRPr="005F5406" w:rsidRDefault="00285123" w:rsidP="00285123">
      <w:r w:rsidRPr="005F5406">
        <w:t>Energosistēmu modernizēšana dalībvalstīs ar zemākiem ienākumiem (</w:t>
      </w:r>
      <w:r w:rsidRPr="003752EA">
        <w:t>10</w:t>
      </w:r>
      <w:r w:rsidRPr="005F5406">
        <w:t xml:space="preserve">.c un </w:t>
      </w:r>
      <w:r w:rsidRPr="003752EA">
        <w:t>10</w:t>
      </w:r>
      <w:r w:rsidRPr="005F5406">
        <w:t>.d pants)</w:t>
      </w:r>
    </w:p>
    <w:p w:rsidR="00285123" w:rsidRPr="005F5406" w:rsidRDefault="00285123" w:rsidP="00285123">
      <w:pPr>
        <w:rPr>
          <w:rFonts w:eastAsia="Times New Roman"/>
          <w:szCs w:val="24"/>
        </w:rPr>
      </w:pPr>
      <w:r w:rsidRPr="005F5406">
        <w:t>Lai atbalstītu energosistēmu modernizēšanu dalībvalstīs ar zemākiem ienākumiem un izmantotu visas enerģētikas nozares iespējas veicināt rentablu emisiju samazināšanu, priekšlikumā ir paredzēti divi pasākumi: turpmāka emisijas kvotu bezmaksas piešķiršana enerģētikas nozarei un Modernizācijas fonda izveide.</w:t>
      </w:r>
    </w:p>
    <w:p w:rsidR="00285123" w:rsidRPr="005F5406" w:rsidRDefault="00285123" w:rsidP="00285123">
      <w:pPr>
        <w:rPr>
          <w:rFonts w:eastAsia="Times New Roman"/>
          <w:szCs w:val="24"/>
        </w:rPr>
      </w:pPr>
      <w:r w:rsidRPr="005F5406">
        <w:t xml:space="preserve">Ieinteresētās personas bieži norāda, ka būtisks šķērslis, kas atsevišķās dalībvalstīs traucē novērtēt to, cik efektīva ir pagaidu emisijas kvotu bezmaksas piešķiršana enerģētikas nozarei, ir </w:t>
      </w:r>
      <w:proofErr w:type="spellStart"/>
      <w:r w:rsidRPr="005F5406">
        <w:t>pārredzamības</w:t>
      </w:r>
      <w:proofErr w:type="spellEnd"/>
      <w:r w:rsidRPr="005F5406">
        <w:t xml:space="preserve"> trūkums piemērojamo noteikumu un investīciju realizācijas jomā. Šis priekšlikums ļauj uzlabot </w:t>
      </w:r>
      <w:proofErr w:type="spellStart"/>
      <w:r w:rsidRPr="005F5406">
        <w:t>pārredzamību</w:t>
      </w:r>
      <w:proofErr w:type="spellEnd"/>
      <w:r w:rsidRPr="005F5406">
        <w:t>, jo tajā noteikts, ka dalībvalstīm investīcijas, kas pārsniedz noteiktu monetāru robežlielumu, ir jāizvēlas konkursa procedūrā. Priekšlikumā noteiktas arī skaidras publicēšanas prasības, kas dalībvalstīm jāievēro, un paredzēta iespēja, ka Komisija var publiskot būtisku informāciju par realizētajām investīcijām.</w:t>
      </w:r>
    </w:p>
    <w:p w:rsidR="00285123" w:rsidRPr="005F5406" w:rsidRDefault="00285123" w:rsidP="00285123">
      <w:pPr>
        <w:rPr>
          <w:rFonts w:eastAsia="Times New Roman"/>
          <w:szCs w:val="24"/>
        </w:rPr>
      </w:pPr>
      <w:r w:rsidRPr="005F5406">
        <w:t xml:space="preserve">Modernizācijas fondu izveido, izmantojot </w:t>
      </w:r>
      <w:r w:rsidRPr="003752EA">
        <w:t>2</w:t>
      </w:r>
      <w:r w:rsidRPr="005F5406">
        <w:t> % no kopējā kvotu daudzuma. Šīs kvotas tiks izsolītas saskaņā ar ES ETS Izsoļu regulas noteikumiem, lai iegūtu projektu īstenošanai nepieciešamos līdzekļus. Minētie līdzekļi tiks sadalīti starp tiesīgajām dalībvalstīm saskaņā ar iepriekš noteiktu skalu, kas norādīta priekšlikuma pielikumā. Īpaša uzmanība tiks veltīta nelielu projektu finansēšanai.</w:t>
      </w:r>
    </w:p>
    <w:p w:rsidR="00285123" w:rsidRPr="005F5406" w:rsidRDefault="00285123" w:rsidP="00285123">
      <w:r w:rsidRPr="005F5406">
        <w:t>Kvotu derīgums (</w:t>
      </w:r>
      <w:r w:rsidRPr="003752EA">
        <w:t>13</w:t>
      </w:r>
      <w:r w:rsidRPr="005F5406">
        <w:t>. pants)</w:t>
      </w:r>
    </w:p>
    <w:p w:rsidR="00285123" w:rsidRPr="005F5406" w:rsidRDefault="00285123" w:rsidP="00285123">
      <w:pPr>
        <w:rPr>
          <w:rFonts w:eastAsia="Times New Roman"/>
          <w:szCs w:val="24"/>
        </w:rPr>
      </w:pPr>
      <w:r w:rsidRPr="005F5406">
        <w:t>Lai mazinātu administratīvos izdevumus, priekšlikumā paredzēts, ka kvotas, kas piešķirtas vienam tirdzniecības periodam, ir derīgas arī turpmākajos tirdzniecības periodos.</w:t>
      </w:r>
    </w:p>
    <w:p w:rsidR="00285123" w:rsidRPr="005F5406" w:rsidRDefault="00285123" w:rsidP="00285123">
      <w:r w:rsidRPr="005F5406">
        <w:t>Pāreja uz deleģēto un īstenošanas aktu sistēmu (“</w:t>
      </w:r>
      <w:proofErr w:type="spellStart"/>
      <w:r w:rsidRPr="005F5406">
        <w:t>lisabonizācija</w:t>
      </w:r>
      <w:proofErr w:type="spellEnd"/>
      <w:r w:rsidRPr="005F5406">
        <w:t>”)</w:t>
      </w:r>
    </w:p>
    <w:p w:rsidR="00834059" w:rsidRPr="005F5406" w:rsidRDefault="00285123" w:rsidP="00285123">
      <w:pPr>
        <w:rPr>
          <w:rFonts w:eastAsia="Times New Roman"/>
          <w:szCs w:val="24"/>
        </w:rPr>
      </w:pPr>
      <w:r w:rsidRPr="005F5406">
        <w:t>Ir pieņemti svarīgi īstenošanas tiesību akti, tostarp regula par izsolēm un regula par Savienības reģistru, kā arī lēmumi par bezmaksas kvotu iedalīšanas un oglekļa emisiju pārvirzes noteikumiem. Lai direktīvu saskaņotu ar Lisabonas līguma noteikumiem, priekšlikumā noteikts, ka gadījumos, kad Komisijai iepriekš bija piešķirtas šādas pilnvaras, Komisija ir pilnvarota pieņemt deleģētos un īstenošanas aktus saskaņā ar attiecīgo procedūru</w:t>
      </w:r>
      <w:r w:rsidR="00834059" w:rsidRPr="005F5406">
        <w:t>.</w:t>
      </w:r>
    </w:p>
    <w:p w:rsidR="008544FC" w:rsidRPr="005F5406" w:rsidRDefault="008544FC" w:rsidP="00F304DF">
      <w:pPr>
        <w:sectPr w:rsidR="008544FC" w:rsidRPr="005F5406" w:rsidSect="00D23D9E">
          <w:footerReference w:type="default" r:id="rId17"/>
          <w:footerReference w:type="first" r:id="rId18"/>
          <w:pgSz w:w="11907" w:h="16839"/>
          <w:pgMar w:top="1134" w:right="1417" w:bottom="1134" w:left="1417" w:header="709" w:footer="709" w:gutter="0"/>
          <w:cols w:space="708"/>
          <w:docGrid w:linePitch="360"/>
        </w:sectPr>
      </w:pPr>
    </w:p>
    <w:p w:rsidR="005C5FF0" w:rsidRPr="005F5406" w:rsidRDefault="002C09B1" w:rsidP="002C09B1">
      <w:pPr>
        <w:pStyle w:val="Rfrenceinterinstitutionnelle"/>
      </w:pPr>
      <w:r w:rsidRPr="003752EA">
        <w:lastRenderedPageBreak/>
        <w:t>2015</w:t>
      </w:r>
      <w:r w:rsidRPr="002C09B1">
        <w:t>/</w:t>
      </w:r>
      <w:r w:rsidRPr="003752EA">
        <w:t>148</w:t>
      </w:r>
      <w:r w:rsidRPr="002C09B1">
        <w:t xml:space="preserve"> (COD)</w:t>
      </w:r>
    </w:p>
    <w:p w:rsidR="00FE3AE7" w:rsidRPr="005F5406" w:rsidRDefault="00953786" w:rsidP="00953786">
      <w:pPr>
        <w:pStyle w:val="Statut"/>
      </w:pPr>
      <w:r w:rsidRPr="00953786">
        <w:t>Priekšlikums</w:t>
      </w:r>
    </w:p>
    <w:p w:rsidR="00FE3AE7" w:rsidRPr="005F5406" w:rsidRDefault="00953786" w:rsidP="00953786">
      <w:pPr>
        <w:pStyle w:val="Typedudocument"/>
      </w:pPr>
      <w:r w:rsidRPr="00953786">
        <w:t>EIROPAS PARLAMENTA UN PADOMES DIREKTĪVA,</w:t>
      </w:r>
    </w:p>
    <w:p w:rsidR="00820422" w:rsidRPr="005F5406" w:rsidRDefault="00953786" w:rsidP="00953786">
      <w:pPr>
        <w:pStyle w:val="Titreobjet"/>
      </w:pPr>
      <w:r w:rsidRPr="00953786">
        <w:t xml:space="preserve">ar ko groza Direktīvu </w:t>
      </w:r>
      <w:r w:rsidRPr="003752EA">
        <w:t>2003</w:t>
      </w:r>
      <w:r w:rsidRPr="00953786">
        <w:t>/</w:t>
      </w:r>
      <w:r w:rsidRPr="003752EA">
        <w:t>87</w:t>
      </w:r>
      <w:r w:rsidRPr="00953786">
        <w:t xml:space="preserve">/EK, lai sekmētu emisiju </w:t>
      </w:r>
      <w:proofErr w:type="spellStart"/>
      <w:r w:rsidRPr="00953786">
        <w:t>izmaksefektīvu</w:t>
      </w:r>
      <w:proofErr w:type="spellEnd"/>
      <w:r w:rsidRPr="00953786">
        <w:t xml:space="preserve"> samazināšanu un investīcijas </w:t>
      </w:r>
      <w:proofErr w:type="spellStart"/>
      <w:r w:rsidRPr="00953786">
        <w:t>mazoglekļa</w:t>
      </w:r>
      <w:proofErr w:type="spellEnd"/>
      <w:r w:rsidRPr="00953786">
        <w:t xml:space="preserve"> risinājumos</w:t>
      </w:r>
    </w:p>
    <w:p w:rsidR="00FE3AE7" w:rsidRPr="005F5406" w:rsidRDefault="00953786" w:rsidP="00953786">
      <w:pPr>
        <w:pStyle w:val="IntrtEEE"/>
      </w:pPr>
      <w:r w:rsidRPr="00953786">
        <w:t>(Dokuments attiecas uz EEZ)</w:t>
      </w:r>
    </w:p>
    <w:p w:rsidR="00FE3AE7" w:rsidRPr="005F5406" w:rsidRDefault="005F5406" w:rsidP="00B7757C">
      <w:pPr>
        <w:pStyle w:val="Institutionquiagit"/>
      </w:pPr>
      <w:r>
        <w:t>EIROPAS PARLAMENTS UN EIROPAS SAVIENĪBAS PADOME,</w:t>
      </w:r>
    </w:p>
    <w:p w:rsidR="00FE3AE7" w:rsidRPr="005F5406" w:rsidRDefault="00FE3AE7" w:rsidP="00B7757C">
      <w:r w:rsidRPr="005F5406">
        <w:t xml:space="preserve">ņemot vērā Līgumu par Eiropas Savienības darbību un jo īpaši tā </w:t>
      </w:r>
      <w:r w:rsidRPr="003752EA">
        <w:t>192</w:t>
      </w:r>
      <w:r w:rsidRPr="005F5406">
        <w:t xml:space="preserve">. panta </w:t>
      </w:r>
      <w:r w:rsidRPr="003752EA">
        <w:t>1</w:t>
      </w:r>
      <w:r w:rsidRPr="005F5406">
        <w:t>. punktu,</w:t>
      </w:r>
    </w:p>
    <w:p w:rsidR="00FE3AE7" w:rsidRPr="005F5406" w:rsidRDefault="00FE3AE7" w:rsidP="00B7757C">
      <w:r w:rsidRPr="005F5406">
        <w:t>ņemot vērā Eiropas Komisijas priekšlikumu</w:t>
      </w:r>
      <w:r w:rsidRPr="005F5406">
        <w:rPr>
          <w:rStyle w:val="FootnoteReference"/>
        </w:rPr>
        <w:footnoteReference w:id="12"/>
      </w:r>
      <w:r w:rsidRPr="005F5406">
        <w:t>,</w:t>
      </w:r>
    </w:p>
    <w:p w:rsidR="00FE3AE7" w:rsidRPr="005F5406" w:rsidRDefault="00FE3AE7" w:rsidP="00B7757C">
      <w:r w:rsidRPr="005F5406">
        <w:t>pēc leģislatīvā akta projekta nosūtīšanas valstu parlamentiem,</w:t>
      </w:r>
    </w:p>
    <w:p w:rsidR="00FE3AE7" w:rsidRPr="005F5406" w:rsidRDefault="00FE3AE7" w:rsidP="00B7757C">
      <w:r w:rsidRPr="005F5406">
        <w:t>ņemot vērā Eiropas Ekonomikas un sociālo lietu komitejas atzinumu</w:t>
      </w:r>
      <w:r w:rsidRPr="005F5406">
        <w:rPr>
          <w:rStyle w:val="FootnoteReference"/>
        </w:rPr>
        <w:footnoteReference w:id="13"/>
      </w:r>
      <w:r w:rsidRPr="005F5406">
        <w:t>,</w:t>
      </w:r>
    </w:p>
    <w:p w:rsidR="00FE3AE7" w:rsidRPr="005F5406" w:rsidRDefault="00FE3AE7" w:rsidP="00B7757C">
      <w:r w:rsidRPr="005F5406">
        <w:t>ņemot vērā Reģionu komitejas atzinumu</w:t>
      </w:r>
      <w:r w:rsidRPr="005F5406">
        <w:rPr>
          <w:rStyle w:val="FootnoteReference"/>
        </w:rPr>
        <w:footnoteReference w:id="14"/>
      </w:r>
      <w:r w:rsidRPr="005F5406">
        <w:t xml:space="preserve">, </w:t>
      </w:r>
    </w:p>
    <w:p w:rsidR="00FE3AE7" w:rsidRPr="005F5406" w:rsidRDefault="00FE3AE7" w:rsidP="00B7757C">
      <w:r w:rsidRPr="005F5406">
        <w:t>saskaņā ar parasto likumdošanas procedūru,</w:t>
      </w:r>
    </w:p>
    <w:p w:rsidR="00D104F1" w:rsidRPr="005F5406" w:rsidRDefault="00FE3AE7" w:rsidP="00B7757C">
      <w:r w:rsidRPr="005F5406">
        <w:t>tā kā:</w:t>
      </w:r>
    </w:p>
    <w:p w:rsidR="00D104F1" w:rsidRPr="005F5406" w:rsidRDefault="00D104F1" w:rsidP="00A44D81">
      <w:pPr>
        <w:pStyle w:val="Considrant"/>
        <w:numPr>
          <w:ilvl w:val="0"/>
          <w:numId w:val="4"/>
        </w:numPr>
      </w:pPr>
      <w:r w:rsidRPr="005F5406">
        <w:t>Ar Eiropas Parlamenta</w:t>
      </w:r>
      <w:r w:rsidR="00AD1E5F" w:rsidRPr="005F5406">
        <w:t xml:space="preserve"> un Padomes Direktīvu </w:t>
      </w:r>
      <w:r w:rsidR="00AD1E5F" w:rsidRPr="003752EA">
        <w:t>2003</w:t>
      </w:r>
      <w:r w:rsidR="00AD1E5F" w:rsidRPr="005F5406">
        <w:t>/</w:t>
      </w:r>
      <w:r w:rsidR="00AD1E5F" w:rsidRPr="003752EA">
        <w:t>87</w:t>
      </w:r>
      <w:r w:rsidR="00AD1E5F" w:rsidRPr="005F5406">
        <w:t>/E</w:t>
      </w:r>
      <w:r w:rsidR="0094226F" w:rsidRPr="005F5406">
        <w:t>K</w:t>
      </w:r>
      <w:r w:rsidRPr="005F5406">
        <w:rPr>
          <w:rStyle w:val="FootnoteReference"/>
        </w:rPr>
        <w:footnoteReference w:id="15"/>
      </w:r>
      <w:r w:rsidRPr="005F5406">
        <w:t xml:space="preserve"> ir izveidota </w:t>
      </w:r>
      <w:r w:rsidR="0094226F" w:rsidRPr="005F5406">
        <w:t xml:space="preserve">Savienības </w:t>
      </w:r>
      <w:r w:rsidRPr="005F5406">
        <w:t>siltumnīcefekta gāzu emisij</w:t>
      </w:r>
      <w:r w:rsidR="0094226F" w:rsidRPr="005F5406">
        <w:t>as</w:t>
      </w:r>
      <w:r w:rsidRPr="005F5406">
        <w:t xml:space="preserve"> kvotu tirdzniecības sistēma, kuras mērķis ir veicināt siltumnīcefekta gāzu emisiju </w:t>
      </w:r>
      <w:proofErr w:type="spellStart"/>
      <w:r w:rsidRPr="005F5406">
        <w:t>izmaksefektīvu</w:t>
      </w:r>
      <w:proofErr w:type="spellEnd"/>
      <w:r w:rsidRPr="005F5406">
        <w:t xml:space="preserve"> un ekonomiski izdevīgu samazināšanu.</w:t>
      </w:r>
    </w:p>
    <w:p w:rsidR="00D104F1" w:rsidRPr="005F5406" w:rsidRDefault="00D104F1" w:rsidP="00D104F1">
      <w:pPr>
        <w:pStyle w:val="Considrant"/>
      </w:pPr>
      <w:r w:rsidRPr="005F5406">
        <w:t xml:space="preserve">Eiropadome </w:t>
      </w:r>
      <w:r w:rsidRPr="003752EA">
        <w:t>2014</w:t>
      </w:r>
      <w:r w:rsidRPr="005F5406">
        <w:t xml:space="preserve">. gada oktobrī apņēmās līdz </w:t>
      </w:r>
      <w:r w:rsidRPr="003752EA">
        <w:t>2030</w:t>
      </w:r>
      <w:r w:rsidRPr="005F5406">
        <w:t xml:space="preserve">. gadam samazināt Savienības kopējās siltumnīcefekta gāzu emisijas vismaz par </w:t>
      </w:r>
      <w:r w:rsidRPr="003752EA">
        <w:t>40</w:t>
      </w:r>
      <w:r w:rsidRPr="005F5406">
        <w:t xml:space="preserve"> % salīdzinājumā ar </w:t>
      </w:r>
      <w:r w:rsidRPr="003752EA">
        <w:t>1990</w:t>
      </w:r>
      <w:r w:rsidRPr="005F5406">
        <w:t xml:space="preserve">. gada līmeni. Visām ekonomikas nozarēm ir jādod ieguldījums šo emisiju samazinājumu sasniegšanā; </w:t>
      </w:r>
      <w:proofErr w:type="spellStart"/>
      <w:r w:rsidRPr="005F5406">
        <w:t>mērķrādītājs</w:t>
      </w:r>
      <w:proofErr w:type="spellEnd"/>
      <w:r w:rsidRPr="005F5406">
        <w:t xml:space="preserve"> tiks sasniegts izmaksu ziņā pašā efektīvākajā veidā, izmantojot Savienības emisij</w:t>
      </w:r>
      <w:r w:rsidR="00002A9F" w:rsidRPr="005F5406">
        <w:t>as</w:t>
      </w:r>
      <w:r w:rsidRPr="005F5406">
        <w:t xml:space="preserve"> kvotu tirdzniecības sistēmu (ES ETS), kas ļaus līdz </w:t>
      </w:r>
      <w:r w:rsidRPr="003752EA">
        <w:t>2030</w:t>
      </w:r>
      <w:r w:rsidRPr="005F5406">
        <w:t xml:space="preserve">. gadam emisijas samazināt par </w:t>
      </w:r>
      <w:r w:rsidRPr="003752EA">
        <w:t>43</w:t>
      </w:r>
      <w:r w:rsidRPr="005F5406">
        <w:t xml:space="preserve"> % salīdzinājumā ar </w:t>
      </w:r>
      <w:r w:rsidRPr="003752EA">
        <w:t>2005</w:t>
      </w:r>
      <w:r w:rsidRPr="005F5406">
        <w:t>. gada līmeni. To apliecina arī Savienības un tās dalībvalstu iecerēt</w:t>
      </w:r>
      <w:r w:rsidR="00002A9F" w:rsidRPr="005F5406">
        <w:t>ā</w:t>
      </w:r>
      <w:r w:rsidRPr="005F5406">
        <w:t>s valsts noteikt</w:t>
      </w:r>
      <w:r w:rsidR="00002A9F" w:rsidRPr="005F5406">
        <w:t>ā</w:t>
      </w:r>
      <w:r w:rsidRPr="005F5406">
        <w:t xml:space="preserve">s </w:t>
      </w:r>
      <w:r w:rsidR="00002A9F" w:rsidRPr="005F5406">
        <w:t>samazināšanas saistība</w:t>
      </w:r>
      <w:r w:rsidR="003B3E5C" w:rsidRPr="005F5406">
        <w:t>s</w:t>
      </w:r>
      <w:r w:rsidRPr="005F5406">
        <w:t xml:space="preserve">, kas ANO Vispārējās konvencijas par klimata pārmaiņām sekretariātam iesniegts </w:t>
      </w:r>
      <w:r w:rsidRPr="003752EA">
        <w:t>2015</w:t>
      </w:r>
      <w:r w:rsidRPr="005F5406">
        <w:t xml:space="preserve">. gada </w:t>
      </w:r>
      <w:r w:rsidRPr="003752EA">
        <w:t>6</w:t>
      </w:r>
      <w:r w:rsidRPr="005F5406">
        <w:t>. martā</w:t>
      </w:r>
      <w:r w:rsidRPr="005F5406">
        <w:rPr>
          <w:rStyle w:val="FootnoteReference"/>
        </w:rPr>
        <w:footnoteReference w:id="16"/>
      </w:r>
      <w:r w:rsidRPr="005F5406">
        <w:t>.</w:t>
      </w:r>
    </w:p>
    <w:p w:rsidR="00D104F1" w:rsidRPr="005F5406" w:rsidRDefault="00D104F1" w:rsidP="00D104F1">
      <w:pPr>
        <w:pStyle w:val="Considrant"/>
      </w:pPr>
      <w:r w:rsidRPr="005F5406">
        <w:t>Eiropadome apliecināja, ka labi funkcionējoša, reformēta ES ETS, kas papildināta ar tirgus stabilizācijas instrumentu, būs galvenais Eiropas rīks</w:t>
      </w:r>
      <w:r w:rsidR="000F4145" w:rsidRPr="005F5406">
        <w:t xml:space="preserve"> šā</w:t>
      </w:r>
      <w:r w:rsidRPr="005F5406">
        <w:t xml:space="preserve"> </w:t>
      </w:r>
      <w:proofErr w:type="spellStart"/>
      <w:r w:rsidRPr="005F5406">
        <w:t>mērķrādītāj</w:t>
      </w:r>
      <w:r w:rsidR="000F4145" w:rsidRPr="005F5406">
        <w:t>a</w:t>
      </w:r>
      <w:proofErr w:type="spellEnd"/>
      <w:r w:rsidR="000F4145" w:rsidRPr="005F5406">
        <w:t xml:space="preserve"> sasniegšanai</w:t>
      </w:r>
      <w:r w:rsidRPr="005F5406">
        <w:t xml:space="preserve">; paredzēts, ka, sākot ar </w:t>
      </w:r>
      <w:r w:rsidRPr="003752EA">
        <w:t>2021</w:t>
      </w:r>
      <w:r w:rsidRPr="005F5406">
        <w:t xml:space="preserve">. gadu, gada samazinājuma koeficients būs </w:t>
      </w:r>
      <w:r w:rsidRPr="003752EA">
        <w:t>2</w:t>
      </w:r>
      <w:r w:rsidRPr="005F5406">
        <w:t>,</w:t>
      </w:r>
      <w:r w:rsidRPr="003752EA">
        <w:t>2</w:t>
      </w:r>
      <w:r w:rsidRPr="005F5406">
        <w:t xml:space="preserve"> %, ka bezmaksas kvotu iedalīšana netiks izbeigta un pašreizējie pasākumi turpināsies pēc </w:t>
      </w:r>
      <w:r w:rsidRPr="003752EA">
        <w:t>2020</w:t>
      </w:r>
      <w:r w:rsidRPr="005F5406">
        <w:t>. gada, lai novērstu klimata politikas izraisītas CO</w:t>
      </w:r>
      <w:r w:rsidRPr="003752EA">
        <w:rPr>
          <w:vertAlign w:val="subscript"/>
        </w:rPr>
        <w:t>2</w:t>
      </w:r>
      <w:r w:rsidRPr="005F5406">
        <w:t xml:space="preserve"> emisiju pārvirzes risku, kamēr citās lielās </w:t>
      </w:r>
      <w:proofErr w:type="spellStart"/>
      <w:r w:rsidRPr="005F5406">
        <w:t>tautsaimniecībās</w:t>
      </w:r>
      <w:proofErr w:type="spellEnd"/>
      <w:r w:rsidRPr="005F5406">
        <w:t xml:space="preserve"> netiek veikti salīdzināmi pasākumi, </w:t>
      </w:r>
      <w:r w:rsidRPr="005F5406">
        <w:lastRenderedPageBreak/>
        <w:t>un ka netiks samaz</w:t>
      </w:r>
      <w:r w:rsidR="004D265D" w:rsidRPr="005F5406">
        <w:t>ināts izsolāmo kvotu īpatsvars.</w:t>
      </w:r>
      <w:r w:rsidRPr="005F5406">
        <w:t xml:space="preserve"> Izsolāmo kvotu īpatsvars tiesību aktos būtu jānosaka procentos: tas </w:t>
      </w:r>
      <w:r w:rsidR="00AD1E5F" w:rsidRPr="005F5406">
        <w:t xml:space="preserve">ļautu lēmumus par investīcijām plānot ar lielāku noteiktību, </w:t>
      </w:r>
      <w:r w:rsidRPr="005F5406">
        <w:t xml:space="preserve">uzlabotu </w:t>
      </w:r>
      <w:proofErr w:type="spellStart"/>
      <w:r w:rsidRPr="005F5406">
        <w:t>pārredzamību</w:t>
      </w:r>
      <w:proofErr w:type="spellEnd"/>
      <w:r w:rsidRPr="005F5406">
        <w:t xml:space="preserve"> un padarītu sistēmu kā tādu vienkāršāku un saprotamāku.</w:t>
      </w:r>
    </w:p>
    <w:p w:rsidR="00D104F1" w:rsidRPr="005F5406" w:rsidRDefault="00D104F1" w:rsidP="00D104F1">
      <w:pPr>
        <w:pStyle w:val="Considrant"/>
      </w:pPr>
      <w:r w:rsidRPr="005F5406">
        <w:t xml:space="preserve">Viena no galvenajām Savienības prioritātēm ir izveidot noturīgu Enerģētikas savienību, lai apgādātu iedzīvotājus ar drošu, ilgtspējīgu, konkurētspējīgu un lētu enerģiju. Lai </w:t>
      </w:r>
      <w:r w:rsidR="00AD1E5F" w:rsidRPr="005F5406">
        <w:t>tas izdotos</w:t>
      </w:r>
      <w:r w:rsidRPr="005F5406">
        <w:t>, ir jāturpina vērienīgie klimata pasākumi, jārealizē ES ETS, kas ir Eiropas klimata politikas stūrakmens, un sekmīgi jāstrādā pie pārējiem Enerģētikas politikas aspektiem</w:t>
      </w:r>
      <w:r w:rsidRPr="005F5406">
        <w:rPr>
          <w:rStyle w:val="FootnoteReference"/>
        </w:rPr>
        <w:footnoteReference w:id="17"/>
      </w:r>
      <w:r w:rsidRPr="005F5406">
        <w:t xml:space="preserve">. </w:t>
      </w:r>
      <w:r w:rsidRPr="003752EA">
        <w:t>2030</w:t>
      </w:r>
      <w:r w:rsidRPr="005F5406">
        <w:t>. </w:t>
      </w:r>
      <w:r w:rsidR="00AD1E5F" w:rsidRPr="005F5406">
        <w:t xml:space="preserve">gada </w:t>
      </w:r>
      <w:proofErr w:type="spellStart"/>
      <w:r w:rsidR="00AD1E5F" w:rsidRPr="005F5406">
        <w:t>pamatstratēģijā</w:t>
      </w:r>
      <w:proofErr w:type="spellEnd"/>
      <w:r w:rsidR="00AD1E5F" w:rsidRPr="005F5406">
        <w:t xml:space="preserve"> nosprausto vērienīgo ieceru realizācija</w:t>
      </w:r>
      <w:r w:rsidRPr="005F5406">
        <w:t xml:space="preserve"> sekmēs saprātīgas oglekļa cenas veidošanos un stimulēs emisiju </w:t>
      </w:r>
      <w:proofErr w:type="spellStart"/>
      <w:r w:rsidR="00433FBD" w:rsidRPr="005F5406">
        <w:t>izmaksefektīvu</w:t>
      </w:r>
      <w:proofErr w:type="spellEnd"/>
      <w:r w:rsidR="00433FBD" w:rsidRPr="005F5406">
        <w:t xml:space="preserve"> </w:t>
      </w:r>
      <w:r w:rsidRPr="005F5406">
        <w:t xml:space="preserve">samazināšanu. </w:t>
      </w:r>
    </w:p>
    <w:p w:rsidR="00D104F1" w:rsidRPr="005F5406" w:rsidRDefault="00D104F1" w:rsidP="00D104F1">
      <w:pPr>
        <w:pStyle w:val="Considrant"/>
      </w:pPr>
      <w:r w:rsidRPr="005F5406">
        <w:t xml:space="preserve">Līguma par Eiropas Savienības darbību </w:t>
      </w:r>
      <w:r w:rsidRPr="003752EA">
        <w:t>191</w:t>
      </w:r>
      <w:r w:rsidRPr="005F5406">
        <w:t xml:space="preserve">. panta </w:t>
      </w:r>
      <w:r w:rsidRPr="003752EA">
        <w:t>2</w:t>
      </w:r>
      <w:r w:rsidRPr="005F5406">
        <w:t xml:space="preserve">. punkts nosaka, ka Savienības politika balstās uz principu, ka maksā piesārņotājs, tāpēc Direktīva </w:t>
      </w:r>
      <w:r w:rsidRPr="003752EA">
        <w:t>2003</w:t>
      </w:r>
      <w:r w:rsidRPr="005F5406">
        <w:t>/</w:t>
      </w:r>
      <w:r w:rsidRPr="003752EA">
        <w:t>87</w:t>
      </w:r>
      <w:r w:rsidRPr="005F5406">
        <w:t>/EK paredz, ka laika gaitā ir jāpāriet uz visu kvotu izsolīšanu. Tomēr pilnīgu pāreju ir nepieciešams atlikt, lai nepieļautu CO</w:t>
      </w:r>
      <w:r w:rsidRPr="003752EA">
        <w:rPr>
          <w:vertAlign w:val="subscript"/>
        </w:rPr>
        <w:t>2</w:t>
      </w:r>
      <w:r w:rsidRPr="005F5406">
        <w:t xml:space="preserve"> emisiju pārvirzi, </w:t>
      </w:r>
      <w:r w:rsidR="00FD3CF1" w:rsidRPr="005F5406">
        <w:t xml:space="preserve">un </w:t>
      </w:r>
      <w:r w:rsidRPr="005F5406">
        <w:t xml:space="preserve">mērķtiecīga bezmaksas kvotu iedalīšana atsevišķām rūpniecības nozarēm ir pamatota, lai varētu novērst reālu risku, ka siltumnīcefekta gāzu emisiju apjoms pieaugs trešās valstīs, kur rūpniecībai netiek piemēroti līdzvērtīgi oglekļa emisiju ierobežojumi, kamēr vien citās lielajās </w:t>
      </w:r>
      <w:proofErr w:type="spellStart"/>
      <w:r w:rsidRPr="005F5406">
        <w:t>tautsaimniecībās</w:t>
      </w:r>
      <w:proofErr w:type="spellEnd"/>
      <w:r w:rsidRPr="005F5406">
        <w:t xml:space="preserve"> netiek īstenoti līdzvērtīgi klimata politikas pasākumi.</w:t>
      </w:r>
    </w:p>
    <w:p w:rsidR="00D104F1" w:rsidRPr="005F5406" w:rsidRDefault="00D104F1" w:rsidP="00D104F1">
      <w:pPr>
        <w:pStyle w:val="Considrant"/>
      </w:pPr>
      <w:r w:rsidRPr="005F5406">
        <w:t xml:space="preserve">Kvotu izsolīšana vēl aizvien ir </w:t>
      </w:r>
      <w:proofErr w:type="spellStart"/>
      <w:r w:rsidRPr="005F5406">
        <w:t>virsprincips</w:t>
      </w:r>
      <w:proofErr w:type="spellEnd"/>
      <w:r w:rsidRPr="005F5406">
        <w:t>, bezmaksas kvotu iedalīšana ir tikai izņēmums. Tāpēc — kā apstiprinājusi Eiropadome — izsolāmo kvotu īpatsvaru (</w:t>
      </w:r>
      <w:r w:rsidRPr="003752EA">
        <w:t>2013</w:t>
      </w:r>
      <w:r w:rsidR="0087449A" w:rsidRPr="005F5406">
        <w:t>.–</w:t>
      </w:r>
      <w:r w:rsidRPr="003752EA">
        <w:t>2020</w:t>
      </w:r>
      <w:r w:rsidRPr="005F5406">
        <w:t xml:space="preserve">. gadam tas noteikts </w:t>
      </w:r>
      <w:r w:rsidRPr="003752EA">
        <w:t>57</w:t>
      </w:r>
      <w:r w:rsidRPr="005F5406">
        <w:t> % apmērā) nevajadzētu samazināt. Komisijas ietekmes novērtējumā</w:t>
      </w:r>
      <w:r w:rsidRPr="005F5406">
        <w:rPr>
          <w:rStyle w:val="FootnoteReference"/>
        </w:rPr>
        <w:footnoteReference w:id="18"/>
      </w:r>
      <w:r w:rsidR="00AD1E5F" w:rsidRPr="005F5406">
        <w:t xml:space="preserve"> sniegts sīkāks iztirzājums </w:t>
      </w:r>
      <w:r w:rsidRPr="005F5406">
        <w:t xml:space="preserve">par izsolāmo kvotu īpatsvaru un norādīts, ka šos </w:t>
      </w:r>
      <w:r w:rsidRPr="003752EA">
        <w:t>57</w:t>
      </w:r>
      <w:r w:rsidRPr="005F5406">
        <w:t> % veido dalībvalstu vārdā izsolītās kvotas, t.</w:t>
      </w:r>
      <w:r w:rsidR="00EF2D1C" w:rsidRPr="005F5406">
        <w:t> </w:t>
      </w:r>
      <w:proofErr w:type="spellStart"/>
      <w:r w:rsidRPr="005F5406">
        <w:t>sk</w:t>
      </w:r>
      <w:proofErr w:type="spellEnd"/>
      <w:r w:rsidRPr="005F5406">
        <w:t xml:space="preserve">. kvotas, kas rezervētas jauniem tirgus dalībniekiem, bet vēl nav iedalītas, kvotas, kas paredzētas elektroenerģijas ražošanas modernizācijai dažās dalībvalstīs, un kvotas, ko paredzēts izsolīt vēlāk, jo tās ir iekļautas tirgus stabilitātes rezervē, kura izveidota ar Eiropas Parlamenta un Padomes Lēmumu (ES) </w:t>
      </w:r>
      <w:r w:rsidRPr="003752EA">
        <w:t>2015</w:t>
      </w:r>
      <w:r w:rsidRPr="005F5406">
        <w:t>/...</w:t>
      </w:r>
      <w:r w:rsidRPr="005F5406">
        <w:rPr>
          <w:rStyle w:val="FootnoteReference"/>
        </w:rPr>
        <w:footnoteReference w:id="19"/>
      </w:r>
      <w:r w:rsidRPr="005F5406">
        <w:t>.</w:t>
      </w:r>
    </w:p>
    <w:p w:rsidR="00D104F1" w:rsidRPr="005F5406" w:rsidRDefault="00D104F1" w:rsidP="00D104F1">
      <w:pPr>
        <w:pStyle w:val="Considrant"/>
      </w:pPr>
      <w:r w:rsidRPr="005F5406">
        <w:t xml:space="preserve">Lai saglabātu emisiju samazināšanas sniegtos </w:t>
      </w:r>
      <w:proofErr w:type="spellStart"/>
      <w:r w:rsidRPr="005F5406">
        <w:t>vidiskos</w:t>
      </w:r>
      <w:proofErr w:type="spellEnd"/>
      <w:r w:rsidRPr="005F5406">
        <w:t xml:space="preserve"> ieguvumus Savienībā, kamēr citas valstis nerīkojas tā, lai rūpniecības nozarei būtu līdzvērtīg</w:t>
      </w:r>
      <w:r w:rsidR="00AD1E5F" w:rsidRPr="005F5406">
        <w:t>s</w:t>
      </w:r>
      <w:r w:rsidRPr="005F5406">
        <w:t xml:space="preserve"> </w:t>
      </w:r>
      <w:r w:rsidR="00AD1E5F" w:rsidRPr="005F5406">
        <w:t>stimuls</w:t>
      </w:r>
      <w:r w:rsidRPr="005F5406">
        <w:t xml:space="preserve"> emisijas samazināt, arī turpmāk būtu jāiedala bezmaksas emisij</w:t>
      </w:r>
      <w:r w:rsidR="00A32A22" w:rsidRPr="005F5406">
        <w:t>as</w:t>
      </w:r>
      <w:r w:rsidRPr="005F5406">
        <w:t xml:space="preserve"> kvotas iekārtām tādās nozarēs un apakšnozarēs, ko patiesi apdraud CO</w:t>
      </w:r>
      <w:r w:rsidRPr="003752EA">
        <w:rPr>
          <w:vertAlign w:val="subscript"/>
        </w:rPr>
        <w:t>2</w:t>
      </w:r>
      <w:r w:rsidRPr="005F5406">
        <w:t xml:space="preserve"> emisiju pārvirzes risks. ES ETS darbības laikā apkopotā pieredze liecina, ka nozares un apakšnozares </w:t>
      </w:r>
      <w:r w:rsidR="00AD1E5F" w:rsidRPr="005F5406">
        <w:t>tas</w:t>
      </w:r>
      <w:r w:rsidRPr="005F5406">
        <w:t xml:space="preserve"> apdraud dažādā mērā un ka bezmaksas kvotu piešķiršana CO</w:t>
      </w:r>
      <w:r w:rsidRPr="003752EA">
        <w:rPr>
          <w:vertAlign w:val="subscript"/>
        </w:rPr>
        <w:t>2</w:t>
      </w:r>
      <w:r w:rsidRPr="005F5406">
        <w:t xml:space="preserve"> emisiju pārvirzi novērš. Lai gan var uzskatīt, ka dažas nozares un apakšnozares apdraud lielāks CO</w:t>
      </w:r>
      <w:r w:rsidRPr="003752EA">
        <w:rPr>
          <w:vertAlign w:val="subscript"/>
        </w:rPr>
        <w:t>2</w:t>
      </w:r>
      <w:r w:rsidRPr="005F5406">
        <w:t xml:space="preserve"> emisiju pārvirzes risks, citas ievērojamu daļu no izmaksām, ko rada emisij</w:t>
      </w:r>
      <w:r w:rsidR="00EF2D1C" w:rsidRPr="005F5406">
        <w:t>as</w:t>
      </w:r>
      <w:r w:rsidRPr="005F5406">
        <w:t xml:space="preserve"> kvotu iegāde, var iekļaut savu ražojumu cenā, nezaudējot tirgus daļu, kas nozīmē, ka tām pašām jāsedz tikai atlikušās izmaksas, tāpēc CO</w:t>
      </w:r>
      <w:r w:rsidRPr="003752EA">
        <w:rPr>
          <w:vertAlign w:val="subscript"/>
        </w:rPr>
        <w:t>2</w:t>
      </w:r>
      <w:r w:rsidRPr="005F5406">
        <w:t xml:space="preserve"> emisiju pārvirzes risks</w:t>
      </w:r>
      <w:r w:rsidR="001F777E" w:rsidRPr="005F5406">
        <w:t xml:space="preserve"> tās apdraud </w:t>
      </w:r>
      <w:r w:rsidR="00D3262D" w:rsidRPr="005F5406">
        <w:t>maz</w:t>
      </w:r>
      <w:r w:rsidRPr="005F5406">
        <w:t xml:space="preserve">. Komisijai būtu jānosaka un </w:t>
      </w:r>
      <w:r w:rsidR="00AD1E5F" w:rsidRPr="005F5406">
        <w:t>jādiferencē</w:t>
      </w:r>
      <w:r w:rsidRPr="005F5406">
        <w:t xml:space="preserve"> attiecīgās nozares, pamatojoties uz to tirdzniecības intensitāti un emisiju intensitāti, lai varētu labāk noskaidrot, kuras nozares patiešām apdraud CO</w:t>
      </w:r>
      <w:r w:rsidRPr="003752EA">
        <w:rPr>
          <w:vertAlign w:val="subscript"/>
        </w:rPr>
        <w:t>2</w:t>
      </w:r>
      <w:r w:rsidRPr="005F5406">
        <w:t xml:space="preserve"> emisiju pārvirze. Ja, </w:t>
      </w:r>
      <w:r w:rsidR="00C75D70" w:rsidRPr="005F5406">
        <w:t xml:space="preserve">balstoties </w:t>
      </w:r>
      <w:r w:rsidRPr="005F5406">
        <w:t xml:space="preserve">uz šādiem kritērijiem, ir pārsniegts slieksnis, ko nosaka, ņemot vērā, kādas iespējas attiecīgajai nozarei vai apakšnozarei </w:t>
      </w:r>
      <w:r w:rsidR="001E514D" w:rsidRPr="005F5406">
        <w:t xml:space="preserve">ir </w:t>
      </w:r>
      <w:r w:rsidRPr="005F5406">
        <w:t>izmaksas iekļaut ražojuma cenās, tad nozari vai apakšnozari vajadzētu atzīt par tādu, ko apdraud CO</w:t>
      </w:r>
      <w:r w:rsidRPr="003752EA">
        <w:rPr>
          <w:vertAlign w:val="subscript"/>
        </w:rPr>
        <w:t>2</w:t>
      </w:r>
      <w:r w:rsidRPr="005F5406">
        <w:t xml:space="preserve"> emisiju pārvirzes risks. Pārējās nozares vajadzētu atzīt par tādām, ko CO</w:t>
      </w:r>
      <w:r w:rsidRPr="003752EA">
        <w:rPr>
          <w:vertAlign w:val="subscript"/>
        </w:rPr>
        <w:t>2</w:t>
      </w:r>
      <w:r w:rsidRPr="005F5406">
        <w:t xml:space="preserve"> emisiju </w:t>
      </w:r>
      <w:r w:rsidRPr="005F5406">
        <w:lastRenderedPageBreak/>
        <w:t xml:space="preserve">pārvirzes risks neapdraud vai arī tas ir neliels. </w:t>
      </w:r>
      <w:r w:rsidR="00AD1E5F" w:rsidRPr="005F5406">
        <w:t>Turklāt tam, ka tiek ņemtas</w:t>
      </w:r>
      <w:r w:rsidRPr="005F5406">
        <w:t xml:space="preserve"> vērā nozaru un apakšnozaru (te neietilpst elektroenerģijas ražošana) iespējas izmaksas iekļaut ražojumu cenās, vajadzētu samazināt negaidītu papildu peļņu.</w:t>
      </w:r>
    </w:p>
    <w:p w:rsidR="00D104F1" w:rsidRPr="005F5406" w:rsidRDefault="00D104F1" w:rsidP="00AD1E5F">
      <w:pPr>
        <w:pStyle w:val="Considrant"/>
      </w:pPr>
      <w:r w:rsidRPr="005F5406">
        <w:t xml:space="preserve">Vajadzētu paredzēt, ka iekārtām paredzēto bezmaksas kvotu iedalīšanā izmantoto </w:t>
      </w:r>
      <w:proofErr w:type="spellStart"/>
      <w:r w:rsidRPr="005F5406">
        <w:t>līmeņatzīmju</w:t>
      </w:r>
      <w:proofErr w:type="spellEnd"/>
      <w:r w:rsidRPr="005F5406">
        <w:t xml:space="preserve"> vērtības, kuras noteiktas, pamatojoties uz </w:t>
      </w:r>
      <w:r w:rsidRPr="003752EA">
        <w:t>2007</w:t>
      </w:r>
      <w:r w:rsidR="0020116C" w:rsidRPr="005F5406">
        <w:t>.–</w:t>
      </w:r>
      <w:r w:rsidR="0020116C" w:rsidRPr="003752EA">
        <w:t>20</w:t>
      </w:r>
      <w:r w:rsidRPr="003752EA">
        <w:t>08</w:t>
      </w:r>
      <w:r w:rsidRPr="005F5406">
        <w:t>. </w:t>
      </w:r>
      <w:proofErr w:type="spellStart"/>
      <w:r w:rsidRPr="005F5406">
        <w:t>g</w:t>
      </w:r>
      <w:proofErr w:type="spellEnd"/>
      <w:r w:rsidRPr="005F5406">
        <w:t xml:space="preserve">. datiem, tiek atjauninātas atbilstīgi novērotajam vidējam uzlabojumam, </w:t>
      </w:r>
      <w:r w:rsidR="00AD1E5F" w:rsidRPr="005F5406">
        <w:t xml:space="preserve">lai </w:t>
      </w:r>
      <w:proofErr w:type="spellStart"/>
      <w:r w:rsidR="00AD1E5F" w:rsidRPr="005F5406">
        <w:t>līmeņatzīmes</w:t>
      </w:r>
      <w:proofErr w:type="spellEnd"/>
      <w:r w:rsidRPr="005F5406">
        <w:t xml:space="preserve"> atspoguļot</w:t>
      </w:r>
      <w:r w:rsidR="00AD1E5F" w:rsidRPr="005F5406">
        <w:t>u</w:t>
      </w:r>
      <w:r w:rsidRPr="005F5406">
        <w:t xml:space="preserve"> tehnikas progresu attiecīgajās nozarēs un </w:t>
      </w:r>
      <w:r w:rsidR="00AD1E5F" w:rsidRPr="005F5406">
        <w:t xml:space="preserve">būtu </w:t>
      </w:r>
      <w:r w:rsidRPr="005F5406">
        <w:t>pielāgot</w:t>
      </w:r>
      <w:r w:rsidR="00AD1E5F" w:rsidRPr="005F5406">
        <w:t>as</w:t>
      </w:r>
      <w:r w:rsidRPr="005F5406">
        <w:t xml:space="preserve"> attiecīgajam sadales periodam. </w:t>
      </w:r>
      <w:proofErr w:type="spellStart"/>
      <w:r w:rsidRPr="005F5406">
        <w:t>Paredzamības</w:t>
      </w:r>
      <w:proofErr w:type="spellEnd"/>
      <w:r w:rsidRPr="005F5406">
        <w:t xml:space="preserve"> labad </w:t>
      </w:r>
      <w:proofErr w:type="spellStart"/>
      <w:r w:rsidR="00AD1E5F" w:rsidRPr="005F5406">
        <w:t>līmeņatzīmes</w:t>
      </w:r>
      <w:proofErr w:type="spellEnd"/>
      <w:r w:rsidR="00AD1E5F" w:rsidRPr="005F5406">
        <w:t xml:space="preserve"> </w:t>
      </w:r>
      <w:r w:rsidRPr="005F5406">
        <w:t>vajadzētu</w:t>
      </w:r>
      <w:r w:rsidR="00AD1E5F" w:rsidRPr="005F5406">
        <w:t xml:space="preserve"> atjaunināt</w:t>
      </w:r>
      <w:r w:rsidRPr="005F5406">
        <w:t xml:space="preserve">, izmantojot koeficientu, kurš </w:t>
      </w:r>
      <w:r w:rsidR="00AD1E5F" w:rsidRPr="005F5406">
        <w:t xml:space="preserve">visprecīzāk </w:t>
      </w:r>
      <w:r w:rsidRPr="005F5406">
        <w:t xml:space="preserve">atspoguļo </w:t>
      </w:r>
      <w:r w:rsidR="00AD1E5F" w:rsidRPr="005F5406">
        <w:t xml:space="preserve">progresu visās nozarēs un kura noteikšanā </w:t>
      </w:r>
      <w:r w:rsidRPr="005F5406">
        <w:t xml:space="preserve">ir </w:t>
      </w:r>
      <w:r w:rsidR="00AD1E5F" w:rsidRPr="005F5406">
        <w:t xml:space="preserve">ņemti </w:t>
      </w:r>
      <w:r w:rsidRPr="005F5406">
        <w:t xml:space="preserve">vērā pamatīgi, objektīvi un verificēti dati no iekārtām, lai nozarēm, kur panāktais uzlabojums ievērojami atšķiras no šī koeficienta, noteiktu tādu </w:t>
      </w:r>
      <w:proofErr w:type="spellStart"/>
      <w:r w:rsidRPr="005F5406">
        <w:t>līmeņatzīmes</w:t>
      </w:r>
      <w:proofErr w:type="spellEnd"/>
      <w:r w:rsidRPr="005F5406">
        <w:t xml:space="preserve"> vērtību, kas ir tuvāka faktiskajam uzlabojumam. Ja dati liecina, ka attiecīgajā periodā atšķirība no koeficienta samazinājuma ir </w:t>
      </w:r>
      <w:r w:rsidR="00AD1E5F" w:rsidRPr="005F5406">
        <w:t xml:space="preserve">par </w:t>
      </w:r>
      <w:r w:rsidRPr="005F5406">
        <w:t xml:space="preserve">vairāk nekā </w:t>
      </w:r>
      <w:r w:rsidRPr="003752EA">
        <w:t>0</w:t>
      </w:r>
      <w:r w:rsidRPr="005F5406">
        <w:t>,</w:t>
      </w:r>
      <w:r w:rsidRPr="003752EA">
        <w:t>5</w:t>
      </w:r>
      <w:r w:rsidRPr="005F5406">
        <w:t xml:space="preserve"> % </w:t>
      </w:r>
      <w:r w:rsidR="00406B6F" w:rsidRPr="005F5406">
        <w:t xml:space="preserve">gadā </w:t>
      </w:r>
      <w:r w:rsidRPr="005F5406">
        <w:t xml:space="preserve">lielāka vai mazāka nekā </w:t>
      </w:r>
      <w:r w:rsidRPr="003752EA">
        <w:t>2007</w:t>
      </w:r>
      <w:r w:rsidR="0020116C" w:rsidRPr="005F5406">
        <w:t>.–</w:t>
      </w:r>
      <w:r w:rsidR="0020116C" w:rsidRPr="003752EA">
        <w:t>20</w:t>
      </w:r>
      <w:r w:rsidR="00AD1E5F" w:rsidRPr="003752EA">
        <w:t>0</w:t>
      </w:r>
      <w:r w:rsidRPr="003752EA">
        <w:t>8</w:t>
      </w:r>
      <w:r w:rsidRPr="005F5406">
        <w:t>. </w:t>
      </w:r>
      <w:proofErr w:type="spellStart"/>
      <w:r w:rsidRPr="005F5406">
        <w:t>g</w:t>
      </w:r>
      <w:proofErr w:type="spellEnd"/>
      <w:r w:rsidRPr="005F5406">
        <w:t xml:space="preserve">. vērtība, attiecīgās </w:t>
      </w:r>
      <w:proofErr w:type="spellStart"/>
      <w:r w:rsidRPr="005F5406">
        <w:t>līmeņatzīmes</w:t>
      </w:r>
      <w:proofErr w:type="spellEnd"/>
      <w:r w:rsidRPr="005F5406">
        <w:t xml:space="preserve"> vērtību koriģē par attiecīgo procentuālo vērtību. Lai nodrošinātu vienlīdzīgus konkurences apstākļus aromātisko savienojumu, ūdeņraža un sintēzes gāzes ražošanai pārstrādes rūpnīcās un ķīmiskajās rūpnīcās, aromātisko savienojumu, ūdeņraža un sintēzes gāzes </w:t>
      </w:r>
      <w:proofErr w:type="spellStart"/>
      <w:r w:rsidRPr="005F5406">
        <w:t>līmeņatzīmju</w:t>
      </w:r>
      <w:proofErr w:type="spellEnd"/>
      <w:r w:rsidRPr="005F5406">
        <w:t xml:space="preserve"> vērtības arī turpmāk vajadzētu pieskaņot pārstrādes rūpnīcu </w:t>
      </w:r>
      <w:proofErr w:type="spellStart"/>
      <w:r w:rsidRPr="005F5406">
        <w:t>līmeņatzīmēm</w:t>
      </w:r>
      <w:proofErr w:type="spellEnd"/>
      <w:r w:rsidRPr="005F5406">
        <w:t>.</w:t>
      </w:r>
    </w:p>
    <w:p w:rsidR="00D104F1" w:rsidRPr="005F5406" w:rsidRDefault="00C75D70" w:rsidP="008363EB">
      <w:pPr>
        <w:pStyle w:val="Considrant"/>
      </w:pPr>
      <w:r w:rsidRPr="005F5406">
        <w:t>Dalībvalstīm, ievērojot noteikumus par valsts atbalstu, vajadzētu piešķirt daļēju kompensāciju atsevišķām iekārtām tādās nozarēs vai apakšnozarēs, par kurām konstatēts, ka siltumnīcefekta gāzu emisiju izmaksu iekļaušana elektroenerģijas cenās tajās radījusi ievērojamu CO</w:t>
      </w:r>
      <w:r w:rsidRPr="003752EA">
        <w:rPr>
          <w:vertAlign w:val="subscript"/>
        </w:rPr>
        <w:t>2</w:t>
      </w:r>
      <w:r w:rsidRPr="005F5406">
        <w:t xml:space="preserve"> emisiju pārvirzes risku</w:t>
      </w:r>
      <w:r w:rsidR="00291850" w:rsidRPr="005F5406">
        <w:t>.</w:t>
      </w:r>
      <w:r w:rsidR="00D104F1" w:rsidRPr="005F5406">
        <w:t xml:space="preserve"> Parīzes Pušu konferencē pieņemtajam protokolam un attiecīgajiem lēmumiem jānodrošina, </w:t>
      </w:r>
      <w:r w:rsidR="00C90DDF" w:rsidRPr="005F5406">
        <w:t xml:space="preserve">ka </w:t>
      </w:r>
      <w:r w:rsidR="00D104F1" w:rsidRPr="005F5406">
        <w:t>puses, kurām uz to ir tiesības, īpaši puses ar sevišķi ierobežotām iespējām, var dinamiski piesaistīt klimata finansējumu, izmantot tehnoloģiju nodošanu un spēju veidošanu. Publiskā sektora nodrošinātajam klimata finansējumam būs izšķirīga nozīme resursu</w:t>
      </w:r>
      <w:r w:rsidR="00C90DDF" w:rsidRPr="005F5406">
        <w:t xml:space="preserve"> piesaistīšanā</w:t>
      </w:r>
      <w:r w:rsidR="00D104F1" w:rsidRPr="005F5406">
        <w:t xml:space="preserve"> pēc </w:t>
      </w:r>
      <w:r w:rsidR="00D104F1" w:rsidRPr="003752EA">
        <w:t>2020</w:t>
      </w:r>
      <w:r w:rsidR="00D104F1" w:rsidRPr="005F5406">
        <w:t>. gada. Tāpēc ieņēmumus no izsolēm vajadzētu izmantot arī</w:t>
      </w:r>
      <w:r w:rsidR="00AD1E5F" w:rsidRPr="005F5406">
        <w:t xml:space="preserve"> tam</w:t>
      </w:r>
      <w:r w:rsidR="00D104F1" w:rsidRPr="005F5406">
        <w:t>, lai neaizsargātās trešās valstīs finansētu klimata pasākumus, tostarp pielāgošanos klimata pārmaiņu ietekmei. Piesaistāmā klimata finansējuma daudzums būs atkarīgs arī no ierosināto iecerēto valsts noteikto devumu (IVND) vēriena un kvalitātes, tāl</w:t>
      </w:r>
      <w:r w:rsidR="00950C21" w:rsidRPr="005F5406">
        <w:t xml:space="preserve">ākajiem investīciju plāniem un </w:t>
      </w:r>
      <w:r w:rsidR="00D104F1" w:rsidRPr="005F5406">
        <w:t xml:space="preserve">valstu pielāgošanās plānošanas procesiem. Dalībvalstīm izsoļu ieņēmumus vajadzētu izmantot arī tam, lai veicinātu nodarbinātības izmaiņu skartā darbaspēka pārkvalificēšanu un </w:t>
      </w:r>
      <w:r w:rsidR="00950C21" w:rsidRPr="005F5406">
        <w:t xml:space="preserve">pārorientēšanu </w:t>
      </w:r>
      <w:r w:rsidR="00D104F1" w:rsidRPr="005F5406">
        <w:t>tautsaimniecībā, kas nostājusies uz dekarbonizācijas ceļa.</w:t>
      </w:r>
    </w:p>
    <w:p w:rsidR="00D104F1" w:rsidRPr="005F5406" w:rsidRDefault="00D104F1" w:rsidP="00D104F1">
      <w:pPr>
        <w:pStyle w:val="Considrant"/>
      </w:pPr>
      <w:r w:rsidRPr="005F5406">
        <w:t>No šīs direktīvas izriet, ka galvenais ilgtermiņa stimuls CO</w:t>
      </w:r>
      <w:r w:rsidRPr="003752EA">
        <w:rPr>
          <w:vertAlign w:val="subscript"/>
        </w:rPr>
        <w:t>2</w:t>
      </w:r>
      <w:r w:rsidRPr="005F5406">
        <w:t xml:space="preserve"> uztveršanai un uzglabāšanai (</w:t>
      </w:r>
      <w:r w:rsidRPr="005F5406">
        <w:rPr>
          <w:i/>
        </w:rPr>
        <w:t>CCS</w:t>
      </w:r>
      <w:r w:rsidRPr="005F5406">
        <w:t xml:space="preserve">), jaunām atjaunojamo energoresursu tehnoloģijām un revolucionārām inovācijām </w:t>
      </w:r>
      <w:proofErr w:type="spellStart"/>
      <w:r w:rsidRPr="005F5406">
        <w:t>mazoglekļa</w:t>
      </w:r>
      <w:proofErr w:type="spellEnd"/>
      <w:r w:rsidRPr="005F5406">
        <w:t xml:space="preserve"> tehnoloģijās un procesos ir oglekļa cenas signāls un fakts, ka nebūs jānodod kvotas par CO</w:t>
      </w:r>
      <w:r w:rsidRPr="003752EA">
        <w:rPr>
          <w:vertAlign w:val="subscript"/>
        </w:rPr>
        <w:t>2</w:t>
      </w:r>
      <w:r w:rsidRPr="005F5406">
        <w:t xml:space="preserve"> emisijām, kas vai nu ir nonākušas pastāvīgā uzglabāšanā, vai vispār nav radušās. Bez tam, lai papildinātu resursus, ko jau tagad izmanto, lai paātrinātu komerciālu </w:t>
      </w:r>
      <w:r w:rsidRPr="005F5406">
        <w:rPr>
          <w:i/>
        </w:rPr>
        <w:t>CCS</w:t>
      </w:r>
      <w:r w:rsidRPr="005F5406">
        <w:t xml:space="preserve"> iekārtu un inovatīvu atjaunojamo energoresursu tehnoloģiju demonstrējumus, ES ETS kvotas vajadzētu izmantot, lai nodrošinātu garantētus ieguvumus no </w:t>
      </w:r>
      <w:r w:rsidR="00ED0BF5" w:rsidRPr="005F5406">
        <w:t xml:space="preserve">tādas </w:t>
      </w:r>
      <w:r w:rsidRPr="005F5406">
        <w:rPr>
          <w:i/>
        </w:rPr>
        <w:t>CCS</w:t>
      </w:r>
      <w:r w:rsidRPr="005F5406">
        <w:t xml:space="preserve"> iekārtu ieviešanas, jaunām atjaunojamo energoresursu tehnoloģijām un rūpnieciskām inovācijām </w:t>
      </w:r>
      <w:proofErr w:type="spellStart"/>
      <w:r w:rsidRPr="005F5406">
        <w:t>mazoglekļa</w:t>
      </w:r>
      <w:proofErr w:type="spellEnd"/>
      <w:r w:rsidRPr="005F5406">
        <w:t xml:space="preserve"> tehnoloģijās un procesos Savienībā, kā rezultātā CO</w:t>
      </w:r>
      <w:r w:rsidRPr="003752EA">
        <w:rPr>
          <w:vertAlign w:val="subscript"/>
        </w:rPr>
        <w:t>2</w:t>
      </w:r>
      <w:r w:rsidRPr="005F5406">
        <w:t xml:space="preserve"> emisijas tiek pietiekamā apjomā uzglabātas vai novērstas, ar nosacījumu, ka ir noslēgta vienošanās par dalīšanos zināšanās. Lielāko daļu šāda atbalsta piešķirtu ar nosacījumu, ka siltumnīcefekta gāzu emisij</w:t>
      </w:r>
      <w:r w:rsidR="00AD1E5F" w:rsidRPr="005F5406">
        <w:t xml:space="preserve">as ir verificēti novērstas, bet — atkarībā no ieviestās tehnoloģijas — </w:t>
      </w:r>
      <w:r w:rsidRPr="005F5406">
        <w:t>zināmu atbalstu varētu atvēlēt gadījumos, kad ir sasniegti iepriekš notei</w:t>
      </w:r>
      <w:r w:rsidR="00AD1E5F" w:rsidRPr="005F5406">
        <w:t>kti atskaites punkti</w:t>
      </w:r>
      <w:r w:rsidRPr="005F5406">
        <w:t xml:space="preserve">. </w:t>
      </w:r>
      <w:r w:rsidRPr="005F5406">
        <w:lastRenderedPageBreak/>
        <w:t>Maksimālais projekta izmaksu procentuālais apjoms, par ko piešķir atbalstu, var svārstīties atkarībā no projekta kategorijas.</w:t>
      </w:r>
    </w:p>
    <w:p w:rsidR="00D104F1" w:rsidRPr="005F5406" w:rsidRDefault="00D104F1" w:rsidP="0060669A">
      <w:pPr>
        <w:pStyle w:val="Considrant"/>
      </w:pPr>
      <w:r w:rsidRPr="005F5406">
        <w:t xml:space="preserve">No visām ES ETS kvotām </w:t>
      </w:r>
      <w:r w:rsidRPr="003752EA">
        <w:t>2</w:t>
      </w:r>
      <w:r w:rsidRPr="005F5406">
        <w:t xml:space="preserve"> % būtu </w:t>
      </w:r>
      <w:r w:rsidR="00CD24EC" w:rsidRPr="005F5406">
        <w:t>jāatvēl jaunizveidojamam</w:t>
      </w:r>
      <w:r w:rsidR="009650E9">
        <w:t xml:space="preserve"> </w:t>
      </w:r>
      <w:r w:rsidRPr="005F5406">
        <w:t xml:space="preserve">Modernizācijas fondam, un šīs kvotas būtu jāizsola saskaņā ar Regulā (ES) </w:t>
      </w:r>
      <w:proofErr w:type="spellStart"/>
      <w:r w:rsidRPr="005F5406">
        <w:t>Nr</w:t>
      </w:r>
      <w:proofErr w:type="spellEnd"/>
      <w:r w:rsidRPr="005F5406">
        <w:t>. </w:t>
      </w:r>
      <w:r w:rsidRPr="003752EA">
        <w:t>1031</w:t>
      </w:r>
      <w:r w:rsidRPr="005F5406">
        <w:t>/</w:t>
      </w:r>
      <w:r w:rsidRPr="003752EA">
        <w:t>2020</w:t>
      </w:r>
      <w:r w:rsidRPr="005F5406">
        <w:t xml:space="preserve"> paredzētajiem noteikumiem un kārtību, kā jārīko izsoles kopējā izsoļu platformā. Dalībvalstis, kuru IKP uz vienu iedzīvotāju (pēc tirgus valūtas maiņas kursa) </w:t>
      </w:r>
      <w:r w:rsidRPr="003752EA">
        <w:t>2013</w:t>
      </w:r>
      <w:r w:rsidRPr="005F5406">
        <w:t xml:space="preserve">. gadā bija par </w:t>
      </w:r>
      <w:r w:rsidRPr="003752EA">
        <w:t>60</w:t>
      </w:r>
      <w:r w:rsidRPr="005F5406">
        <w:t xml:space="preserve"> % mazāks par Savienības vidējo rādītāju, varētu saņemt finansējumu no Modernizācijas fonda un līdz </w:t>
      </w:r>
      <w:r w:rsidRPr="003752EA">
        <w:t>2030</w:t>
      </w:r>
      <w:r w:rsidRPr="005F5406">
        <w:t xml:space="preserve">. gadam atkāpties no principa, ka visas kvotas par elektroenerģijas ražošanu ir izsolāmas, proti, varētu iedalīt bezmaksas kvotas, lai pārredzami veicinātu reālas investīcijas enerģētikas sektora modernizācijā, tajā pašā laikā nepieļaujot iekšējā enerģijas tirgus izkropļošanu. Noteikumiem par Modernizācijas fondu vajadzētu veidot saskanīgu, visaptverošu un pārredzamu sistēmu, lai nodrošinātu pēc iespējas efektīvāku īstenošanu, ņemot vērā, ka ir jāgādā, lai visi dalībnieki varētu bez grūtībām piekļūt fondam. Pārvaldības struktūras funkcijai vajadzētu būt samērīgai ar mērķi — nodrošināt līdzekļu pienācīgu izmantošanu. Pārvaldības struktūrai vajadzētu sastāvēt no investīciju padomes un </w:t>
      </w:r>
      <w:r w:rsidR="00AD1E5F" w:rsidRPr="005F5406">
        <w:t>vadības</w:t>
      </w:r>
      <w:r w:rsidRPr="005F5406">
        <w:t xml:space="preserve"> komitejas; lēmumu pieņemšanas procesā vajadzētu pienācīgi ņemt vērā EIB pieredzi, izņemot gadījumus, kad atbalstu piešķir nelieliem projektiem, izmantojot aizdevumus no valstu attīstību veicinošām bankām vai piešķīrumus no kādas valsts programmas, kam ir tādi paši mērķi kā Modernizācijas fondam. Priekšlikum</w:t>
      </w:r>
      <w:r w:rsidR="00AD1E5F" w:rsidRPr="005F5406">
        <w:t xml:space="preserve">i </w:t>
      </w:r>
      <w:r w:rsidRPr="005F5406">
        <w:t>par investīcijām, kas finansējamas no šī fonda, būtu jāsagatavo dalībvalstīm. Lai nodrošinātu, ka pienācīgi tiek apmierinātas investīciju vajadzības, kas ir dalībvalstīm ar zemiem ienākumiem, līdzekļu sadalē vienlīdz ņems</w:t>
      </w:r>
      <w:r w:rsidR="00801F19" w:rsidRPr="005F5406">
        <w:t xml:space="preserve"> vērā gan verificētās emisijas,</w:t>
      </w:r>
      <w:r w:rsidRPr="005F5406">
        <w:t xml:space="preserve"> gan IKP kritēriju. Finansiālo atbalstu no Modernizācijas fonda varētu sniegt dažādos veidos.</w:t>
      </w:r>
    </w:p>
    <w:p w:rsidR="00AF638F" w:rsidRPr="005F5406" w:rsidRDefault="00051F34" w:rsidP="00D06AC9">
      <w:pPr>
        <w:pStyle w:val="Considrant"/>
      </w:pPr>
      <w:r w:rsidRPr="005F5406">
        <w:t xml:space="preserve">Eiropadome apstiprināja, ka būtu jāuzlabo kārtība — tostarp </w:t>
      </w:r>
      <w:proofErr w:type="spellStart"/>
      <w:r w:rsidRPr="005F5406">
        <w:t>pārredzamība</w:t>
      </w:r>
      <w:proofErr w:type="spellEnd"/>
      <w:r w:rsidRPr="005F5406">
        <w:t xml:space="preserve"> —, kādā bez maksas neobligāti tiek iedalītas kvotas nolūkā modernizēt enerģētikas sektoru atsevišķās dalībvalstīs. Investīciju projektus, kuru vērtība sasniedz vai pārsniedz </w:t>
      </w:r>
      <w:r w:rsidRPr="003752EA">
        <w:t>10</w:t>
      </w:r>
      <w:r w:rsidRPr="005F5406">
        <w:t xml:space="preserve"> miljonus </w:t>
      </w:r>
      <w:proofErr w:type="spellStart"/>
      <w:r w:rsidRPr="005F5406">
        <w:t>euro</w:t>
      </w:r>
      <w:proofErr w:type="spellEnd"/>
      <w:r w:rsidRPr="005F5406">
        <w:t xml:space="preserve">, attiecīgajai dalībvalstij būtu jāatlasa konkursa procedūrā, balstoties uz skaidriem un pārredzamiem noteikumiem, lai nodrošinātu, ka bezmaksas kvotu iedalīšanu izmanto, lai veicinātu reālas investīcijas enerģētikas sektora modernizācijā saskaņā ar Enerģētikas savienības mērķiem. </w:t>
      </w:r>
      <w:r w:rsidR="00D06AC9" w:rsidRPr="005F5406">
        <w:t>Finansējumu no bezmaksas kvotu iedalīšanas varētu piešķirt arī i</w:t>
      </w:r>
      <w:r w:rsidRPr="005F5406">
        <w:t xml:space="preserve">nvestīciju projektiem, kuru vērtība </w:t>
      </w:r>
      <w:r w:rsidR="00D06AC9" w:rsidRPr="005F5406">
        <w:t xml:space="preserve">ir mazāka par </w:t>
      </w:r>
      <w:r w:rsidR="00D06AC9" w:rsidRPr="003752EA">
        <w:t>10</w:t>
      </w:r>
      <w:r w:rsidR="00D06AC9" w:rsidRPr="005F5406">
        <w:t xml:space="preserve"> miljoniem </w:t>
      </w:r>
      <w:proofErr w:type="spellStart"/>
      <w:r w:rsidR="00D06AC9" w:rsidRPr="005F5406">
        <w:t>euro</w:t>
      </w:r>
      <w:proofErr w:type="spellEnd"/>
      <w:r w:rsidR="00D06AC9" w:rsidRPr="005F5406">
        <w:t>. Šādu investīciju projektu atlasē</w:t>
      </w:r>
      <w:r w:rsidRPr="005F5406">
        <w:t xml:space="preserve"> dalībvalstīm būtu</w:t>
      </w:r>
      <w:r w:rsidR="00C75D70" w:rsidRPr="005F5406">
        <w:t xml:space="preserve"> jābalstās uz</w:t>
      </w:r>
      <w:r w:rsidRPr="005F5406">
        <w:t xml:space="preserve"> skaidriem un pārredzamiem kritērijiem. Par atlases procesa rezultātiem būtu jārīko sabiedriska apspriešana. Sabiedrība būtu pienācīgi jāinformē gan investīciju projektu atlases posmā, gan to īstenošanas posmā.</w:t>
      </w:r>
    </w:p>
    <w:p w:rsidR="00D104F1" w:rsidRPr="005F5406" w:rsidRDefault="00D104F1" w:rsidP="00D104F1">
      <w:pPr>
        <w:pStyle w:val="Considrant"/>
      </w:pPr>
      <w:r w:rsidRPr="005F5406">
        <w:t>ES ETS finansējumam vajadzētu būt saskanīgam ar citām Savienības finansējuma programmām, t.</w:t>
      </w:r>
      <w:r w:rsidR="002F40D8" w:rsidRPr="005F5406">
        <w:t> </w:t>
      </w:r>
      <w:proofErr w:type="spellStart"/>
      <w:r w:rsidRPr="005F5406">
        <w:t>sk</w:t>
      </w:r>
      <w:proofErr w:type="spellEnd"/>
      <w:r w:rsidRPr="005F5406">
        <w:t xml:space="preserve">. Eiropas strukturālajiem un investīciju fondiem, lai nodrošinātu </w:t>
      </w:r>
      <w:r w:rsidR="00C75D70" w:rsidRPr="005F5406">
        <w:t xml:space="preserve">publiskā sektora </w:t>
      </w:r>
      <w:r w:rsidRPr="005F5406">
        <w:t>līdzekļu lietderīgu izmantojumu.</w:t>
      </w:r>
    </w:p>
    <w:p w:rsidR="00D104F1" w:rsidRPr="005F5406" w:rsidRDefault="00D104F1" w:rsidP="00D104F1">
      <w:pPr>
        <w:pStyle w:val="Considrant"/>
      </w:pPr>
      <w:r w:rsidRPr="005F5406">
        <w:t xml:space="preserve">Pašreizējie noteikumi, kas attiecas uz mazām, ES ETS neiekļaujamām iekārtām, paredz, ka neiekļautās iekārtas varēs </w:t>
      </w:r>
      <w:r w:rsidR="00D06AC9" w:rsidRPr="005F5406">
        <w:t xml:space="preserve">ETS </w:t>
      </w:r>
      <w:r w:rsidRPr="005F5406">
        <w:t>neiekļaut</w:t>
      </w:r>
      <w:r w:rsidR="00D06AC9" w:rsidRPr="005F5406">
        <w:t xml:space="preserve"> arī turpmāk</w:t>
      </w:r>
      <w:r w:rsidRPr="005F5406">
        <w:t>, un būtu jāparedz iespēja, ka dalībvalstis var savu neiekļauto iekārtu sarakstu atjaunināt, bet dalībvalstis, kas pašlaik šo iespēju neizmanto, var to sākt darīt katra tirdzniecības perioda sākumā.</w:t>
      </w:r>
    </w:p>
    <w:p w:rsidR="00D104F1" w:rsidRPr="005F5406" w:rsidRDefault="00D104F1" w:rsidP="00666767">
      <w:pPr>
        <w:pStyle w:val="Considrant"/>
      </w:pPr>
      <w:r w:rsidRPr="005F5406">
        <w:t xml:space="preserve">Eiropadome </w:t>
      </w:r>
      <w:r w:rsidRPr="003752EA">
        <w:t>2014</w:t>
      </w:r>
      <w:r w:rsidRPr="005F5406">
        <w:t xml:space="preserve">. gada oktobrī vienojās, ka </w:t>
      </w:r>
      <w:r w:rsidRPr="003752EA">
        <w:t>10</w:t>
      </w:r>
      <w:r w:rsidRPr="005F5406">
        <w:t> % no ES ETS kvotām</w:t>
      </w:r>
      <w:r w:rsidR="00700FF9" w:rsidRPr="005F5406">
        <w:t>, ko izsolīs dalībvalstis,</w:t>
      </w:r>
      <w:r w:rsidRPr="005F5406">
        <w:t xml:space="preserve"> ir jāsadala starp atsevišķām dalībvalstīm solidaritātes, izaugsmes un </w:t>
      </w:r>
      <w:proofErr w:type="spellStart"/>
      <w:r w:rsidRPr="005F5406">
        <w:t>starpsavienojumu</w:t>
      </w:r>
      <w:proofErr w:type="spellEnd"/>
      <w:r w:rsidRPr="005F5406">
        <w:t xml:space="preserve"> vajadzībām, savukārt pārējās kvotas daļās, kas </w:t>
      </w:r>
      <w:r w:rsidR="00D06AC9" w:rsidRPr="005F5406">
        <w:t>identiskas</w:t>
      </w:r>
      <w:r w:rsidRPr="005F5406">
        <w:t xml:space="preserve"> </w:t>
      </w:r>
      <w:r w:rsidRPr="003752EA">
        <w:t>2013</w:t>
      </w:r>
      <w:r w:rsidR="00700FF9" w:rsidRPr="005F5406">
        <w:t>.–</w:t>
      </w:r>
      <w:r w:rsidRPr="003752EA">
        <w:t>2020</w:t>
      </w:r>
      <w:r w:rsidRPr="005F5406">
        <w:t xml:space="preserve">. gadam noteiktajām daļām, ir jāsadala starp visām dalībvalstīm, tostarp dalībvalstīm, kas Savienībai pievienojušās šajā periodā. Dalībvalstīm, kuru IKP uz </w:t>
      </w:r>
      <w:r w:rsidRPr="005F5406">
        <w:lastRenderedPageBreak/>
        <w:t xml:space="preserve">vienu iedzīvotāju </w:t>
      </w:r>
      <w:r w:rsidRPr="003752EA">
        <w:t>2013</w:t>
      </w:r>
      <w:r w:rsidRPr="005F5406">
        <w:t xml:space="preserve">. gadā nesasniedz </w:t>
      </w:r>
      <w:r w:rsidRPr="003752EA">
        <w:t>90</w:t>
      </w:r>
      <w:r w:rsidRPr="005F5406">
        <w:t xml:space="preserve"> % no Savienības vidējā rādītāja, vajadzētu gūt labumu no šī solidaritātes mehānisma, tāpēc vajadzētu pienācīgi atjaunināt šīs direktīvas attiecīgo pielikumu. </w:t>
      </w:r>
      <w:r w:rsidR="007A2232">
        <w:t>Izņēmums no šāda sadalījuma</w:t>
      </w:r>
      <w:r w:rsidR="00666767" w:rsidRPr="005F5406">
        <w:t xml:space="preserve"> </w:t>
      </w:r>
      <w:r w:rsidR="00666767" w:rsidRPr="003752EA">
        <w:t>2013</w:t>
      </w:r>
      <w:r w:rsidR="00666767" w:rsidRPr="005F5406">
        <w:t>.–</w:t>
      </w:r>
      <w:r w:rsidR="00666767" w:rsidRPr="003752EA">
        <w:t>2020</w:t>
      </w:r>
      <w:r w:rsidR="00666767" w:rsidRPr="005F5406">
        <w:t xml:space="preserve">. gadā ir attiecināts arī uz dažām </w:t>
      </w:r>
      <w:r w:rsidR="00967A94" w:rsidRPr="005F5406">
        <w:t>dalībvalstīm, kur</w:t>
      </w:r>
      <w:r w:rsidR="00666767" w:rsidRPr="005F5406">
        <w:t xml:space="preserve"> </w:t>
      </w:r>
      <w:r w:rsidRPr="005F5406">
        <w:t xml:space="preserve">vidējie ienākumi uz iedzīvotāju ir par </w:t>
      </w:r>
      <w:r w:rsidRPr="003752EA">
        <w:t>20</w:t>
      </w:r>
      <w:r w:rsidRPr="005F5406">
        <w:t> % lielāki nekā Savienības vidējais rādītājs, un š</w:t>
      </w:r>
      <w:r w:rsidR="00666767" w:rsidRPr="005F5406">
        <w:t xml:space="preserve">ādas </w:t>
      </w:r>
      <w:r w:rsidRPr="005F5406">
        <w:t>atkāpes piemērošana būtu jāizbeidz.</w:t>
      </w:r>
    </w:p>
    <w:p w:rsidR="00D104F1" w:rsidRPr="005F5406" w:rsidRDefault="00F53E33" w:rsidP="00D104F1">
      <w:pPr>
        <w:pStyle w:val="Considrant"/>
      </w:pPr>
      <w:r w:rsidRPr="005F5406">
        <w:t xml:space="preserve">Ar Lēmumu (ES) </w:t>
      </w:r>
      <w:r w:rsidRPr="003752EA">
        <w:t>2015</w:t>
      </w:r>
      <w:r w:rsidRPr="005F5406">
        <w:t xml:space="preserve">/... </w:t>
      </w:r>
      <w:r w:rsidR="00D06AC9" w:rsidRPr="005F5406">
        <w:t>ir</w:t>
      </w:r>
      <w:r w:rsidRPr="005F5406">
        <w:t xml:space="preserve"> izveidota ES ETS tirgus stabilitātes rezerve, lai izsolāmo kvotu piedāvājumu padarītu elastīgāku, bet pašu sistēmu — noturīgāku. Lēmumā arī paredzēts, ka kvotas, kas līdz </w:t>
      </w:r>
      <w:r w:rsidRPr="003752EA">
        <w:t>2020</w:t>
      </w:r>
      <w:r w:rsidRPr="005F5406">
        <w:t>. gadam nav iedalītas jaunām iekārtām vai nav iedalītas darbības pārtraukšanas vai daļējas pārtraukšanas dēļ, ir jānovirza tirgus stabilitātes rezervē.</w:t>
      </w:r>
    </w:p>
    <w:p w:rsidR="00D104F1" w:rsidRPr="005F5406" w:rsidRDefault="00D104F1" w:rsidP="00D104F1">
      <w:pPr>
        <w:pStyle w:val="Considrant"/>
      </w:pPr>
      <w:r w:rsidRPr="005F5406">
        <w:t xml:space="preserve">Lai varētu pieņemt </w:t>
      </w:r>
      <w:proofErr w:type="spellStart"/>
      <w:r w:rsidRPr="005F5406">
        <w:t>pieņemt</w:t>
      </w:r>
      <w:proofErr w:type="spellEnd"/>
      <w:r w:rsidRPr="005F5406">
        <w:t xml:space="preserve"> vispārēji piemērojamus neleģislatīvus aktus</w:t>
      </w:r>
      <w:r w:rsidR="00F5486F" w:rsidRPr="005F5406">
        <w:t xml:space="preserve"> </w:t>
      </w:r>
      <w:r w:rsidR="002C1F22" w:rsidRPr="005F5406">
        <w:t>ar kuriem</w:t>
      </w:r>
      <w:r w:rsidRPr="005F5406">
        <w:t xml:space="preserve"> papildinātu vai grozītu dažus nebūtis</w:t>
      </w:r>
      <w:r w:rsidR="00DB3D5D" w:rsidRPr="005F5406">
        <w:t>kus leģislatīvu aktu elementus,</w:t>
      </w:r>
      <w:r w:rsidRPr="005F5406">
        <w:t xml:space="preserve"> vajadzētu </w:t>
      </w:r>
      <w:r w:rsidR="006F69D7" w:rsidRPr="005F5406">
        <w:t xml:space="preserve">Komisijai </w:t>
      </w:r>
      <w:r w:rsidRPr="005F5406">
        <w:t xml:space="preserve">piešķirt pilnvaras saskaņā ar Līguma par Eiropas Savienības darbību </w:t>
      </w:r>
      <w:r w:rsidRPr="003752EA">
        <w:t>290</w:t>
      </w:r>
      <w:r w:rsidRPr="005F5406">
        <w:t xml:space="preserve">. pantu pieņemt aktus attiecībā uz Direktīvas </w:t>
      </w:r>
      <w:r w:rsidRPr="003752EA">
        <w:t>2003</w:t>
      </w:r>
      <w:r w:rsidRPr="005F5406">
        <w:t>/</w:t>
      </w:r>
      <w:r w:rsidRPr="003752EA">
        <w:t>87</w:t>
      </w:r>
      <w:r w:rsidRPr="005F5406">
        <w:t xml:space="preserve">/EK </w:t>
      </w:r>
      <w:r w:rsidRPr="003752EA">
        <w:t>3</w:t>
      </w:r>
      <w:r w:rsidRPr="005F5406">
        <w:t xml:space="preserve">.d panta </w:t>
      </w:r>
      <w:r w:rsidRPr="003752EA">
        <w:t>3</w:t>
      </w:r>
      <w:r w:rsidRPr="005F5406">
        <w:t xml:space="preserve">. punktu, </w:t>
      </w:r>
      <w:r w:rsidRPr="003752EA">
        <w:t>10</w:t>
      </w:r>
      <w:r w:rsidRPr="005F5406">
        <w:t xml:space="preserve">. panta </w:t>
      </w:r>
      <w:r w:rsidRPr="003752EA">
        <w:t>4</w:t>
      </w:r>
      <w:r w:rsidRPr="005F5406">
        <w:t xml:space="preserve">. punktu, </w:t>
      </w:r>
      <w:r w:rsidRPr="003752EA">
        <w:t>10</w:t>
      </w:r>
      <w:r w:rsidRPr="005F5406">
        <w:t xml:space="preserve">.a panta </w:t>
      </w:r>
      <w:r w:rsidRPr="003752EA">
        <w:t>1</w:t>
      </w:r>
      <w:r w:rsidRPr="005F5406">
        <w:t xml:space="preserve">. un </w:t>
      </w:r>
      <w:r w:rsidRPr="003752EA">
        <w:t>8</w:t>
      </w:r>
      <w:r w:rsidRPr="005F5406">
        <w:t xml:space="preserve">. punktu, </w:t>
      </w:r>
      <w:r w:rsidRPr="003752EA">
        <w:t>10</w:t>
      </w:r>
      <w:r w:rsidRPr="005F5406">
        <w:t xml:space="preserve">.b pantu, </w:t>
      </w:r>
      <w:r w:rsidRPr="003752EA">
        <w:t>10</w:t>
      </w:r>
      <w:r w:rsidRPr="005F5406">
        <w:t xml:space="preserve">.d pantu, </w:t>
      </w:r>
      <w:r w:rsidRPr="003752EA">
        <w:t>14</w:t>
      </w:r>
      <w:r w:rsidRPr="005F5406">
        <w:t xml:space="preserve">. panta </w:t>
      </w:r>
      <w:r w:rsidRPr="003752EA">
        <w:t>1</w:t>
      </w:r>
      <w:r w:rsidRPr="005F5406">
        <w:t xml:space="preserve">. punktu, </w:t>
      </w:r>
      <w:r w:rsidRPr="003752EA">
        <w:t>15</w:t>
      </w:r>
      <w:r w:rsidRPr="005F5406">
        <w:t xml:space="preserve">. pantu, </w:t>
      </w:r>
      <w:r w:rsidRPr="003752EA">
        <w:t>19</w:t>
      </w:r>
      <w:r w:rsidRPr="005F5406">
        <w:t xml:space="preserve">. panta </w:t>
      </w:r>
      <w:r w:rsidRPr="003752EA">
        <w:t>3</w:t>
      </w:r>
      <w:r w:rsidRPr="005F5406">
        <w:t xml:space="preserve">. punktu, </w:t>
      </w:r>
      <w:r w:rsidRPr="003752EA">
        <w:t>22</w:t>
      </w:r>
      <w:r w:rsidRPr="005F5406">
        <w:t>. </w:t>
      </w:r>
      <w:r w:rsidR="000A7420" w:rsidRPr="005F5406">
        <w:t xml:space="preserve">pantu, </w:t>
      </w:r>
      <w:r w:rsidR="000A7420" w:rsidRPr="003752EA">
        <w:t>24</w:t>
      </w:r>
      <w:r w:rsidR="000A7420" w:rsidRPr="005F5406">
        <w:t xml:space="preserve">. pantu, </w:t>
      </w:r>
      <w:r w:rsidR="000A7420" w:rsidRPr="003752EA">
        <w:t>24</w:t>
      </w:r>
      <w:r w:rsidR="000A7420" w:rsidRPr="005F5406">
        <w:t>.a pantu un</w:t>
      </w:r>
      <w:r w:rsidRPr="005F5406">
        <w:t xml:space="preserve"> </w:t>
      </w:r>
      <w:r w:rsidRPr="003752EA">
        <w:t>25</w:t>
      </w:r>
      <w:r w:rsidRPr="005F5406">
        <w:t xml:space="preserve">.a pantu. Lai deleģējumu skaitu samazinātu līdz minimumam, svītro Direktīvas </w:t>
      </w:r>
      <w:r w:rsidRPr="003752EA">
        <w:t>2003</w:t>
      </w:r>
      <w:r w:rsidRPr="005F5406">
        <w:t>/</w:t>
      </w:r>
      <w:r w:rsidRPr="003752EA">
        <w:t>87</w:t>
      </w:r>
      <w:r w:rsidRPr="005F5406">
        <w:t xml:space="preserve">/EK </w:t>
      </w:r>
      <w:r w:rsidRPr="003752EA">
        <w:t>3</w:t>
      </w:r>
      <w:r w:rsidRPr="005F5406">
        <w:t xml:space="preserve">.f panta </w:t>
      </w:r>
      <w:r w:rsidRPr="003752EA">
        <w:t>9</w:t>
      </w:r>
      <w:r w:rsidRPr="005F5406">
        <w:t xml:space="preserve">. punktā, </w:t>
      </w:r>
      <w:r w:rsidRPr="003752EA">
        <w:t>11</w:t>
      </w:r>
      <w:r w:rsidRPr="005F5406">
        <w:t xml:space="preserve">.a panta </w:t>
      </w:r>
      <w:r w:rsidRPr="003752EA">
        <w:t>9</w:t>
      </w:r>
      <w:r w:rsidRPr="005F5406">
        <w:t xml:space="preserve">. punktā un </w:t>
      </w:r>
      <w:r w:rsidRPr="003752EA">
        <w:t>11</w:t>
      </w:r>
      <w:r w:rsidRPr="005F5406">
        <w:t xml:space="preserve">.b panta </w:t>
      </w:r>
      <w:r w:rsidRPr="003752EA">
        <w:t>7</w:t>
      </w:r>
      <w:r w:rsidRPr="005F5406">
        <w:t xml:space="preserve">. punktā paredzētās pašreizējās pilnvaras ieviest noteikumus par īpašās rezerves izmantošanu, noteikt apmaināmo starptautisko kredītu daudzumu un sīkākus standartus par to, kādus kredītus var apmainīt, un </w:t>
      </w:r>
      <w:r w:rsidR="000A7420" w:rsidRPr="005F5406">
        <w:t>paredzēt sīkākus noteikumus par</w:t>
      </w:r>
      <w:r w:rsidRPr="005F5406">
        <w:t xml:space="preserve"> dubultas uzskaites novēršanu. Saskaņā ar minētajiem noteikumiem pieņemtos tiesību aktus turpina piemērot. Ir īpaši būtiski, lai Komisija, veicot sagatavošanas darbus, rīkotu atbilstīgas apspriešanās, tostarp ekspertu līmenī. Komisijai, sagatavojot un izstrādājot deleģētos aktus, būtu jānodrošina vienlaicīga, savlaicīga un atbilstīga attiecīgo dokumentu nosūtīšana Eiropas Parlamentam un Padomei. Kas attiecas uz deleģējumu attiecībā uz Direktīvas </w:t>
      </w:r>
      <w:r w:rsidRPr="003752EA">
        <w:t>2003</w:t>
      </w:r>
      <w:r w:rsidRPr="005F5406">
        <w:t>/</w:t>
      </w:r>
      <w:r w:rsidRPr="003752EA">
        <w:t>87</w:t>
      </w:r>
      <w:r w:rsidRPr="005F5406">
        <w:t xml:space="preserve">/EK </w:t>
      </w:r>
      <w:r w:rsidRPr="003752EA">
        <w:t>10</w:t>
      </w:r>
      <w:r w:rsidRPr="005F5406">
        <w:t xml:space="preserve">. panta </w:t>
      </w:r>
      <w:r w:rsidRPr="003752EA">
        <w:t>4</w:t>
      </w:r>
      <w:r w:rsidRPr="005F5406">
        <w:t>. punktu, tās dalībvalstis, kas kopējo izsoļu platformu neizmanto, arī turpmāk var to neizmantot.</w:t>
      </w:r>
    </w:p>
    <w:p w:rsidR="00D104F1" w:rsidRPr="005F5406" w:rsidRDefault="00D104F1" w:rsidP="00D104F1">
      <w:pPr>
        <w:pStyle w:val="Considrant"/>
      </w:pPr>
      <w:r w:rsidRPr="005F5406">
        <w:t xml:space="preserve">Lai nodrošinātu vienādus nosacījumus Direktīvas </w:t>
      </w:r>
      <w:r w:rsidRPr="003752EA">
        <w:t>2003</w:t>
      </w:r>
      <w:r w:rsidRPr="005F5406">
        <w:t>/</w:t>
      </w:r>
      <w:r w:rsidRPr="003752EA">
        <w:t>87</w:t>
      </w:r>
      <w:r w:rsidRPr="005F5406">
        <w:t xml:space="preserve">/EK </w:t>
      </w:r>
      <w:r w:rsidRPr="003752EA">
        <w:t>10</w:t>
      </w:r>
      <w:r w:rsidRPr="005F5406">
        <w:t xml:space="preserve">.a panta </w:t>
      </w:r>
      <w:r w:rsidRPr="003752EA">
        <w:t>2</w:t>
      </w:r>
      <w:r w:rsidRPr="005F5406">
        <w:t xml:space="preserve">. punkta trešās daļas un </w:t>
      </w:r>
      <w:r w:rsidRPr="003752EA">
        <w:t>16</w:t>
      </w:r>
      <w:r w:rsidRPr="005F5406">
        <w:t xml:space="preserve">. panta </w:t>
      </w:r>
      <w:r w:rsidRPr="003752EA">
        <w:t>12</w:t>
      </w:r>
      <w:r w:rsidRPr="005F5406">
        <w:t xml:space="preserve">. punkta īstenošanai, vajadzētu </w:t>
      </w:r>
      <w:r w:rsidR="00F625E7" w:rsidRPr="005F5406">
        <w:t>Komisijai piešķirt īstenošanas pilnvaras.</w:t>
      </w:r>
      <w:r w:rsidRPr="005F5406">
        <w:t xml:space="preserve"> Minētās īstenošanas pilnvaras būtu jāīsteno saskaņā ar Eiropas Parlamenta un Padomes Regulu (ES) </w:t>
      </w:r>
      <w:proofErr w:type="spellStart"/>
      <w:r w:rsidRPr="005F5406">
        <w:t>Nr</w:t>
      </w:r>
      <w:proofErr w:type="spellEnd"/>
      <w:r w:rsidRPr="005F5406">
        <w:t>. </w:t>
      </w:r>
      <w:r w:rsidRPr="003752EA">
        <w:t>182</w:t>
      </w:r>
      <w:r w:rsidRPr="005F5406">
        <w:t>/</w:t>
      </w:r>
      <w:r w:rsidRPr="003752EA">
        <w:t>2011</w:t>
      </w:r>
      <w:r w:rsidRPr="005F5406">
        <w:rPr>
          <w:rStyle w:val="FootnoteReference"/>
          <w:noProof/>
        </w:rPr>
        <w:footnoteReference w:id="20"/>
      </w:r>
      <w:r w:rsidRPr="005F5406">
        <w:t xml:space="preserve">. Lai īstenošanas aktu skaitu samazinātu līdz minimumam, būtu jāsvītro Direktīvas </w:t>
      </w:r>
      <w:r w:rsidRPr="003752EA">
        <w:t>2003</w:t>
      </w:r>
      <w:r w:rsidRPr="005F5406">
        <w:t>/</w:t>
      </w:r>
      <w:r w:rsidRPr="003752EA">
        <w:t>87</w:t>
      </w:r>
      <w:r w:rsidRPr="005F5406">
        <w:t xml:space="preserve">/EK </w:t>
      </w:r>
      <w:r w:rsidRPr="003752EA">
        <w:t>11</w:t>
      </w:r>
      <w:r w:rsidRPr="005F5406">
        <w:t xml:space="preserve">.a panta </w:t>
      </w:r>
      <w:r w:rsidRPr="003752EA">
        <w:t>8</w:t>
      </w:r>
      <w:r w:rsidRPr="005F5406">
        <w:t xml:space="preserve">. punktā </w:t>
      </w:r>
      <w:r w:rsidR="00D06AC9" w:rsidRPr="005F5406">
        <w:t xml:space="preserve">pašreiz </w:t>
      </w:r>
      <w:r w:rsidRPr="005F5406">
        <w:t>noteiktās pilnvaras sīkāk noteikt apmaināmo starptautisko kredītu daudzumus. Saskaņā ar minēto noteikumu pieņemtos tiesību aktus turpina piemērot.</w:t>
      </w:r>
    </w:p>
    <w:p w:rsidR="00200B1F" w:rsidRPr="005F5406" w:rsidRDefault="00200B1F" w:rsidP="00D104F1">
      <w:pPr>
        <w:pStyle w:val="Considrant"/>
      </w:pPr>
      <w:r w:rsidRPr="005F5406">
        <w:t xml:space="preserve"> Saskaņā ar dalībvalstu un Komisijas </w:t>
      </w:r>
      <w:r w:rsidRPr="003752EA">
        <w:t>2011</w:t>
      </w:r>
      <w:r w:rsidRPr="005F5406">
        <w:t xml:space="preserve">. gada </w:t>
      </w:r>
      <w:r w:rsidRPr="003752EA">
        <w:t>28</w:t>
      </w:r>
      <w:r w:rsidRPr="005F5406">
        <w:t>. septembra kopīgo politisko deklarāciju par skaidrojošajiem dokumentiem</w:t>
      </w:r>
      <w:r w:rsidRPr="005F5406">
        <w:rPr>
          <w:rStyle w:val="FootnoteReference"/>
        </w:rPr>
        <w:footnoteReference w:id="21"/>
      </w:r>
      <w:r w:rsidRPr="005F5406">
        <w:t xml:space="preserve"> dalībvalstis ir apņēmušās, paziņojot savus transponēšanas pasākumus, pamatotos gadījumos pievienot vienu vai vairākus dokumentus, kuros paskaidrota saikne starp direktīvas sastāvdaļām un</w:t>
      </w:r>
      <w:r w:rsidR="00205313" w:rsidRPr="005F5406">
        <w:t xml:space="preserve"> atbils</w:t>
      </w:r>
      <w:r w:rsidR="009863DC" w:rsidRPr="005F5406">
        <w:t>tošajām</w:t>
      </w:r>
      <w:r w:rsidRPr="005F5406">
        <w:t xml:space="preserve"> daļām valsts pieņemt</w:t>
      </w:r>
      <w:r w:rsidR="00E46377" w:rsidRPr="005F5406">
        <w:t>aj</w:t>
      </w:r>
      <w:r w:rsidRPr="005F5406">
        <w:t xml:space="preserve">os transponēšanas instrumentos. Attiecībā uz šo direktīvu likumdevējs uzskata, ka šādu dokumentu nosūtīšana vajadzības gadījumā ir pamatota. </w:t>
      </w:r>
    </w:p>
    <w:p w:rsidR="00D104F1" w:rsidRPr="005F5406" w:rsidRDefault="00200B1F" w:rsidP="00D104F1">
      <w:pPr>
        <w:pStyle w:val="Considrant"/>
      </w:pPr>
      <w:r w:rsidRPr="005F5406">
        <w:t xml:space="preserve">Šīs direktīvas nolūks ir sekmēt, ka mērķis — augsta līmeņa vides aizsardzība saskaņā ar ilgtspējīgas attīstības principiem — tiek sasniegts ekonomiski visizdevīgākajiem līdzekļiem, tajā pašā laikā iekārtām paredzot pienācīgu pielāgošanās laiku, bet īpaši </w:t>
      </w:r>
      <w:r w:rsidRPr="005F5406">
        <w:lastRenderedPageBreak/>
        <w:t>skartām personām nodrošinot samērīgi labvēlīgāku režīmu, kas ir maksimāli saskanīgs ar citiem šīs direktīvas mērķiem.</w:t>
      </w:r>
    </w:p>
    <w:p w:rsidR="001C329B" w:rsidRPr="005F5406" w:rsidRDefault="001C329B" w:rsidP="001C329B">
      <w:pPr>
        <w:pStyle w:val="Considrant"/>
      </w:pPr>
      <w:r w:rsidRPr="005F5406">
        <w:t xml:space="preserve">Šajā direktīvā ir ievērotas pamattiesības un principi, kas jo īpaši atzīti Eiropas Savienības Pamattiesību hartā. </w:t>
      </w:r>
    </w:p>
    <w:p w:rsidR="00D104F1" w:rsidRPr="005F5406" w:rsidRDefault="00D104F1" w:rsidP="00D104F1">
      <w:pPr>
        <w:pStyle w:val="Considrant"/>
      </w:pPr>
      <w:r w:rsidRPr="005F5406">
        <w:t>Ņemot vērā to, ka šīs direktīvas mērķus nevar pietiekami labi sasniegt atsevišķās dalībvalstīs, bet tās mēroga un</w:t>
      </w:r>
      <w:r w:rsidR="009863DC" w:rsidRPr="005F5406">
        <w:t xml:space="preserve"> ietekmes</w:t>
      </w:r>
      <w:r w:rsidRPr="005F5406">
        <w:t xml:space="preserve"> dēļ tos var labāk sasniegt Savienības līmenī, Savienība var pieņemt pasākumus saskaņā ar Līguma par Eiropas Savienību </w:t>
      </w:r>
      <w:r w:rsidRPr="003752EA">
        <w:t>5</w:t>
      </w:r>
      <w:r w:rsidRPr="005F5406">
        <w:t>. pantā noteikto subsidiaritātes principu. Saskaņā ar minētajā pantā noteikto proporcionalitātes principu šajā direktīvā paredz vienīgi tos pasākumus, kas ir vajadzīgi šo mērķu sasniegšanai,</w:t>
      </w:r>
    </w:p>
    <w:p w:rsidR="00FE3AE7" w:rsidRPr="005F5406" w:rsidRDefault="005F5406" w:rsidP="00B7757C">
      <w:pPr>
        <w:pStyle w:val="Formuledadoption"/>
      </w:pPr>
      <w:r>
        <w:t>IR PIEŅĒMUŠI ŠO DIREKTĪVU.</w:t>
      </w:r>
    </w:p>
    <w:p w:rsidR="00FE3AE7" w:rsidRPr="005F5406" w:rsidRDefault="00FE3AE7" w:rsidP="00B7757C">
      <w:pPr>
        <w:pStyle w:val="Titrearticle"/>
      </w:pPr>
      <w:r w:rsidRPr="003752EA">
        <w:t>1</w:t>
      </w:r>
      <w:r w:rsidRPr="005F5406">
        <w:t>. pants</w:t>
      </w:r>
      <w:r w:rsidRPr="005F5406">
        <w:br/>
        <w:t xml:space="preserve">Direktīvas </w:t>
      </w:r>
      <w:r w:rsidRPr="003752EA">
        <w:t>2003</w:t>
      </w:r>
      <w:r w:rsidRPr="005F5406">
        <w:t>/</w:t>
      </w:r>
      <w:r w:rsidRPr="003752EA">
        <w:t>87</w:t>
      </w:r>
      <w:r w:rsidRPr="005F5406">
        <w:t>/EK grozījumi</w:t>
      </w:r>
    </w:p>
    <w:p w:rsidR="00E92573" w:rsidRPr="005F5406" w:rsidRDefault="00E92573" w:rsidP="00E92573">
      <w:r w:rsidRPr="005F5406">
        <w:t xml:space="preserve">Direktīvu </w:t>
      </w:r>
      <w:r w:rsidRPr="003752EA">
        <w:t>2003</w:t>
      </w:r>
      <w:r w:rsidRPr="005F5406">
        <w:t>/</w:t>
      </w:r>
      <w:r w:rsidRPr="003752EA">
        <w:t>87</w:t>
      </w:r>
      <w:r w:rsidRPr="005F5406">
        <w:t>/EK groza šādi:</w:t>
      </w:r>
    </w:p>
    <w:p w:rsidR="00200B1F" w:rsidRPr="005F5406" w:rsidRDefault="00200B1F" w:rsidP="00200B1F">
      <w:pPr>
        <w:pStyle w:val="ListNumber"/>
        <w:rPr>
          <w:noProof/>
        </w:rPr>
      </w:pPr>
      <w:r w:rsidRPr="005F5406">
        <w:t xml:space="preserve">direktīvas </w:t>
      </w:r>
      <w:r w:rsidRPr="003752EA">
        <w:t>3</w:t>
      </w:r>
      <w:r w:rsidRPr="005F5406">
        <w:t xml:space="preserve">.d panta </w:t>
      </w:r>
      <w:r w:rsidRPr="003752EA">
        <w:t>3</w:t>
      </w:r>
      <w:r w:rsidRPr="005F5406">
        <w:t>. punkta otro daļu aizstāj ar šādu:</w:t>
      </w:r>
    </w:p>
    <w:p w:rsidR="00200B1F" w:rsidRPr="005F5406" w:rsidRDefault="00200B1F" w:rsidP="00200B1F">
      <w:pPr>
        <w:pStyle w:val="Text1"/>
        <w:rPr>
          <w:rFonts w:eastAsia="Arial Unicode MS"/>
        </w:rPr>
      </w:pPr>
      <w:r w:rsidRPr="005F5406">
        <w:t xml:space="preserve">"Komisija ir pilnvarota pieņemt deleģēto aktu saskaņā ar </w:t>
      </w:r>
      <w:r w:rsidRPr="003752EA">
        <w:t>23</w:t>
      </w:r>
      <w:r w:rsidRPr="005F5406">
        <w:t>. pantu.";</w:t>
      </w:r>
    </w:p>
    <w:p w:rsidR="00100177" w:rsidRPr="005F5406" w:rsidRDefault="00100177" w:rsidP="00100177">
      <w:pPr>
        <w:pStyle w:val="ListNumber"/>
        <w:rPr>
          <w:noProof/>
        </w:rPr>
      </w:pPr>
      <w:r w:rsidRPr="005F5406">
        <w:t xml:space="preserve">direktīvas </w:t>
      </w:r>
      <w:r w:rsidRPr="003752EA">
        <w:t>3</w:t>
      </w:r>
      <w:r w:rsidRPr="005F5406">
        <w:t xml:space="preserve">.f panta </w:t>
      </w:r>
      <w:r w:rsidRPr="003752EA">
        <w:t>9</w:t>
      </w:r>
      <w:r w:rsidRPr="005F5406">
        <w:t>. punktu svītro;</w:t>
      </w:r>
    </w:p>
    <w:p w:rsidR="00E92573" w:rsidRPr="005F5406" w:rsidRDefault="00E92573" w:rsidP="00E92573">
      <w:pPr>
        <w:pStyle w:val="ListNumber"/>
      </w:pPr>
      <w:r w:rsidRPr="005F5406">
        <w:t xml:space="preserve">direktīvas </w:t>
      </w:r>
      <w:r w:rsidRPr="003752EA">
        <w:t>9</w:t>
      </w:r>
      <w:r w:rsidRPr="005F5406">
        <w:t>. panta otro un trešo daļu aizstāj ar šādām:</w:t>
      </w:r>
    </w:p>
    <w:p w:rsidR="00E92573" w:rsidRPr="005F5406" w:rsidRDefault="00E92573" w:rsidP="00E92573">
      <w:pPr>
        <w:pStyle w:val="Text1"/>
        <w:rPr>
          <w:rStyle w:val="Emphasis"/>
          <w:i w:val="0"/>
          <w:szCs w:val="24"/>
        </w:rPr>
      </w:pPr>
      <w:r w:rsidRPr="005F5406">
        <w:rPr>
          <w:rStyle w:val="Emphasis"/>
          <w:i w:val="0"/>
        </w:rPr>
        <w:t xml:space="preserve">"No </w:t>
      </w:r>
      <w:r w:rsidRPr="003752EA">
        <w:rPr>
          <w:rStyle w:val="Emphasis"/>
          <w:i w:val="0"/>
        </w:rPr>
        <w:t>2021</w:t>
      </w:r>
      <w:r w:rsidRPr="005F5406">
        <w:rPr>
          <w:rStyle w:val="Emphasis"/>
          <w:i w:val="0"/>
        </w:rPr>
        <w:t xml:space="preserve">. gada </w:t>
      </w:r>
      <w:r w:rsidR="00B1353E" w:rsidRPr="005F5406">
        <w:t>lineārais</w:t>
      </w:r>
      <w:r w:rsidR="00D06AC9" w:rsidRPr="005F5406">
        <w:t xml:space="preserve"> koeficients ir </w:t>
      </w:r>
      <w:r w:rsidR="00D06AC9" w:rsidRPr="003752EA">
        <w:t>2</w:t>
      </w:r>
      <w:r w:rsidR="00D06AC9" w:rsidRPr="005F5406">
        <w:t>,</w:t>
      </w:r>
      <w:r w:rsidR="00D06AC9" w:rsidRPr="003752EA">
        <w:t>2</w:t>
      </w:r>
      <w:r w:rsidR="00D06AC9" w:rsidRPr="005F5406">
        <w:t> %</w:t>
      </w:r>
      <w:r w:rsidRPr="005F5406">
        <w:rPr>
          <w:rStyle w:val="Emphasis"/>
          <w:i w:val="0"/>
        </w:rPr>
        <w:t>."</w:t>
      </w:r>
      <w:r w:rsidRPr="005F5406">
        <w:t>;</w:t>
      </w:r>
    </w:p>
    <w:p w:rsidR="00E92573" w:rsidRPr="005F5406" w:rsidRDefault="00E92573" w:rsidP="00E92573">
      <w:pPr>
        <w:pStyle w:val="ListNumber"/>
      </w:pPr>
      <w:r w:rsidRPr="005F5406">
        <w:t xml:space="preserve">direktīvas </w:t>
      </w:r>
      <w:r w:rsidRPr="003752EA">
        <w:t>10</w:t>
      </w:r>
      <w:r w:rsidRPr="005F5406">
        <w:t>. pantu groza šādi:</w:t>
      </w:r>
    </w:p>
    <w:p w:rsidR="00100177" w:rsidRPr="005F5406" w:rsidRDefault="00100177" w:rsidP="00275CB1">
      <w:pPr>
        <w:pStyle w:val="Text1"/>
      </w:pPr>
      <w:r w:rsidRPr="005F5406">
        <w:t xml:space="preserve">a) panta </w:t>
      </w:r>
      <w:r w:rsidRPr="003752EA">
        <w:t>1</w:t>
      </w:r>
      <w:r w:rsidRPr="005F5406">
        <w:t xml:space="preserve">. punktā pievieno šādas trīs </w:t>
      </w:r>
      <w:r w:rsidR="00C040A1" w:rsidRPr="005F5406">
        <w:t xml:space="preserve">jaunas </w:t>
      </w:r>
      <w:r w:rsidRPr="005F5406">
        <w:t>daļas:</w:t>
      </w:r>
    </w:p>
    <w:p w:rsidR="00100177" w:rsidRPr="005F5406" w:rsidRDefault="00E92573" w:rsidP="00275CB1">
      <w:pPr>
        <w:pStyle w:val="Text1"/>
        <w:ind w:left="709"/>
      </w:pPr>
      <w:r w:rsidRPr="005F5406">
        <w:t xml:space="preserve">"Sākot ar </w:t>
      </w:r>
      <w:r w:rsidRPr="003752EA">
        <w:t>2021</w:t>
      </w:r>
      <w:r w:rsidRPr="005F5406">
        <w:t xml:space="preserve">. gadu, dalībvalstis izsola </w:t>
      </w:r>
      <w:r w:rsidRPr="003752EA">
        <w:t>57</w:t>
      </w:r>
      <w:r w:rsidRPr="005F5406">
        <w:t xml:space="preserve"> % no kvotām. </w:t>
      </w:r>
    </w:p>
    <w:p w:rsidR="00100177" w:rsidRPr="005F5406" w:rsidRDefault="00100177" w:rsidP="00100177">
      <w:pPr>
        <w:pStyle w:val="Text1"/>
        <w:ind w:left="709"/>
      </w:pPr>
      <w:r w:rsidRPr="003752EA">
        <w:t>2</w:t>
      </w:r>
      <w:r w:rsidRPr="005F5406">
        <w:t xml:space="preserve"> % no kopējā kvotu apjoma laikā no </w:t>
      </w:r>
      <w:r w:rsidRPr="003752EA">
        <w:t>2021</w:t>
      </w:r>
      <w:r w:rsidRPr="005F5406">
        <w:t xml:space="preserve">. līdz </w:t>
      </w:r>
      <w:r w:rsidRPr="003752EA">
        <w:t>2030</w:t>
      </w:r>
      <w:r w:rsidRPr="005F5406">
        <w:t xml:space="preserve">. gadam izsola, lai izveidotu fondu, kura mērķis ir uzlabot energoefektivitāti un modernizēt energosistēmas dažās dalībvalstīs, kā noteikts šīs direktīvas </w:t>
      </w:r>
      <w:r w:rsidRPr="003752EA">
        <w:t>10</w:t>
      </w:r>
      <w:r w:rsidRPr="005F5406">
        <w:t>.a pantā ("Modernizācijas fonds").</w:t>
      </w:r>
    </w:p>
    <w:p w:rsidR="00E92573" w:rsidRPr="005F5406" w:rsidRDefault="00E92573" w:rsidP="00100177">
      <w:pPr>
        <w:pStyle w:val="Text1"/>
        <w:ind w:left="709"/>
      </w:pPr>
      <w:r w:rsidRPr="005F5406">
        <w:t xml:space="preserve">Atlikušo kopējo kvotu </w:t>
      </w:r>
      <w:r w:rsidR="00CD24EC" w:rsidRPr="005F5406">
        <w:t>apjomu</w:t>
      </w:r>
      <w:r w:rsidR="00B1353E" w:rsidRPr="005F5406">
        <w:t>, ko izsol</w:t>
      </w:r>
      <w:r w:rsidR="00180600" w:rsidRPr="005F5406">
        <w:t>a</w:t>
      </w:r>
      <w:r w:rsidR="00B1353E" w:rsidRPr="005F5406">
        <w:t xml:space="preserve"> dalībvalstis,</w:t>
      </w:r>
      <w:r w:rsidRPr="005F5406">
        <w:t xml:space="preserve"> sadala saskaņā ar </w:t>
      </w:r>
      <w:r w:rsidRPr="003752EA">
        <w:t>2</w:t>
      </w:r>
      <w:r w:rsidRPr="005F5406">
        <w:t>. punktu.";</w:t>
      </w:r>
    </w:p>
    <w:p w:rsidR="00100177" w:rsidRPr="005F5406" w:rsidRDefault="00100177" w:rsidP="00E92573">
      <w:pPr>
        <w:pStyle w:val="Text1"/>
      </w:pPr>
      <w:r w:rsidRPr="005F5406">
        <w:t xml:space="preserve">b) panta </w:t>
      </w:r>
      <w:r w:rsidRPr="003752EA">
        <w:t>2</w:t>
      </w:r>
      <w:r w:rsidRPr="005F5406">
        <w:t>. punktu groza šādi:</w:t>
      </w:r>
    </w:p>
    <w:p w:rsidR="00E92573" w:rsidRPr="005F5406" w:rsidRDefault="00CD6865" w:rsidP="00E92573">
      <w:pPr>
        <w:pStyle w:val="Text1"/>
      </w:pPr>
      <w:r w:rsidRPr="005F5406">
        <w:tab/>
        <w:t>i) punkta a) apakšpunktā "</w:t>
      </w:r>
      <w:r w:rsidRPr="003752EA">
        <w:t>88</w:t>
      </w:r>
      <w:r w:rsidRPr="005F5406">
        <w:t> %" aizstāj ar "</w:t>
      </w:r>
      <w:r w:rsidRPr="003752EA">
        <w:t>90</w:t>
      </w:r>
      <w:r w:rsidRPr="005F5406">
        <w:t xml:space="preserve"> %"; </w:t>
      </w:r>
    </w:p>
    <w:p w:rsidR="00100177" w:rsidRPr="005F5406" w:rsidRDefault="00100177" w:rsidP="00CD6865">
      <w:pPr>
        <w:pStyle w:val="Text1"/>
        <w:ind w:firstLine="590"/>
      </w:pPr>
      <w:proofErr w:type="spellStart"/>
      <w:r w:rsidRPr="005F5406">
        <w:t>ii</w:t>
      </w:r>
      <w:proofErr w:type="spellEnd"/>
      <w:r w:rsidRPr="005F5406">
        <w:t>) punkta b) apakšpunktu aizstāj ar šādu:</w:t>
      </w:r>
    </w:p>
    <w:p w:rsidR="00100177" w:rsidRPr="005F5406" w:rsidRDefault="00100177" w:rsidP="00CD6865">
      <w:pPr>
        <w:pStyle w:val="Text1"/>
        <w:ind w:left="1440"/>
      </w:pPr>
      <w:r w:rsidRPr="005F5406">
        <w:t xml:space="preserve">"b) </w:t>
      </w:r>
      <w:r w:rsidRPr="003752EA">
        <w:t>10</w:t>
      </w:r>
      <w:r w:rsidRPr="005F5406">
        <w:t xml:space="preserve"> % no kopējā izsolāmā kvotu apjoma sadala starp dažām dalībvalstīm Kopienas solidaritātes un izaugsmes labad, tādējādi kvotu apjomu, ko šīs dalībvalstis izsola saskaņā ar a) apakšpunktu, palielinot par </w:t>
      </w:r>
      <w:proofErr w:type="spellStart"/>
      <w:r w:rsidR="00731750" w:rsidRPr="005F5406">
        <w:t>II</w:t>
      </w:r>
      <w:r w:rsidR="00F53970" w:rsidRPr="005F5406">
        <w:t>.</w:t>
      </w:r>
      <w:r w:rsidR="00731750" w:rsidRPr="005F5406">
        <w:t>a</w:t>
      </w:r>
      <w:proofErr w:type="spellEnd"/>
      <w:r w:rsidRPr="005F5406">
        <w:t> pielikumā norādīt</w:t>
      </w:r>
      <w:r w:rsidR="00B8303B" w:rsidRPr="005F5406">
        <w:t>ajiem</w:t>
      </w:r>
      <w:r w:rsidRPr="005F5406">
        <w:t xml:space="preserve"> procentuāl</w:t>
      </w:r>
      <w:r w:rsidR="00B8303B" w:rsidRPr="005F5406">
        <w:t>ajiem</w:t>
      </w:r>
      <w:r w:rsidRPr="005F5406">
        <w:t xml:space="preserve"> </w:t>
      </w:r>
      <w:r w:rsidR="00CD24EC" w:rsidRPr="005F5406">
        <w:t>apjomiem</w:t>
      </w:r>
      <w:r w:rsidRPr="005F5406">
        <w:t>."; un</w:t>
      </w:r>
    </w:p>
    <w:p w:rsidR="00E92573" w:rsidRPr="005F5406" w:rsidRDefault="00100177" w:rsidP="00CD6865">
      <w:pPr>
        <w:pStyle w:val="Text1"/>
        <w:ind w:firstLine="590"/>
      </w:pPr>
      <w:proofErr w:type="spellStart"/>
      <w:r w:rsidRPr="005F5406">
        <w:t>iii</w:t>
      </w:r>
      <w:proofErr w:type="spellEnd"/>
      <w:r w:rsidRPr="005F5406">
        <w:t xml:space="preserve">) punkta c) apakšpunktu svītro; </w:t>
      </w:r>
    </w:p>
    <w:p w:rsidR="00E92573" w:rsidRPr="005F5406" w:rsidRDefault="00D01E90" w:rsidP="00CD6865">
      <w:pPr>
        <w:pStyle w:val="Text1"/>
        <w:ind w:firstLine="590"/>
      </w:pPr>
      <w:proofErr w:type="spellStart"/>
      <w:r w:rsidRPr="005F5406">
        <w:t>iv</w:t>
      </w:r>
      <w:proofErr w:type="spellEnd"/>
      <w:r w:rsidRPr="005F5406">
        <w:t>) punkta trešo daļu aizstāj ar šādu:</w:t>
      </w:r>
    </w:p>
    <w:p w:rsidR="00E92573" w:rsidRPr="005F5406" w:rsidRDefault="00E92573" w:rsidP="00CD6865">
      <w:pPr>
        <w:pStyle w:val="Text1"/>
        <w:ind w:left="1440"/>
      </w:pPr>
      <w:r w:rsidRPr="005F5406">
        <w:t xml:space="preserve">"Ja vajadzīgs, b) apakšpunktā minēto procentuālo </w:t>
      </w:r>
      <w:r w:rsidR="00CD24EC" w:rsidRPr="005F5406">
        <w:t xml:space="preserve">apjomu </w:t>
      </w:r>
      <w:r w:rsidRPr="005F5406">
        <w:t xml:space="preserve">proporcionāli pielāgo, lai nodrošinātu, ka pārdalītais </w:t>
      </w:r>
      <w:r w:rsidR="00CD24EC" w:rsidRPr="005F5406">
        <w:t xml:space="preserve">apjoms </w:t>
      </w:r>
      <w:r w:rsidRPr="005F5406">
        <w:t xml:space="preserve">ir </w:t>
      </w:r>
      <w:r w:rsidRPr="003752EA">
        <w:t>10</w:t>
      </w:r>
      <w:r w:rsidRPr="005F5406">
        <w:t xml:space="preserve"> %.";</w:t>
      </w:r>
    </w:p>
    <w:p w:rsidR="00E92573" w:rsidRPr="005F5406" w:rsidRDefault="00CD6865" w:rsidP="00275CB1">
      <w:pPr>
        <w:pStyle w:val="Text1"/>
      </w:pPr>
      <w:r w:rsidRPr="005F5406">
        <w:t xml:space="preserve">c) panta </w:t>
      </w:r>
      <w:r w:rsidRPr="003752EA">
        <w:t>3</w:t>
      </w:r>
      <w:r w:rsidRPr="005F5406">
        <w:t xml:space="preserve">. punktu papildina ar šādu j), k) un l) apakšpunktu: </w:t>
      </w:r>
    </w:p>
    <w:p w:rsidR="00E92573" w:rsidRPr="005F5406" w:rsidRDefault="00E92573" w:rsidP="00646A14">
      <w:pPr>
        <w:pStyle w:val="ManualNumPar1"/>
        <w:ind w:hanging="130"/>
        <w:rPr>
          <w:rFonts w:eastAsia="Arial Unicode MS"/>
        </w:rPr>
      </w:pPr>
      <w:r w:rsidRPr="005F5406">
        <w:lastRenderedPageBreak/>
        <w:t>"j)</w:t>
      </w:r>
      <w:r w:rsidRPr="005F5406">
        <w:tab/>
        <w:t>finansiālo pasākumu finansēšana par labu nozarēm vai apakšnozarēm, kuras apdraud patiess CO</w:t>
      </w:r>
      <w:r w:rsidRPr="003752EA">
        <w:rPr>
          <w:vertAlign w:val="subscript"/>
        </w:rPr>
        <w:t>2</w:t>
      </w:r>
      <w:r w:rsidRPr="005F5406">
        <w:t xml:space="preserve"> emisiju pārvirzes risks, kam par iemeslu ir ievērojamas netiešās izmaksas, kuras faktiski rada siltumnīcefekta gāzu emisijas </w:t>
      </w:r>
      <w:r w:rsidR="000D1616" w:rsidRPr="005F5406">
        <w:t>izmaksu</w:t>
      </w:r>
      <w:r w:rsidRPr="005F5406">
        <w:t xml:space="preserve"> </w:t>
      </w:r>
      <w:r w:rsidR="000D1616" w:rsidRPr="005F5406">
        <w:t>iekļaušana</w:t>
      </w:r>
      <w:r w:rsidRPr="005F5406">
        <w:t xml:space="preserve"> elektroenerģijas cenā, ar nosacījumu, ka šie pasākumi atbilst </w:t>
      </w:r>
      <w:r w:rsidRPr="003752EA">
        <w:t>10</w:t>
      </w:r>
      <w:r w:rsidRPr="005F5406">
        <w:t xml:space="preserve">.a panta </w:t>
      </w:r>
      <w:r w:rsidRPr="003752EA">
        <w:t>6</w:t>
      </w:r>
      <w:r w:rsidRPr="005F5406">
        <w:t>. punktā izklāstītajiem nosacījumiem;</w:t>
      </w:r>
    </w:p>
    <w:p w:rsidR="00E92573" w:rsidRPr="005F5406" w:rsidRDefault="00E92573" w:rsidP="00646A14">
      <w:pPr>
        <w:pStyle w:val="ManualNumPar1"/>
        <w:ind w:hanging="130"/>
      </w:pPr>
      <w:r w:rsidRPr="005F5406">
        <w:t>k)</w:t>
      </w:r>
      <w:r w:rsidRPr="005F5406">
        <w:tab/>
        <w:t>klimata pasākumu finansēšana neaizsargātās trešās valstīs, tostarp pielāgošanās klimata pārmaiņu ietekmei;</w:t>
      </w:r>
    </w:p>
    <w:p w:rsidR="00B84F3F" w:rsidRPr="005F5406" w:rsidRDefault="00B84F3F" w:rsidP="00646A14">
      <w:pPr>
        <w:pStyle w:val="ManualNumPar1"/>
        <w:ind w:hanging="130"/>
      </w:pPr>
      <w:r w:rsidRPr="005F5406">
        <w:t>l)</w:t>
      </w:r>
      <w:r w:rsidRPr="005F5406">
        <w:tab/>
        <w:t xml:space="preserve">ekonomikas dekarbonizācijas izraisīto nodarbinātības izmaiņu skartā darbaspēka </w:t>
      </w:r>
      <w:r w:rsidR="00E84785" w:rsidRPr="005F5406">
        <w:t>pārkvalificēšana</w:t>
      </w:r>
      <w:r w:rsidRPr="005F5406">
        <w:t xml:space="preserve"> un </w:t>
      </w:r>
      <w:r w:rsidR="00E84785" w:rsidRPr="005F5406">
        <w:t xml:space="preserve">pārorientēšana </w:t>
      </w:r>
      <w:r w:rsidRPr="005F5406">
        <w:t>ciešā koordinācijā ar sociālajiem partneriem.";</w:t>
      </w:r>
    </w:p>
    <w:p w:rsidR="00CD6865" w:rsidRPr="005F5406" w:rsidRDefault="00CD6865" w:rsidP="00275CB1">
      <w:pPr>
        <w:pStyle w:val="Text1"/>
      </w:pPr>
      <w:r w:rsidRPr="005F5406">
        <w:t xml:space="preserve">d) panta </w:t>
      </w:r>
      <w:r w:rsidRPr="003752EA">
        <w:t>4</w:t>
      </w:r>
      <w:r w:rsidRPr="005F5406">
        <w:t>. punkta trešo daļu aizstāj ar šādu:</w:t>
      </w:r>
    </w:p>
    <w:p w:rsidR="00CD6865" w:rsidRPr="005F5406" w:rsidRDefault="00CD6865" w:rsidP="003235B9">
      <w:pPr>
        <w:pStyle w:val="Text1"/>
      </w:pPr>
      <w:r w:rsidRPr="005F5406">
        <w:t xml:space="preserve">"Komisija ir pilnvarota pieņemt deleģēto aktu saskaņā ar </w:t>
      </w:r>
      <w:r w:rsidRPr="003752EA">
        <w:t>23</w:t>
      </w:r>
      <w:r w:rsidRPr="005F5406">
        <w:t>. pantu.";</w:t>
      </w:r>
    </w:p>
    <w:p w:rsidR="00E92573" w:rsidRPr="005F5406" w:rsidRDefault="00E92573" w:rsidP="00E92573">
      <w:pPr>
        <w:pStyle w:val="ListNumber"/>
      </w:pPr>
      <w:r w:rsidRPr="005F5406">
        <w:t xml:space="preserve">direktīvas </w:t>
      </w:r>
      <w:r w:rsidRPr="003752EA">
        <w:t>10</w:t>
      </w:r>
      <w:r w:rsidRPr="005F5406">
        <w:t>.a pantu groza šādi:</w:t>
      </w:r>
    </w:p>
    <w:p w:rsidR="00CD6865" w:rsidRPr="005F5406" w:rsidRDefault="00CD6865" w:rsidP="00275CB1">
      <w:pPr>
        <w:pStyle w:val="Text1"/>
      </w:pPr>
      <w:r w:rsidRPr="005F5406">
        <w:t xml:space="preserve">a) panta </w:t>
      </w:r>
      <w:r w:rsidRPr="003752EA">
        <w:t>1</w:t>
      </w:r>
      <w:r w:rsidRPr="005F5406">
        <w:t>. punkta otro daļu aizstāj ar šādu:</w:t>
      </w:r>
    </w:p>
    <w:p w:rsidR="00E020C0" w:rsidRPr="005F5406" w:rsidRDefault="00CD6865" w:rsidP="00E020C0">
      <w:pPr>
        <w:pStyle w:val="Text1"/>
        <w:ind w:left="1440"/>
      </w:pPr>
      <w:r w:rsidRPr="005F5406">
        <w:t xml:space="preserve">"Komisija ir pilnvarota pieņemt deleģēto aktu saskaņā ar </w:t>
      </w:r>
      <w:r w:rsidRPr="003752EA">
        <w:t>23</w:t>
      </w:r>
      <w:r w:rsidRPr="005F5406">
        <w:t>. pantu. Šajā aktā paredz arī papildu piešķiršanu no jauno iekārtu rezerves par ievērojamu ražošanas pieaugumu, piemērojot tādas pašas robežvērtības un korekcijas kā attiecībā uz daļēju darbības pārtraukšanu.";</w:t>
      </w:r>
    </w:p>
    <w:p w:rsidR="00CD6865" w:rsidRPr="005F5406" w:rsidRDefault="00CD6865" w:rsidP="00275CB1">
      <w:pPr>
        <w:pStyle w:val="Text1"/>
      </w:pPr>
      <w:r w:rsidRPr="005F5406">
        <w:t xml:space="preserve">b) panta </w:t>
      </w:r>
      <w:r w:rsidRPr="003752EA">
        <w:t>2</w:t>
      </w:r>
      <w:r w:rsidRPr="005F5406">
        <w:t>. punktam pievieno šādu jaunu trešo daļu:</w:t>
      </w:r>
    </w:p>
    <w:p w:rsidR="00CD6865" w:rsidRPr="005F5406" w:rsidRDefault="00CD6865" w:rsidP="00CD6865">
      <w:pPr>
        <w:pStyle w:val="ManualNumPar1"/>
        <w:ind w:hanging="141"/>
        <w:rPr>
          <w:highlight w:val="cyan"/>
        </w:rPr>
      </w:pPr>
      <w:r w:rsidRPr="005F5406">
        <w:t>"</w:t>
      </w:r>
      <w:proofErr w:type="spellStart"/>
      <w:r w:rsidRPr="005F5406">
        <w:t>Līmeņatzīmju</w:t>
      </w:r>
      <w:proofErr w:type="spellEnd"/>
      <w:r w:rsidRPr="005F5406">
        <w:t xml:space="preserve"> vērtības bezmaksas kvotu piešķiršanai koriģē, lai</w:t>
      </w:r>
      <w:r w:rsidR="009863DC" w:rsidRPr="005F5406">
        <w:t xml:space="preserve"> izvairītos</w:t>
      </w:r>
      <w:r w:rsidRPr="005F5406">
        <w:t xml:space="preserve"> </w:t>
      </w:r>
      <w:r w:rsidR="009863DC" w:rsidRPr="005F5406">
        <w:t xml:space="preserve">no </w:t>
      </w:r>
      <w:r w:rsidRPr="005F5406">
        <w:t>negaidīt</w:t>
      </w:r>
      <w:r w:rsidR="009863DC" w:rsidRPr="005F5406">
        <w:t>as</w:t>
      </w:r>
      <w:r w:rsidRPr="005F5406">
        <w:t xml:space="preserve"> papildu peļņ</w:t>
      </w:r>
      <w:r w:rsidR="009863DC" w:rsidRPr="005F5406">
        <w:t>as</w:t>
      </w:r>
      <w:r w:rsidRPr="005F5406">
        <w:t xml:space="preserve"> un atspoguļotu tehnik</w:t>
      </w:r>
      <w:r w:rsidR="000D1616" w:rsidRPr="005F5406">
        <w:t xml:space="preserve">as progresu </w:t>
      </w:r>
      <w:r w:rsidR="000D1616" w:rsidRPr="003752EA">
        <w:t>2007</w:t>
      </w:r>
      <w:r w:rsidR="000D1616" w:rsidRPr="005F5406">
        <w:t>.–</w:t>
      </w:r>
      <w:r w:rsidR="000C028B" w:rsidRPr="003752EA">
        <w:t>20</w:t>
      </w:r>
      <w:r w:rsidR="000D1616" w:rsidRPr="003752EA">
        <w:t>08</w:t>
      </w:r>
      <w:r w:rsidR="000D1616" w:rsidRPr="005F5406">
        <w:t>. </w:t>
      </w:r>
      <w:proofErr w:type="spellStart"/>
      <w:r w:rsidR="000D1616" w:rsidRPr="005F5406">
        <w:t>g</w:t>
      </w:r>
      <w:proofErr w:type="spellEnd"/>
      <w:r w:rsidR="000D1616" w:rsidRPr="005F5406">
        <w:t xml:space="preserve">. periodā </w:t>
      </w:r>
      <w:r w:rsidRPr="005F5406">
        <w:t xml:space="preserve">un pēc tam katrā vēlākā periodā, kuram nosaka bezmaksas kvotas saskaņā ar </w:t>
      </w:r>
      <w:r w:rsidRPr="003752EA">
        <w:t>11</w:t>
      </w:r>
      <w:r w:rsidRPr="005F5406">
        <w:t xml:space="preserve">. panta </w:t>
      </w:r>
      <w:r w:rsidRPr="003752EA">
        <w:t>1</w:t>
      </w:r>
      <w:r w:rsidRPr="005F5406">
        <w:t xml:space="preserve">. punktu. </w:t>
      </w:r>
      <w:proofErr w:type="spellStart"/>
      <w:r w:rsidRPr="005F5406">
        <w:t>Līmeņatzīmju</w:t>
      </w:r>
      <w:proofErr w:type="spellEnd"/>
      <w:r w:rsidRPr="005F5406">
        <w:t xml:space="preserve"> vērtības, kas noteiktas ar aktu, kurš pieņemts saskaņā ar </w:t>
      </w:r>
      <w:r w:rsidRPr="003752EA">
        <w:t>10</w:t>
      </w:r>
      <w:r w:rsidRPr="005F5406">
        <w:t xml:space="preserve">.a pantu, ar šo korekciju samazina par </w:t>
      </w:r>
      <w:r w:rsidRPr="003752EA">
        <w:t>1</w:t>
      </w:r>
      <w:r w:rsidRPr="005F5406">
        <w:t xml:space="preserve"> % no vērtības, kuras pamatā bija </w:t>
      </w:r>
      <w:r w:rsidRPr="003752EA">
        <w:t>2007</w:t>
      </w:r>
      <w:r w:rsidR="008F2EC6" w:rsidRPr="005F5406">
        <w:t>.–</w:t>
      </w:r>
      <w:r w:rsidRPr="003752EA">
        <w:t>2008</w:t>
      </w:r>
      <w:r w:rsidRPr="005F5406">
        <w:t xml:space="preserve">. gada dati, attiecībā uz katru gadu laikā no </w:t>
      </w:r>
      <w:r w:rsidRPr="003752EA">
        <w:t>2008</w:t>
      </w:r>
      <w:r w:rsidRPr="005F5406">
        <w:t>. gada līdz attiecīgā bezmaksas kvotu piešķiršanas perioda vidum, izņemot</w:t>
      </w:r>
      <w:r w:rsidR="00744501" w:rsidRPr="005F5406">
        <w:t xml:space="preserve"> šādus gadījumus</w:t>
      </w:r>
      <w:r w:rsidRPr="005F5406">
        <w:t>:</w:t>
      </w:r>
    </w:p>
    <w:p w:rsidR="00CD6865" w:rsidRPr="005F5406" w:rsidRDefault="00CD6865" w:rsidP="00CD6865">
      <w:pPr>
        <w:pStyle w:val="Text1"/>
        <w:ind w:left="1440"/>
      </w:pPr>
      <w:r w:rsidRPr="005F5406">
        <w:t xml:space="preserve">i) </w:t>
      </w:r>
      <w:r w:rsidR="00CD24EC" w:rsidRPr="005F5406">
        <w:t xml:space="preserve">pamatojoties uz saskaņā ar </w:t>
      </w:r>
      <w:r w:rsidR="00CD24EC" w:rsidRPr="003752EA">
        <w:t>11</w:t>
      </w:r>
      <w:r w:rsidR="00CD24EC" w:rsidRPr="005F5406">
        <w:t xml:space="preserve">. pantu iesniegto informāciju, Komisija nosaka, vai katras </w:t>
      </w:r>
      <w:proofErr w:type="spellStart"/>
      <w:r w:rsidR="00CD24EC" w:rsidRPr="005F5406">
        <w:t>līmeņatzīmes</w:t>
      </w:r>
      <w:proofErr w:type="spellEnd"/>
      <w:r w:rsidR="00CD24EC" w:rsidRPr="005F5406">
        <w:t xml:space="preserve"> —</w:t>
      </w:r>
      <w:r w:rsidR="009650E9">
        <w:t xml:space="preserve"> </w:t>
      </w:r>
      <w:r w:rsidR="00CD24EC" w:rsidRPr="005F5406">
        <w:t xml:space="preserve">kas aprēķināta, izmantojot </w:t>
      </w:r>
      <w:r w:rsidR="00CD24EC" w:rsidRPr="003752EA">
        <w:t>10</w:t>
      </w:r>
      <w:r w:rsidR="00CD24EC" w:rsidRPr="005F5406">
        <w:t>.a</w:t>
      </w:r>
      <w:r w:rsidR="009650E9">
        <w:t xml:space="preserve"> </w:t>
      </w:r>
      <w:r w:rsidR="00CD24EC" w:rsidRPr="005F5406">
        <w:t>panta principus —</w:t>
      </w:r>
      <w:r w:rsidR="009650E9">
        <w:t xml:space="preserve"> </w:t>
      </w:r>
      <w:r w:rsidR="00CD24EC" w:rsidRPr="005F5406">
        <w:t xml:space="preserve">vērtības no iepriekš minētā ikgadējā samazinājuma gadā atšķiras par vairāk nekā </w:t>
      </w:r>
      <w:r w:rsidR="00CD24EC" w:rsidRPr="003752EA">
        <w:t>0</w:t>
      </w:r>
      <w:r w:rsidR="00CD24EC" w:rsidRPr="005F5406">
        <w:t>,</w:t>
      </w:r>
      <w:r w:rsidR="00CD24EC" w:rsidRPr="003752EA">
        <w:t>5</w:t>
      </w:r>
      <w:r w:rsidR="00CD24EC" w:rsidRPr="005F5406">
        <w:t xml:space="preserve"> % (uz augšu vai leju) no </w:t>
      </w:r>
      <w:r w:rsidR="00CD24EC" w:rsidRPr="003752EA">
        <w:t>2007</w:t>
      </w:r>
      <w:r w:rsidR="00CD24EC" w:rsidRPr="005F5406">
        <w:t>.–</w:t>
      </w:r>
      <w:r w:rsidR="00CD24EC" w:rsidRPr="003752EA">
        <w:t>2008</w:t>
      </w:r>
      <w:r w:rsidR="00CD24EC" w:rsidRPr="005F5406">
        <w:t xml:space="preserve">. gada vērtības. Ja tā ir, tad </w:t>
      </w:r>
      <w:proofErr w:type="spellStart"/>
      <w:r w:rsidR="00CD24EC" w:rsidRPr="005F5406">
        <w:t>līmeņatzīmes</w:t>
      </w:r>
      <w:proofErr w:type="spellEnd"/>
      <w:r w:rsidR="00CD24EC" w:rsidRPr="005F5406">
        <w:t xml:space="preserve"> vērtību koriģē par vai nu </w:t>
      </w:r>
      <w:r w:rsidR="00CD24EC" w:rsidRPr="003752EA">
        <w:t>0</w:t>
      </w:r>
      <w:r w:rsidR="00CD24EC" w:rsidRPr="005F5406">
        <w:t>,</w:t>
      </w:r>
      <w:r w:rsidR="00CD24EC" w:rsidRPr="003752EA">
        <w:t>5</w:t>
      </w:r>
      <w:r w:rsidR="00CD24EC" w:rsidRPr="005F5406">
        <w:t xml:space="preserve"> %, vai </w:t>
      </w:r>
      <w:r w:rsidR="00CD24EC" w:rsidRPr="003752EA">
        <w:t>1</w:t>
      </w:r>
      <w:r w:rsidR="00CD24EC" w:rsidRPr="005F5406">
        <w:t>,</w:t>
      </w:r>
      <w:r w:rsidR="00CD24EC" w:rsidRPr="003752EA">
        <w:t>5</w:t>
      </w:r>
      <w:r w:rsidR="00CD24EC" w:rsidRPr="005F5406">
        <w:t xml:space="preserve"> % attiecībā uz katru gadu laikā no </w:t>
      </w:r>
      <w:r w:rsidR="00CD24EC" w:rsidRPr="003752EA">
        <w:t>2008</w:t>
      </w:r>
      <w:r w:rsidR="00CD24EC" w:rsidRPr="005F5406">
        <w:t>. gada līdz tā perioda vidum, par ko jāpiešķir bezmaksas kvotas</w:t>
      </w:r>
      <w:r w:rsidRPr="005F5406">
        <w:t>;</w:t>
      </w:r>
    </w:p>
    <w:p w:rsidR="00CD6865" w:rsidRPr="005F5406" w:rsidRDefault="00CD6865" w:rsidP="00CD6865">
      <w:pPr>
        <w:pStyle w:val="Text1"/>
        <w:ind w:left="1440"/>
      </w:pPr>
      <w:proofErr w:type="spellStart"/>
      <w:r w:rsidRPr="005F5406">
        <w:t>ii</w:t>
      </w:r>
      <w:proofErr w:type="spellEnd"/>
      <w:r w:rsidRPr="005F5406">
        <w:t xml:space="preserve">) atkāpjoties no noteikumiem par aromātisko savienojumu, ūdeņraža un sintēzes gāzes </w:t>
      </w:r>
      <w:proofErr w:type="spellStart"/>
      <w:r w:rsidRPr="005F5406">
        <w:t>līmeņatzīmju</w:t>
      </w:r>
      <w:proofErr w:type="spellEnd"/>
      <w:r w:rsidRPr="005F5406">
        <w:t xml:space="preserve"> vērtībām, šīs </w:t>
      </w:r>
      <w:proofErr w:type="spellStart"/>
      <w:r w:rsidRPr="005F5406">
        <w:t>līmeņatzīmju</w:t>
      </w:r>
      <w:proofErr w:type="spellEnd"/>
      <w:r w:rsidRPr="005F5406">
        <w:t xml:space="preserve"> vērtības tiek koriģētas par tādu pašu procentuālo </w:t>
      </w:r>
      <w:r w:rsidR="00CD24EC" w:rsidRPr="005F5406">
        <w:t xml:space="preserve">daudzumu </w:t>
      </w:r>
      <w:r w:rsidRPr="005F5406">
        <w:t xml:space="preserve">kā pārstrādes rūpnīcu </w:t>
      </w:r>
      <w:proofErr w:type="spellStart"/>
      <w:r w:rsidRPr="005F5406">
        <w:t>līmeņatzīmes</w:t>
      </w:r>
      <w:proofErr w:type="spellEnd"/>
      <w:r w:rsidRPr="005F5406">
        <w:t>, lai saglabātu vienlīdzīgus konkurences apstākļus šādu produktu ražotājiem.</w:t>
      </w:r>
    </w:p>
    <w:p w:rsidR="00CD6865" w:rsidRPr="005F5406" w:rsidRDefault="00CD6865" w:rsidP="00CD6865">
      <w:pPr>
        <w:pStyle w:val="Text1"/>
      </w:pPr>
      <w:r w:rsidRPr="005F5406">
        <w:t xml:space="preserve">Tālab Komisija pieņem īstenošanas aktu saskaņā ar </w:t>
      </w:r>
      <w:r w:rsidRPr="003752EA">
        <w:t>22</w:t>
      </w:r>
      <w:r w:rsidRPr="005F5406">
        <w:t xml:space="preserve">.a pantu."; </w:t>
      </w:r>
    </w:p>
    <w:p w:rsidR="00CD6865" w:rsidRPr="005F5406" w:rsidRDefault="007D663F" w:rsidP="00275CB1">
      <w:pPr>
        <w:pStyle w:val="Text1"/>
      </w:pPr>
      <w:r w:rsidRPr="005F5406">
        <w:t xml:space="preserve">c) panta </w:t>
      </w:r>
      <w:r w:rsidRPr="003752EA">
        <w:t>5</w:t>
      </w:r>
      <w:r w:rsidRPr="005F5406">
        <w:t>. punktu aizstāj ar šādu:</w:t>
      </w:r>
    </w:p>
    <w:p w:rsidR="00E92573" w:rsidRPr="005F5406" w:rsidRDefault="00E92573" w:rsidP="00E92573">
      <w:pPr>
        <w:pStyle w:val="Text1"/>
      </w:pPr>
      <w:r w:rsidRPr="005F5406">
        <w:t xml:space="preserve">"Lai ievērotu </w:t>
      </w:r>
      <w:r w:rsidRPr="003752EA">
        <w:t>10</w:t>
      </w:r>
      <w:r w:rsidRPr="005F5406">
        <w:t>. pant</w:t>
      </w:r>
      <w:r w:rsidR="002137DC" w:rsidRPr="005F5406">
        <w:t>ā noteikto izsolāmo kvotu daļu,</w:t>
      </w:r>
      <w:r w:rsidRPr="005F5406">
        <w:t xml:space="preserve"> katrā gadā, kurā bezmaksas kvotu summa nesasniedz maksimālo līmeni, kas atbilst </w:t>
      </w:r>
      <w:r w:rsidR="002137DC" w:rsidRPr="005F5406">
        <w:t>to</w:t>
      </w:r>
      <w:r w:rsidRPr="005F5406">
        <w:t xml:space="preserve"> kvotu apjomam,</w:t>
      </w:r>
      <w:r w:rsidR="002137DC" w:rsidRPr="005F5406">
        <w:t xml:space="preserve"> kuras izsola dalībvalstis, </w:t>
      </w:r>
      <w:r w:rsidRPr="005F5406">
        <w:t>līdz šim līmenim atlikušās kvotas izmanto, lai novērstu vai ierobežotu bezmaksas kvotu samazinājumu, lai vēlākos gados tiktu ievērots dalībvalstīm izsolāmo kvotu apjoms. Tomēr, ja šis maksimālais līmenis ir sasniegts, bezmaksas kvotas attiecīgi koriģē. Šādas korekcijas izdara vienotā kārtībā.";</w:t>
      </w:r>
    </w:p>
    <w:p w:rsidR="00E92573" w:rsidRPr="005F5406" w:rsidRDefault="007D663F" w:rsidP="007D663F">
      <w:pPr>
        <w:pStyle w:val="Text1"/>
      </w:pPr>
      <w:r w:rsidRPr="005F5406">
        <w:lastRenderedPageBreak/>
        <w:t xml:space="preserve">d) panta </w:t>
      </w:r>
      <w:r w:rsidRPr="003752EA">
        <w:t>6</w:t>
      </w:r>
      <w:r w:rsidRPr="005F5406">
        <w:t xml:space="preserve">. punkta pirmo daļu aizstāj ar šādu: </w:t>
      </w:r>
    </w:p>
    <w:p w:rsidR="00537486" w:rsidRPr="005F5406" w:rsidRDefault="00E92573" w:rsidP="00E92573">
      <w:pPr>
        <w:pStyle w:val="Text1"/>
      </w:pPr>
      <w:r w:rsidRPr="005F5406">
        <w:t>"Dalībvalstis pieņem finansiālus pasākumus par labu nozarēm vai apakšnozarēm, kuras apdraud patiess CO</w:t>
      </w:r>
      <w:r w:rsidRPr="003752EA">
        <w:rPr>
          <w:vertAlign w:val="subscript"/>
        </w:rPr>
        <w:t>2</w:t>
      </w:r>
      <w:r w:rsidRPr="005F5406">
        <w:t xml:space="preserve"> emisiju pārvirzes risks, kam par iemeslu ir ievērojamas netiešās izmaksas, </w:t>
      </w:r>
      <w:r w:rsidR="00AD1E5F" w:rsidRPr="005F5406">
        <w:t>kuras faktiski rada siltumnīcefekta</w:t>
      </w:r>
      <w:r w:rsidRPr="005F5406">
        <w:t xml:space="preserve"> gāzu emisijas izmaksu iekļaušana elektroenerģijas cenā, ņemot vērā jebkādu ietekmi uz iekšējo tirgu. Šādi finansiālie pasākumi, ar kuriem kompensē daļu no šīm izmaksām, ir saskaņā ar noteikumiem par valsts atbalstu.";</w:t>
      </w:r>
    </w:p>
    <w:p w:rsidR="007D663F" w:rsidRPr="005F5406" w:rsidRDefault="003752EA" w:rsidP="00E92573">
      <w:pPr>
        <w:pStyle w:val="Text1"/>
      </w:pPr>
      <w:r>
        <w:t>e</w:t>
      </w:r>
      <w:r w:rsidR="007D663F" w:rsidRPr="005F5406">
        <w:t xml:space="preserve">) panta </w:t>
      </w:r>
      <w:r w:rsidR="007D663F" w:rsidRPr="003752EA">
        <w:t>7</w:t>
      </w:r>
      <w:r w:rsidR="007D663F" w:rsidRPr="005F5406">
        <w:t>. punktu groza šādi:</w:t>
      </w:r>
    </w:p>
    <w:p w:rsidR="00E92573" w:rsidRPr="005F5406" w:rsidRDefault="007D663F" w:rsidP="007D663F">
      <w:pPr>
        <w:pStyle w:val="Text1"/>
        <w:ind w:left="1440"/>
      </w:pPr>
      <w:r w:rsidRPr="005F5406">
        <w:t xml:space="preserve">i) pirmās daļas pirmo un otro teikumu aizstāj ar šādiem: </w:t>
      </w:r>
    </w:p>
    <w:p w:rsidR="00E92573" w:rsidRPr="005F5406" w:rsidRDefault="00E92573" w:rsidP="007D663F">
      <w:pPr>
        <w:pStyle w:val="Text1"/>
        <w:ind w:left="1440"/>
      </w:pPr>
      <w:r w:rsidRPr="005F5406">
        <w:t xml:space="preserve">"Kvotas no šīs direktīvas </w:t>
      </w:r>
      <w:r w:rsidRPr="003752EA">
        <w:t>10</w:t>
      </w:r>
      <w:r w:rsidRPr="005F5406">
        <w:t xml:space="preserve">.a panta </w:t>
      </w:r>
      <w:r w:rsidRPr="003752EA">
        <w:t>5</w:t>
      </w:r>
      <w:r w:rsidRPr="005F5406">
        <w:t xml:space="preserve">. punktā minētā maksimālā apjoma, kas līdz </w:t>
      </w:r>
      <w:r w:rsidRPr="003752EA">
        <w:t>2020</w:t>
      </w:r>
      <w:r w:rsidRPr="005F5406">
        <w:t xml:space="preserve">. gadam nav piešķirtas bez maksas, rezervē jaunām iekārtām un ievērojamam ražošanas pieaugumam kopā ar </w:t>
      </w:r>
      <w:r w:rsidRPr="003752EA">
        <w:t>250</w:t>
      </w:r>
      <w:r w:rsidRPr="005F5406">
        <w:t xml:space="preserve"> miljoniem kvotu, kas iekļautas tirgus stabilitātes rezervē saskaņā ar Eiropas Parlamenta un Padomes Lēmuma (ES) </w:t>
      </w:r>
      <w:r w:rsidRPr="003752EA">
        <w:t>2015</w:t>
      </w:r>
      <w:r w:rsidRPr="005F5406">
        <w:t xml:space="preserve">/... (*) </w:t>
      </w:r>
      <w:r w:rsidRPr="003752EA">
        <w:t>1</w:t>
      </w:r>
      <w:r w:rsidRPr="005F5406">
        <w:t xml:space="preserve">. panta </w:t>
      </w:r>
      <w:r w:rsidRPr="003752EA">
        <w:t>3</w:t>
      </w:r>
      <w:r w:rsidRPr="005F5406">
        <w:t>. punktu.</w:t>
      </w:r>
    </w:p>
    <w:p w:rsidR="007D663F" w:rsidRPr="005F5406" w:rsidRDefault="00E92573" w:rsidP="007D663F">
      <w:pPr>
        <w:pStyle w:val="Text1"/>
        <w:ind w:left="1440"/>
      </w:pPr>
      <w:r w:rsidRPr="005F5406">
        <w:t xml:space="preserve">No </w:t>
      </w:r>
      <w:r w:rsidRPr="003752EA">
        <w:t>2021</w:t>
      </w:r>
      <w:r w:rsidRPr="005F5406">
        <w:t xml:space="preserve">. gada rezervē iekļauj kvotas, kas nav piešķirtas iekārtām, jo ir piemērots </w:t>
      </w:r>
      <w:r w:rsidRPr="003752EA">
        <w:t>19</w:t>
      </w:r>
      <w:r w:rsidRPr="005F5406">
        <w:t xml:space="preserve">. un </w:t>
      </w:r>
      <w:r w:rsidRPr="003752EA">
        <w:t>20</w:t>
      </w:r>
      <w:r w:rsidRPr="005F5406">
        <w:t>. punkts.";</w:t>
      </w:r>
    </w:p>
    <w:p w:rsidR="007D663F" w:rsidRPr="005F5406" w:rsidRDefault="007D663F" w:rsidP="007D663F">
      <w:pPr>
        <w:pStyle w:val="Text1"/>
        <w:ind w:firstLine="590"/>
      </w:pPr>
      <w:r w:rsidRPr="005F5406">
        <w:t xml:space="preserve"> _____</w:t>
      </w:r>
    </w:p>
    <w:p w:rsidR="00E92573" w:rsidRPr="005F5406" w:rsidRDefault="007D663F" w:rsidP="007D663F">
      <w:pPr>
        <w:pStyle w:val="Text1"/>
        <w:ind w:firstLine="590"/>
      </w:pPr>
      <w:r w:rsidRPr="005F5406">
        <w:t xml:space="preserve">(*) </w:t>
      </w:r>
      <w:r w:rsidRPr="00A348F6">
        <w:t>[</w:t>
      </w:r>
      <w:r w:rsidR="00CD24EC" w:rsidRPr="00A348F6">
        <w:rPr>
          <w:i/>
        </w:rPr>
        <w:t>ievietot pilnu lēmuma nosaukumu un atsauci uz OV</w:t>
      </w:r>
      <w:r w:rsidRPr="00A348F6">
        <w:t>]."</w:t>
      </w:r>
    </w:p>
    <w:p w:rsidR="007D663F" w:rsidRPr="005F5406" w:rsidRDefault="007D663F" w:rsidP="007D663F">
      <w:pPr>
        <w:pStyle w:val="Text1"/>
        <w:ind w:firstLine="590"/>
      </w:pPr>
      <w:proofErr w:type="spellStart"/>
      <w:r w:rsidRPr="005F5406">
        <w:t>ii</w:t>
      </w:r>
      <w:proofErr w:type="spellEnd"/>
      <w:r w:rsidRPr="005F5406">
        <w:t>) punkta piekto daļu svītro;</w:t>
      </w:r>
    </w:p>
    <w:p w:rsidR="00E92573" w:rsidRPr="005F5406" w:rsidRDefault="00266ABC" w:rsidP="00275CB1">
      <w:pPr>
        <w:pStyle w:val="Text1"/>
      </w:pPr>
      <w:r w:rsidRPr="005F5406">
        <w:t xml:space="preserve">f) panta </w:t>
      </w:r>
      <w:r w:rsidRPr="003752EA">
        <w:t>8</w:t>
      </w:r>
      <w:r w:rsidRPr="005F5406">
        <w:t>. punkta pirmo, otro un trešo daļu aizstāj ar šādām:</w:t>
      </w:r>
    </w:p>
    <w:p w:rsidR="00E92573" w:rsidRPr="005F5406" w:rsidRDefault="00266ABC" w:rsidP="00E92573">
      <w:pPr>
        <w:pStyle w:val="ManualNumPar1"/>
      </w:pPr>
      <w:r w:rsidRPr="005F5406">
        <w:tab/>
        <w:t>"</w:t>
      </w:r>
      <w:r w:rsidRPr="003752EA">
        <w:t>400</w:t>
      </w:r>
      <w:r w:rsidRPr="005F5406">
        <w:t xml:space="preserve"> miljoni kvotu ir pieejamas, lai atbalstītu inovācijas </w:t>
      </w:r>
      <w:proofErr w:type="spellStart"/>
      <w:r w:rsidRPr="005F5406">
        <w:t>mazoglekļa</w:t>
      </w:r>
      <w:proofErr w:type="spellEnd"/>
      <w:r w:rsidRPr="005F5406">
        <w:t xml:space="preserve"> tehnoloģijās un procesos I pielikumā uzskaitītajās rūpniecības nozarēs un lai </w:t>
      </w:r>
      <w:r w:rsidR="000D1616" w:rsidRPr="005F5406">
        <w:t xml:space="preserve">Savienības teritorijā </w:t>
      </w:r>
      <w:r w:rsidRPr="005F5406">
        <w:t>palīdzētu stimulēt tādu komerciālu demonstrējuma projektu būvniecību un ekspluatāciju, kuru mērķis ir CO</w:t>
      </w:r>
      <w:r w:rsidRPr="003752EA">
        <w:rPr>
          <w:vertAlign w:val="subscript"/>
        </w:rPr>
        <w:t>2</w:t>
      </w:r>
      <w:r w:rsidRPr="005F5406">
        <w:t xml:space="preserve"> uztveršana un ģeoloģiska uzglabāšana (</w:t>
      </w:r>
      <w:r w:rsidRPr="005F5406">
        <w:rPr>
          <w:i/>
        </w:rPr>
        <w:t>CCS</w:t>
      </w:r>
      <w:r w:rsidRPr="005F5406">
        <w:t>) videi drošā veidā, kā arī inovatīvu atjaunojamās enerģijas tehnoloģiju demonstrējum</w:t>
      </w:r>
      <w:r w:rsidR="00CD71AF" w:rsidRPr="005F5406">
        <w:t>a</w:t>
      </w:r>
      <w:r w:rsidRPr="005F5406">
        <w:t xml:space="preserve"> projektu būvniecību un ekspluatāciju.</w:t>
      </w:r>
    </w:p>
    <w:p w:rsidR="00E92573" w:rsidRPr="005F5406" w:rsidRDefault="00E92573" w:rsidP="00E92573">
      <w:pPr>
        <w:pStyle w:val="Text1"/>
        <w:rPr>
          <w:rFonts w:eastAsia="Arial Unicode MS"/>
        </w:rPr>
      </w:pPr>
      <w:r w:rsidRPr="005F5406">
        <w:t xml:space="preserve">Dara pieejamas kvotas inovācijai </w:t>
      </w:r>
      <w:proofErr w:type="spellStart"/>
      <w:r w:rsidRPr="005F5406">
        <w:t>mazoglekļa</w:t>
      </w:r>
      <w:proofErr w:type="spellEnd"/>
      <w:r w:rsidRPr="005F5406">
        <w:t xml:space="preserve"> rūpnieciskajās tehnoloģijā</w:t>
      </w:r>
      <w:r w:rsidR="00CD71AF" w:rsidRPr="005F5406">
        <w:t>s un procesos un atbalstam</w:t>
      </w:r>
      <w:r w:rsidRPr="005F5406">
        <w:t xml:space="preserve"> demonstrējuma projektiem, kuri paredz ģeogrāfiski līdzsvaroti attīstīt dažādas CO</w:t>
      </w:r>
      <w:r w:rsidRPr="003752EA">
        <w:rPr>
          <w:vertAlign w:val="subscript"/>
        </w:rPr>
        <w:t>2</w:t>
      </w:r>
      <w:r w:rsidRPr="005F5406">
        <w:t xml:space="preserve"> uztveršanas un uzglabāšanas tehnoloģijas, kā arī inovatīvas atjaunojamās enerģijas tehnoloģijas, kas vēl nav ekonomiski izdevīgas. Lai veicinātu inovatīvus projektus, atbalstu var sniegt par līdz </w:t>
      </w:r>
      <w:r w:rsidRPr="003752EA">
        <w:t>60</w:t>
      </w:r>
      <w:r w:rsidRPr="005F5406">
        <w:t xml:space="preserve"> % no attiecīgajām projektu izmaksām, no kā līdz </w:t>
      </w:r>
      <w:r w:rsidRPr="003752EA">
        <w:t>40</w:t>
      </w:r>
      <w:r w:rsidRPr="005F5406">
        <w:t> % var piešķirt neatkarīgi no tā, vai ir notikusi siltumnīc</w:t>
      </w:r>
      <w:r w:rsidR="00AD1E5F" w:rsidRPr="005F5406">
        <w:t>efekta</w:t>
      </w:r>
      <w:r w:rsidRPr="005F5406">
        <w:t xml:space="preserve"> gāzu verificē</w:t>
      </w:r>
      <w:r w:rsidR="00082555" w:rsidRPr="005F5406">
        <w:t>ta novēršana, ar nosacījumu, ka</w:t>
      </w:r>
      <w:r w:rsidR="000D1616" w:rsidRPr="005F5406">
        <w:t xml:space="preserve"> — atkarībā no ieviestās tehnoloģijas — </w:t>
      </w:r>
      <w:r w:rsidRPr="005F5406">
        <w:t>tiek sasniegti iep</w:t>
      </w:r>
      <w:r w:rsidR="000D1616" w:rsidRPr="005F5406">
        <w:t>riekš noteikti atskaites punkti</w:t>
      </w:r>
      <w:r w:rsidRPr="005F5406">
        <w:t>.</w:t>
      </w:r>
    </w:p>
    <w:p w:rsidR="00A64888" w:rsidRPr="005F5406" w:rsidRDefault="00CD71AF" w:rsidP="000A46D9">
      <w:pPr>
        <w:pStyle w:val="Text1"/>
      </w:pPr>
      <w:r w:rsidRPr="005F5406">
        <w:t xml:space="preserve">Bez tam līdz </w:t>
      </w:r>
      <w:r w:rsidRPr="003752EA">
        <w:t>2021</w:t>
      </w:r>
      <w:r w:rsidRPr="005F5406">
        <w:t>. gadam</w:t>
      </w:r>
      <w:r w:rsidR="00E92573" w:rsidRPr="005F5406">
        <w:t xml:space="preserve"> ar </w:t>
      </w:r>
      <w:r w:rsidR="00E92573" w:rsidRPr="003752EA">
        <w:t>50</w:t>
      </w:r>
      <w:r w:rsidR="00E92573" w:rsidRPr="005F5406">
        <w:t xml:space="preserve"> miljoniem neiedalīto kvotu no tirgus stabilitātes rezerves, kas izveidota ar Lēmumu (ES) </w:t>
      </w:r>
      <w:r w:rsidR="00E92573" w:rsidRPr="003752EA">
        <w:t>2015</w:t>
      </w:r>
      <w:r w:rsidR="00E92573" w:rsidRPr="005F5406">
        <w:t>/...., papildina visus esošos resursus, kas saskaņā ar šo punktu atlikuši minētajiem projektiem, izmantošanai projektos visās dalībvalstīs,</w:t>
      </w:r>
      <w:r w:rsidRPr="005F5406">
        <w:t xml:space="preserve"> tostarp maza mēroga projektos.</w:t>
      </w:r>
      <w:r w:rsidR="00E92573" w:rsidRPr="005F5406">
        <w:t xml:space="preserve"> Projektu atlase notiek saskaņā ar objektīviem un pārredzamiem kritērijiem. </w:t>
      </w:r>
    </w:p>
    <w:p w:rsidR="00266ABC" w:rsidRPr="005F5406" w:rsidRDefault="00E92573" w:rsidP="000A46D9">
      <w:pPr>
        <w:pStyle w:val="Text1"/>
      </w:pPr>
      <w:r w:rsidRPr="005F5406">
        <w:t xml:space="preserve">Komisija ir pilnvarota pieņemt deleģēto aktu saskaņā ar </w:t>
      </w:r>
      <w:r w:rsidRPr="003752EA">
        <w:t>23</w:t>
      </w:r>
      <w:r w:rsidRPr="005F5406">
        <w:t>. pantu.";</w:t>
      </w:r>
    </w:p>
    <w:p w:rsidR="00E92573" w:rsidRPr="005F5406" w:rsidRDefault="00266ABC" w:rsidP="00275CB1">
      <w:pPr>
        <w:pStyle w:val="Text1"/>
      </w:pPr>
      <w:r w:rsidRPr="005F5406">
        <w:t xml:space="preserve">g) panta </w:t>
      </w:r>
      <w:r w:rsidRPr="003752EA">
        <w:t>9</w:t>
      </w:r>
      <w:r w:rsidRPr="005F5406">
        <w:t xml:space="preserve">. un </w:t>
      </w:r>
      <w:r w:rsidRPr="003752EA">
        <w:t>10</w:t>
      </w:r>
      <w:r w:rsidRPr="005F5406">
        <w:t>. punktu svītro;</w:t>
      </w:r>
    </w:p>
    <w:p w:rsidR="00E94A77" w:rsidRPr="005F5406" w:rsidRDefault="00E94A77" w:rsidP="00275CB1">
      <w:pPr>
        <w:pStyle w:val="Text1"/>
      </w:pPr>
      <w:r w:rsidRPr="005F5406">
        <w:t xml:space="preserve">h) panta </w:t>
      </w:r>
      <w:r w:rsidRPr="003752EA">
        <w:t>11</w:t>
      </w:r>
      <w:r w:rsidRPr="005F5406">
        <w:t xml:space="preserve">. punktā svītro frāzi "un lai </w:t>
      </w:r>
      <w:r w:rsidRPr="003752EA">
        <w:t>2027</w:t>
      </w:r>
      <w:r w:rsidRPr="005F5406">
        <w:t>. gadā netiktu piešķirtas bezmaksas kvotas";</w:t>
      </w:r>
    </w:p>
    <w:p w:rsidR="00E92573" w:rsidRPr="005F5406" w:rsidRDefault="00091123" w:rsidP="00275CB1">
      <w:pPr>
        <w:pStyle w:val="Text1"/>
      </w:pPr>
      <w:r w:rsidRPr="005F5406">
        <w:t xml:space="preserve">i) panta </w:t>
      </w:r>
      <w:r w:rsidRPr="003752EA">
        <w:t>12</w:t>
      </w:r>
      <w:r w:rsidRPr="005F5406">
        <w:t xml:space="preserve">. līdz </w:t>
      </w:r>
      <w:r w:rsidRPr="003752EA">
        <w:t>18</w:t>
      </w:r>
      <w:r w:rsidRPr="005F5406">
        <w:t>. punktu svītro;</w:t>
      </w:r>
    </w:p>
    <w:p w:rsidR="00E92573" w:rsidRPr="005F5406" w:rsidRDefault="00E92573" w:rsidP="00E92573">
      <w:pPr>
        <w:pStyle w:val="ListNumber"/>
      </w:pPr>
      <w:r w:rsidRPr="005F5406">
        <w:lastRenderedPageBreak/>
        <w:t xml:space="preserve">direktīvas </w:t>
      </w:r>
      <w:r w:rsidRPr="003752EA">
        <w:t>10</w:t>
      </w:r>
      <w:r w:rsidRPr="005F5406">
        <w:t xml:space="preserve">.b un </w:t>
      </w:r>
      <w:r w:rsidRPr="003752EA">
        <w:t>10</w:t>
      </w:r>
      <w:r w:rsidRPr="005F5406">
        <w:t>.c</w:t>
      </w:r>
      <w:r w:rsidR="009650E9">
        <w:t xml:space="preserve"> </w:t>
      </w:r>
      <w:r w:rsidRPr="005F5406">
        <w:t>pantu aizstāj ar šādiem:</w:t>
      </w:r>
    </w:p>
    <w:p w:rsidR="00266ABC" w:rsidRPr="005F5406" w:rsidRDefault="00E92573" w:rsidP="007143CF">
      <w:pPr>
        <w:pStyle w:val="NormalCentered"/>
        <w:rPr>
          <w:i/>
        </w:rPr>
      </w:pPr>
      <w:r w:rsidRPr="005F5406">
        <w:rPr>
          <w:i/>
        </w:rPr>
        <w:t>"</w:t>
      </w:r>
      <w:r w:rsidRPr="003752EA">
        <w:rPr>
          <w:i/>
        </w:rPr>
        <w:t>10</w:t>
      </w:r>
      <w:r w:rsidRPr="005F5406">
        <w:rPr>
          <w:i/>
        </w:rPr>
        <w:t>.b pants</w:t>
      </w:r>
    </w:p>
    <w:p w:rsidR="00266ABC" w:rsidRPr="005F5406" w:rsidRDefault="00266ABC" w:rsidP="007143CF">
      <w:pPr>
        <w:pStyle w:val="NormalCentered"/>
        <w:rPr>
          <w:b/>
          <w:noProof/>
        </w:rPr>
      </w:pPr>
      <w:r w:rsidRPr="005F5406">
        <w:rPr>
          <w:b/>
          <w:noProof/>
        </w:rPr>
        <w:t>Pasākumi dažu energoietilpīgu nozaru atbalstam CO</w:t>
      </w:r>
      <w:r w:rsidRPr="003752EA">
        <w:rPr>
          <w:vertAlign w:val="subscript"/>
        </w:rPr>
        <w:t>2</w:t>
      </w:r>
      <w:r w:rsidRPr="005F5406">
        <w:rPr>
          <w:b/>
          <w:noProof/>
        </w:rPr>
        <w:t xml:space="preserve"> emisiju pārvirzes gadījumā</w:t>
      </w:r>
    </w:p>
    <w:p w:rsidR="00E92573" w:rsidRPr="005F5406" w:rsidRDefault="00E92573" w:rsidP="00F97BA6">
      <w:pPr>
        <w:pStyle w:val="ManualNumPar1"/>
      </w:pPr>
      <w:r w:rsidRPr="003752EA">
        <w:t>1</w:t>
      </w:r>
      <w:r w:rsidRPr="005F5406">
        <w:t>.</w:t>
      </w:r>
      <w:r w:rsidRPr="005F5406">
        <w:tab/>
        <w:t>Nozares un apakšnozares par tādām, ko apdraud CO</w:t>
      </w:r>
      <w:r w:rsidRPr="003752EA">
        <w:rPr>
          <w:vertAlign w:val="subscript"/>
        </w:rPr>
        <w:t>2</w:t>
      </w:r>
      <w:r w:rsidRPr="005F5406">
        <w:t xml:space="preserve"> e</w:t>
      </w:r>
      <w:r w:rsidR="000D1616" w:rsidRPr="005F5406">
        <w:t>misiju pārvirzes risks, uzskata šādā gadījumā</w:t>
      </w:r>
      <w:r w:rsidRPr="005F5406">
        <w:t xml:space="preserve">: to tirdzniecības ar trešām valstīm intensitāti — </w:t>
      </w:r>
      <w:r w:rsidR="000D1616" w:rsidRPr="005F5406">
        <w:t>kas</w:t>
      </w:r>
      <w:r w:rsidRPr="005F5406">
        <w:t xml:space="preserve"> definē</w:t>
      </w:r>
      <w:r w:rsidR="000D1616" w:rsidRPr="005F5406">
        <w:t>ta kā attiecība</w:t>
      </w:r>
      <w:r w:rsidRPr="005F5406">
        <w:t xml:space="preserve"> starp kopējo eksporta uz trešām valstīm vērtību, kam pieskaitīta imp</w:t>
      </w:r>
      <w:r w:rsidR="000D1616" w:rsidRPr="005F5406">
        <w:t xml:space="preserve">orta no trešām valstīm vērtība, </w:t>
      </w:r>
      <w:r w:rsidRPr="005F5406">
        <w:t xml:space="preserve">un Eiropas </w:t>
      </w:r>
      <w:r w:rsidR="00213FE2" w:rsidRPr="005F5406">
        <w:t>E</w:t>
      </w:r>
      <w:r w:rsidRPr="005F5406">
        <w:t>konomikas zonas kopējo tirgus vērtību (gada apgrozījums plus kopējais imports no trešām valstīm) — reizina ar to emisiju intensitāti (</w:t>
      </w:r>
      <w:r w:rsidR="00213FE2" w:rsidRPr="005F5406">
        <w:t>izmērītu</w:t>
      </w:r>
      <w:r w:rsidRPr="005F5406">
        <w:t xml:space="preserve"> kg/CO</w:t>
      </w:r>
      <w:r w:rsidRPr="003752EA">
        <w:rPr>
          <w:vertAlign w:val="subscript"/>
        </w:rPr>
        <w:t>2</w:t>
      </w:r>
      <w:r w:rsidR="00DB2C0E" w:rsidRPr="005F5406">
        <w:t xml:space="preserve"> un </w:t>
      </w:r>
      <w:r w:rsidRPr="005F5406">
        <w:t>izdalīt</w:t>
      </w:r>
      <w:r w:rsidR="00DB2C0E" w:rsidRPr="005F5406">
        <w:t>u</w:t>
      </w:r>
      <w:r w:rsidRPr="005F5406">
        <w:t xml:space="preserve"> ar to bruto pievienoto vērtību</w:t>
      </w:r>
      <w:r w:rsidR="00213FE2" w:rsidRPr="005F5406">
        <w:t xml:space="preserve"> </w:t>
      </w:r>
      <w:proofErr w:type="spellStart"/>
      <w:r w:rsidR="00213FE2" w:rsidRPr="005F5406">
        <w:t>euro</w:t>
      </w:r>
      <w:proofErr w:type="spellEnd"/>
      <w:r w:rsidRPr="005F5406">
        <w:t>), un ga</w:t>
      </w:r>
      <w:r w:rsidR="00045B25" w:rsidRPr="005F5406">
        <w:t xml:space="preserve">la iznākums ir lielāks par </w:t>
      </w:r>
      <w:r w:rsidR="00045B25" w:rsidRPr="003752EA">
        <w:t>0</w:t>
      </w:r>
      <w:r w:rsidR="00045B25" w:rsidRPr="005F5406">
        <w:t>,</w:t>
      </w:r>
      <w:r w:rsidR="00045B25" w:rsidRPr="003752EA">
        <w:t>2</w:t>
      </w:r>
      <w:r w:rsidR="00045B25" w:rsidRPr="005F5406">
        <w:t>.</w:t>
      </w:r>
      <w:r w:rsidRPr="005F5406">
        <w:t xml:space="preserve"> Šādām nozarēm un apakšnozarēm iedala bezmaksas kvotas periodam līdz </w:t>
      </w:r>
      <w:r w:rsidRPr="003752EA">
        <w:t>2030</w:t>
      </w:r>
      <w:r w:rsidRPr="005F5406">
        <w:t xml:space="preserve">. gadam par </w:t>
      </w:r>
      <w:r w:rsidRPr="003752EA">
        <w:t>100</w:t>
      </w:r>
      <w:r w:rsidRPr="005F5406">
        <w:t xml:space="preserve"> % no </w:t>
      </w:r>
      <w:r w:rsidR="00CD24EC" w:rsidRPr="005F5406">
        <w:t>apjoma</w:t>
      </w:r>
      <w:r w:rsidRPr="005F5406">
        <w:t xml:space="preserve">, kas noteikts atbilstīgi pasākumiem, kuri pieņemti saskaņā ar </w:t>
      </w:r>
      <w:r w:rsidRPr="003752EA">
        <w:t>10</w:t>
      </w:r>
      <w:r w:rsidRPr="005F5406">
        <w:t>.a pantu.</w:t>
      </w:r>
    </w:p>
    <w:p w:rsidR="00823F80" w:rsidRPr="005F5406" w:rsidRDefault="00266ABC" w:rsidP="00823F80">
      <w:pPr>
        <w:pStyle w:val="ManualNumPar1"/>
      </w:pPr>
      <w:r w:rsidRPr="003752EA">
        <w:t>2</w:t>
      </w:r>
      <w:r w:rsidRPr="005F5406">
        <w:t>.</w:t>
      </w:r>
      <w:r w:rsidRPr="005F5406">
        <w:tab/>
        <w:t xml:space="preserve">Ja, nozares vai apakšnozares tirdzniecības intensitāti ar trešām valstīm reizinot ar to emisiju intensitāti, iznākums ir lielāks par </w:t>
      </w:r>
      <w:r w:rsidRPr="003752EA">
        <w:t>0</w:t>
      </w:r>
      <w:r w:rsidRPr="005F5406">
        <w:t>,</w:t>
      </w:r>
      <w:r w:rsidRPr="003752EA">
        <w:t>18</w:t>
      </w:r>
      <w:r w:rsidRPr="005F5406">
        <w:t xml:space="preserve">, tad šīs nozares vai apakšnozares var iekļaut </w:t>
      </w:r>
      <w:r w:rsidRPr="003752EA">
        <w:t>1</w:t>
      </w:r>
      <w:r w:rsidRPr="005F5406">
        <w:t>. punktā minētajā grupā, pamatojoties uz kvalitatīvu novērtējumu pēc šādiem kritērijiem:</w:t>
      </w:r>
    </w:p>
    <w:p w:rsidR="00823F80" w:rsidRPr="005F5406" w:rsidRDefault="00823F80" w:rsidP="000C6C3E">
      <w:pPr>
        <w:pStyle w:val="Text1"/>
        <w:ind w:left="1435" w:hanging="585"/>
      </w:pPr>
      <w:r w:rsidRPr="005F5406">
        <w:t>a)</w:t>
      </w:r>
      <w:r w:rsidRPr="005F5406">
        <w:tab/>
        <w:t>kādā mērā atsevišķām iekārtām šajās nozarēs vai apakšnozarēs ir iespējams samazināt emisiju līmeni vai elektroenerģijas patēriņu;</w:t>
      </w:r>
    </w:p>
    <w:p w:rsidR="00823F80" w:rsidRPr="005F5406" w:rsidRDefault="00823F80" w:rsidP="000C6C3E">
      <w:pPr>
        <w:pStyle w:val="Text1"/>
        <w:ind w:left="1435" w:hanging="585"/>
      </w:pPr>
      <w:r w:rsidRPr="005F5406">
        <w:t>b)</w:t>
      </w:r>
      <w:r w:rsidRPr="005F5406">
        <w:tab/>
        <w:t>pašreizējās un prognozētās tirgus iezīmes;</w:t>
      </w:r>
    </w:p>
    <w:p w:rsidR="00823F80" w:rsidRPr="005F5406" w:rsidRDefault="00823F80" w:rsidP="000C6C3E">
      <w:pPr>
        <w:pStyle w:val="Text1"/>
        <w:ind w:left="1435" w:hanging="585"/>
      </w:pPr>
      <w:r w:rsidRPr="005F5406">
        <w:t>c)</w:t>
      </w:r>
      <w:r w:rsidRPr="005F5406">
        <w:tab/>
        <w:t>rentabilitāte kā iespējamais indikators</w:t>
      </w:r>
      <w:r w:rsidR="006447FD" w:rsidRPr="005F5406">
        <w:t>, ko izmanto, pieņemot</w:t>
      </w:r>
      <w:r w:rsidRPr="005F5406">
        <w:t xml:space="preserve"> </w:t>
      </w:r>
      <w:r w:rsidR="006447FD" w:rsidRPr="005F5406">
        <w:t xml:space="preserve">lēmumus </w:t>
      </w:r>
      <w:r w:rsidRPr="005F5406">
        <w:t xml:space="preserve">par ilgtermiņa </w:t>
      </w:r>
      <w:r w:rsidR="00AA27AC" w:rsidRPr="005F5406">
        <w:t xml:space="preserve">investīcijām </w:t>
      </w:r>
      <w:r w:rsidRPr="005F5406">
        <w:t>vai ražotņu pārvietošanu.</w:t>
      </w:r>
    </w:p>
    <w:p w:rsidR="00E92573" w:rsidRPr="005F5406" w:rsidRDefault="00823F80" w:rsidP="00E92573">
      <w:pPr>
        <w:pStyle w:val="ManualNumPar1"/>
      </w:pPr>
      <w:r w:rsidRPr="003752EA">
        <w:t>3</w:t>
      </w:r>
      <w:r w:rsidRPr="005F5406">
        <w:t>.</w:t>
      </w:r>
      <w:r w:rsidRPr="005F5406">
        <w:tab/>
        <w:t xml:space="preserve">Uzskata, ka pārējās nozares un apakšnozares kvotu izmaksu lielāko daļu var iekļaut ražojumu cenās, un tām bezmaksas kvotas līdz </w:t>
      </w:r>
      <w:r w:rsidRPr="003752EA">
        <w:t>2030</w:t>
      </w:r>
      <w:r w:rsidRPr="005F5406">
        <w:t xml:space="preserve">. gadam iedala par </w:t>
      </w:r>
      <w:r w:rsidRPr="003752EA">
        <w:t>30</w:t>
      </w:r>
      <w:r w:rsidRPr="005F5406">
        <w:t xml:space="preserve"> % no </w:t>
      </w:r>
      <w:r w:rsidR="00CD24EC" w:rsidRPr="005F5406">
        <w:t>apjoma</w:t>
      </w:r>
      <w:r w:rsidRPr="005F5406">
        <w:t xml:space="preserve">, kas noteikts atbilstīgi pasākumiem, kuri pieņemti saskaņā ar </w:t>
      </w:r>
      <w:r w:rsidRPr="003752EA">
        <w:t>10</w:t>
      </w:r>
      <w:r w:rsidRPr="005F5406">
        <w:t xml:space="preserve">.a pantu. </w:t>
      </w:r>
    </w:p>
    <w:p w:rsidR="00E92573" w:rsidRPr="005F5406" w:rsidRDefault="00823F80" w:rsidP="00E92573">
      <w:pPr>
        <w:pStyle w:val="ManualNumPar1"/>
      </w:pPr>
      <w:r w:rsidRPr="003752EA">
        <w:t>4</w:t>
      </w:r>
      <w:r w:rsidRPr="005F5406">
        <w:t>.</w:t>
      </w:r>
      <w:r w:rsidRPr="005F5406">
        <w:tab/>
        <w:t xml:space="preserve">Līdz </w:t>
      </w:r>
      <w:r w:rsidRPr="003752EA">
        <w:t>2019</w:t>
      </w:r>
      <w:r w:rsidRPr="005F5406">
        <w:t xml:space="preserve">. gada </w:t>
      </w:r>
      <w:r w:rsidRPr="003752EA">
        <w:t>31</w:t>
      </w:r>
      <w:r w:rsidRPr="005F5406">
        <w:t xml:space="preserve">. decembrim Komisija saskaņā ar </w:t>
      </w:r>
      <w:r w:rsidRPr="003752EA">
        <w:t>23</w:t>
      </w:r>
      <w:r w:rsidRPr="005F5406">
        <w:t xml:space="preserve">. pantu </w:t>
      </w:r>
      <w:r w:rsidR="004C3E8C" w:rsidRPr="005F5406">
        <w:t xml:space="preserve">attiecībā uz </w:t>
      </w:r>
      <w:r w:rsidRPr="005F5406">
        <w:t xml:space="preserve">iepriekšējiem punktiem pieņem deleģēto aktu, kur </w:t>
      </w:r>
      <w:r w:rsidRPr="003752EA">
        <w:t>1</w:t>
      </w:r>
      <w:r w:rsidRPr="005F5406">
        <w:t xml:space="preserve">. punktā minētās darbības ir aprakstītas </w:t>
      </w:r>
      <w:r w:rsidRPr="003752EA">
        <w:t>4</w:t>
      </w:r>
      <w:r w:rsidRPr="005F5406">
        <w:t> ciparu līmenī (NACE-</w:t>
      </w:r>
      <w:r w:rsidRPr="003752EA">
        <w:t>4</w:t>
      </w:r>
      <w:r w:rsidRPr="005F5406">
        <w:t xml:space="preserve"> kods), pamatojoties uz datiem par trim nesenākajiem kalendārajiem gadiem, par kuriem dati ir pieejami. </w:t>
      </w:r>
    </w:p>
    <w:p w:rsidR="00266ABC" w:rsidRPr="005F5406" w:rsidRDefault="00266ABC" w:rsidP="007143CF">
      <w:pPr>
        <w:pStyle w:val="NormalCentered"/>
        <w:rPr>
          <w:i/>
        </w:rPr>
      </w:pPr>
      <w:r w:rsidRPr="003752EA">
        <w:rPr>
          <w:i/>
        </w:rPr>
        <w:t>10</w:t>
      </w:r>
      <w:r w:rsidRPr="005F5406">
        <w:rPr>
          <w:i/>
        </w:rPr>
        <w:t>.c pants</w:t>
      </w:r>
    </w:p>
    <w:p w:rsidR="00266ABC" w:rsidRPr="005F5406" w:rsidRDefault="00266ABC" w:rsidP="007143CF">
      <w:pPr>
        <w:pStyle w:val="NormalCentered"/>
        <w:rPr>
          <w:b/>
          <w:noProof/>
        </w:rPr>
      </w:pPr>
      <w:r w:rsidRPr="005F5406">
        <w:rPr>
          <w:b/>
          <w:noProof/>
        </w:rPr>
        <w:t>Bezmaksas kvotu pārejoša iedalīšana enerģētikas nozares modernizācijai</w:t>
      </w:r>
    </w:p>
    <w:p w:rsidR="00E92573" w:rsidRPr="005F5406" w:rsidRDefault="00E92573" w:rsidP="000D1616">
      <w:pPr>
        <w:pStyle w:val="ManualNumPar1"/>
      </w:pPr>
      <w:r w:rsidRPr="003752EA">
        <w:t>1</w:t>
      </w:r>
      <w:r w:rsidRPr="005F5406">
        <w:t>.</w:t>
      </w:r>
      <w:r w:rsidRPr="005F5406">
        <w:tab/>
        <w:t xml:space="preserve">Atkāpjoties no </w:t>
      </w:r>
      <w:r w:rsidRPr="003752EA">
        <w:t>10</w:t>
      </w:r>
      <w:r w:rsidRPr="005F5406">
        <w:t xml:space="preserve">.a panta </w:t>
      </w:r>
      <w:r w:rsidRPr="003752EA">
        <w:t>1</w:t>
      </w:r>
      <w:r w:rsidRPr="005F5406">
        <w:t xml:space="preserve">. līdz </w:t>
      </w:r>
      <w:r w:rsidRPr="003752EA">
        <w:t>5</w:t>
      </w:r>
      <w:r w:rsidRPr="005F5406">
        <w:t>. punkta, dalībvalstīs, kuru IKP uz vienu iedzīvotāju,</w:t>
      </w:r>
      <w:r w:rsidR="004C3E8C" w:rsidRPr="005F5406">
        <w:t xml:space="preserve"> izsakot </w:t>
      </w:r>
      <w:proofErr w:type="spellStart"/>
      <w:r w:rsidR="004C3E8C" w:rsidRPr="005F5406">
        <w:t>euro</w:t>
      </w:r>
      <w:proofErr w:type="spellEnd"/>
      <w:r w:rsidR="004C3E8C" w:rsidRPr="005F5406">
        <w:t xml:space="preserve"> pie tirgus cenām,</w:t>
      </w:r>
      <w:r w:rsidRPr="005F5406">
        <w:t xml:space="preserve"> </w:t>
      </w:r>
      <w:r w:rsidRPr="003752EA">
        <w:t>2013</w:t>
      </w:r>
      <w:r w:rsidRPr="005F5406">
        <w:t xml:space="preserve">. gadā </w:t>
      </w:r>
      <w:r w:rsidR="000D1616" w:rsidRPr="005F5406">
        <w:t>nesasniedza</w:t>
      </w:r>
      <w:r w:rsidRPr="005F5406">
        <w:t xml:space="preserve"> </w:t>
      </w:r>
      <w:r w:rsidRPr="003752EA">
        <w:t>60</w:t>
      </w:r>
      <w:r w:rsidRPr="005F5406">
        <w:t xml:space="preserve"> % </w:t>
      </w:r>
      <w:r w:rsidR="000D1616" w:rsidRPr="005F5406">
        <w:t>no Savienības vidējā rādītāja</w:t>
      </w:r>
      <w:r w:rsidRPr="005F5406">
        <w:t>, var pārejoši iedalīt bezmaksas kvotas elektroenerģijas ražošanas iekārtām nolūkā modernizēt enerģētikas nozari.</w:t>
      </w:r>
    </w:p>
    <w:p w:rsidR="00210764" w:rsidRPr="005F5406" w:rsidRDefault="00E92573" w:rsidP="00B90DB9">
      <w:pPr>
        <w:pStyle w:val="ManualNumPar2"/>
      </w:pPr>
      <w:r w:rsidRPr="003752EA">
        <w:t>2</w:t>
      </w:r>
      <w:r w:rsidRPr="005F5406">
        <w:t>.</w:t>
      </w:r>
      <w:r w:rsidRPr="005F5406">
        <w:tab/>
        <w:t>Attiecīgā dalībvalsts organizē konkursa procesu projektiem, kuru kopējais investīciju apjoms pārsniedz</w:t>
      </w:r>
      <w:r w:rsidR="009650E9">
        <w:t xml:space="preserve"> </w:t>
      </w:r>
      <w:r w:rsidRPr="003752EA">
        <w:t>10</w:t>
      </w:r>
      <w:r w:rsidRPr="005F5406">
        <w:t xml:space="preserve"> miljonus </w:t>
      </w:r>
      <w:proofErr w:type="spellStart"/>
      <w:r w:rsidRPr="005F5406">
        <w:t>euro</w:t>
      </w:r>
      <w:proofErr w:type="spellEnd"/>
      <w:r w:rsidRPr="005F5406">
        <w:t>, lai atlasītu investīciju projektus, kurus finansēs, iedalot bezmaksas kvotas. Konkursa process:</w:t>
      </w:r>
    </w:p>
    <w:p w:rsidR="00210764" w:rsidRPr="005F5406" w:rsidRDefault="00001701" w:rsidP="00210764">
      <w:pPr>
        <w:pStyle w:val="Text1"/>
        <w:ind w:left="1418" w:hanging="568"/>
      </w:pPr>
      <w:r w:rsidRPr="005F5406">
        <w:t>a)</w:t>
      </w:r>
      <w:r w:rsidRPr="005F5406">
        <w:tab/>
        <w:t xml:space="preserve">atbilst </w:t>
      </w:r>
      <w:proofErr w:type="spellStart"/>
      <w:r w:rsidRPr="005F5406">
        <w:t>pārredzamības</w:t>
      </w:r>
      <w:proofErr w:type="spellEnd"/>
      <w:r w:rsidRPr="005F5406">
        <w:t>, nediskrimin</w:t>
      </w:r>
      <w:r w:rsidR="004C3E8C" w:rsidRPr="005F5406">
        <w:t>ēšanas</w:t>
      </w:r>
      <w:r w:rsidRPr="005F5406">
        <w:t>, vienlīdzīgas attieksmes un pareizas finanšu pārvaldības principiem;</w:t>
      </w:r>
    </w:p>
    <w:p w:rsidR="00210764" w:rsidRPr="005F5406" w:rsidRDefault="00001701" w:rsidP="00210764">
      <w:pPr>
        <w:pStyle w:val="Text1"/>
        <w:ind w:left="1418" w:hanging="568"/>
      </w:pPr>
      <w:r w:rsidRPr="005F5406">
        <w:t>b)</w:t>
      </w:r>
      <w:r w:rsidRPr="005F5406">
        <w:tab/>
        <w:t xml:space="preserve">nodrošina, ka konkursā var piedalīties tikai tādi projekti, kas sekmē energoresursu struktūras un piegādes avotu diversifikāciju, nepieciešamo pārstrukturēšanu, infrastruktūras uzlabošanu un modernizēšanu </w:t>
      </w:r>
      <w:proofErr w:type="spellStart"/>
      <w:r w:rsidRPr="005F5406">
        <w:t>vidiskā</w:t>
      </w:r>
      <w:proofErr w:type="spellEnd"/>
      <w:r w:rsidRPr="005F5406">
        <w:t xml:space="preserve"> ziņā, tīrās tehnoloģijas un enerģijas ražošanas, pārvades un sadales modernizāciju;</w:t>
      </w:r>
    </w:p>
    <w:p w:rsidR="00210764" w:rsidRPr="005F5406" w:rsidRDefault="00001701" w:rsidP="00210764">
      <w:pPr>
        <w:pStyle w:val="Text1"/>
        <w:ind w:left="1418" w:hanging="568"/>
      </w:pPr>
      <w:r w:rsidRPr="005F5406">
        <w:lastRenderedPageBreak/>
        <w:t>c)</w:t>
      </w:r>
      <w:r w:rsidRPr="005F5406">
        <w:tab/>
        <w:t>nosaka skaidrus, objektīvus, pārredzamus un nediskriminējošus atlases kritērijus, pēc kuriem projektus sarindo, lai nodrošinātu, ka tiek atlasīti tādi projekti, kas</w:t>
      </w:r>
      <w:r w:rsidR="00B87547" w:rsidRPr="005F5406">
        <w:t>:</w:t>
      </w:r>
    </w:p>
    <w:p w:rsidR="00210764" w:rsidRPr="005F5406" w:rsidRDefault="008567AC" w:rsidP="007143CF">
      <w:pPr>
        <w:pStyle w:val="Text2"/>
      </w:pPr>
      <w:r w:rsidRPr="005F5406">
        <w:t xml:space="preserve">i) pamatojoties uz izmaksu un ieguvumu analīzi, dod neto pozitīvu ieguvumu no emisiju samazināšanas viedokļa un ļauj </w:t>
      </w:r>
      <w:r w:rsidR="005D6299" w:rsidRPr="005F5406">
        <w:t xml:space="preserve">panākt </w:t>
      </w:r>
      <w:r w:rsidRPr="005F5406">
        <w:t>iepriekšnoteiktu un ievērojamu CO</w:t>
      </w:r>
      <w:r w:rsidRPr="003752EA">
        <w:rPr>
          <w:vertAlign w:val="subscript"/>
        </w:rPr>
        <w:t>2</w:t>
      </w:r>
      <w:r w:rsidRPr="005F5406">
        <w:t xml:space="preserve"> emisiju samazinājumu;</w:t>
      </w:r>
    </w:p>
    <w:p w:rsidR="00210764" w:rsidRPr="005F5406" w:rsidRDefault="008567AC" w:rsidP="007143CF">
      <w:pPr>
        <w:pStyle w:val="Text2"/>
      </w:pPr>
      <w:proofErr w:type="spellStart"/>
      <w:r w:rsidRPr="005F5406">
        <w:t>ii</w:t>
      </w:r>
      <w:proofErr w:type="spellEnd"/>
      <w:r w:rsidRPr="005F5406">
        <w:t>) ir papildinoši, nepārprotami atbilst nomaiņas un modernizācijas vajadzībām un nerada tirgus virzītu</w:t>
      </w:r>
      <w:r w:rsidR="00CD24EC" w:rsidRPr="005F5406">
        <w:t xml:space="preserve"> </w:t>
      </w:r>
      <w:proofErr w:type="spellStart"/>
      <w:r w:rsidR="00CD24EC" w:rsidRPr="005F5406">
        <w:t>energopieprasījuma</w:t>
      </w:r>
      <w:proofErr w:type="spellEnd"/>
      <w:r w:rsidR="00CD24EC" w:rsidRPr="005F5406">
        <w:t xml:space="preserve"> pieaugumu</w:t>
      </w:r>
    </w:p>
    <w:p w:rsidR="00210764" w:rsidRPr="005F5406" w:rsidRDefault="008567AC" w:rsidP="007143CF">
      <w:pPr>
        <w:pStyle w:val="Text2"/>
      </w:pPr>
      <w:proofErr w:type="spellStart"/>
      <w:r w:rsidRPr="005F5406">
        <w:t>iii</w:t>
      </w:r>
      <w:proofErr w:type="spellEnd"/>
      <w:r w:rsidR="000D1616" w:rsidRPr="005F5406">
        <w:t>) ir ekonomiski visizdevīgākie.</w:t>
      </w:r>
    </w:p>
    <w:p w:rsidR="00210764" w:rsidRPr="005F5406" w:rsidRDefault="00210764" w:rsidP="00210764">
      <w:pPr>
        <w:pStyle w:val="Text1"/>
      </w:pPr>
      <w:r w:rsidRPr="005F5406">
        <w:t xml:space="preserve">Līdz </w:t>
      </w:r>
      <w:r w:rsidRPr="003752EA">
        <w:t>2019</w:t>
      </w:r>
      <w:r w:rsidRPr="005F5406">
        <w:t xml:space="preserve">. gada </w:t>
      </w:r>
      <w:r w:rsidRPr="003752EA">
        <w:t>30</w:t>
      </w:r>
      <w:r w:rsidRPr="005F5406">
        <w:t xml:space="preserve">. jūnijam ikviena dalībvalsts, kas nodomājusi izmantot neobligātās bezmaksas kvotas, </w:t>
      </w:r>
      <w:r w:rsidR="00031431" w:rsidRPr="005F5406">
        <w:t xml:space="preserve">sabiedriskai apspriešanai </w:t>
      </w:r>
      <w:r w:rsidRPr="005F5406">
        <w:t>publicē sīki izstrādātu valsts nolikumu, kurā noteikts konkursa process un atlases kritēriji.</w:t>
      </w:r>
    </w:p>
    <w:p w:rsidR="00081EF3" w:rsidRPr="005F5406" w:rsidRDefault="00081EF3" w:rsidP="00210764">
      <w:pPr>
        <w:pStyle w:val="Text1"/>
      </w:pPr>
      <w:r w:rsidRPr="005F5406">
        <w:t xml:space="preserve">Ja ar bezmaksas kvotām atbalsta investīciju projektus, kuru vērtība ir mazāka par </w:t>
      </w:r>
      <w:r w:rsidRPr="003752EA">
        <w:t>10</w:t>
      </w:r>
      <w:r w:rsidRPr="005F5406">
        <w:t xml:space="preserve"> miljoniem </w:t>
      </w:r>
      <w:proofErr w:type="spellStart"/>
      <w:r w:rsidRPr="005F5406">
        <w:t>euro</w:t>
      </w:r>
      <w:proofErr w:type="spellEnd"/>
      <w:r w:rsidRPr="005F5406">
        <w:t xml:space="preserve">, dalībvalstis projektus atlasa, pamatojoties uz objektīviem un pārredzamiem kritērijiem. Atlases procesa rezultātus publisko sabiedriskai apspriešanai. Pamatojoties uz iepriekš minēto, attiecīgā dalībvalsts sagatavo investīciju sarakstu un to iesniedz Komisijai līdz </w:t>
      </w:r>
      <w:r w:rsidRPr="003752EA">
        <w:t>2019</w:t>
      </w:r>
      <w:r w:rsidRPr="005F5406">
        <w:t xml:space="preserve">. gada </w:t>
      </w:r>
      <w:r w:rsidRPr="003752EA">
        <w:t>30</w:t>
      </w:r>
      <w:r w:rsidRPr="005F5406">
        <w:t>. jūnijam.</w:t>
      </w:r>
    </w:p>
    <w:p w:rsidR="00210764" w:rsidRPr="005F5406" w:rsidRDefault="00210764" w:rsidP="00210764">
      <w:pPr>
        <w:pStyle w:val="ManualNumPar1"/>
        <w:rPr>
          <w:bCs/>
        </w:rPr>
      </w:pPr>
      <w:r w:rsidRPr="003752EA">
        <w:t>3</w:t>
      </w:r>
      <w:r w:rsidRPr="005F5406">
        <w:t>.</w:t>
      </w:r>
      <w:r w:rsidRPr="005F5406">
        <w:tab/>
        <w:t>Iecerēto investīciju vērtība ir vismaz vienāda ar piešķirto bezmaksas kvotu tirgus vērtību, tajā pašā laikā ņemot vērā, ka jāierobežo ar to tieši saistīts cenu pieaugums. Tirgus vērtība ir kvotu vidējā cena kopējā izsoles platformā iepriekšējā kalendārajā gadā.</w:t>
      </w:r>
    </w:p>
    <w:p w:rsidR="00210764" w:rsidRPr="005F5406" w:rsidRDefault="00210764" w:rsidP="00210764">
      <w:pPr>
        <w:pStyle w:val="ManualNumPar1"/>
        <w:rPr>
          <w:bCs/>
        </w:rPr>
      </w:pPr>
      <w:r w:rsidRPr="003752EA">
        <w:t>4</w:t>
      </w:r>
      <w:r w:rsidRPr="005F5406">
        <w:t>.</w:t>
      </w:r>
      <w:r w:rsidRPr="005F5406">
        <w:tab/>
        <w:t xml:space="preserve">Pārejoši iedalītās bezmaksas kvotas atskaita no tā kvotu </w:t>
      </w:r>
      <w:r w:rsidR="00CD24EC" w:rsidRPr="005F5406">
        <w:t>apjoma</w:t>
      </w:r>
      <w:r w:rsidRPr="005F5406">
        <w:t xml:space="preserve">, ko pretējā gadījumā dalībvalsts izsolītu. Kopējais piešķirto bezmaksas kvotu apjoms nav lielāks par </w:t>
      </w:r>
      <w:r w:rsidRPr="003752EA">
        <w:t>40</w:t>
      </w:r>
      <w:r w:rsidRPr="005F5406">
        <w:t xml:space="preserve"> % no kvotu apjoma, ko attiecīgā dalībvalsts saņem no </w:t>
      </w:r>
      <w:r w:rsidRPr="003752EA">
        <w:t>2021</w:t>
      </w:r>
      <w:r w:rsidRPr="005F5406">
        <w:t xml:space="preserve">. līdz </w:t>
      </w:r>
      <w:r w:rsidRPr="003752EA">
        <w:t>2030</w:t>
      </w:r>
      <w:r w:rsidRPr="005F5406">
        <w:t xml:space="preserve">. gadam saskaņā ar </w:t>
      </w:r>
      <w:r w:rsidRPr="003752EA">
        <w:t>10</w:t>
      </w:r>
      <w:r w:rsidRPr="005F5406">
        <w:t xml:space="preserve">. panta </w:t>
      </w:r>
      <w:r w:rsidRPr="003752EA">
        <w:t>2</w:t>
      </w:r>
      <w:r w:rsidRPr="005F5406">
        <w:t xml:space="preserve">. punkta a) apakšpunktu un kas </w:t>
      </w:r>
      <w:r w:rsidRPr="003752EA">
        <w:t>2021</w:t>
      </w:r>
      <w:r w:rsidRPr="005F5406">
        <w:t>.</w:t>
      </w:r>
      <w:r w:rsidR="000D1616" w:rsidRPr="005F5406">
        <w:t>–</w:t>
      </w:r>
      <w:r w:rsidRPr="003752EA">
        <w:t>2030</w:t>
      </w:r>
      <w:r w:rsidRPr="005F5406">
        <w:t xml:space="preserve">. gada periodam ir sadalīts vienādos apjomos katram gadam. </w:t>
      </w:r>
    </w:p>
    <w:p w:rsidR="00210764" w:rsidRPr="005F5406" w:rsidRDefault="00210764" w:rsidP="00210764">
      <w:pPr>
        <w:pStyle w:val="ManualNumPar1"/>
      </w:pPr>
      <w:r w:rsidRPr="003752EA">
        <w:t>5</w:t>
      </w:r>
      <w:r w:rsidRPr="005F5406">
        <w:t>.</w:t>
      </w:r>
      <w:r w:rsidRPr="005F5406">
        <w:tab/>
        <w:t>Kvotas operatoriem piešķir, kad tie pierāda, ka ir veiktas investīcijas, kas atlasītas saskaņā konkursa procesa noteikumiem.</w:t>
      </w:r>
    </w:p>
    <w:p w:rsidR="00210764" w:rsidRPr="005F5406" w:rsidRDefault="00210764" w:rsidP="00210764">
      <w:pPr>
        <w:pStyle w:val="ManualNumPar1"/>
        <w:rPr>
          <w:bCs/>
        </w:rPr>
      </w:pPr>
      <w:r w:rsidRPr="003752EA">
        <w:t>6</w:t>
      </w:r>
      <w:r w:rsidRPr="005F5406">
        <w:t>.</w:t>
      </w:r>
      <w:r w:rsidRPr="005F5406">
        <w:tab/>
        <w:t xml:space="preserve">Dalībvalstis nosaka, ka atbalstu saņemošajiem elektroenerģijas ražotājiem un tīkla operatoriem </w:t>
      </w:r>
      <w:r w:rsidR="0044435F" w:rsidRPr="005F5406">
        <w:t xml:space="preserve">katru gadu </w:t>
      </w:r>
      <w:r w:rsidRPr="005F5406">
        <w:t xml:space="preserve">līdz </w:t>
      </w:r>
      <w:r w:rsidRPr="003752EA">
        <w:t>28</w:t>
      </w:r>
      <w:r w:rsidRPr="005F5406">
        <w:t>. februārim ir jāziņo par atlasīto investīciju realizāciju. Dalībvalstis par to iesniedz ziņojumus Komisijai, un Komisija šādus ziņojumus publisko.";</w:t>
      </w:r>
    </w:p>
    <w:p w:rsidR="00E92573" w:rsidRPr="005F5406" w:rsidRDefault="00E92573" w:rsidP="00E92573">
      <w:pPr>
        <w:pStyle w:val="ListNumber"/>
      </w:pPr>
      <w:r w:rsidRPr="005F5406">
        <w:t xml:space="preserve">iekļauj šādu </w:t>
      </w:r>
      <w:r w:rsidRPr="003752EA">
        <w:t>10</w:t>
      </w:r>
      <w:r w:rsidRPr="005F5406">
        <w:t>.d pantu:</w:t>
      </w:r>
    </w:p>
    <w:p w:rsidR="00E92573" w:rsidRPr="005F5406" w:rsidRDefault="00E92573" w:rsidP="00E92573">
      <w:pPr>
        <w:pStyle w:val="NormalCentered"/>
        <w:rPr>
          <w:i/>
        </w:rPr>
      </w:pPr>
      <w:r w:rsidRPr="005F5406">
        <w:t>"</w:t>
      </w:r>
      <w:r w:rsidRPr="003752EA">
        <w:rPr>
          <w:i/>
        </w:rPr>
        <w:t>10</w:t>
      </w:r>
      <w:r w:rsidRPr="005F5406">
        <w:rPr>
          <w:i/>
        </w:rPr>
        <w:t>.d pants</w:t>
      </w:r>
    </w:p>
    <w:p w:rsidR="00E92573" w:rsidRPr="005F5406" w:rsidRDefault="00E92573" w:rsidP="00E92573">
      <w:pPr>
        <w:pStyle w:val="NormalCentered"/>
        <w:rPr>
          <w:i/>
        </w:rPr>
      </w:pPr>
      <w:r w:rsidRPr="005F5406">
        <w:rPr>
          <w:b/>
          <w:noProof/>
        </w:rPr>
        <w:t>Modernizācijas fonds</w:t>
      </w:r>
    </w:p>
    <w:p w:rsidR="009110AA" w:rsidRPr="005F5406" w:rsidRDefault="00E92573" w:rsidP="00BA473D">
      <w:pPr>
        <w:pStyle w:val="ManualNumPar1"/>
      </w:pPr>
      <w:r w:rsidRPr="003752EA">
        <w:t>1</w:t>
      </w:r>
      <w:r w:rsidRPr="005F5406">
        <w:t>.</w:t>
      </w:r>
      <w:r w:rsidRPr="005F5406">
        <w:tab/>
        <w:t xml:space="preserve">Periodam no </w:t>
      </w:r>
      <w:r w:rsidRPr="003752EA">
        <w:t>2021</w:t>
      </w:r>
      <w:r w:rsidRPr="005F5406">
        <w:t xml:space="preserve">. līdz </w:t>
      </w:r>
      <w:r w:rsidRPr="003752EA">
        <w:t>2030</w:t>
      </w:r>
      <w:r w:rsidRPr="005F5406">
        <w:t xml:space="preserve">. gadam tiek izveidots fonds, </w:t>
      </w:r>
      <w:r w:rsidR="00AA27AC" w:rsidRPr="005F5406">
        <w:t>ar kuru atbalsta</w:t>
      </w:r>
      <w:r w:rsidRPr="005F5406">
        <w:t xml:space="preserve"> investīcijas energosistēmu modernizācijā un energoefektivitātes uzlabošanā tādās dalībvalstīs</w:t>
      </w:r>
      <w:r w:rsidR="00AA27AC" w:rsidRPr="005F5406">
        <w:t>, kuru IKP uz vienu iedzīvotāju</w:t>
      </w:r>
      <w:r w:rsidRPr="005F5406">
        <w:t xml:space="preserve"> </w:t>
      </w:r>
      <w:r w:rsidR="000D1616" w:rsidRPr="003752EA">
        <w:t>2013</w:t>
      </w:r>
      <w:r w:rsidR="000D1616" w:rsidRPr="005F5406">
        <w:t>. gadā nesasniedza</w:t>
      </w:r>
      <w:r w:rsidRPr="005F5406">
        <w:t xml:space="preserve"> </w:t>
      </w:r>
      <w:r w:rsidRPr="003752EA">
        <w:t>60</w:t>
      </w:r>
      <w:r w:rsidRPr="005F5406">
        <w:t xml:space="preserve"> % no Savienības vidējā rādītāja, un fondu finansē saskaņā ar </w:t>
      </w:r>
      <w:r w:rsidRPr="003752EA">
        <w:t>10</w:t>
      </w:r>
      <w:r w:rsidRPr="005F5406">
        <w:t xml:space="preserve">. pantu. </w:t>
      </w:r>
    </w:p>
    <w:p w:rsidR="009110AA" w:rsidRPr="005F5406" w:rsidRDefault="009110AA" w:rsidP="009110AA">
      <w:pPr>
        <w:pStyle w:val="Text1"/>
      </w:pPr>
      <w:r w:rsidRPr="005F5406">
        <w:t>Atbalstītie investīciju projekti ir saskanīgi ar šīs direktīvas un Eiropas Stratēģiskā investīciju fonda mērķiem.</w:t>
      </w:r>
    </w:p>
    <w:p w:rsidR="009110AA" w:rsidRPr="005F5406" w:rsidRDefault="00E92573" w:rsidP="00E92573">
      <w:pPr>
        <w:pStyle w:val="ManualNumPar1"/>
        <w:rPr>
          <w:bCs/>
        </w:rPr>
      </w:pPr>
      <w:r w:rsidRPr="003752EA">
        <w:t>2</w:t>
      </w:r>
      <w:r w:rsidRPr="005F5406">
        <w:t>.</w:t>
      </w:r>
      <w:r w:rsidRPr="005F5406">
        <w:tab/>
        <w:t>Fonds arīdzan finansē neliela mēroga investīciju projektus energosistēmu modernizācijas un energoefektivitātes jomā. Tālab investīciju padome izstrādā vadlīnijas un investīciju projektu atlases kritērijus tieši šādiem projektiem.</w:t>
      </w:r>
    </w:p>
    <w:p w:rsidR="009110AA" w:rsidRPr="005F5406" w:rsidRDefault="009110AA" w:rsidP="00E92573">
      <w:pPr>
        <w:pStyle w:val="ManualNumPar1"/>
        <w:rPr>
          <w:bCs/>
        </w:rPr>
      </w:pPr>
      <w:r w:rsidRPr="003752EA">
        <w:lastRenderedPageBreak/>
        <w:t>3</w:t>
      </w:r>
      <w:r w:rsidRPr="005F5406">
        <w:t>.</w:t>
      </w:r>
      <w:r w:rsidRPr="005F5406">
        <w:tab/>
        <w:t xml:space="preserve">Līdzekļu sadalījuma pamatā ir šāda kombinācija: </w:t>
      </w:r>
      <w:r w:rsidRPr="003752EA">
        <w:t>50</w:t>
      </w:r>
      <w:r w:rsidRPr="005F5406">
        <w:t xml:space="preserve"> % ir verificētās emisijas un </w:t>
      </w:r>
      <w:r w:rsidRPr="003752EA">
        <w:t>50</w:t>
      </w:r>
      <w:r w:rsidRPr="005F5406">
        <w:t xml:space="preserve"> % ir IKP kritēriji, kā rezultātā veidojas sadalījums, kas izklāstīts </w:t>
      </w:r>
      <w:proofErr w:type="spellStart"/>
      <w:r w:rsidRPr="005F5406">
        <w:t>II</w:t>
      </w:r>
      <w:r w:rsidR="00F53970" w:rsidRPr="005F5406">
        <w:t>.</w:t>
      </w:r>
      <w:r w:rsidRPr="005F5406">
        <w:t>b</w:t>
      </w:r>
      <w:proofErr w:type="spellEnd"/>
      <w:r w:rsidRPr="005F5406">
        <w:t xml:space="preserve"> pielikumā.</w:t>
      </w:r>
    </w:p>
    <w:p w:rsidR="00E92573" w:rsidRPr="005F5406" w:rsidRDefault="009110AA" w:rsidP="00D861BD">
      <w:pPr>
        <w:pStyle w:val="ManualNumPar1"/>
        <w:rPr>
          <w:bCs/>
        </w:rPr>
      </w:pPr>
      <w:r w:rsidRPr="003752EA">
        <w:t>4</w:t>
      </w:r>
      <w:r w:rsidRPr="005F5406">
        <w:t>.</w:t>
      </w:r>
      <w:r w:rsidRPr="005F5406">
        <w:tab/>
        <w:t xml:space="preserve">Fondu pārvalda investīciju padome un </w:t>
      </w:r>
      <w:r w:rsidR="000D1616" w:rsidRPr="005F5406">
        <w:t>vadības</w:t>
      </w:r>
      <w:r w:rsidRPr="005F5406">
        <w:t xml:space="preserve"> komiteja, kurā ietilpst atbalstu saņemošo dalībvalstu, Komisijas un EIB pārstāvji, kā arī trīs pārstāvji, ko ievēlē pārējās dalībvalstis uz </w:t>
      </w:r>
      <w:r w:rsidRPr="003752EA">
        <w:t>5</w:t>
      </w:r>
      <w:r w:rsidRPr="005F5406">
        <w:t xml:space="preserve"> gadiem. Investīciju padomes pienākums ir noteikt Savienības līmeņa investīciju politiku, piemērotus finansēšanas instrumentus un investīciju projektu atlases kritērijus. </w:t>
      </w:r>
      <w:r w:rsidR="000D1616" w:rsidRPr="005F5406">
        <w:t>Vadības</w:t>
      </w:r>
      <w:r w:rsidRPr="005F5406">
        <w:t xml:space="preserve"> komitejas pienākums ir vadīt fonda ikdienas darbu.</w:t>
      </w:r>
    </w:p>
    <w:p w:rsidR="00E92573" w:rsidRPr="005F5406" w:rsidRDefault="00E92573" w:rsidP="00BB39B5">
      <w:pPr>
        <w:pStyle w:val="Text1"/>
      </w:pPr>
      <w:r w:rsidRPr="005F5406">
        <w:t xml:space="preserve">Investīciju padome </w:t>
      </w:r>
      <w:r w:rsidR="0062236B" w:rsidRPr="005F5406">
        <w:t xml:space="preserve">par padomes priekšsēdētāju </w:t>
      </w:r>
      <w:r w:rsidRPr="005F5406">
        <w:t>ievēlē Komisijas pārstāvi. Investīciju padome lēmumus cenšas pieņ</w:t>
      </w:r>
      <w:r w:rsidR="00A113DF" w:rsidRPr="005F5406">
        <w:t>emt vienbalsīgi. Ja investīciju</w:t>
      </w:r>
      <w:r w:rsidRPr="005F5406">
        <w:t xml:space="preserve"> padome nespēj vienbalsīgi pieņemt lēmumu priekšsēdētāja noteiktajā termiņā, tā lēmumu pieņem ar vienkāršu balsu vairākumu. </w:t>
      </w:r>
    </w:p>
    <w:p w:rsidR="00BC756F" w:rsidRPr="005F5406" w:rsidRDefault="000D1616" w:rsidP="009B04A5">
      <w:pPr>
        <w:pStyle w:val="Text1"/>
      </w:pPr>
      <w:r w:rsidRPr="005F5406">
        <w:t>Vadības</w:t>
      </w:r>
      <w:r w:rsidR="009B04A5" w:rsidRPr="005F5406">
        <w:t xml:space="preserve"> komiteja sastāv no investīciju padomes ieceltiem pārstāvjiem. </w:t>
      </w:r>
      <w:r w:rsidRPr="005F5406">
        <w:t>Vadības</w:t>
      </w:r>
      <w:r w:rsidR="009B04A5" w:rsidRPr="005F5406">
        <w:t xml:space="preserve"> komiteja lēmumus pieņem ar vienkāršu balsu vairākumu.</w:t>
      </w:r>
    </w:p>
    <w:p w:rsidR="00D45023" w:rsidRPr="005F5406" w:rsidRDefault="00D45023" w:rsidP="00D45023">
      <w:pPr>
        <w:pStyle w:val="Text1"/>
      </w:pPr>
      <w:r w:rsidRPr="005F5406">
        <w:t xml:space="preserve">Ja EIB iesaka nefinansēt kādu investīciju projektu un šo ieteikumu pamato, lēmumu var pieņemt tikai tad, ja par to nobalso divas trešdaļas visu locekļu. Tādā gadījumā </w:t>
      </w:r>
      <w:r w:rsidR="00EE32A9" w:rsidRPr="005F5406">
        <w:t xml:space="preserve">ne </w:t>
      </w:r>
      <w:r w:rsidRPr="005F5406">
        <w:t xml:space="preserve">dalībvalstij, kurā tiks realizēts investīciju projekts, </w:t>
      </w:r>
      <w:r w:rsidR="00EE32A9" w:rsidRPr="005F5406">
        <w:t xml:space="preserve">ne </w:t>
      </w:r>
      <w:r w:rsidRPr="005F5406">
        <w:t xml:space="preserve">EIB nav tiesību balsot. Iepriekšējie divi teikumi neattiecas uz maziem projektiem, ko finansē, izmantojot aizdevumus no valsts attīstību veicinošām bankām vai piešķīrumus no kādas valsts programmas, kuras specifiskie mērķi saskan ar Modernizācijas fonda mērķiem, ar nosacījumu, ka saskaņā ar programmu netiek izmantots vairāk par </w:t>
      </w:r>
      <w:r w:rsidRPr="003752EA">
        <w:t>10</w:t>
      </w:r>
      <w:r w:rsidRPr="005F5406">
        <w:t xml:space="preserve"> % no attiecīgai dalībvalstij pienākošās daļas, </w:t>
      </w:r>
      <w:r w:rsidR="00616607" w:rsidRPr="005F5406">
        <w:t>kas noteikta</w:t>
      </w:r>
      <w:r w:rsidRPr="005F5406">
        <w:t xml:space="preserve"> </w:t>
      </w:r>
      <w:proofErr w:type="spellStart"/>
      <w:r w:rsidRPr="005F5406">
        <w:t>II</w:t>
      </w:r>
      <w:r w:rsidR="00F53970" w:rsidRPr="005F5406">
        <w:t>.</w:t>
      </w:r>
      <w:r w:rsidRPr="005F5406">
        <w:t>b</w:t>
      </w:r>
      <w:proofErr w:type="spellEnd"/>
      <w:r w:rsidRPr="005F5406">
        <w:t xml:space="preserve"> pielikumā.</w:t>
      </w:r>
    </w:p>
    <w:p w:rsidR="00E92573" w:rsidRPr="005F5406" w:rsidRDefault="009110AA" w:rsidP="00E92573">
      <w:pPr>
        <w:pStyle w:val="ManualNumPar1"/>
        <w:rPr>
          <w:bCs/>
        </w:rPr>
      </w:pPr>
      <w:r w:rsidRPr="003752EA">
        <w:t>5</w:t>
      </w:r>
      <w:r w:rsidRPr="005F5406">
        <w:t>.</w:t>
      </w:r>
      <w:r w:rsidRPr="005F5406">
        <w:tab/>
        <w:t>Atbalst</w:t>
      </w:r>
      <w:r w:rsidR="0062236B" w:rsidRPr="005F5406">
        <w:t>a</w:t>
      </w:r>
      <w:r w:rsidRPr="005F5406">
        <w:t xml:space="preserve"> saņ</w:t>
      </w:r>
      <w:r w:rsidR="0062236B" w:rsidRPr="005F5406">
        <w:t>ēmējas</w:t>
      </w:r>
      <w:r w:rsidRPr="005F5406">
        <w:t xml:space="preserve"> dalībvalstis ik gadu ziņo </w:t>
      </w:r>
      <w:r w:rsidR="000D1616" w:rsidRPr="005F5406">
        <w:t>vadības</w:t>
      </w:r>
      <w:r w:rsidRPr="005F5406">
        <w:t xml:space="preserve"> komitejai par fonda finansētajām investīcijām. Ziņojums ir publiski pieejams un ietver:</w:t>
      </w:r>
    </w:p>
    <w:p w:rsidR="00E92573" w:rsidRPr="005F5406" w:rsidRDefault="00E92573" w:rsidP="00A44D81">
      <w:pPr>
        <w:pStyle w:val="Point1letter"/>
        <w:numPr>
          <w:ilvl w:val="3"/>
          <w:numId w:val="5"/>
        </w:numPr>
      </w:pPr>
      <w:r w:rsidRPr="005F5406">
        <w:t>informāciju par finansētajām investīcijām katrā atbalst</w:t>
      </w:r>
      <w:r w:rsidR="0062236B" w:rsidRPr="005F5406">
        <w:t>a</w:t>
      </w:r>
      <w:r w:rsidRPr="005F5406">
        <w:t xml:space="preserve"> saņēmējā dalībvalstī;</w:t>
      </w:r>
    </w:p>
    <w:p w:rsidR="00E92573" w:rsidRPr="005F5406" w:rsidRDefault="00E92573" w:rsidP="00A44D81">
      <w:pPr>
        <w:pStyle w:val="Point1letter"/>
        <w:numPr>
          <w:ilvl w:val="3"/>
          <w:numId w:val="5"/>
        </w:numPr>
      </w:pPr>
      <w:r w:rsidRPr="005F5406">
        <w:t>novērtējum</w:t>
      </w:r>
      <w:r w:rsidR="00A958DB" w:rsidRPr="005F5406">
        <w:t>u</w:t>
      </w:r>
      <w:r w:rsidRPr="005F5406">
        <w:t xml:space="preserve"> par </w:t>
      </w:r>
      <w:r w:rsidR="0062236B" w:rsidRPr="005F5406">
        <w:t xml:space="preserve">investīciju doto </w:t>
      </w:r>
      <w:r w:rsidRPr="005F5406">
        <w:t>pievienoto vērtību energoefektivitātes un energosistēmas modernizācijas ziņā</w:t>
      </w:r>
      <w:r w:rsidR="0062236B" w:rsidRPr="005F5406">
        <w:t>.</w:t>
      </w:r>
    </w:p>
    <w:p w:rsidR="009110AA" w:rsidRPr="005F5406" w:rsidRDefault="00E92573" w:rsidP="00E92573">
      <w:pPr>
        <w:pStyle w:val="ManualNumPar1"/>
        <w:rPr>
          <w:bCs/>
        </w:rPr>
      </w:pPr>
      <w:r w:rsidRPr="003752EA">
        <w:t>6</w:t>
      </w:r>
      <w:r w:rsidRPr="005F5406">
        <w:t>.</w:t>
      </w:r>
      <w:r w:rsidRPr="005F5406">
        <w:tab/>
        <w:t xml:space="preserve">Katru gadu </w:t>
      </w:r>
      <w:r w:rsidR="000D1616" w:rsidRPr="005F5406">
        <w:t>vadības</w:t>
      </w:r>
      <w:r w:rsidRPr="005F5406">
        <w:t xml:space="preserve"> komiteja ziņo Komisijai par investīciju projektu novērtēšanā un atlasē gūto pieredzi. Komisija līdz </w:t>
      </w:r>
      <w:r w:rsidRPr="003752EA">
        <w:t>2024</w:t>
      </w:r>
      <w:r w:rsidRPr="005F5406">
        <w:t xml:space="preserve">. gada </w:t>
      </w:r>
      <w:r w:rsidRPr="003752EA">
        <w:t>31</w:t>
      </w:r>
      <w:r w:rsidRPr="005F5406">
        <w:t>. decembrim izvēr</w:t>
      </w:r>
      <w:r w:rsidR="000D1616" w:rsidRPr="005F5406">
        <w:t>t</w:t>
      </w:r>
      <w:r w:rsidR="0062236B" w:rsidRPr="005F5406">
        <w:t>ē projektu atlases pamatprin</w:t>
      </w:r>
      <w:r w:rsidRPr="005F5406">
        <w:t>c</w:t>
      </w:r>
      <w:r w:rsidR="0062236B" w:rsidRPr="005F5406">
        <w:t>i</w:t>
      </w:r>
      <w:r w:rsidRPr="005F5406">
        <w:t xml:space="preserve">pus un vajadzības gadījumā </w:t>
      </w:r>
      <w:r w:rsidR="0062236B" w:rsidRPr="005F5406">
        <w:t>izsaka</w:t>
      </w:r>
      <w:r w:rsidRPr="005F5406">
        <w:t xml:space="preserve"> priekšlikumus </w:t>
      </w:r>
      <w:r w:rsidR="000D1616" w:rsidRPr="005F5406">
        <w:t>vadības</w:t>
      </w:r>
      <w:r w:rsidRPr="005F5406">
        <w:t xml:space="preserve"> komitejai.</w:t>
      </w:r>
    </w:p>
    <w:p w:rsidR="00E92573" w:rsidRPr="005F5406" w:rsidRDefault="009110AA" w:rsidP="00E92573">
      <w:pPr>
        <w:pStyle w:val="ManualNumPar1"/>
        <w:rPr>
          <w:bCs/>
        </w:rPr>
      </w:pPr>
      <w:r w:rsidRPr="003752EA">
        <w:t>7</w:t>
      </w:r>
      <w:r w:rsidRPr="005F5406">
        <w:t>.</w:t>
      </w:r>
      <w:r w:rsidRPr="005F5406">
        <w:tab/>
        <w:t xml:space="preserve">Komisija ir pilnvarota pieņemt deleģēto aktu saskaņā ar </w:t>
      </w:r>
      <w:r w:rsidRPr="003752EA">
        <w:t>23</w:t>
      </w:r>
      <w:r w:rsidRPr="005F5406">
        <w:t>. pantu, lai īstenotu šo pantu."</w:t>
      </w:r>
      <w:r w:rsidR="00A958DB" w:rsidRPr="005F5406">
        <w:t>;</w:t>
      </w:r>
    </w:p>
    <w:p w:rsidR="00E92573" w:rsidRPr="005F5406" w:rsidRDefault="008567AC" w:rsidP="00E92573">
      <w:pPr>
        <w:pStyle w:val="ListNumber"/>
      </w:pPr>
      <w:r w:rsidRPr="005F5406">
        <w:t xml:space="preserve">direktīvas </w:t>
      </w:r>
      <w:r w:rsidRPr="003752EA">
        <w:t>11</w:t>
      </w:r>
      <w:r w:rsidRPr="005F5406">
        <w:t xml:space="preserve">. panta </w:t>
      </w:r>
      <w:r w:rsidRPr="003752EA">
        <w:t>1</w:t>
      </w:r>
      <w:r w:rsidRPr="005F5406">
        <w:t>. punktu papildina ar šādu otro daļu:</w:t>
      </w:r>
    </w:p>
    <w:p w:rsidR="00E92573" w:rsidRPr="005F5406" w:rsidRDefault="00E92573" w:rsidP="00E92573">
      <w:pPr>
        <w:pStyle w:val="Text1"/>
      </w:pPr>
      <w:r w:rsidRPr="005F5406">
        <w:t xml:space="preserve">"To iekārtu sarakstu, uz ko, </w:t>
      </w:r>
      <w:r w:rsidR="00A958DB" w:rsidRPr="005F5406">
        <w:t xml:space="preserve">sākot </w:t>
      </w:r>
      <w:r w:rsidR="00206049" w:rsidRPr="005F5406">
        <w:t xml:space="preserve">ar </w:t>
      </w:r>
      <w:r w:rsidR="00A958DB" w:rsidRPr="003752EA">
        <w:t>2021</w:t>
      </w:r>
      <w:r w:rsidR="00A958DB" w:rsidRPr="005F5406">
        <w:t xml:space="preserve">. gada </w:t>
      </w:r>
      <w:r w:rsidR="00A958DB" w:rsidRPr="003752EA">
        <w:t>1</w:t>
      </w:r>
      <w:r w:rsidR="00A958DB" w:rsidRPr="005F5406">
        <w:t>. janvār</w:t>
      </w:r>
      <w:r w:rsidR="00206049" w:rsidRPr="005F5406">
        <w:t>i</w:t>
      </w:r>
      <w:r w:rsidR="00A958DB" w:rsidRPr="005F5406">
        <w:t>,</w:t>
      </w:r>
      <w:r w:rsidRPr="005F5406">
        <w:t xml:space="preserve"> piecus gadus attieksies šī direktīva, iesniedz līdz </w:t>
      </w:r>
      <w:r w:rsidRPr="003752EA">
        <w:t>2018</w:t>
      </w:r>
      <w:r w:rsidRPr="005F5406">
        <w:t xml:space="preserve">. gada </w:t>
      </w:r>
      <w:r w:rsidRPr="003752EA">
        <w:t>30</w:t>
      </w:r>
      <w:r w:rsidRPr="005F5406">
        <w:t xml:space="preserve">. septembrim, un sarakstus par nākamajiem pieciem gadiem pēc tam iesniedz ik pēc pieciem gadiem. Katrā sarakstā ir iekļauta informācija par ražošanas darbībām, siltuma un gāzu pārvadi, elektroenerģijas ražošanu un emisijām </w:t>
      </w:r>
      <w:proofErr w:type="spellStart"/>
      <w:r w:rsidRPr="005F5406">
        <w:t>apakšiekārtu</w:t>
      </w:r>
      <w:proofErr w:type="spellEnd"/>
      <w:r w:rsidRPr="005F5406">
        <w:t xml:space="preserve"> līmenī piecos kalendārajos gados pirms saraksta iesniegšanas. Bezmaksas kvotas piešķir tikai iekārtām, par kurām ir sniegta šāda informācija.";</w:t>
      </w:r>
    </w:p>
    <w:p w:rsidR="008567AC" w:rsidRPr="005F5406" w:rsidRDefault="008567AC" w:rsidP="008567AC">
      <w:pPr>
        <w:pStyle w:val="ListNumber"/>
        <w:rPr>
          <w:noProof/>
        </w:rPr>
      </w:pPr>
      <w:r w:rsidRPr="005F5406">
        <w:t xml:space="preserve">direktīvas </w:t>
      </w:r>
      <w:r w:rsidRPr="003752EA">
        <w:t>11</w:t>
      </w:r>
      <w:r w:rsidRPr="005F5406">
        <w:t xml:space="preserve">.a panta </w:t>
      </w:r>
      <w:r w:rsidRPr="003752EA">
        <w:t>8</w:t>
      </w:r>
      <w:r w:rsidRPr="005F5406">
        <w:t xml:space="preserve">. un </w:t>
      </w:r>
      <w:r w:rsidRPr="003752EA">
        <w:t>9</w:t>
      </w:r>
      <w:r w:rsidRPr="005F5406">
        <w:t>. punktu svītro;</w:t>
      </w:r>
    </w:p>
    <w:p w:rsidR="008567AC" w:rsidRPr="005F5406" w:rsidRDefault="008567AC" w:rsidP="008567AC">
      <w:pPr>
        <w:pStyle w:val="ListNumber"/>
        <w:rPr>
          <w:noProof/>
        </w:rPr>
      </w:pPr>
      <w:r w:rsidRPr="005F5406">
        <w:t xml:space="preserve">direktīvas </w:t>
      </w:r>
      <w:r w:rsidRPr="003752EA">
        <w:t>11</w:t>
      </w:r>
      <w:r w:rsidRPr="005F5406">
        <w:t xml:space="preserve">.b panta </w:t>
      </w:r>
      <w:r w:rsidRPr="003752EA">
        <w:t>7</w:t>
      </w:r>
      <w:r w:rsidRPr="005F5406">
        <w:t>. punktu svītro;</w:t>
      </w:r>
    </w:p>
    <w:p w:rsidR="00F97BA6" w:rsidRPr="005F5406" w:rsidRDefault="00F97BA6" w:rsidP="00F97BA6">
      <w:pPr>
        <w:pStyle w:val="ListNumber"/>
      </w:pPr>
      <w:r w:rsidRPr="005F5406">
        <w:t xml:space="preserve">direktīvas </w:t>
      </w:r>
      <w:r w:rsidRPr="003752EA">
        <w:t>13</w:t>
      </w:r>
      <w:r w:rsidRPr="005F5406">
        <w:t>. pantu aizstāj ar šādu:</w:t>
      </w:r>
    </w:p>
    <w:p w:rsidR="008567AC" w:rsidRPr="005F5406" w:rsidRDefault="008567AC" w:rsidP="007143CF">
      <w:pPr>
        <w:pStyle w:val="NormalCentered"/>
        <w:rPr>
          <w:i/>
        </w:rPr>
      </w:pPr>
      <w:r w:rsidRPr="005F5406">
        <w:rPr>
          <w:i/>
        </w:rPr>
        <w:t>"</w:t>
      </w:r>
      <w:r w:rsidRPr="003752EA">
        <w:rPr>
          <w:i/>
        </w:rPr>
        <w:t>13</w:t>
      </w:r>
      <w:r w:rsidRPr="005F5406">
        <w:rPr>
          <w:i/>
        </w:rPr>
        <w:t>. pants</w:t>
      </w:r>
    </w:p>
    <w:p w:rsidR="008567AC" w:rsidRPr="005F5406" w:rsidRDefault="008567AC" w:rsidP="007143CF">
      <w:pPr>
        <w:pStyle w:val="NormalCentered"/>
      </w:pPr>
      <w:r w:rsidRPr="005F5406">
        <w:lastRenderedPageBreak/>
        <w:t>Kvotu derīgums</w:t>
      </w:r>
    </w:p>
    <w:p w:rsidR="007F4FF3" w:rsidRPr="005F5406" w:rsidRDefault="00F97BA6" w:rsidP="00A60A1C">
      <w:pPr>
        <w:pStyle w:val="Text1"/>
        <w:rPr>
          <w:noProof/>
        </w:rPr>
      </w:pPr>
      <w:r w:rsidRPr="005F5406">
        <w:t xml:space="preserve"> Kvotām, kas piešķirtas, sākot ar </w:t>
      </w:r>
      <w:r w:rsidRPr="003752EA">
        <w:t>2013</w:t>
      </w:r>
      <w:r w:rsidRPr="005F5406">
        <w:t xml:space="preserve">. gada </w:t>
      </w:r>
      <w:r w:rsidRPr="003752EA">
        <w:t>1</w:t>
      </w:r>
      <w:r w:rsidRPr="005F5406">
        <w:t xml:space="preserve">. janvāri, derīguma termiņš nav noteikts. Kvotām, kas piešķirtas, sākot ar </w:t>
      </w:r>
      <w:r w:rsidRPr="003752EA">
        <w:t>2021</w:t>
      </w:r>
      <w:r w:rsidRPr="005F5406">
        <w:t xml:space="preserve">. gada </w:t>
      </w:r>
      <w:r w:rsidRPr="003752EA">
        <w:t>1</w:t>
      </w:r>
      <w:r w:rsidRPr="005F5406">
        <w:t xml:space="preserve">. janvāri, ir norādīts, kurā </w:t>
      </w:r>
      <w:r w:rsidRPr="003752EA">
        <w:t>10</w:t>
      </w:r>
      <w:r w:rsidRPr="005F5406">
        <w:t xml:space="preserve"> gadu periodā, sākot </w:t>
      </w:r>
      <w:r w:rsidR="00CD24EC" w:rsidRPr="005F5406">
        <w:t>ar</w:t>
      </w:r>
      <w:r w:rsidR="009650E9">
        <w:t xml:space="preserve"> </w:t>
      </w:r>
      <w:r w:rsidRPr="003752EA">
        <w:t>2021</w:t>
      </w:r>
      <w:r w:rsidRPr="005F5406">
        <w:t xml:space="preserve">. gada </w:t>
      </w:r>
      <w:r w:rsidRPr="003752EA">
        <w:t>1</w:t>
      </w:r>
      <w:r w:rsidRPr="005F5406">
        <w:t>. janvār</w:t>
      </w:r>
      <w:r w:rsidR="00CD24EC" w:rsidRPr="005F5406">
        <w:t>i</w:t>
      </w:r>
      <w:r w:rsidRPr="005F5406">
        <w:t xml:space="preserve">, tās tikušas piešķirtas, un šīs kvotas ir derīgas attiecībā uz emisijām, sākot </w:t>
      </w:r>
      <w:r w:rsidR="00CD24EC" w:rsidRPr="005F5406">
        <w:t xml:space="preserve">ar </w:t>
      </w:r>
      <w:r w:rsidRPr="005F5406">
        <w:t xml:space="preserve">minētā perioda </w:t>
      </w:r>
      <w:r w:rsidR="00CD24EC" w:rsidRPr="005F5406">
        <w:t>pirmo gadu</w:t>
      </w:r>
      <w:r w:rsidRPr="005F5406">
        <w:t>."</w:t>
      </w:r>
      <w:r w:rsidR="00A958DB" w:rsidRPr="005F5406">
        <w:t>;</w:t>
      </w:r>
    </w:p>
    <w:p w:rsidR="00631B6C" w:rsidRPr="005F5406" w:rsidRDefault="008567AC" w:rsidP="00631B6C">
      <w:pPr>
        <w:pStyle w:val="ListNumber"/>
        <w:rPr>
          <w:noProof/>
        </w:rPr>
      </w:pPr>
      <w:r w:rsidRPr="005F5406">
        <w:t xml:space="preserve">direktīvas </w:t>
      </w:r>
      <w:r w:rsidRPr="003752EA">
        <w:t>14</w:t>
      </w:r>
      <w:r w:rsidRPr="005F5406">
        <w:t xml:space="preserve">. panta </w:t>
      </w:r>
      <w:r w:rsidRPr="003752EA">
        <w:t>1</w:t>
      </w:r>
      <w:r w:rsidRPr="005F5406">
        <w:t>. punkta otro daļu aizstāj ar šādu:</w:t>
      </w:r>
    </w:p>
    <w:p w:rsidR="00631B6C" w:rsidRPr="005F5406" w:rsidRDefault="00631B6C" w:rsidP="00631B6C">
      <w:pPr>
        <w:pStyle w:val="Text1"/>
        <w:rPr>
          <w:rFonts w:eastAsia="Arial Unicode MS"/>
        </w:rPr>
      </w:pPr>
      <w:r w:rsidRPr="005F5406">
        <w:t xml:space="preserve">"Komisija ir pilnvarota pieņemt deleģēto aktu saskaņā ar </w:t>
      </w:r>
      <w:r w:rsidRPr="003752EA">
        <w:t>23</w:t>
      </w:r>
      <w:r w:rsidRPr="005F5406">
        <w:t>. pantu.";</w:t>
      </w:r>
    </w:p>
    <w:p w:rsidR="00631B6C" w:rsidRPr="005F5406" w:rsidRDefault="008567AC" w:rsidP="00631B6C">
      <w:pPr>
        <w:pStyle w:val="ListNumber"/>
        <w:rPr>
          <w:noProof/>
        </w:rPr>
      </w:pPr>
      <w:r w:rsidRPr="005F5406">
        <w:t xml:space="preserve">direktīvas </w:t>
      </w:r>
      <w:r w:rsidRPr="003752EA">
        <w:t>15</w:t>
      </w:r>
      <w:r w:rsidRPr="005F5406">
        <w:t>. panta piekto daļu aizstāj ar šādu:</w:t>
      </w:r>
    </w:p>
    <w:p w:rsidR="00631B6C" w:rsidRPr="005F5406" w:rsidRDefault="00631B6C" w:rsidP="00631B6C">
      <w:pPr>
        <w:pStyle w:val="Text1"/>
        <w:rPr>
          <w:noProof/>
        </w:rPr>
      </w:pPr>
      <w:r w:rsidRPr="005F5406">
        <w:t xml:space="preserve">"Komisija ir pilnvarota pieņemt deleģēto aktu saskaņā ar </w:t>
      </w:r>
      <w:r w:rsidRPr="003752EA">
        <w:t>23</w:t>
      </w:r>
      <w:r w:rsidRPr="005F5406">
        <w:t>. pantu.";</w:t>
      </w:r>
    </w:p>
    <w:p w:rsidR="00631B6C" w:rsidRPr="005F5406" w:rsidRDefault="008567AC" w:rsidP="00631B6C">
      <w:pPr>
        <w:pStyle w:val="ListNumber"/>
        <w:rPr>
          <w:noProof/>
        </w:rPr>
      </w:pPr>
      <w:r w:rsidRPr="005F5406">
        <w:t xml:space="preserve">direktīvas </w:t>
      </w:r>
      <w:r w:rsidRPr="003752EA">
        <w:t>16</w:t>
      </w:r>
      <w:r w:rsidRPr="005F5406">
        <w:t xml:space="preserve">. panta </w:t>
      </w:r>
      <w:r w:rsidRPr="003752EA">
        <w:t>12</w:t>
      </w:r>
      <w:r w:rsidRPr="005F5406">
        <w:t>. punktu aizstāj ar šādu:</w:t>
      </w:r>
    </w:p>
    <w:p w:rsidR="00631B6C" w:rsidRPr="005F5406" w:rsidRDefault="00631B6C" w:rsidP="00631B6C">
      <w:pPr>
        <w:pStyle w:val="ManualNumPar1"/>
      </w:pPr>
      <w:r w:rsidRPr="005F5406">
        <w:t>"</w:t>
      </w:r>
      <w:r w:rsidRPr="003752EA">
        <w:t>12</w:t>
      </w:r>
      <w:r w:rsidRPr="005F5406">
        <w:t>.</w:t>
      </w:r>
      <w:r w:rsidRPr="005F5406">
        <w:tab/>
        <w:t xml:space="preserve">Attiecīgā gadījumā ievieš sīki izstrādātus noteikumus attiecībā uz šajā pantā minēto procedūru. Minētos īstenošanas aktus pieņem saskaņā ar </w:t>
      </w:r>
      <w:r w:rsidRPr="003752EA">
        <w:t>22</w:t>
      </w:r>
      <w:r w:rsidRPr="005F5406">
        <w:t>.a pantā minēto procedūru.";</w:t>
      </w:r>
    </w:p>
    <w:p w:rsidR="00F97BA6" w:rsidRPr="005F5406" w:rsidRDefault="008567AC" w:rsidP="00F97BA6">
      <w:pPr>
        <w:pStyle w:val="ListNumber"/>
        <w:rPr>
          <w:noProof/>
        </w:rPr>
      </w:pPr>
      <w:r w:rsidRPr="005F5406">
        <w:t xml:space="preserve">direktīvas </w:t>
      </w:r>
      <w:r w:rsidRPr="003752EA">
        <w:t>19</w:t>
      </w:r>
      <w:r w:rsidRPr="005F5406">
        <w:t xml:space="preserve">. panta </w:t>
      </w:r>
      <w:r w:rsidRPr="003752EA">
        <w:t>3</w:t>
      </w:r>
      <w:r w:rsidRPr="005F5406">
        <w:t>. punkta trešo teikumu aizstāj ar šādu:</w:t>
      </w:r>
    </w:p>
    <w:p w:rsidR="00F97BA6" w:rsidRPr="005F5406" w:rsidRDefault="00F97BA6" w:rsidP="00820422">
      <w:pPr>
        <w:pStyle w:val="Text1"/>
        <w:rPr>
          <w:rFonts w:eastAsia="Arial Unicode MS"/>
        </w:rPr>
      </w:pPr>
      <w:r w:rsidRPr="005F5406">
        <w:t xml:space="preserve">"Tā ietver arī </w:t>
      </w:r>
      <w:r w:rsidR="0062236B" w:rsidRPr="005F5406">
        <w:t>kārtību</w:t>
      </w:r>
      <w:r w:rsidRPr="005F5406">
        <w:t>, kā stājas spēkā noteikumi par kvotu savstarpēju atzīšanu, kas ietverti nolīgumos par emisij</w:t>
      </w:r>
      <w:r w:rsidR="00637663" w:rsidRPr="005F5406">
        <w:t>as</w:t>
      </w:r>
      <w:r w:rsidRPr="005F5406">
        <w:t xml:space="preserve"> kvotu tirdzniecības sistēmu sasaistīšanu. Komisija ir pilnvarota pieņemt deleģēto aktu saskaņā ar </w:t>
      </w:r>
      <w:r w:rsidRPr="003752EA">
        <w:t>23</w:t>
      </w:r>
      <w:r w:rsidRPr="005F5406">
        <w:t>. pantu.";</w:t>
      </w:r>
    </w:p>
    <w:p w:rsidR="00631B6C" w:rsidRPr="005F5406" w:rsidRDefault="00F05C60" w:rsidP="00631B6C">
      <w:pPr>
        <w:pStyle w:val="ListNumber"/>
        <w:rPr>
          <w:noProof/>
        </w:rPr>
      </w:pPr>
      <w:r w:rsidRPr="005F5406">
        <w:t xml:space="preserve">direktīvas </w:t>
      </w:r>
      <w:r w:rsidRPr="003752EA">
        <w:t>22</w:t>
      </w:r>
      <w:r w:rsidRPr="005F5406">
        <w:t>. panta otro daļu aizstāj ar šādu:</w:t>
      </w:r>
    </w:p>
    <w:p w:rsidR="00631B6C" w:rsidRPr="005F5406" w:rsidRDefault="00631B6C" w:rsidP="00631B6C">
      <w:pPr>
        <w:pStyle w:val="Text1"/>
        <w:rPr>
          <w:rFonts w:eastAsia="Arial Unicode MS"/>
        </w:rPr>
      </w:pPr>
      <w:r w:rsidRPr="005F5406">
        <w:t xml:space="preserve">"Komisija ir pilnvarota pieņemt deleģēto aktu saskaņā ar </w:t>
      </w:r>
      <w:r w:rsidRPr="003752EA">
        <w:t>23</w:t>
      </w:r>
      <w:r w:rsidRPr="005F5406">
        <w:t>. pantu.";</w:t>
      </w:r>
    </w:p>
    <w:p w:rsidR="00631B6C" w:rsidRPr="005F5406" w:rsidRDefault="00631B6C" w:rsidP="00631B6C">
      <w:pPr>
        <w:pStyle w:val="ListNumber"/>
        <w:rPr>
          <w:noProof/>
        </w:rPr>
      </w:pPr>
      <w:r w:rsidRPr="005F5406">
        <w:t xml:space="preserve">direktīvā iekļauj šādu </w:t>
      </w:r>
      <w:r w:rsidRPr="003752EA">
        <w:t>22</w:t>
      </w:r>
      <w:r w:rsidRPr="005F5406">
        <w:t>.a pantu:</w:t>
      </w:r>
    </w:p>
    <w:p w:rsidR="00631B6C" w:rsidRPr="005F5406" w:rsidRDefault="00631B6C" w:rsidP="00631B6C">
      <w:pPr>
        <w:pStyle w:val="NormalCentered"/>
        <w:rPr>
          <w:b/>
          <w:noProof/>
        </w:rPr>
      </w:pPr>
      <w:r w:rsidRPr="005F5406">
        <w:t>"</w:t>
      </w:r>
      <w:r w:rsidRPr="003752EA">
        <w:rPr>
          <w:i/>
          <w:noProof/>
        </w:rPr>
        <w:t>22</w:t>
      </w:r>
      <w:r w:rsidRPr="005F5406">
        <w:rPr>
          <w:i/>
          <w:noProof/>
        </w:rPr>
        <w:t>.a pants</w:t>
      </w:r>
      <w:r w:rsidRPr="005F5406">
        <w:rPr>
          <w:i/>
          <w:noProof/>
        </w:rPr>
        <w:br/>
      </w:r>
      <w:r w:rsidRPr="005F5406">
        <w:rPr>
          <w:b/>
          <w:noProof/>
        </w:rPr>
        <w:t>Komiteju procedūra</w:t>
      </w:r>
    </w:p>
    <w:p w:rsidR="00631B6C" w:rsidRPr="005F5406" w:rsidRDefault="00631B6C" w:rsidP="00631B6C">
      <w:pPr>
        <w:pStyle w:val="ManualNumPar1"/>
        <w:rPr>
          <w:noProof/>
        </w:rPr>
      </w:pPr>
      <w:r w:rsidRPr="003752EA">
        <w:t>1</w:t>
      </w:r>
      <w:r w:rsidRPr="005F5406">
        <w:t>.</w:t>
      </w:r>
      <w:r w:rsidRPr="005F5406">
        <w:tab/>
        <w:t xml:space="preserve">Komisijai palīdz komiteja, kas izveidota saskaņā ar Lēmuma </w:t>
      </w:r>
      <w:r w:rsidRPr="003752EA">
        <w:t>93</w:t>
      </w:r>
      <w:r w:rsidRPr="005F5406">
        <w:t>/</w:t>
      </w:r>
      <w:r w:rsidRPr="003752EA">
        <w:t>389</w:t>
      </w:r>
      <w:r w:rsidRPr="005F5406">
        <w:t xml:space="preserve">/EEK </w:t>
      </w:r>
      <w:r w:rsidRPr="003752EA">
        <w:t>8</w:t>
      </w:r>
      <w:r w:rsidRPr="005F5406">
        <w:t xml:space="preserve">. pantu. Minētā komiteja ir komiteja Regulas (ES) </w:t>
      </w:r>
      <w:proofErr w:type="spellStart"/>
      <w:r w:rsidRPr="005F5406">
        <w:t>Nr</w:t>
      </w:r>
      <w:proofErr w:type="spellEnd"/>
      <w:r w:rsidRPr="005F5406">
        <w:t>. </w:t>
      </w:r>
      <w:r w:rsidRPr="003752EA">
        <w:t>182</w:t>
      </w:r>
      <w:r w:rsidRPr="005F5406">
        <w:t>/</w:t>
      </w:r>
      <w:r w:rsidRPr="003752EA">
        <w:t>2011</w:t>
      </w:r>
      <w:r w:rsidRPr="005F5406">
        <w:t xml:space="preserve"> nozīmē.</w:t>
      </w:r>
    </w:p>
    <w:p w:rsidR="00631B6C" w:rsidRPr="005F5406" w:rsidRDefault="00631B6C" w:rsidP="00631B6C">
      <w:pPr>
        <w:pStyle w:val="ManualNumPar1"/>
        <w:rPr>
          <w:noProof/>
        </w:rPr>
      </w:pPr>
      <w:r w:rsidRPr="003752EA">
        <w:t>2</w:t>
      </w:r>
      <w:r w:rsidRPr="005F5406">
        <w:t>.</w:t>
      </w:r>
      <w:r w:rsidRPr="005F5406">
        <w:tab/>
        <w:t xml:space="preserve">Ja ir atsauce uz šo punktu, piemēro Regulas (ES) </w:t>
      </w:r>
      <w:proofErr w:type="spellStart"/>
      <w:r w:rsidRPr="005F5406">
        <w:t>Nr</w:t>
      </w:r>
      <w:proofErr w:type="spellEnd"/>
      <w:r w:rsidRPr="005F5406">
        <w:t>. </w:t>
      </w:r>
      <w:r w:rsidRPr="003752EA">
        <w:t>182</w:t>
      </w:r>
      <w:r w:rsidRPr="005F5406">
        <w:t>/</w:t>
      </w:r>
      <w:r w:rsidRPr="003752EA">
        <w:t>2011</w:t>
      </w:r>
      <w:r w:rsidRPr="005F5406">
        <w:t xml:space="preserve"> </w:t>
      </w:r>
      <w:r w:rsidRPr="003752EA">
        <w:t>5</w:t>
      </w:r>
      <w:r w:rsidRPr="005F5406">
        <w:t>. pantu.</w:t>
      </w:r>
    </w:p>
    <w:p w:rsidR="00631B6C" w:rsidRPr="005F5406" w:rsidRDefault="00631B6C" w:rsidP="00631B6C">
      <w:pPr>
        <w:pStyle w:val="Text1"/>
        <w:rPr>
          <w:noProof/>
        </w:rPr>
      </w:pPr>
      <w:r w:rsidRPr="005F5406">
        <w:t xml:space="preserve">Ja komiteja nesniedz atzinumu, Komisija nepieņem īstenošanas akta projektu, un piemēro Regulas (ES) </w:t>
      </w:r>
      <w:proofErr w:type="spellStart"/>
      <w:r w:rsidRPr="005F5406">
        <w:t>Nr</w:t>
      </w:r>
      <w:proofErr w:type="spellEnd"/>
      <w:r w:rsidRPr="005F5406">
        <w:t>. </w:t>
      </w:r>
      <w:r w:rsidRPr="003752EA">
        <w:t>182</w:t>
      </w:r>
      <w:r w:rsidRPr="005F5406">
        <w:t>/</w:t>
      </w:r>
      <w:r w:rsidRPr="003752EA">
        <w:t>2011</w:t>
      </w:r>
      <w:r w:rsidRPr="005F5406">
        <w:t xml:space="preserve"> </w:t>
      </w:r>
      <w:r w:rsidRPr="003752EA">
        <w:t>5</w:t>
      </w:r>
      <w:r w:rsidRPr="005F5406">
        <w:t xml:space="preserve">. panta </w:t>
      </w:r>
      <w:r w:rsidRPr="003752EA">
        <w:t>4</w:t>
      </w:r>
      <w:r w:rsidRPr="005F5406">
        <w:t>. punkta trešo daļu.";</w:t>
      </w:r>
    </w:p>
    <w:p w:rsidR="00631B6C" w:rsidRPr="005F5406" w:rsidRDefault="00631B6C" w:rsidP="00631B6C">
      <w:pPr>
        <w:pStyle w:val="ListNumber"/>
        <w:rPr>
          <w:noProof/>
        </w:rPr>
      </w:pPr>
      <w:r w:rsidRPr="005F5406">
        <w:t xml:space="preserve">direktīvas </w:t>
      </w:r>
      <w:r w:rsidRPr="003752EA">
        <w:t>23</w:t>
      </w:r>
      <w:r w:rsidRPr="005F5406">
        <w:t>. pantu aizstāj ar šādu:</w:t>
      </w:r>
    </w:p>
    <w:p w:rsidR="00631B6C" w:rsidRPr="005F5406" w:rsidRDefault="00631B6C" w:rsidP="00631B6C">
      <w:pPr>
        <w:pStyle w:val="NormalCentered"/>
        <w:rPr>
          <w:i/>
          <w:noProof/>
        </w:rPr>
      </w:pPr>
      <w:r w:rsidRPr="005F5406">
        <w:rPr>
          <w:i/>
          <w:noProof/>
        </w:rPr>
        <w:t>"</w:t>
      </w:r>
      <w:r w:rsidRPr="003752EA">
        <w:rPr>
          <w:i/>
          <w:noProof/>
        </w:rPr>
        <w:t>23</w:t>
      </w:r>
      <w:r w:rsidRPr="005F5406">
        <w:rPr>
          <w:i/>
          <w:noProof/>
        </w:rPr>
        <w:t>. pants</w:t>
      </w:r>
      <w:r w:rsidRPr="005F5406">
        <w:rPr>
          <w:i/>
          <w:noProof/>
        </w:rPr>
        <w:br/>
      </w:r>
      <w:r w:rsidRPr="005F5406">
        <w:rPr>
          <w:b/>
          <w:noProof/>
        </w:rPr>
        <w:t>Deleģēšanas īstenošana</w:t>
      </w:r>
    </w:p>
    <w:p w:rsidR="00631B6C" w:rsidRPr="005F5406" w:rsidRDefault="00631B6C" w:rsidP="00631B6C">
      <w:pPr>
        <w:pStyle w:val="ManualNumPar1"/>
        <w:rPr>
          <w:noProof/>
        </w:rPr>
      </w:pPr>
      <w:r w:rsidRPr="003752EA">
        <w:t>1</w:t>
      </w:r>
      <w:r w:rsidRPr="005F5406">
        <w:t xml:space="preserve">. </w:t>
      </w:r>
      <w:r w:rsidRPr="005F5406">
        <w:tab/>
        <w:t>Pilnvaras pieņemt deleģētos aktus Komisijai piešķir</w:t>
      </w:r>
      <w:r w:rsidR="00C5304F" w:rsidRPr="005F5406">
        <w:t xml:space="preserve"> ar</w:t>
      </w:r>
      <w:r w:rsidRPr="005F5406">
        <w:t xml:space="preserve"> šajā pantā </w:t>
      </w:r>
      <w:r w:rsidR="00C5304F" w:rsidRPr="005F5406">
        <w:t>izklāstītajiem nosacījumiem</w:t>
      </w:r>
      <w:r w:rsidRPr="005F5406">
        <w:t>.</w:t>
      </w:r>
    </w:p>
    <w:p w:rsidR="00631B6C" w:rsidRPr="005F5406" w:rsidRDefault="00631B6C" w:rsidP="00631B6C">
      <w:pPr>
        <w:pStyle w:val="ManualNumPar1"/>
        <w:rPr>
          <w:noProof/>
        </w:rPr>
      </w:pPr>
      <w:r w:rsidRPr="003752EA">
        <w:t>2</w:t>
      </w:r>
      <w:r w:rsidRPr="005F5406">
        <w:t xml:space="preserve">. </w:t>
      </w:r>
      <w:r w:rsidRPr="005F5406">
        <w:tab/>
        <w:t xml:space="preserve">Pilnvaras pieņemt </w:t>
      </w:r>
      <w:r w:rsidRPr="003752EA">
        <w:t>3</w:t>
      </w:r>
      <w:r w:rsidRPr="005F5406">
        <w:t xml:space="preserve">.d panta </w:t>
      </w:r>
      <w:r w:rsidRPr="003752EA">
        <w:t>3</w:t>
      </w:r>
      <w:r w:rsidRPr="005F5406">
        <w:t xml:space="preserve">. punktā, </w:t>
      </w:r>
      <w:r w:rsidRPr="003752EA">
        <w:t>10</w:t>
      </w:r>
      <w:r w:rsidRPr="005F5406">
        <w:t xml:space="preserve">. panta </w:t>
      </w:r>
      <w:r w:rsidRPr="003752EA">
        <w:t>4</w:t>
      </w:r>
      <w:r w:rsidRPr="005F5406">
        <w:t xml:space="preserve">. punktā, </w:t>
      </w:r>
      <w:r w:rsidRPr="003752EA">
        <w:t>10</w:t>
      </w:r>
      <w:r w:rsidRPr="005F5406">
        <w:t xml:space="preserve">.a panta </w:t>
      </w:r>
      <w:r w:rsidRPr="003752EA">
        <w:t>1</w:t>
      </w:r>
      <w:r w:rsidRPr="005F5406">
        <w:t xml:space="preserve">. un </w:t>
      </w:r>
      <w:r w:rsidRPr="003752EA">
        <w:t>8</w:t>
      </w:r>
      <w:r w:rsidRPr="005F5406">
        <w:t xml:space="preserve">. punktā, </w:t>
      </w:r>
      <w:r w:rsidRPr="003752EA">
        <w:t>10</w:t>
      </w:r>
      <w:r w:rsidRPr="005F5406">
        <w:t xml:space="preserve">.b pantā, </w:t>
      </w:r>
      <w:r w:rsidRPr="003752EA">
        <w:t>10</w:t>
      </w:r>
      <w:r w:rsidRPr="005F5406">
        <w:t xml:space="preserve">.d pantā, </w:t>
      </w:r>
      <w:r w:rsidRPr="003752EA">
        <w:t>14</w:t>
      </w:r>
      <w:r w:rsidRPr="005F5406">
        <w:t xml:space="preserve">. panta </w:t>
      </w:r>
      <w:r w:rsidRPr="003752EA">
        <w:t>1</w:t>
      </w:r>
      <w:r w:rsidRPr="005F5406">
        <w:t xml:space="preserve">. punktā, </w:t>
      </w:r>
      <w:r w:rsidRPr="003752EA">
        <w:t>15</w:t>
      </w:r>
      <w:r w:rsidRPr="005F5406">
        <w:t xml:space="preserve">. pantā, </w:t>
      </w:r>
      <w:r w:rsidRPr="003752EA">
        <w:t>19</w:t>
      </w:r>
      <w:r w:rsidRPr="005F5406">
        <w:t xml:space="preserve">. panta </w:t>
      </w:r>
      <w:r w:rsidRPr="003752EA">
        <w:t>3</w:t>
      </w:r>
      <w:r w:rsidRPr="005F5406">
        <w:t xml:space="preserve">. punktā, </w:t>
      </w:r>
      <w:r w:rsidRPr="003752EA">
        <w:t>22</w:t>
      </w:r>
      <w:r w:rsidRPr="005F5406">
        <w:t xml:space="preserve">. pantā, </w:t>
      </w:r>
      <w:r w:rsidRPr="003752EA">
        <w:t>24</w:t>
      </w:r>
      <w:r w:rsidRPr="005F5406">
        <w:t>. </w:t>
      </w:r>
      <w:r w:rsidR="006A3D35" w:rsidRPr="005F5406">
        <w:t xml:space="preserve">pantā, </w:t>
      </w:r>
      <w:r w:rsidR="006A3D35" w:rsidRPr="003752EA">
        <w:t>24</w:t>
      </w:r>
      <w:r w:rsidR="006A3D35" w:rsidRPr="005F5406">
        <w:t xml:space="preserve">.a pantā un </w:t>
      </w:r>
      <w:r w:rsidR="006A3D35" w:rsidRPr="003752EA">
        <w:t>25</w:t>
      </w:r>
      <w:r w:rsidR="006A3D35" w:rsidRPr="005F5406">
        <w:t>.a pantā</w:t>
      </w:r>
      <w:r w:rsidRPr="005F5406">
        <w:t xml:space="preserve"> minētos deleģētos aktus Komisijai piešķir uz nenoteiktu laiku no (*).</w:t>
      </w:r>
    </w:p>
    <w:p w:rsidR="00631B6C" w:rsidRPr="005F5406" w:rsidRDefault="00631B6C" w:rsidP="00631B6C">
      <w:pPr>
        <w:rPr>
          <w:szCs w:val="24"/>
        </w:rPr>
      </w:pPr>
      <w:r w:rsidRPr="005F5406">
        <w:t>(*) pamata tiesību akta spēkā stāšanās diena.</w:t>
      </w:r>
    </w:p>
    <w:p w:rsidR="00631B6C" w:rsidRPr="005F5406" w:rsidRDefault="00631B6C" w:rsidP="00631B6C">
      <w:pPr>
        <w:pStyle w:val="ManualNumPar1"/>
        <w:rPr>
          <w:noProof/>
        </w:rPr>
      </w:pPr>
      <w:r w:rsidRPr="003752EA">
        <w:t>3</w:t>
      </w:r>
      <w:r w:rsidRPr="005F5406">
        <w:t xml:space="preserve">. </w:t>
      </w:r>
      <w:r w:rsidRPr="005F5406">
        <w:tab/>
        <w:t xml:space="preserve">Eiropas Parlaments vai Padome var jebkurā laikā atsaukt pilnvaru deleģēšanu, kas minēta </w:t>
      </w:r>
      <w:r w:rsidRPr="003752EA">
        <w:t>2</w:t>
      </w:r>
      <w:r w:rsidRPr="005F5406">
        <w:t xml:space="preserve">. punktā. Ar lēmumu par atsaukšanu izbeidz tajā minēto pilnvaru deleģēšanu. Lēmums stājas spēkā nākamajā dienā pēc tā publicēšanas </w:t>
      </w:r>
      <w:r w:rsidRPr="005F5406">
        <w:rPr>
          <w:i/>
        </w:rPr>
        <w:t xml:space="preserve">Eiropas </w:t>
      </w:r>
      <w:r w:rsidRPr="005F5406">
        <w:rPr>
          <w:i/>
        </w:rPr>
        <w:lastRenderedPageBreak/>
        <w:t>Savienības Oficiālajā Vēstnesī</w:t>
      </w:r>
      <w:r w:rsidRPr="005F5406">
        <w:t xml:space="preserve"> vai arī vēlākā dienā, kas tajā norādīta. Tas neskar jau spēkā esošos deleģētos aktus.</w:t>
      </w:r>
    </w:p>
    <w:p w:rsidR="00631B6C" w:rsidRPr="005F5406" w:rsidRDefault="00631B6C" w:rsidP="00631B6C">
      <w:pPr>
        <w:pStyle w:val="ManualNumPar1"/>
        <w:rPr>
          <w:noProof/>
        </w:rPr>
      </w:pPr>
      <w:r w:rsidRPr="003752EA">
        <w:t>4</w:t>
      </w:r>
      <w:r w:rsidRPr="005F5406">
        <w:t xml:space="preserve">. </w:t>
      </w:r>
      <w:r w:rsidRPr="005F5406">
        <w:tab/>
        <w:t>Tiklīdz Komisija pieņem deleģēto aktu, tā par to paziņo vienlaikus Eiropas Parlamentam un Padomei.</w:t>
      </w:r>
    </w:p>
    <w:p w:rsidR="00631B6C" w:rsidRPr="005F5406" w:rsidRDefault="00631B6C" w:rsidP="00631B6C">
      <w:pPr>
        <w:pStyle w:val="ManualNumPar1"/>
      </w:pPr>
      <w:r w:rsidRPr="003752EA">
        <w:t>5</w:t>
      </w:r>
      <w:r w:rsidRPr="005F5406">
        <w:t xml:space="preserve">. </w:t>
      </w:r>
      <w:r w:rsidRPr="005F5406">
        <w:tab/>
        <w:t>Saskaņā ar iepriekšējiem punktiem pieņemts deleģētais akts stājas spēkā tikai tad, ja divos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rsidR="00F97BA6" w:rsidRPr="005F5406" w:rsidRDefault="00F97BA6" w:rsidP="00F97BA6">
      <w:pPr>
        <w:pStyle w:val="ListNumber"/>
        <w:rPr>
          <w:noProof/>
        </w:rPr>
      </w:pPr>
      <w:r w:rsidRPr="005F5406">
        <w:t xml:space="preserve">direktīvas </w:t>
      </w:r>
      <w:r w:rsidRPr="003752EA">
        <w:t>24</w:t>
      </w:r>
      <w:r w:rsidRPr="005F5406">
        <w:t>. pantu groza šādi:</w:t>
      </w:r>
    </w:p>
    <w:p w:rsidR="00F05C60" w:rsidRPr="005F5406" w:rsidRDefault="00F05C60" w:rsidP="00F97BA6">
      <w:pPr>
        <w:pStyle w:val="Text1"/>
        <w:rPr>
          <w:noProof/>
        </w:rPr>
      </w:pPr>
      <w:r w:rsidRPr="005F5406">
        <w:t xml:space="preserve">a) panta </w:t>
      </w:r>
      <w:r w:rsidRPr="003752EA">
        <w:t>1</w:t>
      </w:r>
      <w:r w:rsidRPr="005F5406">
        <w:t>. punktu aizstāj ar šādu:</w:t>
      </w:r>
    </w:p>
    <w:p w:rsidR="00F05C60" w:rsidRPr="005F5406" w:rsidRDefault="00F97BA6" w:rsidP="00F05C60">
      <w:pPr>
        <w:pStyle w:val="Text1"/>
        <w:rPr>
          <w:rFonts w:eastAsia="Arial Unicode MS"/>
          <w:szCs w:val="24"/>
        </w:rPr>
      </w:pPr>
      <w:r w:rsidRPr="005F5406">
        <w:t xml:space="preserve">"No </w:t>
      </w:r>
      <w:r w:rsidRPr="003752EA">
        <w:t>2008</w:t>
      </w:r>
      <w:r w:rsidRPr="005F5406">
        <w:t>. gada dalībvalstis var saskaņā ar šo direktīvu piemērot emisijas kvotu tirdz</w:t>
      </w:r>
      <w:r w:rsidR="00AD1E5F" w:rsidRPr="005F5406">
        <w:t>niecību darbībām un siltumnīcefekta</w:t>
      </w:r>
      <w:r w:rsidRPr="005F5406">
        <w:t xml:space="preserve"> gāzēm, kuras nav uzskaitītas I pielikumā, ņemot vērā visus būtiskos kritērijus, jo īpaši ietekmi uz iekšējo tirgu, potenciālos konkurences izkropļojumus, </w:t>
      </w:r>
      <w:r w:rsidR="006A3D35" w:rsidRPr="005F5406">
        <w:t xml:space="preserve">Kopienas </w:t>
      </w:r>
      <w:r w:rsidRPr="005F5406">
        <w:t xml:space="preserve">sistēmas </w:t>
      </w:r>
      <w:proofErr w:type="spellStart"/>
      <w:r w:rsidR="006A3D35" w:rsidRPr="005F5406">
        <w:t>vidisko</w:t>
      </w:r>
      <w:proofErr w:type="spellEnd"/>
      <w:r w:rsidR="006A3D35" w:rsidRPr="005F5406">
        <w:t xml:space="preserve"> </w:t>
      </w:r>
      <w:r w:rsidRPr="005F5406">
        <w:t>integritāti un plānotās monitoringa un ziņošanas sistēmas uzticamību, ar nosacījumu, ka Komis</w:t>
      </w:r>
      <w:r w:rsidR="00AD1E5F" w:rsidRPr="005F5406">
        <w:t>ija šādu darbību un siltumnīcefekta</w:t>
      </w:r>
      <w:r w:rsidRPr="005F5406">
        <w:t xml:space="preserve"> gā</w:t>
      </w:r>
      <w:r w:rsidR="0062236B" w:rsidRPr="005F5406">
        <w:t>zu iekļaušanu ir apstiprinājusi.</w:t>
      </w:r>
    </w:p>
    <w:p w:rsidR="00F97BA6" w:rsidRPr="005F5406" w:rsidRDefault="00F97BA6" w:rsidP="00F97BA6">
      <w:pPr>
        <w:pStyle w:val="Text1"/>
        <w:rPr>
          <w:noProof/>
        </w:rPr>
      </w:pPr>
      <w:r w:rsidRPr="005F5406">
        <w:t xml:space="preserve">Saskaņā ar deleģētajiem aktiem, kurus Komisija ir pilnvarota pieņemt saskaņā ar </w:t>
      </w:r>
      <w:r w:rsidRPr="003752EA">
        <w:t>23</w:t>
      </w:r>
      <w:r w:rsidRPr="005F5406">
        <w:t>. pantu, ja iekļaušana attiecas uz iekārtām, kuras nav ietvertas I pielikumā</w:t>
      </w:r>
      <w:r w:rsidR="0062236B" w:rsidRPr="005F5406">
        <w:t>.</w:t>
      </w:r>
      <w:r w:rsidRPr="005F5406">
        <w:t>";</w:t>
      </w:r>
    </w:p>
    <w:p w:rsidR="00631B6C" w:rsidRPr="005F5406" w:rsidRDefault="00F05C60" w:rsidP="007143CF">
      <w:pPr>
        <w:pStyle w:val="Text1"/>
        <w:rPr>
          <w:noProof/>
        </w:rPr>
      </w:pPr>
      <w:r w:rsidRPr="005F5406">
        <w:t xml:space="preserve">b) panta </w:t>
      </w:r>
      <w:r w:rsidRPr="003752EA">
        <w:t>3</w:t>
      </w:r>
      <w:r w:rsidRPr="005F5406">
        <w:t>. punkta otro daļu aizstāj ar šādu:</w:t>
      </w:r>
    </w:p>
    <w:p w:rsidR="00631B6C" w:rsidRPr="005F5406" w:rsidRDefault="00631B6C" w:rsidP="00631B6C">
      <w:pPr>
        <w:pStyle w:val="Text1"/>
        <w:rPr>
          <w:rFonts w:eastAsia="Arial Unicode MS"/>
        </w:rPr>
      </w:pPr>
      <w:r w:rsidRPr="005F5406">
        <w:t xml:space="preserve">"Komisija ir pilnvarota </w:t>
      </w:r>
      <w:r w:rsidR="00792787" w:rsidRPr="005F5406">
        <w:t xml:space="preserve">saskaņā ar </w:t>
      </w:r>
      <w:r w:rsidR="00792787" w:rsidRPr="003752EA">
        <w:t>23</w:t>
      </w:r>
      <w:r w:rsidR="00792787" w:rsidRPr="005F5406">
        <w:t xml:space="preserve">. pantu </w:t>
      </w:r>
      <w:r w:rsidRPr="005F5406">
        <w:t>pieņemt deleģētos aktus attiecībā uz šādu regulu par monitoringu un ziņošanu par emisijām un darbības datiem.";</w:t>
      </w:r>
    </w:p>
    <w:p w:rsidR="00631B6C" w:rsidRPr="005F5406" w:rsidRDefault="00631B6C" w:rsidP="00631B6C">
      <w:pPr>
        <w:pStyle w:val="ListNumber"/>
        <w:rPr>
          <w:noProof/>
        </w:rPr>
      </w:pPr>
      <w:r w:rsidRPr="005F5406">
        <w:t xml:space="preserve">direktīvas </w:t>
      </w:r>
      <w:r w:rsidRPr="003752EA">
        <w:t>24</w:t>
      </w:r>
      <w:r w:rsidRPr="005F5406">
        <w:t>.a pantu groza šādi:</w:t>
      </w:r>
    </w:p>
    <w:p w:rsidR="00F05C60" w:rsidRPr="005F5406" w:rsidRDefault="00F05C60" w:rsidP="00631B6C">
      <w:pPr>
        <w:pStyle w:val="Text1"/>
        <w:rPr>
          <w:noProof/>
        </w:rPr>
      </w:pPr>
      <w:r w:rsidRPr="005F5406">
        <w:t xml:space="preserve">a) panta </w:t>
      </w:r>
      <w:r w:rsidRPr="003752EA">
        <w:t>1</w:t>
      </w:r>
      <w:r w:rsidRPr="005F5406">
        <w:t>. punkta otro daļu aizstāj ar šādu:</w:t>
      </w:r>
    </w:p>
    <w:p w:rsidR="00631B6C" w:rsidRPr="005F5406" w:rsidRDefault="00631B6C" w:rsidP="00631B6C">
      <w:pPr>
        <w:pStyle w:val="Text1"/>
        <w:rPr>
          <w:noProof/>
        </w:rPr>
      </w:pPr>
      <w:r w:rsidRPr="005F5406">
        <w:t xml:space="preserve">"Šie pasākumi ir saskanīgi ar aktiem, kas pieņemti saskaņā ar </w:t>
      </w:r>
      <w:r w:rsidRPr="003752EA">
        <w:t>11</w:t>
      </w:r>
      <w:r w:rsidRPr="005F5406">
        <w:t xml:space="preserve">.b panta </w:t>
      </w:r>
      <w:r w:rsidRPr="003752EA">
        <w:t>7</w:t>
      </w:r>
      <w:r w:rsidRPr="005F5406">
        <w:t xml:space="preserve">. punktu. Komisija ir pilnvarota pieņemt deleģēto aktu saskaņā ar </w:t>
      </w:r>
      <w:r w:rsidRPr="003752EA">
        <w:t>23</w:t>
      </w:r>
      <w:r w:rsidRPr="005F5406">
        <w:t>. pantu.";</w:t>
      </w:r>
    </w:p>
    <w:p w:rsidR="00631B6C" w:rsidRPr="005F5406" w:rsidRDefault="00F05C60" w:rsidP="00F05C60">
      <w:pPr>
        <w:pStyle w:val="Text1"/>
      </w:pPr>
      <w:r w:rsidRPr="005F5406">
        <w:t xml:space="preserve">b) panta </w:t>
      </w:r>
      <w:r w:rsidRPr="003752EA">
        <w:t>2</w:t>
      </w:r>
      <w:r w:rsidRPr="005F5406">
        <w:t>. punktu svītro;</w:t>
      </w:r>
    </w:p>
    <w:p w:rsidR="00631B6C" w:rsidRPr="005F5406" w:rsidRDefault="00792787" w:rsidP="00631B6C">
      <w:pPr>
        <w:pStyle w:val="ListNumber"/>
      </w:pPr>
      <w:r w:rsidRPr="005F5406">
        <w:t xml:space="preserve">direktīvas </w:t>
      </w:r>
      <w:r w:rsidR="00631B6C" w:rsidRPr="003752EA">
        <w:t>25</w:t>
      </w:r>
      <w:r w:rsidR="00631B6C" w:rsidRPr="005F5406">
        <w:t xml:space="preserve">. panta </w:t>
      </w:r>
      <w:r w:rsidR="00631B6C" w:rsidRPr="003752EA">
        <w:t>2</w:t>
      </w:r>
      <w:r w:rsidR="00631B6C" w:rsidRPr="005F5406">
        <w:t>. punktu</w:t>
      </w:r>
      <w:r w:rsidRPr="005F5406">
        <w:t xml:space="preserve"> svītro;</w:t>
      </w:r>
    </w:p>
    <w:p w:rsidR="00631B6C" w:rsidRPr="005F5406" w:rsidRDefault="00F05C60" w:rsidP="00631B6C">
      <w:pPr>
        <w:pStyle w:val="ListNumber"/>
        <w:rPr>
          <w:noProof/>
        </w:rPr>
      </w:pPr>
      <w:r w:rsidRPr="005F5406">
        <w:t xml:space="preserve">direktīvas </w:t>
      </w:r>
      <w:r w:rsidRPr="003752EA">
        <w:t>25</w:t>
      </w:r>
      <w:r w:rsidRPr="005F5406">
        <w:t xml:space="preserve">.a panta </w:t>
      </w:r>
      <w:r w:rsidRPr="003752EA">
        <w:t>1</w:t>
      </w:r>
      <w:r w:rsidRPr="005F5406">
        <w:t>. punktu aizstāj ar šādu:</w:t>
      </w:r>
    </w:p>
    <w:p w:rsidR="00631B6C" w:rsidRPr="005F5406" w:rsidRDefault="00631B6C" w:rsidP="00631B6C">
      <w:pPr>
        <w:pStyle w:val="ManualNumPar1"/>
        <w:rPr>
          <w:rFonts w:eastAsia="Arial Unicode MS"/>
        </w:rPr>
      </w:pPr>
      <w:r w:rsidRPr="005F5406">
        <w:tab/>
        <w:t xml:space="preserve">"Ja kāda trešā valsts paredz pasākumus, lai mazinātu to lidojumu ietekmi uz klimata pārmaiņām, kuri izlido no attiecīgās valsts un nolaižas Kopienā, Komisija, apspriedusies ar attiecīgo trešo valsti un dalībvalstīm, kas ir </w:t>
      </w:r>
      <w:r w:rsidRPr="003752EA">
        <w:t>23</w:t>
      </w:r>
      <w:r w:rsidRPr="005F5406">
        <w:t xml:space="preserve">. panta </w:t>
      </w:r>
      <w:r w:rsidRPr="003752EA">
        <w:t>1</w:t>
      </w:r>
      <w:r w:rsidRPr="005F5406">
        <w:t>. punktā minētajā komitejā, apsver pieejamās iespējas, lai nodrošinātu Kopienas sistēmas un šīs valsts pasākumu optimālu mijiedarbību.</w:t>
      </w:r>
    </w:p>
    <w:p w:rsidR="00631B6C" w:rsidRPr="005F5406" w:rsidRDefault="00631B6C" w:rsidP="00631B6C">
      <w:pPr>
        <w:pStyle w:val="Text1"/>
        <w:rPr>
          <w:rFonts w:eastAsia="Arial Unicode MS"/>
        </w:rPr>
      </w:pPr>
      <w:r w:rsidRPr="005F5406">
        <w:t>Vajadzības gadījumā Komisija var pieņemt grozījumus, lai paredzētu noteikumus, ka lidojumus, kas veikti no attiecīgās trešās valsts, svītro no I pielikumā uzskaitītajām aviācijas darbībām, vai lai attiecībā uz aviācijas darbībām, kuras uzskaitītas I pielikumā, noteiktu jebkurus citus grozījumus, kas prasīti nolīgumā sas</w:t>
      </w:r>
      <w:r w:rsidR="00DA5CC8" w:rsidRPr="005F5406">
        <w:t>kaņā ar šā punkta ceturto daļu.</w:t>
      </w:r>
      <w:r w:rsidRPr="005F5406">
        <w:t xml:space="preserve"> Komisija ir pilnvarota pieņemt šādus grozījumus saskaņā ar </w:t>
      </w:r>
      <w:r w:rsidRPr="003752EA">
        <w:t>23</w:t>
      </w:r>
      <w:r w:rsidRPr="005F5406">
        <w:t>. pantu.";</w:t>
      </w:r>
    </w:p>
    <w:p w:rsidR="003C4B91" w:rsidRPr="005F5406" w:rsidRDefault="008567AC" w:rsidP="008567AC">
      <w:pPr>
        <w:pStyle w:val="ListNumber"/>
      </w:pPr>
      <w:r w:rsidRPr="005F5406">
        <w:t xml:space="preserve">direktīvas </w:t>
      </w:r>
      <w:proofErr w:type="spellStart"/>
      <w:r w:rsidRPr="005F5406">
        <w:t>II</w:t>
      </w:r>
      <w:r w:rsidR="00F53970" w:rsidRPr="005F5406">
        <w:t>.</w:t>
      </w:r>
      <w:r w:rsidRPr="005F5406">
        <w:t>a</w:t>
      </w:r>
      <w:proofErr w:type="spellEnd"/>
      <w:r w:rsidRPr="005F5406">
        <w:t xml:space="preserve"> pielikumu groza saskaņā ar šīs direktīvas I pielikumu;</w:t>
      </w:r>
    </w:p>
    <w:p w:rsidR="003C4B91" w:rsidRPr="005F5406" w:rsidRDefault="003C4B91" w:rsidP="008567AC">
      <w:pPr>
        <w:pStyle w:val="ListNumber"/>
      </w:pPr>
      <w:r w:rsidRPr="005F5406">
        <w:t xml:space="preserve">direktīvas </w:t>
      </w:r>
      <w:proofErr w:type="spellStart"/>
      <w:r w:rsidRPr="005F5406">
        <w:t>II</w:t>
      </w:r>
      <w:r w:rsidR="00F53970" w:rsidRPr="005F5406">
        <w:t>.</w:t>
      </w:r>
      <w:r w:rsidRPr="005F5406">
        <w:t>b</w:t>
      </w:r>
      <w:proofErr w:type="spellEnd"/>
      <w:r w:rsidRPr="005F5406">
        <w:t xml:space="preserve"> pielikumu groza saskaņā ar šīs direktīvas II pielikumu;</w:t>
      </w:r>
    </w:p>
    <w:p w:rsidR="008567AC" w:rsidRPr="005F5406" w:rsidRDefault="003C4B91" w:rsidP="008567AC">
      <w:pPr>
        <w:pStyle w:val="ListNumber"/>
      </w:pPr>
      <w:r w:rsidRPr="005F5406">
        <w:lastRenderedPageBreak/>
        <w:t>direktīvas IV pielikumu groza saskaņā ar šīs direktīvas III pielikumu.</w:t>
      </w:r>
    </w:p>
    <w:p w:rsidR="00FE3AE7" w:rsidRPr="005F5406" w:rsidRDefault="00FE3AE7" w:rsidP="009874AC">
      <w:pPr>
        <w:pStyle w:val="Titrearticle"/>
        <w:keepLines/>
      </w:pPr>
      <w:r w:rsidRPr="003752EA">
        <w:t>2</w:t>
      </w:r>
      <w:r w:rsidRPr="005F5406">
        <w:t>. pants</w:t>
      </w:r>
      <w:r w:rsidRPr="005F5406">
        <w:br/>
        <w:t>Transponēšana</w:t>
      </w:r>
    </w:p>
    <w:p w:rsidR="00FE3AE7" w:rsidRPr="005F5406" w:rsidRDefault="00FE3AE7" w:rsidP="00B7757C">
      <w:pPr>
        <w:pStyle w:val="ManualNumPar1"/>
      </w:pPr>
      <w:r w:rsidRPr="003752EA">
        <w:t>1</w:t>
      </w:r>
      <w:r w:rsidRPr="005F5406">
        <w:t>.</w:t>
      </w:r>
      <w:r w:rsidRPr="005F5406">
        <w:tab/>
        <w:t xml:space="preserve">Dalībvalstīs stājas spēkā normatīvie un administratīvie akti, kas vajadzīgi, lai izpildītu šīs direktīvas prasības vēlākais līdz </w:t>
      </w:r>
      <w:r w:rsidRPr="003752EA">
        <w:t>2018</w:t>
      </w:r>
      <w:r w:rsidRPr="005F5406">
        <w:t xml:space="preserve">. gada </w:t>
      </w:r>
      <w:r w:rsidRPr="003752EA">
        <w:t>31</w:t>
      </w:r>
      <w:r w:rsidRPr="005F5406">
        <w:t>. decembrim. Dalībvalstis tūlīt dara zināmus Komisijai minēto noteikumu tekstus.</w:t>
      </w:r>
    </w:p>
    <w:p w:rsidR="00FE3AE7" w:rsidRPr="005F5406" w:rsidRDefault="00123FA5" w:rsidP="00B7757C">
      <w:pPr>
        <w:pStyle w:val="Text1"/>
      </w:pPr>
      <w:r w:rsidRPr="005F5406">
        <w:t>Kad dalībvalstis pieņem minētos noteikumus, tajos ietver atsauci uz šo direktīvu vai šādu atsauci pievieno to oficiālai publikācijai. Dalībvalstis nosaka, kā izdarāma šāda atsauce.</w:t>
      </w:r>
    </w:p>
    <w:p w:rsidR="00FE3AE7" w:rsidRPr="005F5406" w:rsidRDefault="00FE3AE7" w:rsidP="00B7757C">
      <w:pPr>
        <w:pStyle w:val="ManualNumPar1"/>
      </w:pPr>
      <w:r w:rsidRPr="003752EA">
        <w:t>2</w:t>
      </w:r>
      <w:r w:rsidRPr="005F5406">
        <w:t>.</w:t>
      </w:r>
      <w:r w:rsidRPr="005F5406">
        <w:tab/>
        <w:t>Dalībvalstis dara Komisijai zināmus to tiesību aktu galvenos noteikumus, ko tās pieņem jomā, uz kuru attiecas šī direktīva.</w:t>
      </w:r>
    </w:p>
    <w:p w:rsidR="009874AC" w:rsidRPr="005F5406" w:rsidRDefault="00FE3AE7" w:rsidP="009874AC">
      <w:pPr>
        <w:pStyle w:val="Titrearticle"/>
      </w:pPr>
      <w:r w:rsidRPr="003752EA">
        <w:t>3</w:t>
      </w:r>
      <w:r w:rsidRPr="005F5406">
        <w:t>. pants</w:t>
      </w:r>
      <w:r w:rsidRPr="005F5406">
        <w:br/>
        <w:t>Pārejas noteikums</w:t>
      </w:r>
    </w:p>
    <w:p w:rsidR="009874AC" w:rsidRPr="005F5406" w:rsidRDefault="00A90D8C" w:rsidP="00B7757C">
      <w:pPr>
        <w:rPr>
          <w:noProof/>
        </w:rPr>
      </w:pPr>
      <w:r w:rsidRPr="005F5406">
        <w:t xml:space="preserve">Izpildot šīs direktīvas </w:t>
      </w:r>
      <w:r w:rsidRPr="003752EA">
        <w:t>2</w:t>
      </w:r>
      <w:r w:rsidRPr="005F5406">
        <w:t xml:space="preserve">. panta </w:t>
      </w:r>
      <w:r w:rsidRPr="003752EA">
        <w:t>1</w:t>
      </w:r>
      <w:r w:rsidRPr="005F5406">
        <w:t xml:space="preserve">. punkta pirmajā daļā noteikto pienākumu, dalībvalstis nodrošina, ka līdz </w:t>
      </w:r>
      <w:r w:rsidRPr="003752EA">
        <w:t>2020</w:t>
      </w:r>
      <w:r w:rsidRPr="005F5406">
        <w:t xml:space="preserve">. gada </w:t>
      </w:r>
      <w:r w:rsidRPr="003752EA">
        <w:t>31</w:t>
      </w:r>
      <w:r w:rsidRPr="005F5406">
        <w:t xml:space="preserve">. decembrim turpina piemērot tos valsts tiesību aktus, ar kuriem transponē </w:t>
      </w:r>
      <w:r w:rsidRPr="003752EA">
        <w:t>10</w:t>
      </w:r>
      <w:r w:rsidRPr="005F5406">
        <w:t xml:space="preserve">. pantu, </w:t>
      </w:r>
      <w:r w:rsidRPr="003752EA">
        <w:t>10</w:t>
      </w:r>
      <w:r w:rsidRPr="005F5406">
        <w:t xml:space="preserve">a. panta </w:t>
      </w:r>
      <w:r w:rsidRPr="003752EA">
        <w:t>5</w:t>
      </w:r>
      <w:r w:rsidRPr="005F5406">
        <w:t xml:space="preserve">. līdz </w:t>
      </w:r>
      <w:r w:rsidRPr="003752EA">
        <w:t>7</w:t>
      </w:r>
      <w:r w:rsidRPr="005F5406">
        <w:t>. punktu,</w:t>
      </w:r>
      <w:r w:rsidR="00DA5CC8" w:rsidRPr="005F5406">
        <w:t xml:space="preserve"> </w:t>
      </w:r>
      <w:r w:rsidRPr="003752EA">
        <w:t>10</w:t>
      </w:r>
      <w:r w:rsidRPr="005F5406">
        <w:t xml:space="preserve">.a panta </w:t>
      </w:r>
      <w:r w:rsidRPr="003752EA">
        <w:t>8</w:t>
      </w:r>
      <w:r w:rsidRPr="005F5406">
        <w:t xml:space="preserve">. punkta pirmo un otro daļu, </w:t>
      </w:r>
      <w:r w:rsidRPr="003752EA">
        <w:t>10</w:t>
      </w:r>
      <w:r w:rsidRPr="005F5406">
        <w:t xml:space="preserve">.a panta </w:t>
      </w:r>
      <w:r w:rsidRPr="003752EA">
        <w:t>1</w:t>
      </w:r>
      <w:r w:rsidR="00F53970" w:rsidRPr="003752EA">
        <w:t>2</w:t>
      </w:r>
      <w:r w:rsidR="00F53970" w:rsidRPr="005F5406">
        <w:t xml:space="preserve">. līdz </w:t>
      </w:r>
      <w:r w:rsidR="00F53970" w:rsidRPr="003752EA">
        <w:t>18</w:t>
      </w:r>
      <w:r w:rsidR="00F53970" w:rsidRPr="005F5406">
        <w:t xml:space="preserve">. punktu, </w:t>
      </w:r>
      <w:r w:rsidR="00F53970" w:rsidRPr="003752EA">
        <w:t>10</w:t>
      </w:r>
      <w:r w:rsidR="00F53970" w:rsidRPr="005F5406">
        <w:t>.c pantu,</w:t>
      </w:r>
      <w:r w:rsidR="00DA5CC8" w:rsidRPr="005F5406">
        <w:t xml:space="preserve"> </w:t>
      </w:r>
      <w:r w:rsidR="00DA5CC8" w:rsidRPr="003752EA">
        <w:t>11</w:t>
      </w:r>
      <w:r w:rsidR="00DA5CC8" w:rsidRPr="005F5406">
        <w:t xml:space="preserve">.a panta </w:t>
      </w:r>
      <w:r w:rsidR="00DA5CC8" w:rsidRPr="003752EA">
        <w:t>8</w:t>
      </w:r>
      <w:r w:rsidR="00DA5CC8" w:rsidRPr="005F5406">
        <w:t xml:space="preserve">. un </w:t>
      </w:r>
      <w:r w:rsidR="00DA5CC8" w:rsidRPr="003752EA">
        <w:t>9</w:t>
      </w:r>
      <w:r w:rsidR="00DA5CC8" w:rsidRPr="005F5406">
        <w:t>. punktu</w:t>
      </w:r>
      <w:r w:rsidRPr="005F5406">
        <w:t xml:space="preserve"> un </w:t>
      </w:r>
      <w:proofErr w:type="spellStart"/>
      <w:r w:rsidRPr="005F5406">
        <w:t>II</w:t>
      </w:r>
      <w:r w:rsidR="00F53970" w:rsidRPr="005F5406">
        <w:t>.</w:t>
      </w:r>
      <w:r w:rsidRPr="005F5406">
        <w:t>a</w:t>
      </w:r>
      <w:proofErr w:type="spellEnd"/>
      <w:r w:rsidRPr="005F5406">
        <w:t xml:space="preserve"> un </w:t>
      </w:r>
      <w:proofErr w:type="spellStart"/>
      <w:r w:rsidRPr="005F5406">
        <w:t>II</w:t>
      </w:r>
      <w:r w:rsidR="00F53970" w:rsidRPr="005F5406">
        <w:t>.</w:t>
      </w:r>
      <w:r w:rsidRPr="005F5406">
        <w:t>b</w:t>
      </w:r>
      <w:proofErr w:type="spellEnd"/>
      <w:r w:rsidRPr="005F5406">
        <w:t xml:space="preserve"> pielikumu Direktīvā </w:t>
      </w:r>
      <w:r w:rsidRPr="003752EA">
        <w:t>2003</w:t>
      </w:r>
      <w:r w:rsidRPr="005F5406">
        <w:t>/</w:t>
      </w:r>
      <w:r w:rsidRPr="003752EA">
        <w:t>87</w:t>
      </w:r>
      <w:r w:rsidRPr="005F5406">
        <w:t xml:space="preserve">/EK, kurā jaunākie grozījumi izdarīti ar Lēmumu (ES) </w:t>
      </w:r>
      <w:r w:rsidRPr="003752EA">
        <w:t>2015</w:t>
      </w:r>
      <w:r w:rsidRPr="005F5406">
        <w:t>/....</w:t>
      </w:r>
    </w:p>
    <w:p w:rsidR="009874AC" w:rsidRPr="005F5406" w:rsidRDefault="009874AC" w:rsidP="009874AC">
      <w:pPr>
        <w:pStyle w:val="Titrearticle"/>
      </w:pPr>
      <w:r w:rsidRPr="003752EA">
        <w:t>4</w:t>
      </w:r>
      <w:r w:rsidRPr="005F5406">
        <w:t>. pants</w:t>
      </w:r>
      <w:r w:rsidRPr="005F5406">
        <w:br/>
        <w:t>Stāšanās spēkā</w:t>
      </w:r>
    </w:p>
    <w:p w:rsidR="00FE3AE7" w:rsidRPr="005F5406" w:rsidRDefault="00FE3AE7" w:rsidP="00B7757C">
      <w:r w:rsidRPr="005F5406">
        <w:t xml:space="preserve">Šī regula stājas spēkā divdesmitajā dienā pēc tās publicēšanas </w:t>
      </w:r>
      <w:r w:rsidRPr="005F5406">
        <w:rPr>
          <w:i/>
        </w:rPr>
        <w:t>Eiropas Savienības Oficiālajā Vēstnesī</w:t>
      </w:r>
      <w:r w:rsidRPr="005F5406">
        <w:t>.</w:t>
      </w:r>
    </w:p>
    <w:p w:rsidR="00FE3AE7" w:rsidRPr="005F5406" w:rsidRDefault="00FE3AE7" w:rsidP="00B7757C">
      <w:pPr>
        <w:pStyle w:val="Titrearticle"/>
      </w:pPr>
      <w:r w:rsidRPr="003752EA">
        <w:t>5</w:t>
      </w:r>
      <w:r w:rsidRPr="005F5406">
        <w:t>. pants</w:t>
      </w:r>
      <w:r w:rsidRPr="005F5406">
        <w:br/>
        <w:t>Adresāti</w:t>
      </w:r>
    </w:p>
    <w:p w:rsidR="00FE3AE7" w:rsidRPr="005F5406" w:rsidRDefault="00FE3AE7" w:rsidP="00B7757C">
      <w:pPr>
        <w:keepNext/>
        <w:keepLines/>
      </w:pPr>
      <w:r w:rsidRPr="005F5406">
        <w:t>Šī direktīva ir adresēta dalībvalstīm.</w:t>
      </w:r>
    </w:p>
    <w:p w:rsidR="00FE3AE7" w:rsidRPr="005F5406" w:rsidRDefault="002C09B1" w:rsidP="002C09B1">
      <w:pPr>
        <w:pStyle w:val="Fait"/>
      </w:pPr>
      <w:r w:rsidRPr="002C09B1">
        <w:t>Briselē,</w:t>
      </w:r>
    </w:p>
    <w:p w:rsidR="00FE3AE7" w:rsidRPr="005F5406" w:rsidRDefault="00FE3AE7" w:rsidP="00FE3AE7">
      <w:pPr>
        <w:pStyle w:val="Institutionquisigne"/>
      </w:pPr>
      <w:r w:rsidRPr="005F5406">
        <w:t>Eiropas Parlamenta vārdā —</w:t>
      </w:r>
      <w:r w:rsidRPr="005F5406">
        <w:tab/>
        <w:t>Padomes vārdā </w:t>
      </w:r>
      <w:r w:rsidR="007A03A9" w:rsidRPr="005F5406">
        <w:t>—</w:t>
      </w:r>
    </w:p>
    <w:p w:rsidR="00D07624" w:rsidRPr="005F5406" w:rsidRDefault="005F5406" w:rsidP="00FE3AE7">
      <w:pPr>
        <w:pStyle w:val="Personnequisigne"/>
      </w:pPr>
      <w:r>
        <w:t>priekšsēdētājs</w:t>
      </w:r>
      <w:r>
        <w:tab/>
      </w:r>
      <w:proofErr w:type="spellStart"/>
      <w:r>
        <w:t>priekšsēdētājs</w:t>
      </w:r>
      <w:proofErr w:type="spellEnd"/>
    </w:p>
    <w:p w:rsidR="00951BCD" w:rsidRPr="005F5406" w:rsidRDefault="00951BCD" w:rsidP="004315C6">
      <w:pPr>
        <w:jc w:val="center"/>
        <w:rPr>
          <w:b/>
          <w:noProof/>
          <w:u w:val="single"/>
        </w:rPr>
        <w:sectPr w:rsidR="00951BCD" w:rsidRPr="005F5406" w:rsidSect="00D23D9E">
          <w:pgSz w:w="11907" w:h="16840" w:code="9"/>
          <w:pgMar w:top="1134" w:right="1418" w:bottom="1134" w:left="1418" w:header="709" w:footer="709" w:gutter="0"/>
          <w:cols w:space="708"/>
          <w:docGrid w:linePitch="360"/>
        </w:sectPr>
      </w:pPr>
    </w:p>
    <w:p w:rsidR="004315C6" w:rsidRPr="005F5406" w:rsidRDefault="005F5406" w:rsidP="001C65A8">
      <w:pPr>
        <w:pStyle w:val="Fichefinanciretitre"/>
      </w:pPr>
      <w:r>
        <w:lastRenderedPageBreak/>
        <w:t>TIESĪBU AKTA PRIEKŠLIKUMA FINANŠU PĀRSKATS</w:t>
      </w:r>
    </w:p>
    <w:p w:rsidR="004315C6" w:rsidRPr="005F5406" w:rsidRDefault="004315C6" w:rsidP="00E12A59">
      <w:pPr>
        <w:pStyle w:val="Heading1"/>
        <w:numPr>
          <w:ilvl w:val="0"/>
          <w:numId w:val="16"/>
        </w:numPr>
        <w:rPr>
          <w:noProof/>
        </w:rPr>
      </w:pPr>
      <w:r w:rsidRPr="005F5406">
        <w:t xml:space="preserve">PRIEKŠLIKUMA/INICIATĪVAS KONTEKSTS </w:t>
      </w:r>
    </w:p>
    <w:p w:rsidR="004315C6" w:rsidRPr="005F5406" w:rsidRDefault="004315C6" w:rsidP="00E12A59">
      <w:pPr>
        <w:pStyle w:val="Heading2"/>
        <w:numPr>
          <w:ilvl w:val="1"/>
          <w:numId w:val="11"/>
        </w:numPr>
        <w:rPr>
          <w:noProof/>
        </w:rPr>
      </w:pPr>
      <w:r w:rsidRPr="005F5406">
        <w:t xml:space="preserve">Priekšlikuma/iniciatīvas nosaukums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Priekšlikums Eiropas Parlamenta un Padomes direktīvai, ar ko groza Direktīvu </w:t>
      </w:r>
      <w:r w:rsidRPr="003752EA">
        <w:t>2003</w:t>
      </w:r>
      <w:r w:rsidRPr="005F5406">
        <w:t>/</w:t>
      </w:r>
      <w:r w:rsidRPr="003752EA">
        <w:t>87</w:t>
      </w:r>
      <w:r w:rsidRPr="005F5406">
        <w:t>/EK</w:t>
      </w:r>
      <w:r w:rsidR="0062236B" w:rsidRPr="005F5406">
        <w:t>,</w:t>
      </w:r>
      <w:r w:rsidRPr="005F5406">
        <w:t xml:space="preserve"> lai sekmētu emisiju </w:t>
      </w:r>
      <w:proofErr w:type="spellStart"/>
      <w:r w:rsidR="0062236B" w:rsidRPr="005F5406">
        <w:t>izmaksefektīvu</w:t>
      </w:r>
      <w:proofErr w:type="spellEnd"/>
      <w:r w:rsidR="0062236B" w:rsidRPr="005F5406">
        <w:t xml:space="preserve"> </w:t>
      </w:r>
      <w:r w:rsidRPr="005F5406">
        <w:t xml:space="preserve">samazināšanu un </w:t>
      </w:r>
      <w:r w:rsidR="0062236B" w:rsidRPr="005F5406">
        <w:t xml:space="preserve">investīcijas </w:t>
      </w:r>
      <w:proofErr w:type="spellStart"/>
      <w:r w:rsidRPr="005F5406">
        <w:t>mazoglekļa</w:t>
      </w:r>
      <w:proofErr w:type="spellEnd"/>
      <w:r w:rsidRPr="005F5406">
        <w:t xml:space="preserve"> </w:t>
      </w:r>
      <w:r w:rsidR="0062236B" w:rsidRPr="005F5406">
        <w:t>jomā</w:t>
      </w:r>
    </w:p>
    <w:p w:rsidR="004315C6" w:rsidRPr="005F5406" w:rsidRDefault="004315C6" w:rsidP="00E12A59">
      <w:pPr>
        <w:pStyle w:val="Heading2"/>
        <w:numPr>
          <w:ilvl w:val="1"/>
          <w:numId w:val="11"/>
        </w:numPr>
        <w:rPr>
          <w:noProof/>
          <w:szCs w:val="24"/>
        </w:rPr>
      </w:pPr>
      <w:r w:rsidRPr="005F5406">
        <w:t>Attiecīgās politikas jomas ABM/ABB struktūrā</w:t>
      </w:r>
      <w:r w:rsidRPr="005F5406">
        <w:rPr>
          <w:rStyle w:val="FootnoteReference"/>
          <w:noProof/>
        </w:rPr>
        <w:footnoteReference w:id="22"/>
      </w:r>
      <w:r w:rsidRPr="005F5406">
        <w:rPr>
          <w:i/>
          <w:noProof/>
        </w:rPr>
        <w:t xml:space="preserve">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Politikas joma: </w:t>
      </w:r>
      <w:r w:rsidR="0062236B" w:rsidRPr="005F5406">
        <w:t>k</w:t>
      </w:r>
      <w:r w:rsidRPr="005F5406">
        <w:t>limata politika</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ABB darbība: </w:t>
      </w:r>
      <w:r w:rsidR="0062236B" w:rsidRPr="005F5406">
        <w:t>k</w:t>
      </w:r>
      <w:r w:rsidRPr="005F5406">
        <w:t xml:space="preserve">limata politika Savienības un starptautiskā līmenī (ABB kods </w:t>
      </w:r>
      <w:r w:rsidRPr="003752EA">
        <w:t>34</w:t>
      </w:r>
      <w:r w:rsidRPr="005F5406">
        <w:t> </w:t>
      </w:r>
      <w:r w:rsidRPr="003752EA">
        <w:t>02</w:t>
      </w:r>
      <w:r w:rsidRPr="005F5406">
        <w:t>)</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Politikas joma: </w:t>
      </w:r>
      <w:r w:rsidR="0062236B" w:rsidRPr="005F5406">
        <w:t>e</w:t>
      </w:r>
      <w:r w:rsidRPr="005F5406">
        <w:t xml:space="preserve">nerģētika (ABB kods </w:t>
      </w:r>
      <w:r w:rsidRPr="003752EA">
        <w:t>32</w:t>
      </w:r>
      <w:r w:rsidRPr="005F5406">
        <w:t xml:space="preserve"> </w:t>
      </w:r>
      <w:r w:rsidRPr="003752EA">
        <w:t>02</w:t>
      </w:r>
      <w:r w:rsidRPr="005F5406">
        <w:t>)</w:t>
      </w:r>
    </w:p>
    <w:p w:rsidR="004315C6" w:rsidRPr="005F5406" w:rsidRDefault="004315C6" w:rsidP="00E12A59">
      <w:pPr>
        <w:pStyle w:val="Heading2"/>
        <w:numPr>
          <w:ilvl w:val="1"/>
          <w:numId w:val="11"/>
        </w:numPr>
        <w:rPr>
          <w:bCs w:val="0"/>
          <w:noProof/>
          <w:szCs w:val="24"/>
        </w:rPr>
      </w:pPr>
      <w:r w:rsidRPr="005F5406">
        <w:t xml:space="preserve">Priekšlikuma/iniciatīvas būtība </w:t>
      </w:r>
    </w:p>
    <w:p w:rsidR="004315C6" w:rsidRPr="005F5406" w:rsidRDefault="004315C6" w:rsidP="004315C6">
      <w:pPr>
        <w:pStyle w:val="Text1"/>
        <w:rPr>
          <w:b/>
          <w:noProof/>
          <w:sz w:val="22"/>
        </w:rPr>
      </w:pPr>
      <w:r w:rsidRPr="005F5406">
        <w:rPr>
          <w:noProof/>
          <w:sz w:val="22"/>
        </w:rPr>
        <w:sym w:font="Wingdings" w:char="F0A8"/>
      </w:r>
      <w:r w:rsidRPr="005F5406">
        <w:t xml:space="preserve">Priekšlikums/iniciatīva attiecas uz </w:t>
      </w:r>
      <w:r w:rsidRPr="005F5406">
        <w:rPr>
          <w:b/>
        </w:rPr>
        <w:t>jaunu darbību</w:t>
      </w:r>
      <w:r w:rsidRPr="005F5406">
        <w:rPr>
          <w:b/>
          <w:noProof/>
          <w:sz w:val="22"/>
        </w:rPr>
        <w:t xml:space="preserve"> </w:t>
      </w:r>
    </w:p>
    <w:p w:rsidR="004315C6" w:rsidRPr="005F5406" w:rsidRDefault="004315C6" w:rsidP="004315C6">
      <w:pPr>
        <w:pStyle w:val="Text1"/>
        <w:rPr>
          <w:noProof/>
          <w:sz w:val="22"/>
        </w:rPr>
      </w:pPr>
      <w:r w:rsidRPr="005F5406">
        <w:rPr>
          <w:noProof/>
          <w:sz w:val="22"/>
        </w:rPr>
        <w:sym w:font="Wingdings" w:char="F0A8"/>
      </w:r>
      <w:r w:rsidRPr="005F5406">
        <w:t xml:space="preserve">Priekšlikums/iniciatīva attiecas uz </w:t>
      </w:r>
      <w:r w:rsidRPr="005F5406">
        <w:rPr>
          <w:b/>
        </w:rPr>
        <w:t>jaunu darbību, pamatojoties uz izmēģinājuma projektu/sagatavošanas darbību</w:t>
      </w:r>
      <w:r w:rsidRPr="005F5406">
        <w:rPr>
          <w:rStyle w:val="FootnoteReference"/>
          <w:b/>
          <w:noProof/>
        </w:rPr>
        <w:footnoteReference w:id="23"/>
      </w:r>
      <w:r w:rsidRPr="005F5406">
        <w:rPr>
          <w:noProof/>
          <w:sz w:val="22"/>
        </w:rPr>
        <w:t xml:space="preserve"> </w:t>
      </w:r>
    </w:p>
    <w:p w:rsidR="004315C6" w:rsidRPr="005F5406" w:rsidRDefault="004315C6" w:rsidP="004315C6">
      <w:pPr>
        <w:pStyle w:val="Text1"/>
        <w:rPr>
          <w:noProof/>
          <w:sz w:val="22"/>
        </w:rPr>
      </w:pPr>
      <w:r w:rsidRPr="005F5406">
        <w:rPr>
          <w:noProof/>
          <w:sz w:val="22"/>
        </w:rPr>
        <w:sym w:font="Wingdings" w:char="F0A8"/>
      </w:r>
      <w:r w:rsidRPr="005F5406">
        <w:t xml:space="preserve">Priekšlikums/iniciatīva attiecas uz </w:t>
      </w:r>
      <w:r w:rsidRPr="005F5406">
        <w:rPr>
          <w:b/>
        </w:rPr>
        <w:t>esošas darbības pagarināšanu</w:t>
      </w:r>
      <w:r w:rsidRPr="005F5406">
        <w:rPr>
          <w:noProof/>
          <w:sz w:val="22"/>
        </w:rPr>
        <w:t xml:space="preserve"> </w:t>
      </w:r>
    </w:p>
    <w:p w:rsidR="004315C6" w:rsidRPr="005F5406" w:rsidRDefault="004315C6" w:rsidP="004315C6">
      <w:pPr>
        <w:pStyle w:val="Text1"/>
        <w:rPr>
          <w:i/>
          <w:noProof/>
        </w:rPr>
      </w:pPr>
      <w:r w:rsidRPr="005F5406">
        <w:rPr>
          <w:noProof/>
        </w:rPr>
        <w:sym w:font="Wingdings" w:char="F0FC"/>
      </w:r>
      <w:r w:rsidRPr="005F5406">
        <w:t xml:space="preserve">Priekšlikums/iniciatīva attiecas uz </w:t>
      </w:r>
      <w:r w:rsidRPr="005F5406">
        <w:rPr>
          <w:b/>
        </w:rPr>
        <w:t>darbību, kas pārveidota jaunā darbībā</w:t>
      </w:r>
    </w:p>
    <w:p w:rsidR="004315C6" w:rsidRPr="005F5406" w:rsidRDefault="004315C6" w:rsidP="00E12A59">
      <w:pPr>
        <w:pStyle w:val="Heading2"/>
        <w:numPr>
          <w:ilvl w:val="1"/>
          <w:numId w:val="11"/>
        </w:numPr>
        <w:rPr>
          <w:bCs w:val="0"/>
          <w:noProof/>
          <w:szCs w:val="24"/>
        </w:rPr>
      </w:pPr>
      <w:r w:rsidRPr="005F5406">
        <w:t>Mērķis(-i)</w:t>
      </w:r>
    </w:p>
    <w:p w:rsidR="004315C6" w:rsidRPr="005F5406" w:rsidRDefault="004315C6" w:rsidP="00E12A59">
      <w:pPr>
        <w:pStyle w:val="Heading3"/>
        <w:numPr>
          <w:ilvl w:val="2"/>
          <w:numId w:val="11"/>
        </w:numPr>
        <w:rPr>
          <w:noProof/>
        </w:rPr>
      </w:pPr>
      <w:r w:rsidRPr="005F5406">
        <w:t xml:space="preserve">Komisijas daudzgadu stratēģiskie mērķi, kurus plānots sasniegt ar priekšlikumu/iniciatīvu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Šis priekšlikums ir pirmais no tiesību aktiem, ar ko īstenos </w:t>
      </w:r>
      <w:r w:rsidRPr="003752EA">
        <w:t>2030</w:t>
      </w:r>
      <w:r w:rsidRPr="005F5406">
        <w:t>.</w:t>
      </w:r>
      <w:r w:rsidR="009650E9">
        <w:t xml:space="preserve"> </w:t>
      </w:r>
      <w:r w:rsidRPr="005F5406">
        <w:t>gada klimata un enerģētikas politikas paketi, par kur</w:t>
      </w:r>
      <w:r w:rsidR="0062236B" w:rsidRPr="005F5406">
        <w:t>u</w:t>
      </w:r>
      <w:r w:rsidRPr="005F5406">
        <w:t xml:space="preserve"> Eiropadome vienojās </w:t>
      </w:r>
      <w:r w:rsidRPr="003752EA">
        <w:t>2014</w:t>
      </w:r>
      <w:r w:rsidRPr="005F5406">
        <w:t xml:space="preserve">. gada oktobrī, lai Eiropas Savienībā sasniegtu ES </w:t>
      </w:r>
      <w:r w:rsidRPr="003752EA">
        <w:t>2030</w:t>
      </w:r>
      <w:r w:rsidRPr="005F5406">
        <w:t xml:space="preserve">. gadam izvirzīto mērķi: rentabli samazināt siltumnīcefekta gāzu emisijas vismaz par </w:t>
      </w:r>
      <w:r w:rsidRPr="003752EA">
        <w:t>40</w:t>
      </w:r>
      <w:r w:rsidRPr="005F5406">
        <w:t xml:space="preserve"> % salīdzinājumā ar </w:t>
      </w:r>
      <w:r w:rsidRPr="003752EA">
        <w:t>1990</w:t>
      </w:r>
      <w:r w:rsidRPr="005F5406">
        <w:t xml:space="preserve">. gada līmeni un palīdzēt iegrožot globālo sasilšanu.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Šis priekšlikums ir daļa no Komisijas desmit politiskajām prioritātēm un Enerģētikas savienības stratēģiskā satvara svarīgs elements.</w:t>
      </w:r>
    </w:p>
    <w:p w:rsidR="004315C6" w:rsidRPr="005F5406" w:rsidRDefault="004315C6" w:rsidP="00E12A59">
      <w:pPr>
        <w:pStyle w:val="Heading3"/>
        <w:numPr>
          <w:ilvl w:val="2"/>
          <w:numId w:val="11"/>
        </w:numPr>
        <w:rPr>
          <w:bCs w:val="0"/>
          <w:noProof/>
          <w:szCs w:val="24"/>
        </w:rPr>
      </w:pPr>
      <w:r w:rsidRPr="005F5406">
        <w:t xml:space="preserve">Konkrētie mērķi un attiecīgās ABM/ABB darbības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u w:val="single"/>
        </w:rPr>
      </w:pPr>
      <w:r w:rsidRPr="005F5406">
        <w:rPr>
          <w:noProof/>
          <w:u w:val="single"/>
        </w:rPr>
        <w:t>Konkrētais mērķis Nr.</w:t>
      </w:r>
      <w:r w:rsidRPr="003752EA">
        <w:rPr>
          <w:noProof/>
          <w:u w:val="single"/>
        </w:rPr>
        <w:t>1</w:t>
      </w:r>
      <w:r w:rsidRPr="005F5406">
        <w:rPr>
          <w:noProof/>
          <w:u w:val="single"/>
        </w:rPr>
        <w:t>.</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Pārskatīt ES ETS direktīvu tā, lai nodrošinātu, ka līdz </w:t>
      </w:r>
      <w:r w:rsidRPr="003752EA">
        <w:t>2030</w:t>
      </w:r>
      <w:r w:rsidRPr="005F5406">
        <w:t xml:space="preserve">. gadam emisijas ES ETS tiek samazinātas par </w:t>
      </w:r>
      <w:r w:rsidRPr="003752EA">
        <w:t>43</w:t>
      </w:r>
      <w:r w:rsidRPr="005F5406">
        <w:t xml:space="preserve"> % salīdzinājumā ar </w:t>
      </w:r>
      <w:r w:rsidRPr="003752EA">
        <w:t>2005</w:t>
      </w:r>
      <w:r w:rsidRPr="005F5406">
        <w:t>. gada līmeni.</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u w:val="single"/>
        </w:rPr>
      </w:pPr>
      <w:r w:rsidRPr="005F5406">
        <w:rPr>
          <w:noProof/>
          <w:u w:val="single"/>
        </w:rPr>
        <w:t xml:space="preserve">Konkrētais mērķis Nr. </w:t>
      </w:r>
      <w:r w:rsidRPr="003752EA">
        <w:rPr>
          <w:noProof/>
          <w:u w:val="single"/>
        </w:rPr>
        <w:t>2</w:t>
      </w:r>
      <w:r w:rsidRPr="005F5406">
        <w:rPr>
          <w:noProof/>
          <w:u w:val="single"/>
        </w:rPr>
        <w:t>.</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Veicināt inovāciju </w:t>
      </w:r>
      <w:proofErr w:type="spellStart"/>
      <w:r w:rsidRPr="005F5406">
        <w:t>mazoglekļa</w:t>
      </w:r>
      <w:proofErr w:type="spellEnd"/>
      <w:r w:rsidRPr="005F5406">
        <w:t xml:space="preserve"> jomā un attiecībā uz rūpniecības nozarēm paredzēt pienācīgus noteikumus, lai novērstu iespējamās CO</w:t>
      </w:r>
      <w:r w:rsidRPr="003752EA">
        <w:rPr>
          <w:vertAlign w:val="subscript"/>
        </w:rPr>
        <w:t>2</w:t>
      </w:r>
      <w:r w:rsidRPr="005F5406">
        <w:t xml:space="preserve"> emisiju pārvirzes risku apstākļos, kad citās lielākajās </w:t>
      </w:r>
      <w:proofErr w:type="spellStart"/>
      <w:r w:rsidRPr="005F5406">
        <w:t>tautsaimniecībās</w:t>
      </w:r>
      <w:proofErr w:type="spellEnd"/>
      <w:r w:rsidRPr="005F5406">
        <w:t xml:space="preserve"> nav pieņemti līdzvērtīgi klimata politikas pasākumi.</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u w:val="single"/>
        </w:rPr>
      </w:pPr>
      <w:r w:rsidRPr="005F5406">
        <w:rPr>
          <w:noProof/>
          <w:u w:val="single"/>
        </w:rPr>
        <w:t>Konkrētais mērķis Nr. </w:t>
      </w:r>
      <w:r w:rsidRPr="003752EA">
        <w:rPr>
          <w:noProof/>
          <w:u w:val="single"/>
        </w:rPr>
        <w:t>3</w:t>
      </w:r>
      <w:r w:rsidRPr="005F5406">
        <w:rPr>
          <w:noProof/>
          <w:u w:val="single"/>
        </w:rPr>
        <w:t>.</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lastRenderedPageBreak/>
        <w:t xml:space="preserve">Īstenot citus </w:t>
      </w:r>
      <w:r w:rsidRPr="003752EA">
        <w:t>2030</w:t>
      </w:r>
      <w:r w:rsidRPr="005F5406">
        <w:t>. gada klimata un enerģētikas politikas aspektus, kas saistīti ar ETS.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u w:val="single"/>
        </w:rPr>
      </w:pPr>
      <w:r w:rsidRPr="005F5406">
        <w:rPr>
          <w:noProof/>
          <w:u w:val="single"/>
        </w:rPr>
        <w:t>Attiecīgās ABM/ABB darbības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Klimata politika/ klimata politika Savienības un starptautiskā līmenī</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p>
    <w:p w:rsidR="004315C6" w:rsidRPr="005F5406" w:rsidRDefault="004315C6" w:rsidP="00E12A59">
      <w:pPr>
        <w:pStyle w:val="Heading3"/>
        <w:numPr>
          <w:ilvl w:val="2"/>
          <w:numId w:val="11"/>
        </w:numPr>
        <w:rPr>
          <w:bCs w:val="0"/>
          <w:noProof/>
          <w:szCs w:val="24"/>
        </w:rPr>
      </w:pPr>
      <w:r w:rsidRPr="005F5406">
        <w:t>Paredzamais(-</w:t>
      </w:r>
      <w:proofErr w:type="spellStart"/>
      <w:r w:rsidRPr="005F5406">
        <w:t>ie</w:t>
      </w:r>
      <w:proofErr w:type="spellEnd"/>
      <w:r w:rsidRPr="005F5406">
        <w:t>) rezultāts(-i) un ietekme</w:t>
      </w:r>
    </w:p>
    <w:p w:rsidR="004315C6" w:rsidRPr="005F5406" w:rsidRDefault="004315C6" w:rsidP="004315C6">
      <w:pPr>
        <w:pStyle w:val="Text1"/>
        <w:rPr>
          <w:i/>
          <w:noProof/>
          <w:sz w:val="20"/>
        </w:rPr>
      </w:pPr>
      <w:r w:rsidRPr="005F5406">
        <w:rPr>
          <w:i/>
          <w:noProof/>
          <w:sz w:val="20"/>
        </w:rPr>
        <w:t>Norādīt, kāda ir priekšlikuma/iniciatīvas iecerētā ietekme uz finansējuma saņēmējiem/mērķgrupām.</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ES ETS direktīva pastāv</w:t>
      </w:r>
      <w:r w:rsidR="0062236B" w:rsidRPr="005F5406">
        <w:t>ēs</w:t>
      </w:r>
      <w:r w:rsidRPr="005F5406">
        <w:t xml:space="preserve"> un būs spēkā arī pēc </w:t>
      </w:r>
      <w:r w:rsidRPr="003752EA">
        <w:t>2020</w:t>
      </w:r>
      <w:r w:rsidRPr="005F5406">
        <w:t>. gada. Ar šo iniciatīvu:</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pPr>
      <w:r w:rsidRPr="005F5406">
        <w:t xml:space="preserve">- tiek koriģēts gada emisiju samazinājumu līmenis, lai Savienības kopējais katru gadu izdoto emisiju kvotu apjoms no </w:t>
      </w:r>
      <w:r w:rsidRPr="003752EA">
        <w:t>2021</w:t>
      </w:r>
      <w:r w:rsidRPr="005F5406">
        <w:t xml:space="preserve">. gada tiktu samazināts, piemērojot lielāku lineāro koeficientu, </w:t>
      </w:r>
      <w:proofErr w:type="spellStart"/>
      <w:r w:rsidRPr="005F5406">
        <w:t>t.i</w:t>
      </w:r>
      <w:proofErr w:type="spellEnd"/>
      <w:r w:rsidRPr="005F5406">
        <w:t xml:space="preserve">., </w:t>
      </w:r>
      <w:r w:rsidRPr="003752EA">
        <w:t>2</w:t>
      </w:r>
      <w:r w:rsidRPr="005F5406">
        <w:t>,</w:t>
      </w:r>
      <w:r w:rsidRPr="003752EA">
        <w:t>2</w:t>
      </w:r>
      <w:r w:rsidRPr="005F5406">
        <w:t xml:space="preserve"> %;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 tiek garantēts, ka bezmaksas kvotu </w:t>
      </w:r>
      <w:r w:rsidR="0062236B" w:rsidRPr="005F5406">
        <w:t>iedalīšana</w:t>
      </w:r>
      <w:r w:rsidRPr="005F5406">
        <w:t xml:space="preserve"> rūpniecībai turpināsies pēc </w:t>
      </w:r>
      <w:r w:rsidRPr="003752EA">
        <w:t>2020</w:t>
      </w:r>
      <w:r w:rsidRPr="005F5406">
        <w:t>. gada, lai novērstu iespējamo CO</w:t>
      </w:r>
      <w:r w:rsidRPr="003752EA">
        <w:rPr>
          <w:vertAlign w:val="subscript"/>
        </w:rPr>
        <w:t>2</w:t>
      </w:r>
      <w:r w:rsidRPr="005F5406">
        <w:t xml:space="preserve"> emisiju pārvirzes risku, kamēr citas lielākās tautsaimniecības nav ieviesušas līdzvērtīgu klimata politiku;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 tiek saglabāts Inovāciju fonds kā </w:t>
      </w:r>
      <w:r w:rsidR="0062236B" w:rsidRPr="005F5406">
        <w:t>instruments</w:t>
      </w:r>
      <w:r w:rsidRPr="005F5406">
        <w:t xml:space="preserve">, lai straujāk ieviestu jaunas </w:t>
      </w:r>
      <w:proofErr w:type="spellStart"/>
      <w:r w:rsidRPr="005F5406">
        <w:t>mazoglekļa</w:t>
      </w:r>
      <w:proofErr w:type="spellEnd"/>
      <w:r w:rsidRPr="005F5406">
        <w:t xml:space="preserve"> tehnoloģijas tirgū, kas ļaus ES sasniegt tās ilgtermiņa dekarbonizācijas mērķus;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tiek izveidots Modernizācijas fonds un neobligāta bezmaksas kvotu iedalīšana enerģētikas nozarei, lai sekmētu energosistēmu modernizāciju dalībvalstīs ar zemākiem ienākumiem.</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p>
    <w:p w:rsidR="004315C6" w:rsidRPr="005F5406" w:rsidRDefault="004315C6" w:rsidP="00E12A59">
      <w:pPr>
        <w:pStyle w:val="Heading3"/>
        <w:numPr>
          <w:ilvl w:val="2"/>
          <w:numId w:val="11"/>
        </w:numPr>
        <w:rPr>
          <w:bCs w:val="0"/>
          <w:noProof/>
          <w:szCs w:val="24"/>
        </w:rPr>
      </w:pPr>
      <w:r w:rsidRPr="005F5406">
        <w:t xml:space="preserve">Rezultātu un ietekmes rādītāji </w:t>
      </w:r>
    </w:p>
    <w:p w:rsidR="004315C6" w:rsidRPr="005F5406" w:rsidRDefault="004315C6" w:rsidP="004315C6">
      <w:pPr>
        <w:pStyle w:val="Text1"/>
        <w:rPr>
          <w:i/>
          <w:noProof/>
          <w:sz w:val="20"/>
        </w:rPr>
      </w:pPr>
      <w:r w:rsidRPr="005F5406">
        <w:rPr>
          <w:i/>
          <w:noProof/>
          <w:sz w:val="20"/>
        </w:rPr>
        <w:t>Norādīt priekšlikuma/iniciatīvas īstenošanas uzraudzībā izmantojamos rādītājus.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Rādītājs </w:t>
      </w:r>
      <w:proofErr w:type="spellStart"/>
      <w:r w:rsidRPr="005F5406">
        <w:t>Nr</w:t>
      </w:r>
      <w:proofErr w:type="spellEnd"/>
      <w:r w:rsidRPr="005F5406">
        <w:t>. </w:t>
      </w:r>
      <w:r w:rsidRPr="003752EA">
        <w:t>1</w:t>
      </w:r>
      <w:r w:rsidRPr="005F5406">
        <w:t xml:space="preserve">: </w:t>
      </w:r>
      <w:r w:rsidR="00731750" w:rsidRPr="005F5406">
        <w:t>siltumnīcefekta</w:t>
      </w:r>
      <w:r w:rsidRPr="005F5406">
        <w:t xml:space="preserve"> gāzu emisiju samazinājuma līmenis ES.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Rādītājs </w:t>
      </w:r>
      <w:proofErr w:type="spellStart"/>
      <w:r w:rsidRPr="005F5406">
        <w:t>Nr</w:t>
      </w:r>
      <w:proofErr w:type="spellEnd"/>
      <w:r w:rsidRPr="005F5406">
        <w:t>. </w:t>
      </w:r>
      <w:r w:rsidRPr="003752EA">
        <w:t>2</w:t>
      </w:r>
      <w:r w:rsidRPr="005F5406">
        <w:t>: emisiju līmenis nozarēs, ko aptver ES emisiju kvotu tirdzniecības sistēma (ETS).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p>
    <w:p w:rsidR="004315C6" w:rsidRPr="005F5406" w:rsidRDefault="004315C6" w:rsidP="00E12A59">
      <w:pPr>
        <w:pStyle w:val="Heading2"/>
        <w:numPr>
          <w:ilvl w:val="1"/>
          <w:numId w:val="11"/>
        </w:numPr>
        <w:rPr>
          <w:bCs w:val="0"/>
          <w:noProof/>
          <w:szCs w:val="24"/>
        </w:rPr>
      </w:pPr>
      <w:r w:rsidRPr="005F5406">
        <w:t xml:space="preserve">Priekšlikuma/iniciatīvas pamatojums </w:t>
      </w:r>
    </w:p>
    <w:p w:rsidR="004315C6" w:rsidRPr="005F5406" w:rsidRDefault="004315C6" w:rsidP="00E12A59">
      <w:pPr>
        <w:pStyle w:val="Heading3"/>
        <w:numPr>
          <w:ilvl w:val="2"/>
          <w:numId w:val="11"/>
        </w:numPr>
        <w:rPr>
          <w:noProof/>
        </w:rPr>
      </w:pPr>
      <w:r w:rsidRPr="005F5406">
        <w:t xml:space="preserve">Īstermiņa vai ilgtermiņa vajadzības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Dalībvalstīs ir jāstājas spēkā tiesību un administratīviem aktiem, kas nepieciešami, lai izpildītu šīs direktīvas prasības, un Komisijai ir jāizstrādā attiecīgie īstenošanas pasākumi periodam pēc </w:t>
      </w:r>
      <w:r w:rsidRPr="003752EA">
        <w:t>2020</w:t>
      </w:r>
      <w:r w:rsidRPr="005F5406">
        <w:t>. gada.</w:t>
      </w:r>
    </w:p>
    <w:p w:rsidR="004315C6" w:rsidRPr="005F5406" w:rsidRDefault="004315C6" w:rsidP="00E12A59">
      <w:pPr>
        <w:pStyle w:val="Heading3"/>
        <w:numPr>
          <w:ilvl w:val="2"/>
          <w:numId w:val="11"/>
        </w:numPr>
        <w:rPr>
          <w:bCs w:val="0"/>
          <w:noProof/>
          <w:szCs w:val="24"/>
        </w:rPr>
      </w:pPr>
      <w:r w:rsidRPr="005F5406">
        <w:t>ES iesaistīšanās pievienotā vērtība</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ES ETS direktīva pastāv</w:t>
      </w:r>
      <w:r w:rsidR="0062236B" w:rsidRPr="005F5406">
        <w:t>ēs</w:t>
      </w:r>
      <w:r w:rsidRPr="005F5406">
        <w:t xml:space="preserve"> un būs spēkā arī pēc </w:t>
      </w:r>
      <w:r w:rsidRPr="003752EA">
        <w:t>2020</w:t>
      </w:r>
      <w:r w:rsidRPr="005F5406">
        <w:t xml:space="preserve">. gada. Klimata pārmaiņas ir pārrobežu problēma. Tā kā ierosinātās darbības mērķi dalībvalstis nevar pienācīgi sasniegt katra atsevišķi, klimata politika ir jākoordinē Eiropas — un, ja iespējams, pasaules — līmenī un ES rīcība ir pamatota no subsidiaritātes viedokļa. Bez tam daudzi politikas elementi ir būtiski </w:t>
      </w:r>
      <w:r w:rsidR="0062236B" w:rsidRPr="005F5406">
        <w:t xml:space="preserve">no </w:t>
      </w:r>
      <w:r w:rsidRPr="005F5406">
        <w:t>iekšējā tirgus</w:t>
      </w:r>
      <w:r w:rsidR="0062236B" w:rsidRPr="005F5406">
        <w:t xml:space="preserve"> viedokļa</w:t>
      </w:r>
      <w:r w:rsidRPr="005F5406">
        <w:t>, un daudzas nepieciešamās investīcijas ir nozīmīgas Eiropas kontekstā. Tāpēc šos mērķus ir iespējams labāk sasniegt ES rīcības satvarā.</w:t>
      </w:r>
    </w:p>
    <w:p w:rsidR="004315C6" w:rsidRPr="005F5406" w:rsidRDefault="004315C6" w:rsidP="00E12A59">
      <w:pPr>
        <w:pStyle w:val="Heading3"/>
        <w:numPr>
          <w:ilvl w:val="2"/>
          <w:numId w:val="11"/>
        </w:numPr>
        <w:rPr>
          <w:bCs w:val="0"/>
          <w:noProof/>
          <w:szCs w:val="24"/>
        </w:rPr>
      </w:pPr>
      <w:r w:rsidRPr="005F5406">
        <w:lastRenderedPageBreak/>
        <w:t>Līdzīgas līdzšinējās pieredzes rezultātā gūtās atziņas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ES ETS darbojas jau </w:t>
      </w:r>
      <w:r w:rsidRPr="003752EA">
        <w:t>10</w:t>
      </w:r>
      <w:r w:rsidRPr="005F5406">
        <w:t xml:space="preserve"> gadus, uz Komisijā šajā laikā ir guvusi vērtīgu pieredzi. Pieredze liecina, ka ir iespējams vēl vairāk uzlabot efektivitāti, pateicoties uzcītīgiem pētījumiem, izstrādei un inovācijai. Pamatīgākas investīcijas palīdzētu modernizēt energosistēmu dalībvalstīs ar zemākiem ienākumiem (Modernizācijas fonds).</w:t>
      </w:r>
    </w:p>
    <w:p w:rsidR="004315C6" w:rsidRPr="005F5406" w:rsidRDefault="004315C6" w:rsidP="00E12A59">
      <w:pPr>
        <w:pStyle w:val="Heading3"/>
        <w:numPr>
          <w:ilvl w:val="2"/>
          <w:numId w:val="11"/>
        </w:numPr>
        <w:rPr>
          <w:bCs w:val="0"/>
          <w:noProof/>
          <w:szCs w:val="24"/>
        </w:rPr>
      </w:pPr>
      <w:r w:rsidRPr="005F5406">
        <w:t>Saderība un iespējamā sinerģija ar citiem atbilstošiem instrumentiem</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Sinerģija tiks izmantota, liekot lietā Komisijas pašreizējās zināšanas par finanšu resursu pārvaldību un par pieredzi, kas gūta </w:t>
      </w:r>
      <w:r w:rsidR="0062236B" w:rsidRPr="005F5406">
        <w:t xml:space="preserve">pašreizējiem </w:t>
      </w:r>
      <w:r w:rsidRPr="005F5406">
        <w:t>ES un EIB finansēšanas instrumentiem</w:t>
      </w:r>
    </w:p>
    <w:p w:rsidR="004315C6" w:rsidRPr="005F5406" w:rsidRDefault="004315C6" w:rsidP="00E12A59">
      <w:pPr>
        <w:pStyle w:val="Heading2"/>
        <w:numPr>
          <w:ilvl w:val="1"/>
          <w:numId w:val="11"/>
        </w:numPr>
        <w:rPr>
          <w:bCs w:val="0"/>
          <w:noProof/>
          <w:szCs w:val="24"/>
        </w:rPr>
      </w:pPr>
      <w:r w:rsidRPr="005F5406">
        <w:br w:type="page"/>
      </w:r>
      <w:r w:rsidRPr="005F5406">
        <w:lastRenderedPageBreak/>
        <w:t xml:space="preserve">Ilgums un finansiālā ietekme </w:t>
      </w:r>
    </w:p>
    <w:p w:rsidR="004315C6" w:rsidRPr="005F5406" w:rsidRDefault="004315C6" w:rsidP="004315C6">
      <w:pPr>
        <w:pStyle w:val="Text1"/>
        <w:rPr>
          <w:noProof/>
        </w:rPr>
      </w:pPr>
      <w:r w:rsidRPr="005F5406">
        <w:rPr>
          <w:noProof/>
        </w:rPr>
        <w:sym w:font="Wingdings" w:char="F0A8"/>
      </w:r>
      <w:r w:rsidRPr="005F5406">
        <w:rPr>
          <w:b/>
        </w:rPr>
        <w:t xml:space="preserve">Ierobežota ilguma </w:t>
      </w:r>
      <w:r w:rsidRPr="005F5406">
        <w:t>priekšlikums/iniciatīva</w:t>
      </w:r>
      <w:r w:rsidRPr="005F5406">
        <w:rPr>
          <w:b/>
          <w:noProof/>
        </w:rPr>
        <w:t xml:space="preserve"> </w:t>
      </w:r>
    </w:p>
    <w:p w:rsidR="004315C6" w:rsidRPr="005F5406" w:rsidRDefault="004315C6" w:rsidP="004315C6">
      <w:pPr>
        <w:pStyle w:val="ListDash2"/>
        <w:rPr>
          <w:noProof/>
        </w:rPr>
      </w:pPr>
      <w:r w:rsidRPr="005F5406">
        <w:rPr>
          <w:noProof/>
        </w:rPr>
        <w:sym w:font="Wingdings" w:char="F0A8"/>
      </w:r>
      <w:r w:rsidRPr="005F5406">
        <w:t>Priekšlikuma/iniciatīvas darbības laiks: GGGG.–GGGG.</w:t>
      </w:r>
    </w:p>
    <w:p w:rsidR="004315C6" w:rsidRPr="005F5406" w:rsidRDefault="004315C6" w:rsidP="004315C6">
      <w:pPr>
        <w:pStyle w:val="ListDash2"/>
        <w:rPr>
          <w:noProof/>
        </w:rPr>
      </w:pPr>
      <w:r w:rsidRPr="005F5406">
        <w:rPr>
          <w:noProof/>
        </w:rPr>
        <w:sym w:font="Wingdings" w:char="F0A8"/>
      </w:r>
      <w:r w:rsidRPr="005F5406">
        <w:t xml:space="preserve">Finansiālā ietekme: GGGG.– GGGG. </w:t>
      </w:r>
    </w:p>
    <w:p w:rsidR="004315C6" w:rsidRPr="005F5406" w:rsidRDefault="004315C6" w:rsidP="004315C6">
      <w:pPr>
        <w:pStyle w:val="Text1"/>
        <w:rPr>
          <w:noProof/>
        </w:rPr>
      </w:pPr>
      <w:r w:rsidRPr="005F5406">
        <w:rPr>
          <w:noProof/>
        </w:rPr>
        <w:sym w:font="Wingdings" w:char="F0FC"/>
      </w:r>
      <w:r w:rsidRPr="005F5406">
        <w:rPr>
          <w:b/>
        </w:rPr>
        <w:t>Beztermiņa</w:t>
      </w:r>
      <w:r w:rsidRPr="005F5406">
        <w:t xml:space="preserve"> priekšlikums/iniciatīva</w:t>
      </w:r>
    </w:p>
    <w:p w:rsidR="004315C6" w:rsidRPr="005F5406" w:rsidRDefault="004315C6" w:rsidP="004315C6">
      <w:pPr>
        <w:pStyle w:val="ListDash1"/>
        <w:rPr>
          <w:noProof/>
        </w:rPr>
      </w:pPr>
      <w:r w:rsidRPr="005F5406">
        <w:t>Īstenošana ar uzsākšanas periodu no GGGG. līdz GGGG.,</w:t>
      </w:r>
    </w:p>
    <w:p w:rsidR="004315C6" w:rsidRPr="005F5406" w:rsidRDefault="004315C6" w:rsidP="004315C6">
      <w:pPr>
        <w:pStyle w:val="ListDash1"/>
        <w:rPr>
          <w:noProof/>
        </w:rPr>
      </w:pPr>
      <w:r w:rsidRPr="005F5406">
        <w:t>pēc kura turpinās normāla darbība</w:t>
      </w:r>
    </w:p>
    <w:p w:rsidR="004315C6" w:rsidRPr="005F5406" w:rsidRDefault="004315C6" w:rsidP="00E12A59">
      <w:pPr>
        <w:pStyle w:val="Heading2"/>
        <w:numPr>
          <w:ilvl w:val="1"/>
          <w:numId w:val="11"/>
        </w:numPr>
        <w:rPr>
          <w:bCs w:val="0"/>
          <w:noProof/>
          <w:szCs w:val="24"/>
        </w:rPr>
      </w:pPr>
      <w:r w:rsidRPr="005F5406">
        <w:t>Paredzētie pārvaldības veidi</w:t>
      </w:r>
      <w:r w:rsidRPr="005F5406">
        <w:rPr>
          <w:rStyle w:val="FootnoteReference"/>
          <w:noProof/>
        </w:rPr>
        <w:footnoteReference w:id="24"/>
      </w:r>
      <w:r w:rsidRPr="005F5406">
        <w:rPr>
          <w:rStyle w:val="FootnoteReference"/>
          <w:noProof/>
        </w:rPr>
        <w:t xml:space="preserve"> </w:t>
      </w:r>
    </w:p>
    <w:p w:rsidR="004315C6" w:rsidRPr="005F5406" w:rsidRDefault="004315C6" w:rsidP="004315C6">
      <w:pPr>
        <w:pStyle w:val="Text1"/>
        <w:rPr>
          <w:noProof/>
        </w:rPr>
      </w:pPr>
      <w:r w:rsidRPr="005F5406">
        <w:rPr>
          <w:noProof/>
        </w:rPr>
        <w:sym w:font="Wingdings" w:char="F0A8"/>
      </w:r>
      <w:r w:rsidRPr="005F5406">
        <w:t xml:space="preserve">Komisijas īstenota </w:t>
      </w:r>
      <w:r w:rsidRPr="005F5406">
        <w:rPr>
          <w:b/>
        </w:rPr>
        <w:t>tieša pārvaldība</w:t>
      </w:r>
      <w:r w:rsidRPr="005F5406">
        <w:t>:</w:t>
      </w:r>
    </w:p>
    <w:p w:rsidR="004315C6" w:rsidRPr="005F5406" w:rsidRDefault="004315C6" w:rsidP="004315C6">
      <w:pPr>
        <w:pStyle w:val="ListDash2"/>
        <w:rPr>
          <w:rFonts w:cs="EUAlbertina"/>
          <w:noProof/>
        </w:rPr>
      </w:pPr>
      <w:r w:rsidRPr="005F5406">
        <w:rPr>
          <w:noProof/>
        </w:rPr>
        <w:sym w:font="Wingdings" w:char="F0FC"/>
      </w:r>
      <w:r w:rsidRPr="005F5406">
        <w:t xml:space="preserve">ko veic tās struktūrvienības, tostarp personāls Savienības delegācijās; </w:t>
      </w:r>
    </w:p>
    <w:p w:rsidR="004315C6" w:rsidRPr="005F5406" w:rsidRDefault="004315C6" w:rsidP="004315C6">
      <w:pPr>
        <w:pStyle w:val="ListDash2"/>
        <w:rPr>
          <w:noProof/>
        </w:rPr>
      </w:pPr>
      <w:r w:rsidRPr="005F5406">
        <w:rPr>
          <w:noProof/>
        </w:rPr>
        <w:sym w:font="Wingdings" w:char="F0A8"/>
      </w:r>
      <w:r w:rsidRPr="005F5406">
        <w:t xml:space="preserve">ko veic </w:t>
      </w:r>
      <w:proofErr w:type="spellStart"/>
      <w:r w:rsidRPr="005F5406">
        <w:t>izpildaģentūras</w:t>
      </w:r>
      <w:proofErr w:type="spellEnd"/>
      <w:r w:rsidRPr="005F5406">
        <w:t xml:space="preserve">. </w:t>
      </w:r>
    </w:p>
    <w:p w:rsidR="004315C6" w:rsidRPr="005F5406" w:rsidRDefault="004315C6" w:rsidP="004315C6">
      <w:pPr>
        <w:pStyle w:val="Text1"/>
        <w:rPr>
          <w:noProof/>
        </w:rPr>
      </w:pPr>
      <w:r w:rsidRPr="005F5406">
        <w:rPr>
          <w:noProof/>
        </w:rPr>
        <w:sym w:font="Wingdings" w:char="F0A8"/>
      </w:r>
      <w:r w:rsidRPr="005F5406">
        <w:rPr>
          <w:b/>
        </w:rPr>
        <w:t>Dalīta pārvaldība</w:t>
      </w:r>
      <w:r w:rsidRPr="005F5406">
        <w:t xml:space="preserve"> kopā ar dalībvalstīm </w:t>
      </w:r>
    </w:p>
    <w:p w:rsidR="004315C6" w:rsidRPr="005F5406" w:rsidRDefault="004315C6" w:rsidP="004315C6">
      <w:pPr>
        <w:pStyle w:val="Text1"/>
        <w:rPr>
          <w:noProof/>
        </w:rPr>
      </w:pPr>
      <w:r w:rsidRPr="005F5406">
        <w:rPr>
          <w:noProof/>
        </w:rPr>
        <w:sym w:font="Wingdings" w:char="F0FC"/>
      </w:r>
      <w:r w:rsidRPr="005F5406">
        <w:rPr>
          <w:b/>
        </w:rPr>
        <w:t>Netieša pārvaldība</w:t>
      </w:r>
      <w:r w:rsidRPr="005F5406">
        <w:t>, kurā budžeta īstenošanas uzdevumi uzticēti:</w:t>
      </w:r>
    </w:p>
    <w:p w:rsidR="004315C6" w:rsidRPr="005F5406" w:rsidRDefault="004315C6" w:rsidP="004315C6">
      <w:pPr>
        <w:pStyle w:val="ListDash2"/>
        <w:rPr>
          <w:noProof/>
        </w:rPr>
      </w:pPr>
      <w:r w:rsidRPr="005F5406">
        <w:rPr>
          <w:noProof/>
        </w:rPr>
        <w:sym w:font="Wingdings" w:char="F0A8"/>
      </w:r>
      <w:r w:rsidRPr="005F5406">
        <w:t>trešām valstīm vai to noteiktām struktūrām;</w:t>
      </w:r>
    </w:p>
    <w:p w:rsidR="004315C6" w:rsidRPr="005F5406" w:rsidRDefault="004315C6" w:rsidP="004315C6">
      <w:pPr>
        <w:pStyle w:val="ListDash2"/>
        <w:rPr>
          <w:noProof/>
        </w:rPr>
      </w:pPr>
      <w:r w:rsidRPr="005F5406">
        <w:rPr>
          <w:noProof/>
        </w:rPr>
        <w:sym w:font="Wingdings" w:char="F0A8"/>
      </w:r>
      <w:r w:rsidRPr="005F5406">
        <w:t>starptautiskām organizācijām un to aģentūrām (precizēt);</w:t>
      </w:r>
    </w:p>
    <w:p w:rsidR="004315C6" w:rsidRPr="005F5406" w:rsidRDefault="004315C6" w:rsidP="004315C6">
      <w:pPr>
        <w:pStyle w:val="ListDash2"/>
        <w:rPr>
          <w:noProof/>
        </w:rPr>
      </w:pPr>
      <w:r w:rsidRPr="005F5406">
        <w:rPr>
          <w:noProof/>
        </w:rPr>
        <w:sym w:font="Wingdings" w:char="F0FC"/>
      </w:r>
      <w:r w:rsidRPr="005F5406">
        <w:t>EIB un Eiropas Investīciju fondam;</w:t>
      </w:r>
    </w:p>
    <w:p w:rsidR="004315C6" w:rsidRPr="005F5406" w:rsidRDefault="004315C6" w:rsidP="004315C6">
      <w:pPr>
        <w:pStyle w:val="ListDash2"/>
        <w:rPr>
          <w:noProof/>
        </w:rPr>
      </w:pPr>
      <w:r w:rsidRPr="005F5406">
        <w:rPr>
          <w:noProof/>
        </w:rPr>
        <w:sym w:font="Wingdings" w:char="F0A8"/>
      </w:r>
      <w:r w:rsidRPr="005F5406">
        <w:t xml:space="preserve">Finanšu regulas </w:t>
      </w:r>
      <w:r w:rsidRPr="003752EA">
        <w:t>208</w:t>
      </w:r>
      <w:r w:rsidRPr="005F5406">
        <w:t xml:space="preserve">. un </w:t>
      </w:r>
      <w:r w:rsidRPr="003752EA">
        <w:t>209</w:t>
      </w:r>
      <w:r w:rsidRPr="005F5406">
        <w:t>. pantā minētajām struktūrām;</w:t>
      </w:r>
    </w:p>
    <w:p w:rsidR="004315C6" w:rsidRPr="005F5406" w:rsidRDefault="004315C6" w:rsidP="004315C6">
      <w:pPr>
        <w:pStyle w:val="ListDash2"/>
        <w:rPr>
          <w:noProof/>
        </w:rPr>
      </w:pPr>
      <w:r w:rsidRPr="005F5406">
        <w:rPr>
          <w:noProof/>
        </w:rPr>
        <w:sym w:font="Wingdings" w:char="F0A8"/>
      </w:r>
      <w:r w:rsidRPr="005F5406">
        <w:t>publisko tiesību subjektiem;</w:t>
      </w:r>
    </w:p>
    <w:p w:rsidR="004315C6" w:rsidRPr="005F5406" w:rsidRDefault="004315C6" w:rsidP="004315C6">
      <w:pPr>
        <w:pStyle w:val="ListDash2"/>
        <w:rPr>
          <w:noProof/>
        </w:rPr>
      </w:pPr>
      <w:r w:rsidRPr="005F5406">
        <w:rPr>
          <w:noProof/>
        </w:rPr>
        <w:sym w:font="Wingdings" w:char="F0A8"/>
      </w:r>
      <w:r w:rsidRPr="005F5406">
        <w:t>privāttiesību subjektiem, kas veic valsts pārvaldes uzdevumus, ja tie sniedz pienācīgas finanšu garantijas;</w:t>
      </w:r>
    </w:p>
    <w:p w:rsidR="004315C6" w:rsidRPr="005F5406" w:rsidRDefault="004315C6" w:rsidP="004315C6">
      <w:pPr>
        <w:pStyle w:val="ListDash2"/>
        <w:rPr>
          <w:noProof/>
        </w:rPr>
      </w:pPr>
      <w:r w:rsidRPr="005F5406">
        <w:rPr>
          <w:noProof/>
        </w:rPr>
        <w:sym w:font="Wingdings" w:char="F0A8"/>
      </w:r>
      <w:r w:rsidRPr="005F5406">
        <w:t>struktūrām, kuru darbību reglamentē dalībvalsts privāttiesības, kurām ir uzticēta publiskā un privātā sektora partnerības īstenošana un kuras sniedz pienācīgas finanšu garantijas;</w:t>
      </w:r>
    </w:p>
    <w:p w:rsidR="004315C6" w:rsidRPr="005F5406" w:rsidRDefault="004315C6" w:rsidP="004315C6">
      <w:pPr>
        <w:pStyle w:val="ListDash2"/>
        <w:rPr>
          <w:noProof/>
        </w:rPr>
      </w:pPr>
      <w:r w:rsidRPr="005F5406">
        <w:rPr>
          <w:noProof/>
        </w:rPr>
        <w:sym w:font="Wingdings" w:char="F0A8"/>
      </w:r>
      <w:r w:rsidRPr="005F5406">
        <w:t xml:space="preserve">personām, kurām ir uzticēts veikt īpašas darbības KĀDP saskaņā ar Līguma par Eiropas Savienību V sadaļu un kuras ir noteiktas attiecīgā </w:t>
      </w:r>
      <w:proofErr w:type="spellStart"/>
      <w:r w:rsidRPr="005F5406">
        <w:t>pamataktā</w:t>
      </w:r>
      <w:proofErr w:type="spellEnd"/>
      <w:r w:rsidRPr="005F5406">
        <w:t>.</w:t>
      </w:r>
    </w:p>
    <w:p w:rsidR="004315C6" w:rsidRPr="005F5406" w:rsidRDefault="004315C6" w:rsidP="004315C6">
      <w:pPr>
        <w:pStyle w:val="ListDash2"/>
        <w:rPr>
          <w:i/>
          <w:noProof/>
          <w:sz w:val="18"/>
          <w:u w:val="single"/>
        </w:rPr>
      </w:pPr>
      <w:r w:rsidRPr="005F5406">
        <w:rPr>
          <w:i/>
          <w:noProof/>
          <w:sz w:val="18"/>
        </w:rPr>
        <w:t>Ja norādīti vairāki pārvaldības veidi, sniedziet papildu informāciju iedaļā “Piezīmes”.</w:t>
      </w:r>
    </w:p>
    <w:p w:rsidR="004315C6" w:rsidRPr="005F5406" w:rsidRDefault="004315C6" w:rsidP="004315C6">
      <w:pPr>
        <w:rPr>
          <w:noProof/>
        </w:rPr>
      </w:pPr>
      <w:r w:rsidRPr="005F5406">
        <w:t xml:space="preserve">Piezīmes </w:t>
      </w:r>
    </w:p>
    <w:p w:rsidR="004315C6" w:rsidRPr="005F5406" w:rsidRDefault="004315C6" w:rsidP="004315C6">
      <w:pPr>
        <w:pBdr>
          <w:top w:val="single" w:sz="4" w:space="1" w:color="auto"/>
          <w:left w:val="single" w:sz="4" w:space="4" w:color="auto"/>
          <w:bottom w:val="single" w:sz="4" w:space="1" w:color="auto"/>
          <w:right w:val="single" w:sz="4" w:space="4" w:color="auto"/>
        </w:pBdr>
        <w:rPr>
          <w:noProof/>
        </w:rPr>
      </w:pPr>
      <w:r w:rsidRPr="005F5406">
        <w:t>ES ETS kvotu pārvaldību reglamentē tiesību akti, par kuriem ir atbildīgi Komisijas dienesti.</w:t>
      </w:r>
    </w:p>
    <w:p w:rsidR="004315C6" w:rsidRPr="005F5406" w:rsidRDefault="004315C6" w:rsidP="004315C6">
      <w:pPr>
        <w:pBdr>
          <w:top w:val="single" w:sz="4" w:space="1" w:color="auto"/>
          <w:left w:val="single" w:sz="4" w:space="4" w:color="auto"/>
          <w:bottom w:val="single" w:sz="4" w:space="1" w:color="auto"/>
          <w:right w:val="single" w:sz="4" w:space="4" w:color="auto"/>
        </w:pBdr>
        <w:rPr>
          <w:noProof/>
        </w:rPr>
      </w:pPr>
      <w:r w:rsidRPr="005F5406">
        <w:t xml:space="preserve">Modernizācijas fondu pārvaldīs investīciju </w:t>
      </w:r>
      <w:r w:rsidR="000D1616" w:rsidRPr="005F5406">
        <w:t>padome</w:t>
      </w:r>
      <w:r w:rsidRPr="005F5406">
        <w:t xml:space="preserve"> un </w:t>
      </w:r>
      <w:r w:rsidR="000D1616" w:rsidRPr="005F5406">
        <w:t>vadības</w:t>
      </w:r>
      <w:r w:rsidR="009650E9">
        <w:t xml:space="preserve"> </w:t>
      </w:r>
      <w:r w:rsidRPr="005F5406">
        <w:t xml:space="preserve">komiteja, kuras sastāvā ir dalībvalstu, Komisijas un EIB pārstāvji. </w:t>
      </w:r>
      <w:r w:rsidR="000D1616" w:rsidRPr="005F5406">
        <w:t>Vadības</w:t>
      </w:r>
      <w:r w:rsidRPr="005F5406">
        <w:t xml:space="preserve"> komitejas priekšsēdētājs būs Komisijas pārstāvis. </w:t>
      </w:r>
    </w:p>
    <w:p w:rsidR="004315C6" w:rsidRPr="005F5406" w:rsidRDefault="004315C6" w:rsidP="004315C6">
      <w:pPr>
        <w:pBdr>
          <w:top w:val="single" w:sz="4" w:space="1" w:color="auto"/>
          <w:left w:val="single" w:sz="4" w:space="4" w:color="auto"/>
          <w:bottom w:val="single" w:sz="4" w:space="1" w:color="auto"/>
          <w:right w:val="single" w:sz="4" w:space="4" w:color="auto"/>
        </w:pBdr>
        <w:rPr>
          <w:noProof/>
        </w:rPr>
      </w:pPr>
    </w:p>
    <w:p w:rsidR="004315C6" w:rsidRPr="005F5406" w:rsidRDefault="004315C6" w:rsidP="004315C6">
      <w:pPr>
        <w:rPr>
          <w:noProof/>
        </w:rPr>
        <w:sectPr w:rsidR="004315C6" w:rsidRPr="005F5406" w:rsidSect="00D23D9E">
          <w:pgSz w:w="11907" w:h="16840" w:code="9"/>
          <w:pgMar w:top="1134" w:right="1418" w:bottom="1134" w:left="1418" w:header="709" w:footer="709" w:gutter="0"/>
          <w:cols w:space="708"/>
          <w:docGrid w:linePitch="360"/>
        </w:sectPr>
      </w:pPr>
    </w:p>
    <w:p w:rsidR="004315C6" w:rsidRPr="005F5406" w:rsidRDefault="004315C6" w:rsidP="00E12A59">
      <w:pPr>
        <w:pStyle w:val="Heading1"/>
        <w:numPr>
          <w:ilvl w:val="0"/>
          <w:numId w:val="11"/>
        </w:numPr>
        <w:rPr>
          <w:bCs w:val="0"/>
          <w:noProof/>
          <w:szCs w:val="24"/>
        </w:rPr>
      </w:pPr>
      <w:r w:rsidRPr="005F5406">
        <w:lastRenderedPageBreak/>
        <w:t xml:space="preserve">PĀRVALDĪBAS PASĀKUMI </w:t>
      </w:r>
    </w:p>
    <w:p w:rsidR="004315C6" w:rsidRPr="005F5406" w:rsidRDefault="004315C6" w:rsidP="00E12A59">
      <w:pPr>
        <w:pStyle w:val="Heading2"/>
        <w:numPr>
          <w:ilvl w:val="1"/>
          <w:numId w:val="11"/>
        </w:numPr>
        <w:rPr>
          <w:noProof/>
        </w:rPr>
      </w:pPr>
      <w:r w:rsidRPr="005F5406">
        <w:t xml:space="preserve">Uzraudzības un ziņošanas noteikumi </w:t>
      </w:r>
    </w:p>
    <w:p w:rsidR="004315C6" w:rsidRPr="005F5406" w:rsidRDefault="004315C6" w:rsidP="004315C6">
      <w:pPr>
        <w:pStyle w:val="Text1"/>
        <w:rPr>
          <w:i/>
          <w:noProof/>
          <w:sz w:val="20"/>
          <w:u w:val="single"/>
        </w:rPr>
      </w:pPr>
      <w:r w:rsidRPr="005F5406">
        <w:rPr>
          <w:i/>
          <w:noProof/>
          <w:sz w:val="20"/>
        </w:rPr>
        <w:t>Norādīt periodiskumu un nosacījumus.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Modernizācijas fonds: saskaņā ar Direktīvas </w:t>
      </w:r>
      <w:r w:rsidRPr="003752EA">
        <w:t>2003</w:t>
      </w:r>
      <w:r w:rsidRPr="005F5406">
        <w:t>/</w:t>
      </w:r>
      <w:r w:rsidRPr="003752EA">
        <w:t>87</w:t>
      </w:r>
      <w:r w:rsidRPr="005F5406">
        <w:t xml:space="preserve">/EK </w:t>
      </w:r>
      <w:r w:rsidRPr="003752EA">
        <w:t>10</w:t>
      </w:r>
      <w:r w:rsidRPr="005F5406">
        <w:t xml:space="preserve">.d pantu, kas </w:t>
      </w:r>
      <w:r w:rsidR="0062236B" w:rsidRPr="005F5406">
        <w:t>tajā iekļauts</w:t>
      </w:r>
      <w:r w:rsidRPr="005F5406">
        <w:t xml:space="preserve"> ar šo priekšlikumu, saņēmējām dalībvalstīm ik gadus ir jāziņo </w:t>
      </w:r>
      <w:r w:rsidR="000D1616" w:rsidRPr="005F5406">
        <w:t>vadības</w:t>
      </w:r>
      <w:r w:rsidR="009650E9">
        <w:t xml:space="preserve"> </w:t>
      </w:r>
      <w:r w:rsidRPr="005F5406">
        <w:t xml:space="preserve">komitejai par investīcijām, kas finansētas no fonda līdzekļiem. </w:t>
      </w:r>
      <w:r w:rsidR="000D1616" w:rsidRPr="005F5406">
        <w:t>Vadības</w:t>
      </w:r>
      <w:r w:rsidRPr="005F5406">
        <w:t xml:space="preserve"> komiteja ziņos Komisijai par investīciju projektu novērtēšanā un atlasē gūto pieredzi sešu mēnešu laikā kopš atlases procesa pabeigšanas.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Kas attiecas uz </w:t>
      </w:r>
      <w:r w:rsidRPr="003752EA">
        <w:t>10</w:t>
      </w:r>
      <w:r w:rsidRPr="005F5406">
        <w:t xml:space="preserve">.c pantu, dalībvalstīm ir tiesības izmantot neobligātās bezmaksas kvotas, lai veicinātu investīcijas </w:t>
      </w:r>
      <w:proofErr w:type="spellStart"/>
      <w:r w:rsidRPr="005F5406">
        <w:t>energosektora</w:t>
      </w:r>
      <w:proofErr w:type="spellEnd"/>
      <w:r w:rsidRPr="005F5406">
        <w:t xml:space="preserve"> modernizācijā, un par šīm investīcijām tām jāziņo Komisijai.</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Saskaņā ar Direktīvas </w:t>
      </w:r>
      <w:r w:rsidRPr="003752EA">
        <w:t>2003</w:t>
      </w:r>
      <w:r w:rsidRPr="005F5406">
        <w:t>/</w:t>
      </w:r>
      <w:r w:rsidRPr="003752EA">
        <w:t>87</w:t>
      </w:r>
      <w:r w:rsidRPr="005F5406">
        <w:t xml:space="preserve">/EK </w:t>
      </w:r>
      <w:r w:rsidRPr="003752EA">
        <w:t>21</w:t>
      </w:r>
      <w:r w:rsidRPr="005F5406">
        <w:t>. pant</w:t>
      </w:r>
      <w:r w:rsidR="0062236B" w:rsidRPr="005F5406">
        <w:t>a</w:t>
      </w:r>
      <w:r w:rsidRPr="005F5406">
        <w:t xml:space="preserve"> </w:t>
      </w:r>
      <w:r w:rsidR="0062236B" w:rsidRPr="005F5406">
        <w:t>pašreizējo redakciju</w:t>
      </w:r>
      <w:r w:rsidRPr="005F5406">
        <w:t xml:space="preserve"> katru gadu dalībvalstis iesniedz Komisijai ziņojumu par šīs direktīvas piemērošanu. Komisija triju mēnešu laikā pēc ziņojumu saņemšanas no dalībvalstīm publicē ziņojumu par šīs direktīvas piemērošanu.</w:t>
      </w:r>
    </w:p>
    <w:p w:rsidR="004315C6" w:rsidRPr="005F5406" w:rsidRDefault="0062236B"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Visbeidzot saskaņā ar </w:t>
      </w:r>
      <w:r w:rsidRPr="003752EA">
        <w:t>10</w:t>
      </w:r>
      <w:r w:rsidRPr="005F5406">
        <w:t xml:space="preserve">. panta </w:t>
      </w:r>
      <w:r w:rsidRPr="003752EA">
        <w:t>5</w:t>
      </w:r>
      <w:r w:rsidRPr="005F5406">
        <w:t>. punktu</w:t>
      </w:r>
      <w:r w:rsidR="004315C6" w:rsidRPr="005F5406">
        <w:t xml:space="preserve"> Komisija</w:t>
      </w:r>
      <w:r w:rsidR="009650E9">
        <w:t xml:space="preserve"> </w:t>
      </w:r>
      <w:r w:rsidR="004315C6" w:rsidRPr="005F5406">
        <w:t>iesniedz ziņojumu Eiropas Parlamentam un Padomei par oglekļa tirgus darbību.</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p>
    <w:p w:rsidR="004315C6" w:rsidRPr="005F5406" w:rsidRDefault="004315C6" w:rsidP="00E12A59">
      <w:pPr>
        <w:pStyle w:val="Heading2"/>
        <w:numPr>
          <w:ilvl w:val="1"/>
          <w:numId w:val="11"/>
        </w:numPr>
        <w:rPr>
          <w:bCs w:val="0"/>
          <w:noProof/>
          <w:szCs w:val="24"/>
        </w:rPr>
      </w:pPr>
      <w:r w:rsidRPr="005F5406">
        <w:t xml:space="preserve">Pārvaldības un kontroles sistēma </w:t>
      </w:r>
    </w:p>
    <w:p w:rsidR="004315C6" w:rsidRPr="005F5406" w:rsidRDefault="004315C6" w:rsidP="00E12A59">
      <w:pPr>
        <w:pStyle w:val="Heading3"/>
        <w:numPr>
          <w:ilvl w:val="2"/>
          <w:numId w:val="11"/>
        </w:numPr>
        <w:rPr>
          <w:noProof/>
        </w:rPr>
      </w:pPr>
      <w:r w:rsidRPr="005F5406">
        <w:t xml:space="preserve">Apzinātie riski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ES ETS ir politikas </w:t>
      </w:r>
      <w:proofErr w:type="spellStart"/>
      <w:r w:rsidRPr="005F5406">
        <w:t>pamatmehānisms</w:t>
      </w:r>
      <w:proofErr w:type="spellEnd"/>
      <w:r w:rsidRPr="005F5406">
        <w:t xml:space="preserve">, lai panāktu ES iecerēto emisiju samazinājumu </w:t>
      </w:r>
      <w:r w:rsidR="0062236B" w:rsidRPr="005F5406">
        <w:t xml:space="preserve">aptuveni </w:t>
      </w:r>
      <w:r w:rsidRPr="005F5406">
        <w:t xml:space="preserve">pusē tautsaimniecības nozaru. Kopš </w:t>
      </w:r>
      <w:r w:rsidRPr="003752EA">
        <w:t>2013</w:t>
      </w:r>
      <w:r w:rsidRPr="005F5406">
        <w:t xml:space="preserve">. gada Komisijai ir uzticēts gādāt par Savienības reģistru — tiešsaistes datubāzi, kas nodrošina precīzu uzskaiti par visiem darījumiem ar kvotām —, kopēju izsoles platformu, kurā izsola dalībvalstu kvotas, un attiecīgu atbalsta infrastruktūru gan reģistram, gan platformai. Savienības reģistru, kur ES ETS ietvaros tiek turētas kvotas, apdraud krāpniecisku </w:t>
      </w:r>
      <w:proofErr w:type="spellStart"/>
      <w:r w:rsidRPr="005F5406">
        <w:t>kiberuzbrukumu</w:t>
      </w:r>
      <w:proofErr w:type="spellEnd"/>
      <w:r w:rsidRPr="005F5406">
        <w:t xml:space="preserve"> risks, kura rezultātā kvotas var nozagt vai piesavināties, un tas var radīt ievērojamus finansiālos zaudējumus (līdz vairākiem miljardiem </w:t>
      </w:r>
      <w:proofErr w:type="spellStart"/>
      <w:r w:rsidRPr="005F5406">
        <w:t>euro</w:t>
      </w:r>
      <w:proofErr w:type="spellEnd"/>
      <w:r w:rsidRPr="005F5406">
        <w:t>), dot pamatu tiesvedībai un iedragāt Komisijas reputāciju un uzticamību. Šis risks ir transversāls un skar ne tikai CLIMA ĢD, bet arī DIGI</w:t>
      </w:r>
      <w:r w:rsidR="0062236B" w:rsidRPr="005F5406">
        <w:t>T</w:t>
      </w:r>
      <w:r w:rsidRPr="005F5406">
        <w:t xml:space="preserve">, HR-DS, BUDG un LS ĢD. Ir ieviesti </w:t>
      </w:r>
      <w:r w:rsidR="0062236B" w:rsidRPr="005F5406">
        <w:t>riska</w:t>
      </w:r>
      <w:r w:rsidRPr="005F5406">
        <w:t xml:space="preserve"> mazināšanas pasākumi. Finansiālais risks pieaugtu līdz ar oglekļa tirgus vērtības pieaugumu. Ja bezmaksas kvotu vērtība ir ļoti liela, ir nepieciešama stingra </w:t>
      </w:r>
      <w:r w:rsidR="0062236B" w:rsidRPr="005F5406">
        <w:t xml:space="preserve">kvotu sadales politika </w:t>
      </w:r>
      <w:r w:rsidRPr="005F5406">
        <w:t>un garantijas par esošo noteikumu ievērošanu. Tas nozīmē, ka ir nepieciešama pārvaldības un kontroles sistēma gan dalībvalstu, gan Komisijas līmenī.</w:t>
      </w:r>
    </w:p>
    <w:p w:rsidR="004315C6" w:rsidRPr="005F5406" w:rsidRDefault="004315C6" w:rsidP="00E12A59">
      <w:pPr>
        <w:pStyle w:val="Heading3"/>
        <w:numPr>
          <w:ilvl w:val="2"/>
          <w:numId w:val="11"/>
        </w:numPr>
        <w:rPr>
          <w:bCs w:val="0"/>
          <w:noProof/>
          <w:szCs w:val="24"/>
        </w:rPr>
      </w:pPr>
      <w:r w:rsidRPr="005F5406">
        <w:t>Informācija par izveidoto iekšējās kontroles sistēmu</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Kopš </w:t>
      </w:r>
      <w:r w:rsidRPr="003752EA">
        <w:t>2011</w:t>
      </w:r>
      <w:r w:rsidRPr="005F5406">
        <w:t xml:space="preserve">. gada ir izveidota augsta līmeņa koordinācijas komiteja, kurā iesaistīts vadošais ĢD un saistītie ĢD. </w:t>
      </w:r>
      <w:r w:rsidRPr="003752EA">
        <w:t>2014</w:t>
      </w:r>
      <w:r w:rsidRPr="005F5406">
        <w:t xml:space="preserve">. gadā tika veikts pilnvērtīgs riska novērtējums, kurā apzināts, kādi IT drošības pasākumi veicami no </w:t>
      </w:r>
      <w:r w:rsidRPr="003752EA">
        <w:t>2015</w:t>
      </w:r>
      <w:r w:rsidRPr="005F5406">
        <w:t xml:space="preserve">. gada. Saskaņā ar ieteikumiem iekšējā revīzijas dienesta revīzijas ziņojumā par ES ETS reģistru (IT drošība), ir ieviesti gan reģistra sistēmas drošības uzlabošanas pasākumi, gan pārvaldības, kvalitātes vadības un testēšanas pasākumi. Kopš </w:t>
      </w:r>
      <w:r w:rsidRPr="003752EA">
        <w:t>2014</w:t>
      </w:r>
      <w:r w:rsidRPr="005F5406">
        <w:t xml:space="preserve">. gada tiek īstenoti vēl citi riska mazināšanas pasākumi. </w:t>
      </w:r>
      <w:r w:rsidR="0062236B" w:rsidRPr="005F5406">
        <w:t xml:space="preserve">Šis process norit </w:t>
      </w:r>
      <w:r w:rsidRPr="005F5406">
        <w:t>pastāvīgi.</w:t>
      </w:r>
    </w:p>
    <w:p w:rsidR="004315C6" w:rsidRPr="005F5406" w:rsidRDefault="004315C6" w:rsidP="00E12A59">
      <w:pPr>
        <w:pStyle w:val="Heading3"/>
        <w:numPr>
          <w:ilvl w:val="2"/>
          <w:numId w:val="11"/>
        </w:numPr>
        <w:rPr>
          <w:noProof/>
        </w:rPr>
      </w:pPr>
      <w:r w:rsidRPr="005F5406">
        <w:lastRenderedPageBreak/>
        <w:t xml:space="preserve">Paredzamās pārbaužu izmaksas un ieguvumi un gaidāmā kļūdas riska līmeņa novērtējums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t xml:space="preserve">Kļūdas risks nav piemērojams. </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p>
    <w:p w:rsidR="004315C6" w:rsidRPr="005F5406" w:rsidRDefault="004315C6" w:rsidP="00E12A59">
      <w:pPr>
        <w:pStyle w:val="Heading2"/>
        <w:numPr>
          <w:ilvl w:val="1"/>
          <w:numId w:val="11"/>
        </w:numPr>
        <w:rPr>
          <w:bCs w:val="0"/>
          <w:noProof/>
          <w:szCs w:val="24"/>
        </w:rPr>
      </w:pPr>
      <w:r w:rsidRPr="005F5406">
        <w:t xml:space="preserve">Krāpšanas un pārkāpumu novēršanas pasākumi </w:t>
      </w:r>
    </w:p>
    <w:p w:rsidR="004315C6" w:rsidRPr="005F5406" w:rsidRDefault="004315C6" w:rsidP="004315C6">
      <w:pPr>
        <w:pStyle w:val="Text1"/>
        <w:rPr>
          <w:i/>
          <w:noProof/>
          <w:sz w:val="20"/>
        </w:rPr>
      </w:pPr>
      <w:r w:rsidRPr="005F5406">
        <w:rPr>
          <w:i/>
          <w:noProof/>
          <w:sz w:val="20"/>
        </w:rPr>
        <w:t>Norādīt esošos vai plānotos novēršanas pasākumus un citus pretpasākumus.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sectPr w:rsidR="004315C6" w:rsidRPr="005F5406" w:rsidSect="00D23D9E">
          <w:pgSz w:w="11907" w:h="16840" w:code="9"/>
          <w:pgMar w:top="1134" w:right="1418" w:bottom="1134" w:left="1418" w:header="709" w:footer="709" w:gutter="0"/>
          <w:cols w:space="708"/>
          <w:docGrid w:linePitch="360"/>
        </w:sectPr>
      </w:pPr>
      <w:r w:rsidRPr="005F5406">
        <w:t>Reaģējot uz specifiskajiem krāpšanas riskiem, kas apdraud ES ETS, CLIMA ĢD Komisijas mēroga</w:t>
      </w:r>
      <w:r w:rsidR="009650E9">
        <w:t xml:space="preserve"> </w:t>
      </w:r>
      <w:r w:rsidRPr="005F5406">
        <w:t>profesionālās ētikas un godaprāta vadlīnijas</w:t>
      </w:r>
      <w:r w:rsidR="0062236B" w:rsidRPr="005F5406">
        <w:t xml:space="preserve"> papildināja</w:t>
      </w:r>
      <w:r w:rsidRPr="005F5406">
        <w:t xml:space="preserve"> ar īpašu "Ētikas un rīcības kodeksu saistībā ar iekšējās informācijas izmantošanu, krāpšanu un </w:t>
      </w:r>
      <w:proofErr w:type="spellStart"/>
      <w:r w:rsidRPr="005F5406">
        <w:t>sensitīvas</w:t>
      </w:r>
      <w:proofErr w:type="spellEnd"/>
      <w:r w:rsidRPr="005F5406">
        <w:t xml:space="preserve"> informācijas atklāšanu", </w:t>
      </w:r>
      <w:r w:rsidR="0062236B" w:rsidRPr="005F5406">
        <w:t>rīkoja īpašas mācības</w:t>
      </w:r>
      <w:r w:rsidRPr="005F5406">
        <w:t xml:space="preserve"> un in</w:t>
      </w:r>
      <w:r w:rsidR="0062236B" w:rsidRPr="005F5406">
        <w:t>formētības vairošanas pasākumus</w:t>
      </w:r>
      <w:r w:rsidRPr="005F5406">
        <w:t xml:space="preserve">. CLIMA ĢD arīdzan izstrādāja ES ETS </w:t>
      </w:r>
      <w:proofErr w:type="spellStart"/>
      <w:r w:rsidRPr="005F5406">
        <w:t>sensitīvās</w:t>
      </w:r>
      <w:proofErr w:type="spellEnd"/>
      <w:r w:rsidRPr="005F5406">
        <w:t xml:space="preserve"> informācijas klasifikācijas politiku un attiecīgas instrukcijas par apiešanos ar informāciju, kas paredz </w:t>
      </w:r>
      <w:r w:rsidRPr="003752EA">
        <w:t>3</w:t>
      </w:r>
      <w:r w:rsidRPr="005F5406">
        <w:t> </w:t>
      </w:r>
      <w:proofErr w:type="spellStart"/>
      <w:r w:rsidRPr="005F5406">
        <w:t>sensitivitātes</w:t>
      </w:r>
      <w:proofErr w:type="spellEnd"/>
      <w:r w:rsidRPr="005F5406">
        <w:t xml:space="preserve"> līmeņus. Attiecīgos trīs ETS apzīmējumus apstiprināja HR-DS ĢD (</w:t>
      </w:r>
      <w:proofErr w:type="spellStart"/>
      <w:r w:rsidRPr="005F5406">
        <w:t>sk</w:t>
      </w:r>
      <w:proofErr w:type="spellEnd"/>
      <w:r w:rsidRPr="005F5406">
        <w:t xml:space="preserve">. drošības paziņojumu </w:t>
      </w:r>
      <w:proofErr w:type="spellStart"/>
      <w:r w:rsidRPr="005F5406">
        <w:t>Nr</w:t>
      </w:r>
      <w:proofErr w:type="spellEnd"/>
      <w:r w:rsidRPr="005F5406">
        <w:t>. </w:t>
      </w:r>
      <w:r w:rsidRPr="003752EA">
        <w:t>1</w:t>
      </w:r>
      <w:r w:rsidRPr="005F5406">
        <w:t xml:space="preserve">, </w:t>
      </w:r>
      <w:r w:rsidRPr="003752EA">
        <w:t>10</w:t>
      </w:r>
      <w:r w:rsidRPr="005F5406">
        <w:t xml:space="preserve">. redakcija). HR-DS ĢD uzskata, ka šāda apzīmējumu politika varētu rādīt priekšzīmi citiem ĢD. Regulāri tiek rīkotas mācības </w:t>
      </w:r>
      <w:proofErr w:type="spellStart"/>
      <w:r w:rsidRPr="005F5406">
        <w:t>jaunpienācējiem</w:t>
      </w:r>
      <w:proofErr w:type="spellEnd"/>
      <w:r w:rsidRPr="005F5406">
        <w:t xml:space="preserve">. CLIMA ĢD plāno attiecināt šo politiku uz lietotājiem dalībvalstīs. </w:t>
      </w:r>
    </w:p>
    <w:p w:rsidR="004315C6" w:rsidRPr="005F5406" w:rsidRDefault="004315C6" w:rsidP="00E12A59">
      <w:pPr>
        <w:pStyle w:val="Heading1"/>
        <w:numPr>
          <w:ilvl w:val="0"/>
          <w:numId w:val="11"/>
        </w:numPr>
        <w:rPr>
          <w:bCs w:val="0"/>
          <w:noProof/>
          <w:szCs w:val="24"/>
        </w:rPr>
      </w:pPr>
      <w:r w:rsidRPr="005F5406">
        <w:lastRenderedPageBreak/>
        <w:t xml:space="preserve">PRIEKŠLIKUMA/INICIATĪVAS PAREDZAMĀ FINANSIĀLĀ IETEKME </w:t>
      </w:r>
    </w:p>
    <w:p w:rsidR="004315C6" w:rsidRPr="005F5406" w:rsidRDefault="004315C6" w:rsidP="00E12A59">
      <w:pPr>
        <w:pStyle w:val="Heading2"/>
        <w:numPr>
          <w:ilvl w:val="1"/>
          <w:numId w:val="11"/>
        </w:numPr>
        <w:rPr>
          <w:noProof/>
        </w:rPr>
      </w:pPr>
      <w:r w:rsidRPr="005F5406">
        <w:t xml:space="preserve">Attiecīgās daudzgadu finanšu shēmas izdevumu kategorijas un budžeta izdevumu pozīcijas </w:t>
      </w:r>
    </w:p>
    <w:p w:rsidR="004315C6" w:rsidRPr="005F5406" w:rsidRDefault="004315C6" w:rsidP="004315C6">
      <w:pPr>
        <w:pStyle w:val="ListBullet1"/>
        <w:rPr>
          <w:noProof/>
        </w:rPr>
      </w:pPr>
      <w:r w:rsidRPr="005F5406">
        <w:t xml:space="preserve">Esošās budžeta pozīcijas </w:t>
      </w:r>
    </w:p>
    <w:p w:rsidR="004315C6" w:rsidRPr="005F5406" w:rsidRDefault="004315C6" w:rsidP="004315C6">
      <w:pPr>
        <w:pStyle w:val="Text1"/>
        <w:rPr>
          <w:noProof/>
        </w:rPr>
      </w:pPr>
      <w:r w:rsidRPr="005F5406">
        <w:rPr>
          <w:u w:val="single"/>
        </w:rPr>
        <w:t>Sarindotas</w:t>
      </w:r>
      <w:r w:rsidRPr="005F5406">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F4FF3" w:rsidRPr="005F5406" w:rsidTr="002951F9">
        <w:tc>
          <w:tcPr>
            <w:tcW w:w="1080" w:type="dxa"/>
            <w:vMerge w:val="restart"/>
            <w:vAlign w:val="center"/>
          </w:tcPr>
          <w:p w:rsidR="004315C6" w:rsidRPr="005F5406" w:rsidRDefault="004315C6" w:rsidP="002951F9">
            <w:pPr>
              <w:spacing w:before="60" w:after="60"/>
              <w:jc w:val="center"/>
              <w:rPr>
                <w:noProof/>
                <w:sz w:val="22"/>
              </w:rPr>
            </w:pPr>
            <w:r w:rsidRPr="005F5406">
              <w:rPr>
                <w:noProof/>
                <w:sz w:val="18"/>
              </w:rPr>
              <w:t>Daudzgadu fin</w:t>
            </w:r>
            <w:r w:rsidR="0062236B" w:rsidRPr="005F5406">
              <w:rPr>
                <w:noProof/>
                <w:sz w:val="18"/>
              </w:rPr>
              <w:t>anšu shēmas izdevumu kategorija</w:t>
            </w:r>
          </w:p>
        </w:tc>
        <w:tc>
          <w:tcPr>
            <w:tcW w:w="3960" w:type="dxa"/>
            <w:vAlign w:val="center"/>
          </w:tcPr>
          <w:p w:rsidR="004315C6" w:rsidRPr="005F5406" w:rsidRDefault="004315C6" w:rsidP="002951F9">
            <w:pPr>
              <w:spacing w:before="60" w:after="60"/>
              <w:jc w:val="center"/>
              <w:rPr>
                <w:noProof/>
                <w:sz w:val="22"/>
              </w:rPr>
            </w:pPr>
            <w:r w:rsidRPr="005F5406">
              <w:rPr>
                <w:noProof/>
                <w:sz w:val="20"/>
              </w:rPr>
              <w:t>Budžeta pozīcija</w:t>
            </w:r>
          </w:p>
        </w:tc>
        <w:tc>
          <w:tcPr>
            <w:tcW w:w="1080" w:type="dxa"/>
            <w:vAlign w:val="center"/>
          </w:tcPr>
          <w:p w:rsidR="004315C6" w:rsidRPr="005F5406" w:rsidRDefault="004315C6" w:rsidP="002951F9">
            <w:pPr>
              <w:spacing w:before="60" w:after="60"/>
              <w:jc w:val="center"/>
              <w:rPr>
                <w:noProof/>
                <w:sz w:val="22"/>
              </w:rPr>
            </w:pPr>
            <w:r w:rsidRPr="005F5406">
              <w:rPr>
                <w:noProof/>
                <w:sz w:val="20"/>
              </w:rPr>
              <w:t>Izdevumu veids</w:t>
            </w:r>
          </w:p>
        </w:tc>
        <w:tc>
          <w:tcPr>
            <w:tcW w:w="4440" w:type="dxa"/>
            <w:gridSpan w:val="4"/>
            <w:vAlign w:val="center"/>
          </w:tcPr>
          <w:p w:rsidR="004315C6" w:rsidRPr="005F5406" w:rsidRDefault="004315C6" w:rsidP="002951F9">
            <w:pPr>
              <w:spacing w:before="60" w:after="60"/>
              <w:jc w:val="center"/>
              <w:rPr>
                <w:noProof/>
                <w:sz w:val="22"/>
              </w:rPr>
            </w:pPr>
            <w:r w:rsidRPr="005F5406">
              <w:rPr>
                <w:noProof/>
                <w:sz w:val="20"/>
              </w:rPr>
              <w:t xml:space="preserve">Iemaksas </w:t>
            </w:r>
          </w:p>
        </w:tc>
      </w:tr>
      <w:tr w:rsidR="007F4FF3" w:rsidRPr="005F5406" w:rsidTr="002951F9">
        <w:tc>
          <w:tcPr>
            <w:tcW w:w="1080" w:type="dxa"/>
            <w:vMerge/>
            <w:vAlign w:val="center"/>
          </w:tcPr>
          <w:p w:rsidR="004315C6" w:rsidRPr="005F5406" w:rsidRDefault="004315C6" w:rsidP="002951F9">
            <w:pPr>
              <w:jc w:val="center"/>
              <w:rPr>
                <w:noProof/>
                <w:sz w:val="22"/>
              </w:rPr>
            </w:pPr>
          </w:p>
        </w:tc>
        <w:tc>
          <w:tcPr>
            <w:tcW w:w="3960" w:type="dxa"/>
            <w:vAlign w:val="center"/>
          </w:tcPr>
          <w:p w:rsidR="004315C6" w:rsidRPr="005F5406" w:rsidRDefault="0062236B" w:rsidP="002951F9">
            <w:pPr>
              <w:rPr>
                <w:noProof/>
                <w:sz w:val="22"/>
              </w:rPr>
            </w:pPr>
            <w:r w:rsidRPr="005F5406">
              <w:rPr>
                <w:noProof/>
                <w:sz w:val="20"/>
              </w:rPr>
              <w:t>Nr.</w:t>
            </w:r>
            <w:r w:rsidR="004315C6" w:rsidRPr="005F5406">
              <w:rPr>
                <w:noProof/>
                <w:sz w:val="20"/>
              </w:rPr>
              <w:t xml:space="preserve"> </w:t>
            </w:r>
          </w:p>
        </w:tc>
        <w:tc>
          <w:tcPr>
            <w:tcW w:w="1080" w:type="dxa"/>
            <w:vAlign w:val="center"/>
          </w:tcPr>
          <w:p w:rsidR="004315C6" w:rsidRPr="005F5406" w:rsidRDefault="004315C6" w:rsidP="002951F9">
            <w:pPr>
              <w:jc w:val="center"/>
              <w:rPr>
                <w:noProof/>
                <w:sz w:val="22"/>
              </w:rPr>
            </w:pPr>
            <w:r w:rsidRPr="005F5406">
              <w:rPr>
                <w:noProof/>
                <w:sz w:val="18"/>
              </w:rPr>
              <w:t>Dif./nedif</w:t>
            </w:r>
            <w:r w:rsidRPr="005F5406">
              <w:t>.</w:t>
            </w:r>
            <w:r w:rsidRPr="00953786">
              <w:rPr>
                <w:rStyle w:val="FootnoteReference"/>
                <w:noProof/>
              </w:rPr>
              <w:footnoteReference w:id="25"/>
            </w:r>
          </w:p>
        </w:tc>
        <w:tc>
          <w:tcPr>
            <w:tcW w:w="956" w:type="dxa"/>
            <w:vAlign w:val="center"/>
          </w:tcPr>
          <w:p w:rsidR="004315C6" w:rsidRPr="005F5406" w:rsidRDefault="004315C6" w:rsidP="002951F9">
            <w:pPr>
              <w:jc w:val="center"/>
              <w:rPr>
                <w:noProof/>
                <w:sz w:val="22"/>
              </w:rPr>
            </w:pPr>
            <w:r w:rsidRPr="005F5406">
              <w:rPr>
                <w:noProof/>
                <w:sz w:val="18"/>
              </w:rPr>
              <w:t>no EBTA valstīm</w:t>
            </w:r>
            <w:r w:rsidRPr="005F5406">
              <w:rPr>
                <w:rStyle w:val="FootnoteReference"/>
                <w:noProof/>
                <w:sz w:val="18"/>
              </w:rPr>
              <w:footnoteReference w:id="26"/>
            </w:r>
          </w:p>
          <w:p w:rsidR="004315C6" w:rsidRPr="005F5406" w:rsidRDefault="004315C6" w:rsidP="002951F9">
            <w:pPr>
              <w:spacing w:before="0" w:after="0"/>
              <w:jc w:val="center"/>
              <w:rPr>
                <w:b/>
                <w:noProof/>
                <w:sz w:val="18"/>
              </w:rPr>
            </w:pPr>
          </w:p>
        </w:tc>
        <w:tc>
          <w:tcPr>
            <w:tcW w:w="1080" w:type="dxa"/>
            <w:vAlign w:val="center"/>
          </w:tcPr>
          <w:p w:rsidR="004315C6" w:rsidRPr="005F5406" w:rsidRDefault="004315C6" w:rsidP="002951F9">
            <w:pPr>
              <w:jc w:val="center"/>
              <w:rPr>
                <w:noProof/>
                <w:sz w:val="22"/>
              </w:rPr>
            </w:pPr>
            <w:r w:rsidRPr="005F5406">
              <w:rPr>
                <w:noProof/>
                <w:sz w:val="18"/>
              </w:rPr>
              <w:t>no kandidātvalstīm</w:t>
            </w:r>
            <w:r w:rsidRPr="005F5406">
              <w:rPr>
                <w:rStyle w:val="FootnoteReference"/>
                <w:noProof/>
                <w:sz w:val="18"/>
              </w:rPr>
              <w:footnoteReference w:id="27"/>
            </w:r>
          </w:p>
          <w:p w:rsidR="004315C6" w:rsidRPr="005F5406" w:rsidRDefault="004315C6" w:rsidP="002951F9">
            <w:pPr>
              <w:spacing w:before="0" w:after="0"/>
              <w:jc w:val="center"/>
              <w:rPr>
                <w:noProof/>
                <w:sz w:val="18"/>
              </w:rPr>
            </w:pPr>
          </w:p>
        </w:tc>
        <w:tc>
          <w:tcPr>
            <w:tcW w:w="956" w:type="dxa"/>
            <w:vAlign w:val="center"/>
          </w:tcPr>
          <w:p w:rsidR="004315C6" w:rsidRPr="005F5406" w:rsidRDefault="004315C6" w:rsidP="002951F9">
            <w:pPr>
              <w:jc w:val="center"/>
              <w:rPr>
                <w:noProof/>
                <w:sz w:val="18"/>
              </w:rPr>
            </w:pPr>
            <w:r w:rsidRPr="005F5406">
              <w:rPr>
                <w:noProof/>
                <w:sz w:val="18"/>
              </w:rPr>
              <w:t>no trešām valstīm</w:t>
            </w:r>
          </w:p>
        </w:tc>
        <w:tc>
          <w:tcPr>
            <w:tcW w:w="1448" w:type="dxa"/>
            <w:vAlign w:val="center"/>
          </w:tcPr>
          <w:p w:rsidR="004315C6" w:rsidRPr="005F5406" w:rsidRDefault="004315C6" w:rsidP="002951F9">
            <w:pPr>
              <w:jc w:val="center"/>
              <w:rPr>
                <w:noProof/>
                <w:sz w:val="22"/>
              </w:rPr>
            </w:pPr>
            <w:r w:rsidRPr="005F5406">
              <w:rPr>
                <w:noProof/>
                <w:sz w:val="16"/>
              </w:rPr>
              <w:t xml:space="preserve">Finanšu regulas </w:t>
            </w:r>
            <w:r w:rsidRPr="003752EA">
              <w:rPr>
                <w:noProof/>
                <w:sz w:val="16"/>
              </w:rPr>
              <w:t>21</w:t>
            </w:r>
            <w:r w:rsidRPr="005F5406">
              <w:rPr>
                <w:noProof/>
                <w:sz w:val="16"/>
              </w:rPr>
              <w:t xml:space="preserve">. panta </w:t>
            </w:r>
            <w:r w:rsidRPr="003752EA">
              <w:rPr>
                <w:noProof/>
                <w:sz w:val="16"/>
              </w:rPr>
              <w:t>2</w:t>
            </w:r>
            <w:r w:rsidRPr="005F5406">
              <w:rPr>
                <w:noProof/>
                <w:sz w:val="16"/>
              </w:rPr>
              <w:t xml:space="preserve">. punkta b) apakšpunkta nozīmē </w:t>
            </w:r>
          </w:p>
        </w:tc>
      </w:tr>
      <w:tr w:rsidR="007F4FF3" w:rsidRPr="005F5406" w:rsidTr="002951F9">
        <w:tc>
          <w:tcPr>
            <w:tcW w:w="1080" w:type="dxa"/>
            <w:vAlign w:val="center"/>
          </w:tcPr>
          <w:p w:rsidR="004315C6" w:rsidRPr="005F5406" w:rsidRDefault="004315C6" w:rsidP="002951F9">
            <w:pPr>
              <w:jc w:val="center"/>
              <w:rPr>
                <w:noProof/>
                <w:sz w:val="22"/>
              </w:rPr>
            </w:pPr>
            <w:r w:rsidRPr="003752EA">
              <w:rPr>
                <w:noProof/>
                <w:sz w:val="22"/>
              </w:rPr>
              <w:t>2</w:t>
            </w:r>
          </w:p>
        </w:tc>
        <w:tc>
          <w:tcPr>
            <w:tcW w:w="3960" w:type="dxa"/>
            <w:vAlign w:val="center"/>
          </w:tcPr>
          <w:p w:rsidR="004315C6" w:rsidRPr="005F5406" w:rsidRDefault="004315C6" w:rsidP="002951F9">
            <w:pPr>
              <w:spacing w:before="60"/>
              <w:rPr>
                <w:noProof/>
                <w:sz w:val="22"/>
              </w:rPr>
            </w:pPr>
            <w:r w:rsidRPr="003752EA">
              <w:rPr>
                <w:noProof/>
                <w:sz w:val="22"/>
              </w:rPr>
              <w:t>34</w:t>
            </w:r>
            <w:r w:rsidRPr="005F5406">
              <w:rPr>
                <w:noProof/>
                <w:sz w:val="22"/>
              </w:rPr>
              <w:t xml:space="preserve"> </w:t>
            </w:r>
            <w:r w:rsidRPr="003752EA">
              <w:rPr>
                <w:noProof/>
                <w:sz w:val="22"/>
              </w:rPr>
              <w:t>01</w:t>
            </w:r>
            <w:r w:rsidRPr="005F5406">
              <w:rPr>
                <w:noProof/>
                <w:sz w:val="22"/>
              </w:rPr>
              <w:t xml:space="preserve"> </w:t>
            </w:r>
            <w:r w:rsidRPr="003752EA">
              <w:rPr>
                <w:noProof/>
                <w:sz w:val="22"/>
              </w:rPr>
              <w:t>04</w:t>
            </w:r>
            <w:r w:rsidRPr="005F5406">
              <w:rPr>
                <w:noProof/>
                <w:sz w:val="22"/>
              </w:rPr>
              <w:t xml:space="preserve"> </w:t>
            </w:r>
            <w:r w:rsidRPr="003752EA">
              <w:rPr>
                <w:noProof/>
                <w:sz w:val="22"/>
              </w:rPr>
              <w:t>01</w:t>
            </w:r>
          </w:p>
          <w:p w:rsidR="004315C6" w:rsidRPr="005F5406" w:rsidRDefault="004315C6" w:rsidP="002951F9">
            <w:pPr>
              <w:spacing w:after="60"/>
              <w:rPr>
                <w:noProof/>
                <w:sz w:val="22"/>
              </w:rPr>
            </w:pPr>
          </w:p>
        </w:tc>
        <w:tc>
          <w:tcPr>
            <w:tcW w:w="1080" w:type="dxa"/>
            <w:vAlign w:val="center"/>
          </w:tcPr>
          <w:p w:rsidR="004315C6" w:rsidRPr="005F5406" w:rsidRDefault="004315C6" w:rsidP="002951F9">
            <w:pPr>
              <w:jc w:val="center"/>
              <w:rPr>
                <w:noProof/>
                <w:sz w:val="22"/>
              </w:rPr>
            </w:pPr>
            <w:r w:rsidRPr="005F5406">
              <w:rPr>
                <w:noProof/>
                <w:sz w:val="22"/>
              </w:rPr>
              <w:t>Nedif.</w:t>
            </w:r>
          </w:p>
        </w:tc>
        <w:tc>
          <w:tcPr>
            <w:tcW w:w="956" w:type="dxa"/>
            <w:vAlign w:val="center"/>
          </w:tcPr>
          <w:p w:rsidR="004315C6" w:rsidRPr="005F5406" w:rsidRDefault="004315C6" w:rsidP="002951F9">
            <w:pPr>
              <w:jc w:val="center"/>
              <w:rPr>
                <w:noProof/>
                <w:sz w:val="22"/>
              </w:rPr>
            </w:pPr>
            <w:r w:rsidRPr="005F5406">
              <w:rPr>
                <w:noProof/>
                <w:sz w:val="22"/>
              </w:rPr>
              <w:t>NĒ</w:t>
            </w:r>
          </w:p>
        </w:tc>
        <w:tc>
          <w:tcPr>
            <w:tcW w:w="1080" w:type="dxa"/>
            <w:vAlign w:val="center"/>
          </w:tcPr>
          <w:p w:rsidR="004315C6" w:rsidRPr="005F5406" w:rsidRDefault="004315C6" w:rsidP="002951F9">
            <w:pPr>
              <w:jc w:val="center"/>
              <w:rPr>
                <w:noProof/>
                <w:sz w:val="22"/>
              </w:rPr>
            </w:pPr>
            <w:r w:rsidRPr="005F5406">
              <w:rPr>
                <w:noProof/>
                <w:sz w:val="22"/>
              </w:rPr>
              <w:t>NĒ</w:t>
            </w:r>
          </w:p>
        </w:tc>
        <w:tc>
          <w:tcPr>
            <w:tcW w:w="956" w:type="dxa"/>
            <w:vAlign w:val="center"/>
          </w:tcPr>
          <w:p w:rsidR="004315C6" w:rsidRPr="005F5406" w:rsidRDefault="004315C6" w:rsidP="002951F9">
            <w:pPr>
              <w:jc w:val="center"/>
              <w:rPr>
                <w:noProof/>
                <w:sz w:val="22"/>
              </w:rPr>
            </w:pPr>
            <w:r w:rsidRPr="005F5406">
              <w:rPr>
                <w:noProof/>
                <w:sz w:val="22"/>
              </w:rPr>
              <w:t>NĒ</w:t>
            </w:r>
          </w:p>
        </w:tc>
        <w:tc>
          <w:tcPr>
            <w:tcW w:w="1448" w:type="dxa"/>
            <w:vAlign w:val="center"/>
          </w:tcPr>
          <w:p w:rsidR="004315C6" w:rsidRPr="005F5406" w:rsidRDefault="004315C6" w:rsidP="002951F9">
            <w:pPr>
              <w:jc w:val="center"/>
              <w:rPr>
                <w:noProof/>
                <w:sz w:val="22"/>
              </w:rPr>
            </w:pPr>
            <w:r w:rsidRPr="005F5406">
              <w:rPr>
                <w:noProof/>
                <w:sz w:val="22"/>
              </w:rPr>
              <w:t>NĒ</w:t>
            </w:r>
          </w:p>
        </w:tc>
      </w:tr>
      <w:tr w:rsidR="007F4FF3" w:rsidRPr="005F5406" w:rsidTr="002951F9">
        <w:tc>
          <w:tcPr>
            <w:tcW w:w="1080" w:type="dxa"/>
            <w:vAlign w:val="center"/>
          </w:tcPr>
          <w:p w:rsidR="004315C6" w:rsidRPr="005F5406" w:rsidRDefault="004315C6" w:rsidP="002951F9">
            <w:pPr>
              <w:jc w:val="center"/>
              <w:rPr>
                <w:noProof/>
                <w:sz w:val="22"/>
              </w:rPr>
            </w:pPr>
            <w:r w:rsidRPr="003752EA">
              <w:rPr>
                <w:noProof/>
                <w:sz w:val="22"/>
              </w:rPr>
              <w:t>2</w:t>
            </w:r>
          </w:p>
        </w:tc>
        <w:tc>
          <w:tcPr>
            <w:tcW w:w="3960" w:type="dxa"/>
            <w:vAlign w:val="center"/>
          </w:tcPr>
          <w:p w:rsidR="004315C6" w:rsidRPr="005F5406" w:rsidRDefault="004315C6" w:rsidP="002951F9">
            <w:pPr>
              <w:spacing w:before="60"/>
              <w:rPr>
                <w:noProof/>
                <w:sz w:val="22"/>
              </w:rPr>
            </w:pPr>
            <w:r w:rsidRPr="003752EA">
              <w:rPr>
                <w:noProof/>
                <w:sz w:val="22"/>
              </w:rPr>
              <w:t>34</w:t>
            </w:r>
            <w:r w:rsidRPr="005F5406">
              <w:rPr>
                <w:noProof/>
                <w:sz w:val="22"/>
              </w:rPr>
              <w:t xml:space="preserve"> </w:t>
            </w:r>
            <w:r w:rsidRPr="003752EA">
              <w:rPr>
                <w:noProof/>
                <w:sz w:val="22"/>
              </w:rPr>
              <w:t>02</w:t>
            </w:r>
            <w:r w:rsidRPr="005F5406">
              <w:rPr>
                <w:noProof/>
                <w:sz w:val="22"/>
              </w:rPr>
              <w:t xml:space="preserve"> </w:t>
            </w:r>
            <w:r w:rsidRPr="003752EA">
              <w:rPr>
                <w:noProof/>
                <w:sz w:val="22"/>
              </w:rPr>
              <w:t>01</w:t>
            </w:r>
          </w:p>
        </w:tc>
        <w:tc>
          <w:tcPr>
            <w:tcW w:w="1080" w:type="dxa"/>
            <w:vAlign w:val="center"/>
          </w:tcPr>
          <w:p w:rsidR="004315C6" w:rsidRPr="005F5406" w:rsidRDefault="004315C6" w:rsidP="002951F9">
            <w:pPr>
              <w:jc w:val="center"/>
              <w:rPr>
                <w:noProof/>
                <w:sz w:val="22"/>
              </w:rPr>
            </w:pPr>
            <w:r w:rsidRPr="005F5406">
              <w:rPr>
                <w:noProof/>
                <w:sz w:val="22"/>
              </w:rPr>
              <w:t>Dif.</w:t>
            </w:r>
          </w:p>
        </w:tc>
        <w:tc>
          <w:tcPr>
            <w:tcW w:w="956" w:type="dxa"/>
            <w:vAlign w:val="center"/>
          </w:tcPr>
          <w:p w:rsidR="004315C6" w:rsidRPr="005F5406" w:rsidRDefault="004315C6" w:rsidP="002951F9">
            <w:pPr>
              <w:jc w:val="center"/>
              <w:rPr>
                <w:noProof/>
                <w:sz w:val="22"/>
              </w:rPr>
            </w:pPr>
            <w:r w:rsidRPr="005F5406">
              <w:rPr>
                <w:noProof/>
                <w:sz w:val="22"/>
              </w:rPr>
              <w:t>NĒ</w:t>
            </w:r>
          </w:p>
        </w:tc>
        <w:tc>
          <w:tcPr>
            <w:tcW w:w="1080" w:type="dxa"/>
            <w:vAlign w:val="center"/>
          </w:tcPr>
          <w:p w:rsidR="004315C6" w:rsidRPr="005F5406" w:rsidRDefault="004315C6" w:rsidP="002951F9">
            <w:pPr>
              <w:jc w:val="center"/>
              <w:rPr>
                <w:noProof/>
                <w:sz w:val="22"/>
              </w:rPr>
            </w:pPr>
            <w:r w:rsidRPr="005F5406">
              <w:rPr>
                <w:noProof/>
                <w:sz w:val="22"/>
              </w:rPr>
              <w:t>NĒ</w:t>
            </w:r>
          </w:p>
        </w:tc>
        <w:tc>
          <w:tcPr>
            <w:tcW w:w="956" w:type="dxa"/>
            <w:vAlign w:val="center"/>
          </w:tcPr>
          <w:p w:rsidR="004315C6" w:rsidRPr="005F5406" w:rsidRDefault="004315C6" w:rsidP="002951F9">
            <w:pPr>
              <w:jc w:val="center"/>
              <w:rPr>
                <w:noProof/>
                <w:sz w:val="22"/>
              </w:rPr>
            </w:pPr>
            <w:r w:rsidRPr="005F5406">
              <w:rPr>
                <w:noProof/>
                <w:sz w:val="22"/>
              </w:rPr>
              <w:t>NĒ</w:t>
            </w:r>
          </w:p>
        </w:tc>
        <w:tc>
          <w:tcPr>
            <w:tcW w:w="1448" w:type="dxa"/>
            <w:vAlign w:val="center"/>
          </w:tcPr>
          <w:p w:rsidR="004315C6" w:rsidRPr="005F5406" w:rsidRDefault="004315C6" w:rsidP="002951F9">
            <w:pPr>
              <w:jc w:val="center"/>
              <w:rPr>
                <w:noProof/>
                <w:sz w:val="22"/>
              </w:rPr>
            </w:pPr>
            <w:r w:rsidRPr="005F5406">
              <w:rPr>
                <w:noProof/>
                <w:sz w:val="22"/>
              </w:rPr>
              <w:t>NĒ</w:t>
            </w:r>
          </w:p>
        </w:tc>
      </w:tr>
    </w:tbl>
    <w:p w:rsidR="004315C6" w:rsidRPr="005F5406" w:rsidRDefault="004315C6" w:rsidP="004315C6">
      <w:pPr>
        <w:pStyle w:val="ListBullet1"/>
        <w:rPr>
          <w:noProof/>
        </w:rPr>
      </w:pPr>
      <w:r w:rsidRPr="005F5406">
        <w:t xml:space="preserve">No jauna veidojamās budžeta pozīcijas: </w:t>
      </w:r>
      <w:r w:rsidR="0062236B" w:rsidRPr="005F5406">
        <w:t>n</w:t>
      </w:r>
      <w:r w:rsidRPr="005F5406">
        <w:t>av.</w:t>
      </w:r>
    </w:p>
    <w:p w:rsidR="004315C6" w:rsidRPr="005F5406" w:rsidRDefault="004315C6" w:rsidP="004315C6">
      <w:pPr>
        <w:pStyle w:val="Text1"/>
        <w:rPr>
          <w:i/>
          <w:noProof/>
          <w:sz w:val="20"/>
        </w:rPr>
      </w:pPr>
      <w:r w:rsidRPr="005F5406">
        <w:rPr>
          <w:i/>
          <w:u w:val="single"/>
        </w:rPr>
        <w:t>Sarindotas</w:t>
      </w:r>
      <w:r w:rsidRPr="005F5406">
        <w:rPr>
          <w:i/>
        </w:rPr>
        <w:t xml:space="preserve"> pa daudzgadu finanšu shēmas izdevumu kategorijām un budžeta pozīcijā</w:t>
      </w:r>
      <w:r w:rsidRPr="005F5406">
        <w:t>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F4FF3" w:rsidRPr="005F5406" w:rsidTr="002951F9">
        <w:tc>
          <w:tcPr>
            <w:tcW w:w="1080" w:type="dxa"/>
            <w:vMerge w:val="restart"/>
            <w:vAlign w:val="center"/>
          </w:tcPr>
          <w:p w:rsidR="004315C6" w:rsidRPr="005F5406" w:rsidRDefault="004315C6" w:rsidP="002951F9">
            <w:pPr>
              <w:spacing w:before="60" w:after="60"/>
              <w:jc w:val="center"/>
              <w:rPr>
                <w:noProof/>
                <w:sz w:val="18"/>
                <w:szCs w:val="18"/>
              </w:rPr>
            </w:pPr>
            <w:r w:rsidRPr="005F5406">
              <w:rPr>
                <w:noProof/>
                <w:sz w:val="18"/>
              </w:rPr>
              <w:t>Daudzgadu finanšu shēmas izdevumu kategorija:</w:t>
            </w:r>
          </w:p>
        </w:tc>
        <w:tc>
          <w:tcPr>
            <w:tcW w:w="3960" w:type="dxa"/>
            <w:vAlign w:val="center"/>
          </w:tcPr>
          <w:p w:rsidR="004315C6" w:rsidRPr="005F5406" w:rsidRDefault="004315C6" w:rsidP="002951F9">
            <w:pPr>
              <w:spacing w:before="60" w:after="60"/>
              <w:jc w:val="center"/>
              <w:rPr>
                <w:noProof/>
                <w:sz w:val="22"/>
              </w:rPr>
            </w:pPr>
            <w:r w:rsidRPr="005F5406">
              <w:rPr>
                <w:noProof/>
                <w:sz w:val="20"/>
              </w:rPr>
              <w:t>Budžeta pozīcija</w:t>
            </w:r>
          </w:p>
        </w:tc>
        <w:tc>
          <w:tcPr>
            <w:tcW w:w="1080" w:type="dxa"/>
            <w:vAlign w:val="center"/>
          </w:tcPr>
          <w:p w:rsidR="004315C6" w:rsidRPr="005F5406" w:rsidRDefault="004315C6" w:rsidP="002951F9">
            <w:pPr>
              <w:spacing w:before="60" w:after="60"/>
              <w:jc w:val="center"/>
              <w:rPr>
                <w:noProof/>
                <w:sz w:val="22"/>
              </w:rPr>
            </w:pPr>
            <w:r w:rsidRPr="005F5406">
              <w:rPr>
                <w:noProof/>
                <w:sz w:val="18"/>
              </w:rPr>
              <w:t>Izdevumu</w:t>
            </w:r>
            <w:r w:rsidR="0062236B" w:rsidRPr="005F5406">
              <w:t xml:space="preserve"> </w:t>
            </w:r>
            <w:r w:rsidRPr="005F5406">
              <w:rPr>
                <w:noProof/>
                <w:sz w:val="18"/>
              </w:rPr>
              <w:t>veids</w:t>
            </w:r>
          </w:p>
        </w:tc>
        <w:tc>
          <w:tcPr>
            <w:tcW w:w="4440" w:type="dxa"/>
            <w:gridSpan w:val="4"/>
            <w:vAlign w:val="center"/>
          </w:tcPr>
          <w:p w:rsidR="004315C6" w:rsidRPr="005F5406" w:rsidRDefault="004315C6" w:rsidP="002951F9">
            <w:pPr>
              <w:spacing w:before="60" w:after="60"/>
              <w:jc w:val="center"/>
              <w:rPr>
                <w:noProof/>
                <w:sz w:val="22"/>
              </w:rPr>
            </w:pPr>
            <w:r w:rsidRPr="005F5406">
              <w:rPr>
                <w:noProof/>
                <w:sz w:val="20"/>
              </w:rPr>
              <w:t xml:space="preserve">Iemaksas </w:t>
            </w:r>
          </w:p>
        </w:tc>
      </w:tr>
      <w:tr w:rsidR="007F4FF3" w:rsidRPr="005F5406" w:rsidTr="002951F9">
        <w:tc>
          <w:tcPr>
            <w:tcW w:w="1080" w:type="dxa"/>
            <w:vMerge/>
            <w:vAlign w:val="center"/>
          </w:tcPr>
          <w:p w:rsidR="004315C6" w:rsidRPr="005F5406" w:rsidRDefault="004315C6" w:rsidP="002951F9">
            <w:pPr>
              <w:jc w:val="center"/>
              <w:rPr>
                <w:noProof/>
                <w:sz w:val="22"/>
              </w:rPr>
            </w:pPr>
          </w:p>
        </w:tc>
        <w:tc>
          <w:tcPr>
            <w:tcW w:w="3960" w:type="dxa"/>
            <w:vAlign w:val="center"/>
          </w:tcPr>
          <w:p w:rsidR="004315C6" w:rsidRPr="005F5406" w:rsidRDefault="004315C6" w:rsidP="002951F9">
            <w:pPr>
              <w:rPr>
                <w:noProof/>
                <w:sz w:val="22"/>
              </w:rPr>
            </w:pPr>
            <w:proofErr w:type="spellStart"/>
            <w:r w:rsidRPr="005F5406">
              <w:t>Nr.</w:t>
            </w:r>
            <w:r w:rsidRPr="005F5406">
              <w:rPr>
                <w:noProof/>
                <w:sz w:val="20"/>
              </w:rPr>
              <w:t>[Izdevumu</w:t>
            </w:r>
            <w:proofErr w:type="spellEnd"/>
            <w:r w:rsidRPr="005F5406">
              <w:rPr>
                <w:noProof/>
                <w:sz w:val="20"/>
              </w:rPr>
              <w:t xml:space="preserve"> kategorija…...….]</w:t>
            </w:r>
          </w:p>
        </w:tc>
        <w:tc>
          <w:tcPr>
            <w:tcW w:w="1080" w:type="dxa"/>
            <w:vAlign w:val="center"/>
          </w:tcPr>
          <w:p w:rsidR="004315C6" w:rsidRPr="005F5406" w:rsidRDefault="004315C6" w:rsidP="002951F9">
            <w:pPr>
              <w:jc w:val="center"/>
              <w:rPr>
                <w:noProof/>
                <w:sz w:val="22"/>
              </w:rPr>
            </w:pPr>
            <w:r w:rsidRPr="005F5406">
              <w:rPr>
                <w:noProof/>
                <w:sz w:val="18"/>
              </w:rPr>
              <w:t>Dif./nedif.</w:t>
            </w:r>
          </w:p>
        </w:tc>
        <w:tc>
          <w:tcPr>
            <w:tcW w:w="956" w:type="dxa"/>
            <w:vAlign w:val="center"/>
          </w:tcPr>
          <w:p w:rsidR="004315C6" w:rsidRPr="005F5406" w:rsidRDefault="004315C6" w:rsidP="002951F9">
            <w:pPr>
              <w:jc w:val="center"/>
              <w:rPr>
                <w:noProof/>
                <w:sz w:val="18"/>
              </w:rPr>
            </w:pPr>
            <w:r w:rsidRPr="005F5406">
              <w:rPr>
                <w:noProof/>
                <w:sz w:val="18"/>
              </w:rPr>
              <w:t>no EBTA valstīm</w:t>
            </w:r>
          </w:p>
        </w:tc>
        <w:tc>
          <w:tcPr>
            <w:tcW w:w="1080" w:type="dxa"/>
            <w:vAlign w:val="center"/>
          </w:tcPr>
          <w:p w:rsidR="004315C6" w:rsidRPr="005F5406" w:rsidRDefault="004315C6" w:rsidP="002951F9">
            <w:pPr>
              <w:jc w:val="center"/>
              <w:rPr>
                <w:noProof/>
                <w:sz w:val="18"/>
              </w:rPr>
            </w:pPr>
            <w:r w:rsidRPr="005F5406">
              <w:rPr>
                <w:noProof/>
                <w:sz w:val="18"/>
              </w:rPr>
              <w:t>no kandidātvalstīm</w:t>
            </w:r>
          </w:p>
        </w:tc>
        <w:tc>
          <w:tcPr>
            <w:tcW w:w="956" w:type="dxa"/>
            <w:vAlign w:val="center"/>
          </w:tcPr>
          <w:p w:rsidR="004315C6" w:rsidRPr="005F5406" w:rsidRDefault="004315C6" w:rsidP="002951F9">
            <w:pPr>
              <w:jc w:val="center"/>
              <w:rPr>
                <w:noProof/>
                <w:sz w:val="18"/>
              </w:rPr>
            </w:pPr>
            <w:r w:rsidRPr="005F5406">
              <w:rPr>
                <w:noProof/>
                <w:sz w:val="18"/>
              </w:rPr>
              <w:t>no trešām valstīm</w:t>
            </w:r>
          </w:p>
        </w:tc>
        <w:tc>
          <w:tcPr>
            <w:tcW w:w="1448" w:type="dxa"/>
            <w:vAlign w:val="center"/>
          </w:tcPr>
          <w:p w:rsidR="004315C6" w:rsidRPr="005F5406" w:rsidRDefault="004315C6" w:rsidP="002951F9">
            <w:pPr>
              <w:jc w:val="center"/>
              <w:rPr>
                <w:noProof/>
                <w:sz w:val="22"/>
              </w:rPr>
            </w:pPr>
            <w:r w:rsidRPr="005F5406">
              <w:rPr>
                <w:noProof/>
                <w:sz w:val="16"/>
              </w:rPr>
              <w:t xml:space="preserve">Finanšu regulas </w:t>
            </w:r>
            <w:r w:rsidRPr="003752EA">
              <w:rPr>
                <w:noProof/>
                <w:sz w:val="16"/>
              </w:rPr>
              <w:t>21</w:t>
            </w:r>
            <w:r w:rsidRPr="005F5406">
              <w:rPr>
                <w:noProof/>
                <w:sz w:val="16"/>
              </w:rPr>
              <w:t xml:space="preserve">. panta </w:t>
            </w:r>
            <w:r w:rsidRPr="003752EA">
              <w:rPr>
                <w:noProof/>
                <w:sz w:val="16"/>
              </w:rPr>
              <w:t>2</w:t>
            </w:r>
            <w:r w:rsidRPr="005F5406">
              <w:rPr>
                <w:noProof/>
                <w:sz w:val="16"/>
              </w:rPr>
              <w:t xml:space="preserve">. punkta b) apakšpunkta nozīmē </w:t>
            </w:r>
          </w:p>
        </w:tc>
      </w:tr>
      <w:tr w:rsidR="007F4FF3" w:rsidRPr="005F5406" w:rsidTr="002951F9">
        <w:tc>
          <w:tcPr>
            <w:tcW w:w="1080" w:type="dxa"/>
            <w:vAlign w:val="center"/>
          </w:tcPr>
          <w:p w:rsidR="004315C6" w:rsidRPr="005F5406" w:rsidRDefault="004315C6" w:rsidP="002951F9">
            <w:pPr>
              <w:jc w:val="center"/>
              <w:rPr>
                <w:noProof/>
                <w:sz w:val="22"/>
              </w:rPr>
            </w:pPr>
          </w:p>
        </w:tc>
        <w:tc>
          <w:tcPr>
            <w:tcW w:w="3960" w:type="dxa"/>
            <w:vAlign w:val="center"/>
          </w:tcPr>
          <w:p w:rsidR="004315C6" w:rsidRPr="005F5406" w:rsidRDefault="004315C6" w:rsidP="002951F9">
            <w:pPr>
              <w:spacing w:before="60"/>
              <w:rPr>
                <w:noProof/>
                <w:sz w:val="22"/>
              </w:rPr>
            </w:pPr>
            <w:r w:rsidRPr="005F5406">
              <w:rPr>
                <w:noProof/>
                <w:sz w:val="22"/>
              </w:rPr>
              <w:t>[XX.YY.YY.YY.]</w:t>
            </w:r>
          </w:p>
          <w:p w:rsidR="004315C6" w:rsidRPr="005F5406" w:rsidRDefault="004315C6" w:rsidP="002951F9">
            <w:pPr>
              <w:spacing w:after="60"/>
              <w:rPr>
                <w:noProof/>
                <w:sz w:val="22"/>
              </w:rPr>
            </w:pPr>
          </w:p>
        </w:tc>
        <w:tc>
          <w:tcPr>
            <w:tcW w:w="1080" w:type="dxa"/>
            <w:vAlign w:val="center"/>
          </w:tcPr>
          <w:p w:rsidR="004315C6" w:rsidRPr="005F5406" w:rsidRDefault="004315C6" w:rsidP="002951F9">
            <w:pPr>
              <w:jc w:val="center"/>
              <w:rPr>
                <w:noProof/>
                <w:sz w:val="22"/>
              </w:rPr>
            </w:pPr>
          </w:p>
        </w:tc>
        <w:tc>
          <w:tcPr>
            <w:tcW w:w="956" w:type="dxa"/>
            <w:vAlign w:val="center"/>
          </w:tcPr>
          <w:p w:rsidR="004315C6" w:rsidRPr="005F5406" w:rsidRDefault="004315C6" w:rsidP="002951F9">
            <w:pPr>
              <w:jc w:val="center"/>
              <w:rPr>
                <w:noProof/>
                <w:sz w:val="22"/>
              </w:rPr>
            </w:pPr>
            <w:r w:rsidRPr="005F5406">
              <w:rPr>
                <w:noProof/>
                <w:sz w:val="22"/>
              </w:rPr>
              <w:t>JĀ/NĒ</w:t>
            </w:r>
          </w:p>
        </w:tc>
        <w:tc>
          <w:tcPr>
            <w:tcW w:w="1080" w:type="dxa"/>
            <w:vAlign w:val="center"/>
          </w:tcPr>
          <w:p w:rsidR="004315C6" w:rsidRPr="005F5406" w:rsidRDefault="004315C6" w:rsidP="002951F9">
            <w:pPr>
              <w:jc w:val="center"/>
              <w:rPr>
                <w:noProof/>
                <w:sz w:val="18"/>
              </w:rPr>
            </w:pPr>
            <w:r w:rsidRPr="005F5406">
              <w:rPr>
                <w:noProof/>
                <w:sz w:val="22"/>
              </w:rPr>
              <w:t>JĀ/NĒ</w:t>
            </w:r>
          </w:p>
        </w:tc>
        <w:tc>
          <w:tcPr>
            <w:tcW w:w="956" w:type="dxa"/>
            <w:vAlign w:val="center"/>
          </w:tcPr>
          <w:p w:rsidR="004315C6" w:rsidRPr="005F5406" w:rsidRDefault="004315C6" w:rsidP="002951F9">
            <w:pPr>
              <w:jc w:val="center"/>
              <w:rPr>
                <w:noProof/>
                <w:sz w:val="18"/>
              </w:rPr>
            </w:pPr>
            <w:r w:rsidRPr="005F5406">
              <w:rPr>
                <w:noProof/>
                <w:sz w:val="22"/>
              </w:rPr>
              <w:t>JĀ/NĒ</w:t>
            </w:r>
          </w:p>
        </w:tc>
        <w:tc>
          <w:tcPr>
            <w:tcW w:w="1448" w:type="dxa"/>
            <w:vAlign w:val="center"/>
          </w:tcPr>
          <w:p w:rsidR="004315C6" w:rsidRPr="005F5406" w:rsidRDefault="004315C6" w:rsidP="002951F9">
            <w:pPr>
              <w:jc w:val="center"/>
              <w:rPr>
                <w:noProof/>
                <w:sz w:val="22"/>
              </w:rPr>
            </w:pPr>
            <w:r w:rsidRPr="005F5406">
              <w:rPr>
                <w:noProof/>
                <w:sz w:val="22"/>
              </w:rPr>
              <w:t>JĀ/NĒ</w:t>
            </w:r>
          </w:p>
        </w:tc>
      </w:tr>
    </w:tbl>
    <w:p w:rsidR="004315C6" w:rsidRPr="005F5406" w:rsidRDefault="004315C6" w:rsidP="004315C6">
      <w:pPr>
        <w:rPr>
          <w:noProof/>
        </w:rPr>
        <w:sectPr w:rsidR="004315C6" w:rsidRPr="005F5406" w:rsidSect="00D23D9E">
          <w:pgSz w:w="11907" w:h="16840" w:code="1"/>
          <w:pgMar w:top="1134" w:right="1418" w:bottom="1134" w:left="1418" w:header="709" w:footer="709" w:gutter="0"/>
          <w:cols w:space="708"/>
          <w:docGrid w:linePitch="360"/>
        </w:sectPr>
      </w:pPr>
    </w:p>
    <w:p w:rsidR="004315C6" w:rsidRPr="005F5406" w:rsidRDefault="004315C6" w:rsidP="00E12A59">
      <w:pPr>
        <w:pStyle w:val="Heading2"/>
        <w:numPr>
          <w:ilvl w:val="1"/>
          <w:numId w:val="11"/>
        </w:numPr>
        <w:rPr>
          <w:bCs w:val="0"/>
          <w:noProof/>
          <w:szCs w:val="24"/>
        </w:rPr>
      </w:pPr>
      <w:r w:rsidRPr="005F5406">
        <w:lastRenderedPageBreak/>
        <w:t xml:space="preserve">Paredzamā ietekme uz izdevumiem </w:t>
      </w:r>
    </w:p>
    <w:p w:rsidR="004315C6" w:rsidRPr="005F5406" w:rsidRDefault="004315C6" w:rsidP="00E12A59">
      <w:pPr>
        <w:pStyle w:val="Heading3"/>
        <w:numPr>
          <w:ilvl w:val="2"/>
          <w:numId w:val="11"/>
        </w:numPr>
        <w:rPr>
          <w:noProof/>
          <w:u w:val="single"/>
        </w:rPr>
      </w:pPr>
      <w:r w:rsidRPr="005F5406">
        <w:t xml:space="preserve">Kopsavilkums par paredzamo ietekmi uz izdevumiem </w:t>
      </w:r>
    </w:p>
    <w:p w:rsidR="004315C6" w:rsidRPr="005F5406" w:rsidRDefault="004315C6" w:rsidP="004315C6">
      <w:pPr>
        <w:jc w:val="right"/>
        <w:rPr>
          <w:noProof/>
          <w:sz w:val="20"/>
        </w:rPr>
      </w:pPr>
      <w:r w:rsidRPr="005F5406">
        <w:rPr>
          <w:noProof/>
          <w:sz w:val="20"/>
        </w:rPr>
        <w:t>EUR miljonos (trīs zīmes aiz komata)</w:t>
      </w:r>
    </w:p>
    <w:p w:rsidR="004315C6" w:rsidRPr="005F5406" w:rsidRDefault="004315C6" w:rsidP="004315C6">
      <w:pPr>
        <w:rPr>
          <w:noProof/>
          <w:sz w:val="16"/>
        </w:rPr>
      </w:pPr>
    </w:p>
    <w:tbl>
      <w:tblPr>
        <w:tblW w:w="1184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54"/>
        <w:gridCol w:w="868"/>
        <w:gridCol w:w="868"/>
        <w:gridCol w:w="868"/>
        <w:gridCol w:w="1483"/>
        <w:gridCol w:w="1701"/>
      </w:tblGrid>
      <w:tr w:rsidR="007F4FF3" w:rsidRPr="005F5406" w:rsidTr="002951F9">
        <w:tc>
          <w:tcPr>
            <w:tcW w:w="3960" w:type="dxa"/>
            <w:vAlign w:val="center"/>
          </w:tcPr>
          <w:p w:rsidR="004315C6" w:rsidRPr="005F5406" w:rsidRDefault="004315C6" w:rsidP="002951F9">
            <w:pPr>
              <w:jc w:val="center"/>
              <w:rPr>
                <w:noProof/>
                <w:sz w:val="22"/>
              </w:rPr>
            </w:pPr>
            <w:r w:rsidRPr="005F5406">
              <w:rPr>
                <w:noProof/>
                <w:sz w:val="22"/>
              </w:rPr>
              <w:t>ĢD: CLIMA</w:t>
            </w:r>
          </w:p>
        </w:tc>
        <w:tc>
          <w:tcPr>
            <w:tcW w:w="1362" w:type="dxa"/>
          </w:tcPr>
          <w:p w:rsidR="004315C6" w:rsidRPr="005F5406" w:rsidRDefault="004315C6" w:rsidP="002951F9">
            <w:pPr>
              <w:rPr>
                <w:noProof/>
                <w:sz w:val="20"/>
              </w:rPr>
            </w:pPr>
          </w:p>
        </w:tc>
        <w:tc>
          <w:tcPr>
            <w:tcW w:w="732" w:type="dxa"/>
            <w:gridSpan w:val="2"/>
          </w:tcPr>
          <w:p w:rsidR="004315C6" w:rsidRPr="005F5406" w:rsidRDefault="004315C6" w:rsidP="002951F9">
            <w:pPr>
              <w:jc w:val="center"/>
              <w:rPr>
                <w:noProof/>
                <w:sz w:val="20"/>
              </w:rPr>
            </w:pPr>
          </w:p>
        </w:tc>
        <w:tc>
          <w:tcPr>
            <w:tcW w:w="868" w:type="dxa"/>
            <w:vAlign w:val="center"/>
          </w:tcPr>
          <w:p w:rsidR="004315C6" w:rsidRPr="005F5406" w:rsidRDefault="004315C6" w:rsidP="002951F9">
            <w:pPr>
              <w:jc w:val="center"/>
              <w:rPr>
                <w:b/>
                <w:noProof/>
                <w:sz w:val="20"/>
              </w:rPr>
            </w:pPr>
            <w:r w:rsidRPr="003752EA">
              <w:rPr>
                <w:b/>
                <w:noProof/>
                <w:sz w:val="20"/>
              </w:rPr>
              <w:t>2018</w:t>
            </w:r>
            <w:r w:rsidRPr="005F5406">
              <w:rPr>
                <w:rStyle w:val="FootnoteReference"/>
                <w:b/>
                <w:noProof/>
                <w:sz w:val="20"/>
              </w:rPr>
              <w:footnoteReference w:id="28"/>
            </w:r>
          </w:p>
        </w:tc>
        <w:tc>
          <w:tcPr>
            <w:tcW w:w="868" w:type="dxa"/>
            <w:vAlign w:val="center"/>
          </w:tcPr>
          <w:p w:rsidR="004315C6" w:rsidRPr="005F5406" w:rsidRDefault="004315C6" w:rsidP="002951F9">
            <w:pPr>
              <w:jc w:val="center"/>
              <w:rPr>
                <w:b/>
                <w:noProof/>
                <w:sz w:val="20"/>
              </w:rPr>
            </w:pPr>
            <w:r w:rsidRPr="003752EA">
              <w:rPr>
                <w:b/>
                <w:noProof/>
                <w:sz w:val="20"/>
              </w:rPr>
              <w:t>2019</w:t>
            </w:r>
          </w:p>
        </w:tc>
        <w:tc>
          <w:tcPr>
            <w:tcW w:w="868" w:type="dxa"/>
            <w:vAlign w:val="center"/>
          </w:tcPr>
          <w:p w:rsidR="004315C6" w:rsidRPr="005F5406" w:rsidRDefault="004315C6" w:rsidP="002951F9">
            <w:pPr>
              <w:jc w:val="center"/>
              <w:rPr>
                <w:b/>
                <w:noProof/>
                <w:sz w:val="20"/>
              </w:rPr>
            </w:pPr>
            <w:r w:rsidRPr="003752EA">
              <w:rPr>
                <w:b/>
                <w:noProof/>
                <w:sz w:val="20"/>
              </w:rPr>
              <w:t>2020</w:t>
            </w:r>
          </w:p>
        </w:tc>
        <w:tc>
          <w:tcPr>
            <w:tcW w:w="1483" w:type="dxa"/>
            <w:vAlign w:val="center"/>
          </w:tcPr>
          <w:p w:rsidR="004315C6" w:rsidRPr="005F5406" w:rsidRDefault="004315C6" w:rsidP="002951F9">
            <w:pPr>
              <w:jc w:val="center"/>
              <w:rPr>
                <w:b/>
                <w:noProof/>
                <w:sz w:val="20"/>
              </w:rPr>
            </w:pPr>
            <w:r w:rsidRPr="003752EA">
              <w:rPr>
                <w:b/>
                <w:noProof/>
                <w:sz w:val="20"/>
              </w:rPr>
              <w:t>2021</w:t>
            </w:r>
            <w:r w:rsidRPr="005F5406">
              <w:rPr>
                <w:b/>
                <w:noProof/>
                <w:sz w:val="20"/>
              </w:rPr>
              <w:t>. un turpmākie gadi</w:t>
            </w:r>
          </w:p>
        </w:tc>
        <w:tc>
          <w:tcPr>
            <w:tcW w:w="1701" w:type="dxa"/>
            <w:vAlign w:val="center"/>
          </w:tcPr>
          <w:p w:rsidR="004315C6" w:rsidRPr="005F5406" w:rsidRDefault="004315C6" w:rsidP="002951F9">
            <w:pPr>
              <w:jc w:val="center"/>
              <w:rPr>
                <w:b/>
                <w:noProof/>
                <w:sz w:val="20"/>
              </w:rPr>
            </w:pPr>
            <w:r w:rsidRPr="005F5406">
              <w:rPr>
                <w:b/>
                <w:noProof/>
                <w:sz w:val="20"/>
              </w:rPr>
              <w:t>KOPĀ</w:t>
            </w:r>
          </w:p>
        </w:tc>
      </w:tr>
      <w:tr w:rsidR="007F4FF3" w:rsidRPr="005F5406" w:rsidTr="002951F9">
        <w:trPr>
          <w:trHeight w:val="391"/>
        </w:trPr>
        <w:tc>
          <w:tcPr>
            <w:tcW w:w="3960" w:type="dxa"/>
            <w:vMerge w:val="restart"/>
            <w:vAlign w:val="center"/>
          </w:tcPr>
          <w:p w:rsidR="004315C6" w:rsidRPr="005F5406" w:rsidRDefault="004315C6" w:rsidP="002951F9">
            <w:pPr>
              <w:rPr>
                <w:noProof/>
                <w:sz w:val="22"/>
              </w:rPr>
            </w:pPr>
            <w:r w:rsidRPr="005F5406">
              <w:rPr>
                <w:noProof/>
                <w:sz w:val="20"/>
              </w:rPr>
              <w:t xml:space="preserve">Budžeta pozīcija </w:t>
            </w:r>
            <w:r w:rsidRPr="003752EA">
              <w:rPr>
                <w:noProof/>
                <w:sz w:val="20"/>
              </w:rPr>
              <w:t>34</w:t>
            </w:r>
            <w:r w:rsidRPr="005F5406">
              <w:rPr>
                <w:noProof/>
                <w:sz w:val="20"/>
              </w:rPr>
              <w:t> </w:t>
            </w:r>
            <w:r w:rsidRPr="003752EA">
              <w:rPr>
                <w:noProof/>
                <w:sz w:val="20"/>
              </w:rPr>
              <w:t>02</w:t>
            </w:r>
            <w:r w:rsidRPr="005F5406">
              <w:rPr>
                <w:noProof/>
                <w:sz w:val="20"/>
              </w:rPr>
              <w:t> </w:t>
            </w:r>
            <w:r w:rsidRPr="003752EA">
              <w:rPr>
                <w:noProof/>
                <w:sz w:val="20"/>
              </w:rPr>
              <w:t>01</w:t>
            </w: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Saistības</w:t>
            </w:r>
          </w:p>
        </w:tc>
        <w:tc>
          <w:tcPr>
            <w:tcW w:w="654" w:type="dxa"/>
            <w:vAlign w:val="center"/>
          </w:tcPr>
          <w:p w:rsidR="004315C6" w:rsidRPr="005F5406" w:rsidRDefault="004315C6" w:rsidP="002951F9">
            <w:pPr>
              <w:spacing w:beforeLines="20" w:before="48" w:afterLines="20" w:after="48"/>
              <w:jc w:val="center"/>
              <w:rPr>
                <w:noProof/>
                <w:sz w:val="18"/>
              </w:rPr>
            </w:pPr>
            <w:r w:rsidRPr="005F5406">
              <w:rPr>
                <w:noProof/>
                <w:sz w:val="18"/>
              </w:rPr>
              <w:t>(</w:t>
            </w:r>
            <w:r w:rsidRPr="003752EA">
              <w:rPr>
                <w:noProof/>
                <w:sz w:val="18"/>
              </w:rPr>
              <w:t>1</w:t>
            </w:r>
            <w:r w:rsidRPr="005F5406">
              <w:rPr>
                <w:noProof/>
                <w:sz w:val="18"/>
              </w:rPr>
              <w:t>)</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750</w:t>
            </w:r>
          </w:p>
        </w:tc>
        <w:tc>
          <w:tcPr>
            <w:tcW w:w="868" w:type="dxa"/>
          </w:tcPr>
          <w:p w:rsidR="004315C6" w:rsidRPr="005F5406" w:rsidRDefault="004315C6" w:rsidP="002951F9">
            <w:pPr>
              <w:spacing w:beforeLines="20" w:before="48" w:afterLines="20" w:after="48"/>
              <w:rPr>
                <w:noProof/>
                <w:sz w:val="18"/>
              </w:rPr>
            </w:pPr>
            <w:r w:rsidRPr="005F5406">
              <w:rPr>
                <w:noProof/>
                <w:sz w:val="18"/>
              </w:rPr>
              <w:t>NA</w:t>
            </w:r>
          </w:p>
        </w:tc>
        <w:tc>
          <w:tcPr>
            <w:tcW w:w="868" w:type="dxa"/>
          </w:tcPr>
          <w:p w:rsidR="004315C6" w:rsidRPr="005F5406" w:rsidRDefault="004315C6" w:rsidP="002951F9">
            <w:pPr>
              <w:spacing w:beforeLines="20" w:before="48" w:afterLines="20" w:after="48"/>
              <w:rPr>
                <w:noProof/>
                <w:sz w:val="18"/>
              </w:rPr>
            </w:pPr>
            <w:r w:rsidRPr="005F5406">
              <w:rPr>
                <w:noProof/>
                <w:sz w:val="18"/>
              </w:rPr>
              <w:t>NA</w:t>
            </w:r>
          </w:p>
        </w:tc>
        <w:tc>
          <w:tcPr>
            <w:tcW w:w="1483" w:type="dxa"/>
          </w:tcPr>
          <w:p w:rsidR="004315C6" w:rsidRPr="005F5406" w:rsidRDefault="004315C6" w:rsidP="002951F9">
            <w:pPr>
              <w:spacing w:beforeLines="20" w:before="48" w:afterLines="20" w:after="48"/>
              <w:rPr>
                <w:noProof/>
                <w:sz w:val="18"/>
              </w:rPr>
            </w:pPr>
            <w:r w:rsidRPr="005F5406">
              <w:rPr>
                <w:noProof/>
                <w:sz w:val="18"/>
              </w:rPr>
              <w:t>NA</w:t>
            </w:r>
          </w:p>
        </w:tc>
        <w:tc>
          <w:tcPr>
            <w:tcW w:w="1701" w:type="dxa"/>
            <w:shd w:val="clear" w:color="auto" w:fill="auto"/>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750</w:t>
            </w:r>
          </w:p>
        </w:tc>
      </w:tr>
      <w:tr w:rsidR="007F4FF3" w:rsidRPr="005F5406" w:rsidTr="002951F9">
        <w:tc>
          <w:tcPr>
            <w:tcW w:w="3960" w:type="dxa"/>
            <w:vMerge/>
          </w:tcPr>
          <w:p w:rsidR="004315C6" w:rsidRPr="005F5406" w:rsidRDefault="004315C6" w:rsidP="002951F9">
            <w:pPr>
              <w:jc w:val="center"/>
              <w:rPr>
                <w:noProof/>
                <w:sz w:val="20"/>
              </w:rPr>
            </w:pP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Maksājumi</w:t>
            </w:r>
          </w:p>
        </w:tc>
        <w:tc>
          <w:tcPr>
            <w:tcW w:w="654" w:type="dxa"/>
            <w:vAlign w:val="center"/>
          </w:tcPr>
          <w:p w:rsidR="004315C6" w:rsidRPr="005F5406" w:rsidRDefault="004315C6" w:rsidP="002951F9">
            <w:pPr>
              <w:spacing w:beforeLines="20" w:before="48" w:afterLines="20" w:after="48"/>
              <w:jc w:val="center"/>
              <w:rPr>
                <w:noProof/>
                <w:sz w:val="18"/>
              </w:rPr>
            </w:pPr>
            <w:r w:rsidRPr="005F5406">
              <w:rPr>
                <w:noProof/>
                <w:sz w:val="18"/>
              </w:rPr>
              <w:t>(</w:t>
            </w:r>
            <w:r w:rsidRPr="003752EA">
              <w:rPr>
                <w:noProof/>
                <w:sz w:val="18"/>
              </w:rPr>
              <w:t>2</w:t>
            </w:r>
            <w:r w:rsidRPr="005F5406">
              <w:rPr>
                <w:noProof/>
                <w:sz w:val="18"/>
              </w:rPr>
              <w:t>)</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250</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500</w:t>
            </w:r>
          </w:p>
        </w:tc>
        <w:tc>
          <w:tcPr>
            <w:tcW w:w="868" w:type="dxa"/>
          </w:tcPr>
          <w:p w:rsidR="004315C6" w:rsidRPr="005F5406" w:rsidRDefault="004315C6" w:rsidP="002951F9">
            <w:pPr>
              <w:spacing w:beforeLines="20" w:before="48" w:afterLines="20" w:after="48"/>
              <w:rPr>
                <w:noProof/>
                <w:sz w:val="18"/>
              </w:rPr>
            </w:pPr>
            <w:r w:rsidRPr="005F5406">
              <w:rPr>
                <w:noProof/>
                <w:sz w:val="18"/>
              </w:rPr>
              <w:t>NA</w:t>
            </w:r>
          </w:p>
        </w:tc>
        <w:tc>
          <w:tcPr>
            <w:tcW w:w="1483" w:type="dxa"/>
          </w:tcPr>
          <w:p w:rsidR="004315C6" w:rsidRPr="005F5406" w:rsidRDefault="004315C6" w:rsidP="002951F9">
            <w:pPr>
              <w:spacing w:beforeLines="20" w:before="48" w:afterLines="20" w:after="48"/>
              <w:rPr>
                <w:noProof/>
                <w:sz w:val="18"/>
              </w:rPr>
            </w:pPr>
            <w:r w:rsidRPr="005F5406">
              <w:rPr>
                <w:noProof/>
                <w:sz w:val="18"/>
              </w:rPr>
              <w:t>NA</w:t>
            </w:r>
          </w:p>
        </w:tc>
        <w:tc>
          <w:tcPr>
            <w:tcW w:w="1701"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750</w:t>
            </w:r>
          </w:p>
        </w:tc>
      </w:tr>
      <w:tr w:rsidR="007F4FF3" w:rsidRPr="005F5406" w:rsidTr="002951F9">
        <w:trPr>
          <w:trHeight w:val="319"/>
        </w:trPr>
        <w:tc>
          <w:tcPr>
            <w:tcW w:w="3960" w:type="dxa"/>
            <w:vMerge w:val="restart"/>
            <w:vAlign w:val="center"/>
          </w:tcPr>
          <w:p w:rsidR="004315C6" w:rsidRPr="005F5406" w:rsidRDefault="004315C6" w:rsidP="002951F9">
            <w:pPr>
              <w:spacing w:before="60" w:after="60"/>
              <w:rPr>
                <w:noProof/>
                <w:sz w:val="22"/>
              </w:rPr>
            </w:pPr>
            <w:r w:rsidRPr="005F5406">
              <w:rPr>
                <w:noProof/>
                <w:sz w:val="20"/>
              </w:rPr>
              <w:t xml:space="preserve">Budžeta pozīcija </w:t>
            </w:r>
            <w:r w:rsidRPr="003752EA">
              <w:rPr>
                <w:noProof/>
                <w:sz w:val="20"/>
              </w:rPr>
              <w:t>34</w:t>
            </w:r>
            <w:r w:rsidRPr="005F5406">
              <w:rPr>
                <w:noProof/>
                <w:sz w:val="20"/>
              </w:rPr>
              <w:t xml:space="preserve"> </w:t>
            </w:r>
            <w:r w:rsidRPr="003752EA">
              <w:rPr>
                <w:noProof/>
                <w:sz w:val="20"/>
              </w:rPr>
              <w:t>01</w:t>
            </w:r>
            <w:r w:rsidRPr="005F5406">
              <w:rPr>
                <w:noProof/>
                <w:sz w:val="20"/>
              </w:rPr>
              <w:t xml:space="preserve"> </w:t>
            </w:r>
            <w:r w:rsidRPr="003752EA">
              <w:rPr>
                <w:noProof/>
                <w:sz w:val="20"/>
              </w:rPr>
              <w:t>04</w:t>
            </w:r>
            <w:r w:rsidRPr="005F5406">
              <w:rPr>
                <w:noProof/>
                <w:sz w:val="20"/>
              </w:rPr>
              <w:t xml:space="preserve"> </w:t>
            </w:r>
            <w:r w:rsidRPr="003752EA">
              <w:rPr>
                <w:noProof/>
                <w:sz w:val="20"/>
              </w:rPr>
              <w:t>01</w:t>
            </w: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Saistības</w:t>
            </w:r>
          </w:p>
        </w:tc>
        <w:tc>
          <w:tcPr>
            <w:tcW w:w="654" w:type="dxa"/>
            <w:vAlign w:val="center"/>
          </w:tcPr>
          <w:p w:rsidR="004315C6" w:rsidRPr="005F5406" w:rsidRDefault="004315C6" w:rsidP="002951F9">
            <w:pPr>
              <w:spacing w:beforeLines="20" w:before="48" w:afterLines="20" w:after="48"/>
              <w:jc w:val="center"/>
              <w:rPr>
                <w:noProof/>
                <w:sz w:val="18"/>
              </w:rPr>
            </w:pPr>
            <w:r w:rsidRPr="005F5406">
              <w:rPr>
                <w:noProof/>
                <w:sz w:val="18"/>
              </w:rPr>
              <w:t>(</w:t>
            </w:r>
            <w:r w:rsidRPr="003752EA">
              <w:rPr>
                <w:noProof/>
                <w:sz w:val="18"/>
              </w:rPr>
              <w:t>1</w:t>
            </w:r>
            <w:r w:rsidRPr="005F5406">
              <w:rPr>
                <w:noProof/>
                <w:sz w:val="18"/>
              </w:rPr>
              <w:t>a)</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483"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701" w:type="dxa"/>
          </w:tcPr>
          <w:p w:rsidR="004315C6" w:rsidRPr="005F5406" w:rsidRDefault="004315C6" w:rsidP="002951F9">
            <w:pPr>
              <w:spacing w:beforeLines="20" w:before="48" w:afterLines="20" w:after="48"/>
              <w:rPr>
                <w:noProof/>
                <w:sz w:val="18"/>
              </w:rPr>
            </w:pPr>
            <w:r w:rsidRPr="003752EA">
              <w:rPr>
                <w:noProof/>
                <w:sz w:val="18"/>
              </w:rPr>
              <w:t>2</w:t>
            </w:r>
            <w:r w:rsidRPr="005F5406">
              <w:rPr>
                <w:noProof/>
                <w:sz w:val="18"/>
              </w:rPr>
              <w:t>,</w:t>
            </w:r>
            <w:r w:rsidRPr="003752EA">
              <w:rPr>
                <w:noProof/>
                <w:sz w:val="18"/>
              </w:rPr>
              <w:t>7</w:t>
            </w:r>
          </w:p>
        </w:tc>
      </w:tr>
      <w:tr w:rsidR="007F4FF3" w:rsidRPr="005F5406" w:rsidTr="002951F9">
        <w:trPr>
          <w:trHeight w:val="319"/>
        </w:trPr>
        <w:tc>
          <w:tcPr>
            <w:tcW w:w="3960" w:type="dxa"/>
            <w:vMerge/>
            <w:vAlign w:val="center"/>
          </w:tcPr>
          <w:p w:rsidR="004315C6" w:rsidRPr="005F5406" w:rsidRDefault="004315C6" w:rsidP="002951F9">
            <w:pPr>
              <w:spacing w:before="60" w:after="60"/>
              <w:rPr>
                <w:noProof/>
                <w:sz w:val="22"/>
              </w:rPr>
            </w:pP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Maksājumi</w:t>
            </w:r>
          </w:p>
        </w:tc>
        <w:tc>
          <w:tcPr>
            <w:tcW w:w="654" w:type="dxa"/>
            <w:vAlign w:val="center"/>
          </w:tcPr>
          <w:p w:rsidR="004315C6" w:rsidRPr="005F5406" w:rsidRDefault="004315C6" w:rsidP="002951F9">
            <w:pPr>
              <w:spacing w:beforeLines="20" w:before="48" w:afterLines="20" w:after="48"/>
              <w:jc w:val="center"/>
              <w:rPr>
                <w:noProof/>
                <w:sz w:val="18"/>
              </w:rPr>
            </w:pPr>
            <w:r w:rsidRPr="005F5406">
              <w:rPr>
                <w:noProof/>
                <w:sz w:val="18"/>
              </w:rPr>
              <w:t>(</w:t>
            </w:r>
            <w:r w:rsidRPr="003752EA">
              <w:rPr>
                <w:noProof/>
                <w:sz w:val="18"/>
              </w:rPr>
              <w:t>2</w:t>
            </w:r>
            <w:r w:rsidRPr="005F5406">
              <w:rPr>
                <w:noProof/>
                <w:sz w:val="18"/>
              </w:rPr>
              <w:t>a)</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483"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701" w:type="dxa"/>
          </w:tcPr>
          <w:p w:rsidR="004315C6" w:rsidRPr="005F5406" w:rsidRDefault="004315C6" w:rsidP="002951F9">
            <w:pPr>
              <w:spacing w:beforeLines="20" w:before="48" w:afterLines="20" w:after="48"/>
              <w:rPr>
                <w:noProof/>
                <w:sz w:val="18"/>
              </w:rPr>
            </w:pPr>
            <w:r w:rsidRPr="003752EA">
              <w:rPr>
                <w:noProof/>
                <w:sz w:val="18"/>
              </w:rPr>
              <w:t>2</w:t>
            </w:r>
            <w:r w:rsidRPr="005F5406">
              <w:rPr>
                <w:noProof/>
                <w:sz w:val="18"/>
              </w:rPr>
              <w:t>,</w:t>
            </w:r>
            <w:r w:rsidRPr="003752EA">
              <w:rPr>
                <w:noProof/>
                <w:sz w:val="18"/>
              </w:rPr>
              <w:t>7</w:t>
            </w:r>
          </w:p>
        </w:tc>
      </w:tr>
      <w:tr w:rsidR="007F4FF3" w:rsidRPr="005F5406" w:rsidTr="002951F9">
        <w:tc>
          <w:tcPr>
            <w:tcW w:w="3960" w:type="dxa"/>
            <w:vMerge w:val="restart"/>
            <w:vAlign w:val="center"/>
          </w:tcPr>
          <w:p w:rsidR="004315C6" w:rsidRPr="005F5406" w:rsidRDefault="004315C6" w:rsidP="002951F9">
            <w:pPr>
              <w:jc w:val="center"/>
              <w:rPr>
                <w:b/>
                <w:noProof/>
                <w:sz w:val="22"/>
              </w:rPr>
            </w:pPr>
            <w:r w:rsidRPr="005F5406">
              <w:rPr>
                <w:b/>
              </w:rPr>
              <w:t>KOPĀ CLIMA ĢD apropriācijas</w:t>
            </w: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Saistības</w:t>
            </w:r>
          </w:p>
        </w:tc>
        <w:tc>
          <w:tcPr>
            <w:tcW w:w="654" w:type="dxa"/>
            <w:vAlign w:val="center"/>
          </w:tcPr>
          <w:p w:rsidR="004315C6" w:rsidRPr="005F5406" w:rsidRDefault="004315C6" w:rsidP="002951F9">
            <w:pPr>
              <w:spacing w:beforeLines="20" w:before="48" w:afterLines="20" w:after="48"/>
              <w:jc w:val="center"/>
              <w:rPr>
                <w:noProof/>
                <w:sz w:val="18"/>
              </w:rPr>
            </w:pPr>
            <w:r w:rsidRPr="005F5406">
              <w:rPr>
                <w:noProof/>
                <w:sz w:val="18"/>
              </w:rPr>
              <w:t>=</w:t>
            </w:r>
            <w:r w:rsidRPr="003752EA">
              <w:rPr>
                <w:noProof/>
                <w:sz w:val="18"/>
              </w:rPr>
              <w:t>1</w:t>
            </w:r>
            <w:r w:rsidRPr="005F5406">
              <w:rPr>
                <w:noProof/>
                <w:sz w:val="18"/>
              </w:rPr>
              <w:t>+</w:t>
            </w:r>
            <w:r w:rsidRPr="003752EA">
              <w:rPr>
                <w:noProof/>
                <w:sz w:val="18"/>
              </w:rPr>
              <w:t>1</w:t>
            </w:r>
            <w:r w:rsidRPr="005F5406">
              <w:rPr>
                <w:noProof/>
                <w:sz w:val="18"/>
              </w:rPr>
              <w:t>a +</w:t>
            </w:r>
            <w:r w:rsidRPr="003752EA">
              <w:rPr>
                <w:noProof/>
                <w:sz w:val="18"/>
              </w:rPr>
              <w:t>3</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483"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701" w:type="dxa"/>
          </w:tcPr>
          <w:p w:rsidR="004315C6" w:rsidRPr="005F5406" w:rsidRDefault="004315C6" w:rsidP="002951F9">
            <w:pPr>
              <w:spacing w:beforeLines="20" w:before="48" w:afterLines="20" w:after="48"/>
              <w:rPr>
                <w:noProof/>
                <w:sz w:val="18"/>
              </w:rPr>
            </w:pPr>
            <w:r w:rsidRPr="003752EA">
              <w:rPr>
                <w:noProof/>
                <w:sz w:val="18"/>
              </w:rPr>
              <w:t>2</w:t>
            </w:r>
            <w:r w:rsidRPr="005F5406">
              <w:rPr>
                <w:noProof/>
                <w:sz w:val="18"/>
              </w:rPr>
              <w:t>,</w:t>
            </w:r>
            <w:r w:rsidRPr="003752EA">
              <w:rPr>
                <w:noProof/>
                <w:sz w:val="18"/>
              </w:rPr>
              <w:t>7</w:t>
            </w:r>
          </w:p>
        </w:tc>
      </w:tr>
      <w:tr w:rsidR="007F4FF3" w:rsidRPr="005F5406" w:rsidTr="002951F9">
        <w:trPr>
          <w:trHeight w:val="481"/>
        </w:trPr>
        <w:tc>
          <w:tcPr>
            <w:tcW w:w="3960" w:type="dxa"/>
            <w:vMerge/>
          </w:tcPr>
          <w:p w:rsidR="004315C6" w:rsidRPr="005F5406" w:rsidRDefault="004315C6" w:rsidP="002951F9">
            <w:pPr>
              <w:rPr>
                <w:noProof/>
                <w:sz w:val="20"/>
              </w:rPr>
            </w:pP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Maksājumi</w:t>
            </w:r>
          </w:p>
        </w:tc>
        <w:tc>
          <w:tcPr>
            <w:tcW w:w="654" w:type="dxa"/>
            <w:vAlign w:val="center"/>
          </w:tcPr>
          <w:p w:rsidR="004315C6" w:rsidRPr="005F5406" w:rsidRDefault="004315C6" w:rsidP="002951F9">
            <w:pPr>
              <w:spacing w:beforeLines="20" w:before="48" w:afterLines="20" w:after="48"/>
              <w:jc w:val="center"/>
              <w:rPr>
                <w:noProof/>
                <w:sz w:val="18"/>
              </w:rPr>
            </w:pPr>
            <w:r w:rsidRPr="005F5406">
              <w:rPr>
                <w:noProof/>
                <w:sz w:val="18"/>
              </w:rPr>
              <w:t>=</w:t>
            </w:r>
            <w:r w:rsidRPr="003752EA">
              <w:rPr>
                <w:noProof/>
                <w:sz w:val="18"/>
              </w:rPr>
              <w:t>2</w:t>
            </w:r>
            <w:r w:rsidRPr="005F5406">
              <w:rPr>
                <w:noProof/>
                <w:sz w:val="18"/>
              </w:rPr>
              <w:t>+</w:t>
            </w:r>
            <w:r w:rsidRPr="003752EA">
              <w:rPr>
                <w:noProof/>
                <w:sz w:val="18"/>
              </w:rPr>
              <w:t>2</w:t>
            </w:r>
            <w:r w:rsidRPr="005F5406">
              <w:rPr>
                <w:noProof/>
                <w:sz w:val="18"/>
              </w:rPr>
              <w:t>a</w:t>
            </w:r>
          </w:p>
          <w:p w:rsidR="004315C6" w:rsidRPr="005F5406" w:rsidRDefault="004315C6" w:rsidP="002951F9">
            <w:pPr>
              <w:spacing w:beforeLines="20" w:before="48" w:afterLines="20" w:after="48"/>
              <w:jc w:val="center"/>
              <w:rPr>
                <w:noProof/>
                <w:sz w:val="18"/>
              </w:rPr>
            </w:pPr>
            <w:r w:rsidRPr="005F5406">
              <w:rPr>
                <w:noProof/>
                <w:sz w:val="18"/>
              </w:rPr>
              <w:t>+</w:t>
            </w:r>
            <w:r w:rsidRPr="003752EA">
              <w:rPr>
                <w:noProof/>
                <w:sz w:val="18"/>
              </w:rPr>
              <w:t>3</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483"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701" w:type="dxa"/>
          </w:tcPr>
          <w:p w:rsidR="004315C6" w:rsidRPr="005F5406" w:rsidRDefault="004315C6" w:rsidP="002951F9">
            <w:pPr>
              <w:spacing w:beforeLines="20" w:before="48" w:afterLines="20" w:after="48"/>
              <w:rPr>
                <w:noProof/>
                <w:sz w:val="18"/>
              </w:rPr>
            </w:pPr>
            <w:r w:rsidRPr="003752EA">
              <w:rPr>
                <w:noProof/>
                <w:sz w:val="18"/>
              </w:rPr>
              <w:t>2</w:t>
            </w:r>
            <w:r w:rsidRPr="005F5406">
              <w:rPr>
                <w:noProof/>
                <w:sz w:val="18"/>
              </w:rPr>
              <w:t>,</w:t>
            </w:r>
            <w:r w:rsidRPr="003752EA">
              <w:rPr>
                <w:noProof/>
                <w:sz w:val="18"/>
              </w:rPr>
              <w:t>7</w:t>
            </w:r>
          </w:p>
        </w:tc>
      </w:tr>
      <w:tr w:rsidR="007F4FF3" w:rsidRPr="005F5406" w:rsidTr="002951F9">
        <w:trPr>
          <w:trHeight w:val="277"/>
        </w:trPr>
        <w:tc>
          <w:tcPr>
            <w:tcW w:w="3960" w:type="dxa"/>
            <w:vMerge w:val="restart"/>
            <w:vAlign w:val="center"/>
          </w:tcPr>
          <w:p w:rsidR="004315C6" w:rsidRPr="005F5406" w:rsidRDefault="004315C6" w:rsidP="002951F9">
            <w:pPr>
              <w:spacing w:before="20" w:after="20"/>
              <w:rPr>
                <w:noProof/>
                <w:sz w:val="22"/>
              </w:rPr>
            </w:pPr>
            <w:r w:rsidRPr="005F5406">
              <w:br/>
            </w:r>
            <w:r w:rsidRPr="005F5406">
              <w:br w:type="page"/>
            </w:r>
            <w:r w:rsidRPr="005F5406">
              <w:rPr>
                <w:noProof/>
                <w:sz w:val="21"/>
              </w:rPr>
              <w:sym w:font="Wingdings" w:char="F09F"/>
            </w:r>
            <w:r w:rsidRPr="005F5406">
              <w:t>KOPĀ darbības apropriācijas</w:t>
            </w: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Saistības</w:t>
            </w:r>
          </w:p>
        </w:tc>
        <w:tc>
          <w:tcPr>
            <w:tcW w:w="654" w:type="dxa"/>
            <w:vAlign w:val="center"/>
          </w:tcPr>
          <w:p w:rsidR="004315C6" w:rsidRPr="005F5406" w:rsidRDefault="004315C6" w:rsidP="002951F9">
            <w:pPr>
              <w:spacing w:beforeLines="20" w:before="48" w:afterLines="20" w:after="48"/>
              <w:jc w:val="center"/>
              <w:rPr>
                <w:noProof/>
                <w:sz w:val="14"/>
              </w:rPr>
            </w:pPr>
            <w:r w:rsidRPr="005F5406">
              <w:rPr>
                <w:noProof/>
                <w:sz w:val="14"/>
              </w:rPr>
              <w:t>(</w:t>
            </w:r>
            <w:r w:rsidRPr="003752EA">
              <w:rPr>
                <w:noProof/>
                <w:sz w:val="14"/>
              </w:rPr>
              <w:t>4</w:t>
            </w:r>
            <w:r w:rsidRPr="005F5406">
              <w:rPr>
                <w:noProof/>
                <w:sz w:val="14"/>
              </w:rPr>
              <w:t>)</w:t>
            </w:r>
          </w:p>
        </w:tc>
        <w:tc>
          <w:tcPr>
            <w:tcW w:w="868" w:type="dxa"/>
            <w:vAlign w:val="center"/>
          </w:tcPr>
          <w:p w:rsidR="004315C6" w:rsidRPr="005F5406" w:rsidRDefault="004315C6" w:rsidP="002951F9">
            <w:pPr>
              <w:spacing w:before="20" w:after="20"/>
              <w:jc w:val="right"/>
              <w:rPr>
                <w:noProof/>
                <w:sz w:val="20"/>
              </w:rPr>
            </w:pPr>
          </w:p>
        </w:tc>
        <w:tc>
          <w:tcPr>
            <w:tcW w:w="868" w:type="dxa"/>
            <w:vAlign w:val="center"/>
          </w:tcPr>
          <w:p w:rsidR="004315C6" w:rsidRPr="005F5406" w:rsidRDefault="004315C6" w:rsidP="002951F9">
            <w:pPr>
              <w:spacing w:before="20" w:after="20"/>
              <w:jc w:val="right"/>
              <w:rPr>
                <w:noProof/>
                <w:sz w:val="20"/>
              </w:rPr>
            </w:pPr>
          </w:p>
        </w:tc>
        <w:tc>
          <w:tcPr>
            <w:tcW w:w="868" w:type="dxa"/>
            <w:vAlign w:val="center"/>
          </w:tcPr>
          <w:p w:rsidR="004315C6" w:rsidRPr="005F5406" w:rsidRDefault="004315C6" w:rsidP="002951F9">
            <w:pPr>
              <w:spacing w:before="20" w:after="20"/>
              <w:jc w:val="right"/>
              <w:rPr>
                <w:noProof/>
                <w:sz w:val="20"/>
              </w:rPr>
            </w:pPr>
          </w:p>
        </w:tc>
        <w:tc>
          <w:tcPr>
            <w:tcW w:w="1483" w:type="dxa"/>
            <w:vAlign w:val="center"/>
          </w:tcPr>
          <w:p w:rsidR="004315C6" w:rsidRPr="005F5406" w:rsidRDefault="004315C6" w:rsidP="002951F9">
            <w:pPr>
              <w:spacing w:before="20" w:after="20"/>
              <w:jc w:val="right"/>
              <w:rPr>
                <w:noProof/>
                <w:sz w:val="20"/>
              </w:rPr>
            </w:pPr>
          </w:p>
        </w:tc>
        <w:tc>
          <w:tcPr>
            <w:tcW w:w="1701" w:type="dxa"/>
            <w:vAlign w:val="center"/>
          </w:tcPr>
          <w:p w:rsidR="004315C6" w:rsidRPr="005F5406" w:rsidRDefault="004315C6" w:rsidP="002951F9">
            <w:pPr>
              <w:spacing w:before="20" w:after="20"/>
              <w:jc w:val="right"/>
              <w:rPr>
                <w:b/>
                <w:noProof/>
                <w:sz w:val="20"/>
              </w:rPr>
            </w:pPr>
          </w:p>
        </w:tc>
      </w:tr>
      <w:tr w:rsidR="007F4FF3" w:rsidRPr="005F5406" w:rsidTr="002951F9">
        <w:tc>
          <w:tcPr>
            <w:tcW w:w="3960" w:type="dxa"/>
            <w:vMerge/>
          </w:tcPr>
          <w:p w:rsidR="004315C6" w:rsidRPr="005F5406" w:rsidRDefault="004315C6" w:rsidP="002951F9">
            <w:pPr>
              <w:jc w:val="center"/>
              <w:rPr>
                <w:noProof/>
                <w:sz w:val="20"/>
              </w:rPr>
            </w:pPr>
          </w:p>
        </w:tc>
        <w:tc>
          <w:tcPr>
            <w:tcW w:w="1440" w:type="dxa"/>
            <w:gridSpan w:val="2"/>
            <w:vAlign w:val="center"/>
          </w:tcPr>
          <w:p w:rsidR="004315C6" w:rsidRPr="005F5406" w:rsidRDefault="004315C6" w:rsidP="002951F9">
            <w:pPr>
              <w:spacing w:beforeLines="20" w:before="48" w:afterLines="20" w:after="48"/>
              <w:rPr>
                <w:noProof/>
                <w:sz w:val="18"/>
              </w:rPr>
            </w:pPr>
            <w:r w:rsidRPr="005F5406">
              <w:rPr>
                <w:noProof/>
                <w:sz w:val="18"/>
              </w:rPr>
              <w:t>Maksājumi</w:t>
            </w:r>
          </w:p>
        </w:tc>
        <w:tc>
          <w:tcPr>
            <w:tcW w:w="654" w:type="dxa"/>
            <w:vAlign w:val="center"/>
          </w:tcPr>
          <w:p w:rsidR="004315C6" w:rsidRPr="005F5406" w:rsidRDefault="004315C6" w:rsidP="002951F9">
            <w:pPr>
              <w:spacing w:beforeLines="20" w:before="48" w:afterLines="20" w:after="48"/>
              <w:jc w:val="center"/>
              <w:rPr>
                <w:noProof/>
                <w:sz w:val="14"/>
              </w:rPr>
            </w:pPr>
            <w:r w:rsidRPr="005F5406">
              <w:rPr>
                <w:noProof/>
                <w:sz w:val="14"/>
              </w:rPr>
              <w:t>(</w:t>
            </w:r>
            <w:r w:rsidRPr="003752EA">
              <w:rPr>
                <w:noProof/>
                <w:sz w:val="14"/>
              </w:rPr>
              <w:t>5</w:t>
            </w:r>
            <w:r w:rsidRPr="005F5406">
              <w:rPr>
                <w:noProof/>
                <w:sz w:val="14"/>
              </w:rPr>
              <w:t>)</w:t>
            </w:r>
          </w:p>
        </w:tc>
        <w:tc>
          <w:tcPr>
            <w:tcW w:w="868" w:type="dxa"/>
            <w:vAlign w:val="center"/>
          </w:tcPr>
          <w:p w:rsidR="004315C6" w:rsidRPr="005F5406" w:rsidRDefault="004315C6" w:rsidP="002951F9">
            <w:pPr>
              <w:spacing w:before="20" w:after="20"/>
              <w:jc w:val="right"/>
              <w:rPr>
                <w:noProof/>
                <w:sz w:val="20"/>
              </w:rPr>
            </w:pPr>
          </w:p>
        </w:tc>
        <w:tc>
          <w:tcPr>
            <w:tcW w:w="868" w:type="dxa"/>
            <w:vAlign w:val="center"/>
          </w:tcPr>
          <w:p w:rsidR="004315C6" w:rsidRPr="005F5406" w:rsidRDefault="004315C6" w:rsidP="002951F9">
            <w:pPr>
              <w:spacing w:before="20" w:after="20"/>
              <w:jc w:val="right"/>
              <w:rPr>
                <w:noProof/>
                <w:sz w:val="20"/>
              </w:rPr>
            </w:pPr>
          </w:p>
        </w:tc>
        <w:tc>
          <w:tcPr>
            <w:tcW w:w="868" w:type="dxa"/>
            <w:vAlign w:val="center"/>
          </w:tcPr>
          <w:p w:rsidR="004315C6" w:rsidRPr="005F5406" w:rsidRDefault="004315C6" w:rsidP="002951F9">
            <w:pPr>
              <w:spacing w:before="20" w:after="20"/>
              <w:jc w:val="right"/>
              <w:rPr>
                <w:noProof/>
                <w:sz w:val="20"/>
              </w:rPr>
            </w:pPr>
          </w:p>
        </w:tc>
        <w:tc>
          <w:tcPr>
            <w:tcW w:w="1483" w:type="dxa"/>
            <w:vAlign w:val="center"/>
          </w:tcPr>
          <w:p w:rsidR="004315C6" w:rsidRPr="005F5406" w:rsidRDefault="004315C6" w:rsidP="002951F9">
            <w:pPr>
              <w:spacing w:before="20" w:after="20"/>
              <w:jc w:val="right"/>
              <w:rPr>
                <w:noProof/>
                <w:sz w:val="20"/>
              </w:rPr>
            </w:pPr>
          </w:p>
        </w:tc>
        <w:tc>
          <w:tcPr>
            <w:tcW w:w="1701" w:type="dxa"/>
            <w:vAlign w:val="center"/>
          </w:tcPr>
          <w:p w:rsidR="004315C6" w:rsidRPr="005F5406" w:rsidRDefault="004315C6" w:rsidP="002951F9">
            <w:pPr>
              <w:spacing w:before="20" w:after="20"/>
              <w:jc w:val="right"/>
              <w:rPr>
                <w:b/>
                <w:noProof/>
                <w:sz w:val="20"/>
              </w:rPr>
            </w:pPr>
          </w:p>
        </w:tc>
      </w:tr>
      <w:tr w:rsidR="007F4FF3" w:rsidRPr="005F5406" w:rsidTr="002951F9">
        <w:trPr>
          <w:trHeight w:val="533"/>
        </w:trPr>
        <w:tc>
          <w:tcPr>
            <w:tcW w:w="5400" w:type="dxa"/>
            <w:gridSpan w:val="3"/>
            <w:vAlign w:val="center"/>
          </w:tcPr>
          <w:p w:rsidR="004315C6" w:rsidRPr="005F5406" w:rsidRDefault="004315C6" w:rsidP="002951F9">
            <w:pPr>
              <w:spacing w:beforeLines="20" w:before="48" w:afterLines="20" w:after="48"/>
              <w:rPr>
                <w:noProof/>
                <w:sz w:val="22"/>
              </w:rPr>
            </w:pPr>
            <w:r w:rsidRPr="005F5406">
              <w:rPr>
                <w:noProof/>
                <w:sz w:val="21"/>
              </w:rPr>
              <w:sym w:font="Wingdings" w:char="F09F"/>
            </w:r>
            <w:r w:rsidRPr="005F5406">
              <w:t>KOPĀ administratīvās apropriācijas, kas tiek finansētas no konkrētu programmu piešķīrumiem</w:t>
            </w:r>
          </w:p>
        </w:tc>
        <w:tc>
          <w:tcPr>
            <w:tcW w:w="654" w:type="dxa"/>
            <w:vAlign w:val="center"/>
          </w:tcPr>
          <w:p w:rsidR="004315C6" w:rsidRPr="005F5406" w:rsidRDefault="004315C6" w:rsidP="002951F9">
            <w:pPr>
              <w:spacing w:beforeLines="20" w:before="48" w:afterLines="20" w:after="48"/>
              <w:jc w:val="center"/>
              <w:rPr>
                <w:noProof/>
                <w:sz w:val="14"/>
              </w:rPr>
            </w:pPr>
            <w:r w:rsidRPr="005F5406">
              <w:rPr>
                <w:noProof/>
                <w:sz w:val="14"/>
              </w:rPr>
              <w:t>(</w:t>
            </w:r>
            <w:r w:rsidRPr="003752EA">
              <w:rPr>
                <w:noProof/>
                <w:sz w:val="14"/>
              </w:rPr>
              <w:t>6</w:t>
            </w:r>
            <w:r w:rsidRPr="005F5406">
              <w:rPr>
                <w:noProof/>
                <w:sz w:val="14"/>
              </w:rPr>
              <w:t>)</w:t>
            </w:r>
          </w:p>
        </w:tc>
        <w:tc>
          <w:tcPr>
            <w:tcW w:w="868" w:type="dxa"/>
            <w:vAlign w:val="center"/>
          </w:tcPr>
          <w:p w:rsidR="004315C6" w:rsidRPr="005F5406" w:rsidRDefault="004315C6" w:rsidP="002951F9">
            <w:pPr>
              <w:spacing w:before="20" w:after="20"/>
              <w:jc w:val="right"/>
              <w:rPr>
                <w:b/>
                <w:noProof/>
                <w:sz w:val="20"/>
              </w:rPr>
            </w:pPr>
          </w:p>
        </w:tc>
        <w:tc>
          <w:tcPr>
            <w:tcW w:w="868" w:type="dxa"/>
            <w:vAlign w:val="center"/>
          </w:tcPr>
          <w:p w:rsidR="004315C6" w:rsidRPr="005F5406" w:rsidRDefault="004315C6" w:rsidP="002951F9">
            <w:pPr>
              <w:spacing w:before="20" w:after="20"/>
              <w:jc w:val="right"/>
              <w:rPr>
                <w:b/>
                <w:noProof/>
                <w:sz w:val="20"/>
              </w:rPr>
            </w:pPr>
          </w:p>
        </w:tc>
        <w:tc>
          <w:tcPr>
            <w:tcW w:w="868" w:type="dxa"/>
            <w:vAlign w:val="center"/>
          </w:tcPr>
          <w:p w:rsidR="004315C6" w:rsidRPr="005F5406" w:rsidRDefault="004315C6" w:rsidP="002951F9">
            <w:pPr>
              <w:spacing w:before="20" w:after="20"/>
              <w:jc w:val="right"/>
              <w:rPr>
                <w:b/>
                <w:noProof/>
                <w:sz w:val="20"/>
              </w:rPr>
            </w:pPr>
          </w:p>
        </w:tc>
        <w:tc>
          <w:tcPr>
            <w:tcW w:w="1483" w:type="dxa"/>
            <w:vAlign w:val="center"/>
          </w:tcPr>
          <w:p w:rsidR="004315C6" w:rsidRPr="005F5406" w:rsidRDefault="004315C6" w:rsidP="002951F9">
            <w:pPr>
              <w:spacing w:before="20" w:after="20"/>
              <w:jc w:val="right"/>
              <w:rPr>
                <w:b/>
                <w:noProof/>
                <w:sz w:val="20"/>
              </w:rPr>
            </w:pPr>
          </w:p>
        </w:tc>
        <w:tc>
          <w:tcPr>
            <w:tcW w:w="1701" w:type="dxa"/>
            <w:vAlign w:val="center"/>
          </w:tcPr>
          <w:p w:rsidR="004315C6" w:rsidRPr="005F5406" w:rsidRDefault="004315C6" w:rsidP="002951F9">
            <w:pPr>
              <w:spacing w:before="20" w:after="20"/>
              <w:jc w:val="right"/>
              <w:rPr>
                <w:b/>
                <w:noProof/>
                <w:sz w:val="20"/>
              </w:rPr>
            </w:pPr>
          </w:p>
        </w:tc>
      </w:tr>
      <w:tr w:rsidR="007F4FF3" w:rsidRPr="005F5406" w:rsidTr="002951F9">
        <w:tc>
          <w:tcPr>
            <w:tcW w:w="3960" w:type="dxa"/>
            <w:vMerge w:val="restart"/>
            <w:shd w:val="thinDiagStripe" w:color="C0C0C0" w:fill="auto"/>
            <w:vAlign w:val="center"/>
          </w:tcPr>
          <w:p w:rsidR="004315C6" w:rsidRPr="005F5406" w:rsidRDefault="004315C6" w:rsidP="002951F9">
            <w:pPr>
              <w:jc w:val="center"/>
              <w:rPr>
                <w:b/>
                <w:noProof/>
                <w:sz w:val="22"/>
              </w:rPr>
            </w:pPr>
            <w:r w:rsidRPr="005F5406">
              <w:rPr>
                <w:b/>
              </w:rPr>
              <w:t>KOPĀ</w:t>
            </w:r>
            <w:r w:rsidRPr="005F5406">
              <w:t xml:space="preserve"> daudzgadu finanšu shēmas </w:t>
            </w:r>
            <w:r w:rsidRPr="003752EA">
              <w:rPr>
                <w:b/>
              </w:rPr>
              <w:t>2</w:t>
            </w:r>
            <w:r w:rsidRPr="005F5406">
              <w:rPr>
                <w:b/>
              </w:rPr>
              <w:t>. IZDEVUMU KATEGORIJAS apropriācijas</w:t>
            </w:r>
          </w:p>
        </w:tc>
        <w:tc>
          <w:tcPr>
            <w:tcW w:w="1440" w:type="dxa"/>
            <w:gridSpan w:val="2"/>
            <w:vAlign w:val="center"/>
          </w:tcPr>
          <w:p w:rsidR="004315C6" w:rsidRPr="005F5406" w:rsidRDefault="004315C6" w:rsidP="002951F9">
            <w:pPr>
              <w:rPr>
                <w:noProof/>
                <w:sz w:val="18"/>
              </w:rPr>
            </w:pPr>
            <w:r w:rsidRPr="005F5406">
              <w:rPr>
                <w:noProof/>
                <w:sz w:val="18"/>
              </w:rPr>
              <w:t>Saistības</w:t>
            </w:r>
          </w:p>
        </w:tc>
        <w:tc>
          <w:tcPr>
            <w:tcW w:w="654" w:type="dxa"/>
            <w:vAlign w:val="center"/>
          </w:tcPr>
          <w:p w:rsidR="004315C6" w:rsidRPr="005F5406" w:rsidRDefault="004315C6" w:rsidP="002951F9">
            <w:pPr>
              <w:jc w:val="center"/>
              <w:rPr>
                <w:noProof/>
                <w:sz w:val="14"/>
              </w:rPr>
            </w:pPr>
            <w:r w:rsidRPr="005F5406">
              <w:rPr>
                <w:noProof/>
                <w:sz w:val="14"/>
              </w:rPr>
              <w:t>=</w:t>
            </w:r>
            <w:r w:rsidRPr="003752EA">
              <w:rPr>
                <w:noProof/>
                <w:sz w:val="14"/>
              </w:rPr>
              <w:t>4</w:t>
            </w:r>
            <w:r w:rsidRPr="005F5406">
              <w:rPr>
                <w:noProof/>
                <w:sz w:val="14"/>
              </w:rPr>
              <w:t xml:space="preserve">+ </w:t>
            </w:r>
            <w:r w:rsidRPr="003752EA">
              <w:rPr>
                <w:noProof/>
                <w:sz w:val="14"/>
              </w:rPr>
              <w:t>6</w:t>
            </w:r>
          </w:p>
        </w:tc>
        <w:tc>
          <w:tcPr>
            <w:tcW w:w="868" w:type="dxa"/>
          </w:tcPr>
          <w:p w:rsidR="004315C6" w:rsidRPr="005F5406" w:rsidRDefault="004315C6" w:rsidP="002951F9">
            <w:pPr>
              <w:spacing w:beforeLines="20" w:before="48" w:afterLines="20" w:after="48"/>
              <w:rPr>
                <w:noProof/>
                <w:sz w:val="18"/>
              </w:rPr>
            </w:pPr>
            <w:r w:rsidRPr="003752EA">
              <w:rPr>
                <w:noProof/>
                <w:sz w:val="18"/>
              </w:rPr>
              <w:t>1</w:t>
            </w:r>
            <w:r w:rsidRPr="005F5406">
              <w:rPr>
                <w:noProof/>
                <w:sz w:val="18"/>
              </w:rPr>
              <w:t>,</w:t>
            </w:r>
            <w:r w:rsidRPr="003752EA">
              <w:rPr>
                <w:noProof/>
                <w:sz w:val="18"/>
              </w:rPr>
              <w:t>020</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483"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701" w:type="dxa"/>
          </w:tcPr>
          <w:p w:rsidR="004315C6" w:rsidRPr="005F5406" w:rsidRDefault="004315C6" w:rsidP="002951F9">
            <w:pPr>
              <w:spacing w:beforeLines="20" w:before="48" w:afterLines="20" w:after="48"/>
              <w:rPr>
                <w:noProof/>
                <w:sz w:val="18"/>
              </w:rPr>
            </w:pPr>
            <w:r w:rsidRPr="003752EA">
              <w:rPr>
                <w:noProof/>
                <w:sz w:val="18"/>
              </w:rPr>
              <w:t>3</w:t>
            </w:r>
            <w:r w:rsidRPr="005F5406">
              <w:rPr>
                <w:noProof/>
                <w:sz w:val="18"/>
              </w:rPr>
              <w:t>,</w:t>
            </w:r>
            <w:r w:rsidRPr="003752EA">
              <w:rPr>
                <w:noProof/>
                <w:sz w:val="18"/>
              </w:rPr>
              <w:t>450</w:t>
            </w:r>
          </w:p>
        </w:tc>
      </w:tr>
      <w:tr w:rsidR="007F4FF3" w:rsidRPr="005F5406" w:rsidTr="002951F9">
        <w:tc>
          <w:tcPr>
            <w:tcW w:w="3960" w:type="dxa"/>
            <w:vMerge/>
            <w:shd w:val="thinDiagStripe" w:color="C0C0C0" w:fill="auto"/>
          </w:tcPr>
          <w:p w:rsidR="004315C6" w:rsidRPr="005F5406" w:rsidRDefault="004315C6" w:rsidP="002951F9">
            <w:pPr>
              <w:rPr>
                <w:noProof/>
                <w:sz w:val="20"/>
              </w:rPr>
            </w:pPr>
          </w:p>
        </w:tc>
        <w:tc>
          <w:tcPr>
            <w:tcW w:w="1440" w:type="dxa"/>
            <w:gridSpan w:val="2"/>
            <w:vAlign w:val="center"/>
          </w:tcPr>
          <w:p w:rsidR="004315C6" w:rsidRPr="005F5406" w:rsidRDefault="004315C6" w:rsidP="002951F9">
            <w:pPr>
              <w:rPr>
                <w:noProof/>
                <w:sz w:val="18"/>
              </w:rPr>
            </w:pPr>
            <w:r w:rsidRPr="005F5406">
              <w:rPr>
                <w:noProof/>
                <w:sz w:val="18"/>
              </w:rPr>
              <w:t>Maksājumi</w:t>
            </w:r>
          </w:p>
        </w:tc>
        <w:tc>
          <w:tcPr>
            <w:tcW w:w="654" w:type="dxa"/>
            <w:vAlign w:val="center"/>
          </w:tcPr>
          <w:p w:rsidR="004315C6" w:rsidRPr="005F5406" w:rsidRDefault="004315C6" w:rsidP="002951F9">
            <w:pPr>
              <w:jc w:val="center"/>
              <w:rPr>
                <w:noProof/>
                <w:sz w:val="14"/>
              </w:rPr>
            </w:pPr>
            <w:r w:rsidRPr="005F5406">
              <w:rPr>
                <w:noProof/>
                <w:sz w:val="14"/>
              </w:rPr>
              <w:t>=</w:t>
            </w:r>
            <w:r w:rsidRPr="003752EA">
              <w:rPr>
                <w:noProof/>
                <w:sz w:val="14"/>
              </w:rPr>
              <w:t>5</w:t>
            </w:r>
            <w:r w:rsidRPr="005F5406">
              <w:rPr>
                <w:noProof/>
                <w:sz w:val="14"/>
              </w:rPr>
              <w:t xml:space="preserve">+ </w:t>
            </w:r>
            <w:r w:rsidRPr="003752EA">
              <w:rPr>
                <w:noProof/>
                <w:sz w:val="14"/>
              </w:rPr>
              <w:t>6</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520</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770</w:t>
            </w:r>
          </w:p>
        </w:tc>
        <w:tc>
          <w:tcPr>
            <w:tcW w:w="868"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483" w:type="dxa"/>
          </w:tcPr>
          <w:p w:rsidR="004315C6" w:rsidRPr="005F5406" w:rsidRDefault="004315C6" w:rsidP="002951F9">
            <w:pPr>
              <w:spacing w:beforeLines="20" w:before="48" w:afterLines="20" w:after="48"/>
              <w:rPr>
                <w:noProof/>
                <w:sz w:val="18"/>
              </w:rPr>
            </w:pPr>
            <w:r w:rsidRPr="003752EA">
              <w:rPr>
                <w:noProof/>
                <w:sz w:val="18"/>
              </w:rPr>
              <w:t>0</w:t>
            </w:r>
            <w:r w:rsidRPr="005F5406">
              <w:rPr>
                <w:noProof/>
                <w:sz w:val="18"/>
              </w:rPr>
              <w:t>,</w:t>
            </w:r>
            <w:r w:rsidRPr="003752EA">
              <w:rPr>
                <w:noProof/>
                <w:sz w:val="18"/>
              </w:rPr>
              <w:t>27</w:t>
            </w:r>
          </w:p>
        </w:tc>
        <w:tc>
          <w:tcPr>
            <w:tcW w:w="1701" w:type="dxa"/>
          </w:tcPr>
          <w:p w:rsidR="004315C6" w:rsidRPr="005F5406" w:rsidRDefault="004315C6" w:rsidP="002951F9">
            <w:pPr>
              <w:spacing w:beforeLines="20" w:before="48" w:afterLines="20" w:after="48"/>
              <w:rPr>
                <w:noProof/>
                <w:sz w:val="18"/>
              </w:rPr>
            </w:pPr>
            <w:r w:rsidRPr="003752EA">
              <w:rPr>
                <w:noProof/>
                <w:sz w:val="18"/>
              </w:rPr>
              <w:t>3</w:t>
            </w:r>
            <w:r w:rsidRPr="005F5406">
              <w:rPr>
                <w:noProof/>
                <w:sz w:val="18"/>
              </w:rPr>
              <w:t>,</w:t>
            </w:r>
            <w:r w:rsidRPr="003752EA">
              <w:rPr>
                <w:noProof/>
                <w:sz w:val="18"/>
              </w:rPr>
              <w:t>450</w:t>
            </w:r>
          </w:p>
        </w:tc>
      </w:tr>
    </w:tbl>
    <w:p w:rsidR="004315C6" w:rsidRPr="005F5406" w:rsidRDefault="004315C6" w:rsidP="004315C6">
      <w:pPr>
        <w:spacing w:after="40"/>
        <w:rPr>
          <w:b/>
          <w:noProof/>
          <w:sz w:val="22"/>
          <w:u w:val="single"/>
        </w:rPr>
      </w:pPr>
      <w:r w:rsidRPr="005F5406">
        <w:rPr>
          <w:b/>
          <w:noProof/>
          <w:sz w:val="22"/>
          <w:u w:val="single"/>
        </w:rPr>
        <w:t>Ja priekšlikums/iniciatīva ietekmē vairākas izdevumu kategorijas</w:t>
      </w:r>
    </w:p>
    <w:p w:rsidR="004315C6" w:rsidRPr="005F5406" w:rsidRDefault="004315C6" w:rsidP="004315C6">
      <w:pPr>
        <w:rPr>
          <w:noProof/>
        </w:rPr>
      </w:pPr>
    </w:p>
    <w:p w:rsidR="004315C6" w:rsidRPr="005F5406" w:rsidRDefault="004315C6" w:rsidP="004315C6">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F4FF3" w:rsidRPr="005F5406" w:rsidTr="002951F9">
        <w:trPr>
          <w:jc w:val="center"/>
        </w:trPr>
        <w:tc>
          <w:tcPr>
            <w:tcW w:w="4744" w:type="dxa"/>
            <w:shd w:val="thinDiagStripe" w:color="C0C0C0" w:fill="auto"/>
            <w:vAlign w:val="center"/>
          </w:tcPr>
          <w:p w:rsidR="004315C6" w:rsidRPr="005F5406" w:rsidRDefault="004315C6" w:rsidP="002951F9">
            <w:pPr>
              <w:spacing w:before="60" w:after="60"/>
              <w:jc w:val="center"/>
              <w:rPr>
                <w:b/>
                <w:noProof/>
                <w:sz w:val="22"/>
              </w:rPr>
            </w:pPr>
            <w:r w:rsidRPr="005F5406">
              <w:lastRenderedPageBreak/>
              <w:br w:type="page"/>
            </w:r>
            <w:r w:rsidRPr="005F5406">
              <w:rPr>
                <w:b/>
              </w:rPr>
              <w:t>Daudzgadu finanšu shēmas izdevumu</w:t>
            </w:r>
            <w:r w:rsidRPr="005F5406">
              <w:rPr>
                <w:noProof/>
                <w:sz w:val="22"/>
              </w:rPr>
              <w:br/>
            </w:r>
            <w:r w:rsidRPr="005F5406">
              <w:rPr>
                <w:b/>
                <w:noProof/>
                <w:sz w:val="22"/>
              </w:rPr>
              <w:t xml:space="preserve">kategorija: </w:t>
            </w:r>
          </w:p>
        </w:tc>
        <w:tc>
          <w:tcPr>
            <w:tcW w:w="1080" w:type="dxa"/>
            <w:shd w:val="thinDiagStripe" w:color="C0C0C0" w:fill="auto"/>
            <w:vAlign w:val="center"/>
          </w:tcPr>
          <w:p w:rsidR="004315C6" w:rsidRPr="005F5406" w:rsidRDefault="004315C6" w:rsidP="002951F9">
            <w:pPr>
              <w:spacing w:before="60" w:after="60"/>
              <w:jc w:val="center"/>
              <w:rPr>
                <w:noProof/>
                <w:sz w:val="22"/>
              </w:rPr>
            </w:pPr>
            <w:r w:rsidRPr="003752EA">
              <w:rPr>
                <w:b/>
                <w:noProof/>
                <w:sz w:val="22"/>
              </w:rPr>
              <w:t>5</w:t>
            </w:r>
          </w:p>
        </w:tc>
        <w:tc>
          <w:tcPr>
            <w:tcW w:w="7817" w:type="dxa"/>
            <w:vAlign w:val="center"/>
          </w:tcPr>
          <w:p w:rsidR="004315C6" w:rsidRPr="005F5406" w:rsidRDefault="004315C6" w:rsidP="002951F9">
            <w:pPr>
              <w:spacing w:before="60" w:after="60"/>
              <w:rPr>
                <w:noProof/>
                <w:sz w:val="22"/>
              </w:rPr>
            </w:pPr>
            <w:r w:rsidRPr="005F5406">
              <w:rPr>
                <w:noProof/>
                <w:sz w:val="22"/>
              </w:rPr>
              <w:t>“Administratīvie izdevumi”</w:t>
            </w:r>
          </w:p>
        </w:tc>
      </w:tr>
    </w:tbl>
    <w:p w:rsidR="004315C6" w:rsidRPr="005F5406" w:rsidRDefault="004315C6" w:rsidP="004315C6">
      <w:pPr>
        <w:jc w:val="right"/>
        <w:rPr>
          <w:noProof/>
          <w:sz w:val="20"/>
        </w:rPr>
      </w:pPr>
      <w:r w:rsidRPr="005F5406">
        <w:rPr>
          <w:noProof/>
          <w:sz w:val="20"/>
        </w:rPr>
        <w:t>EUR miljonos (trīs zīmes aiz komata)</w:t>
      </w:r>
    </w:p>
    <w:tbl>
      <w:tblPr>
        <w:tblW w:w="132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4"/>
        <w:gridCol w:w="1558"/>
        <w:gridCol w:w="518"/>
        <w:gridCol w:w="16"/>
        <w:gridCol w:w="834"/>
        <w:gridCol w:w="16"/>
        <w:gridCol w:w="834"/>
        <w:gridCol w:w="16"/>
        <w:gridCol w:w="835"/>
        <w:gridCol w:w="15"/>
        <w:gridCol w:w="1572"/>
        <w:gridCol w:w="15"/>
        <w:gridCol w:w="3005"/>
        <w:gridCol w:w="41"/>
      </w:tblGrid>
      <w:tr w:rsidR="007F4FF3" w:rsidRPr="005F5406" w:rsidTr="002951F9">
        <w:trPr>
          <w:gridAfter w:val="1"/>
          <w:wAfter w:w="41" w:type="dxa"/>
        </w:trPr>
        <w:tc>
          <w:tcPr>
            <w:tcW w:w="3954" w:type="dxa"/>
            <w:tcBorders>
              <w:top w:val="nil"/>
              <w:left w:val="nil"/>
              <w:right w:val="nil"/>
            </w:tcBorders>
            <w:vAlign w:val="center"/>
          </w:tcPr>
          <w:p w:rsidR="004315C6" w:rsidRPr="005F5406" w:rsidRDefault="004315C6" w:rsidP="002951F9">
            <w:pPr>
              <w:jc w:val="center"/>
              <w:rPr>
                <w:noProof/>
                <w:sz w:val="22"/>
              </w:rPr>
            </w:pPr>
          </w:p>
        </w:tc>
        <w:tc>
          <w:tcPr>
            <w:tcW w:w="1558" w:type="dxa"/>
            <w:tcBorders>
              <w:top w:val="nil"/>
              <w:left w:val="nil"/>
              <w:right w:val="nil"/>
            </w:tcBorders>
          </w:tcPr>
          <w:p w:rsidR="004315C6" w:rsidRPr="005F5406" w:rsidRDefault="004315C6" w:rsidP="002951F9">
            <w:pPr>
              <w:rPr>
                <w:noProof/>
                <w:sz w:val="20"/>
              </w:rPr>
            </w:pPr>
          </w:p>
        </w:tc>
        <w:tc>
          <w:tcPr>
            <w:tcW w:w="534" w:type="dxa"/>
            <w:gridSpan w:val="2"/>
            <w:tcBorders>
              <w:top w:val="nil"/>
              <w:left w:val="nil"/>
            </w:tcBorders>
          </w:tcPr>
          <w:p w:rsidR="004315C6" w:rsidRPr="005F5406" w:rsidRDefault="004315C6" w:rsidP="002951F9">
            <w:pPr>
              <w:jc w:val="center"/>
              <w:rPr>
                <w:noProof/>
                <w:sz w:val="20"/>
              </w:rPr>
            </w:pPr>
          </w:p>
        </w:tc>
        <w:tc>
          <w:tcPr>
            <w:tcW w:w="850" w:type="dxa"/>
            <w:gridSpan w:val="2"/>
            <w:vAlign w:val="center"/>
          </w:tcPr>
          <w:p w:rsidR="004315C6" w:rsidRPr="005F5406" w:rsidRDefault="004315C6" w:rsidP="002951F9">
            <w:pPr>
              <w:jc w:val="center"/>
              <w:rPr>
                <w:b/>
                <w:noProof/>
                <w:sz w:val="20"/>
              </w:rPr>
            </w:pPr>
            <w:r w:rsidRPr="003752EA">
              <w:rPr>
                <w:b/>
                <w:noProof/>
                <w:sz w:val="20"/>
              </w:rPr>
              <w:t>2018</w:t>
            </w:r>
            <w:r w:rsidRPr="005F5406">
              <w:rPr>
                <w:rStyle w:val="FootnoteReference"/>
                <w:b/>
                <w:noProof/>
                <w:sz w:val="20"/>
              </w:rPr>
              <w:footnoteReference w:id="29"/>
            </w:r>
          </w:p>
        </w:tc>
        <w:tc>
          <w:tcPr>
            <w:tcW w:w="850" w:type="dxa"/>
            <w:gridSpan w:val="2"/>
            <w:vAlign w:val="center"/>
          </w:tcPr>
          <w:p w:rsidR="004315C6" w:rsidRPr="005F5406" w:rsidRDefault="004315C6" w:rsidP="002951F9">
            <w:pPr>
              <w:jc w:val="center"/>
              <w:rPr>
                <w:b/>
                <w:noProof/>
                <w:sz w:val="20"/>
              </w:rPr>
            </w:pPr>
            <w:r w:rsidRPr="003752EA">
              <w:rPr>
                <w:b/>
                <w:noProof/>
                <w:sz w:val="20"/>
              </w:rPr>
              <w:t>2019</w:t>
            </w:r>
          </w:p>
        </w:tc>
        <w:tc>
          <w:tcPr>
            <w:tcW w:w="850" w:type="dxa"/>
            <w:gridSpan w:val="2"/>
            <w:vAlign w:val="center"/>
          </w:tcPr>
          <w:p w:rsidR="004315C6" w:rsidRPr="005F5406" w:rsidRDefault="004315C6" w:rsidP="002951F9">
            <w:pPr>
              <w:jc w:val="center"/>
              <w:rPr>
                <w:b/>
                <w:noProof/>
                <w:sz w:val="20"/>
              </w:rPr>
            </w:pPr>
            <w:r w:rsidRPr="003752EA">
              <w:rPr>
                <w:b/>
                <w:noProof/>
                <w:sz w:val="20"/>
              </w:rPr>
              <w:t>2020</w:t>
            </w:r>
          </w:p>
        </w:tc>
        <w:tc>
          <w:tcPr>
            <w:tcW w:w="1587" w:type="dxa"/>
            <w:gridSpan w:val="2"/>
            <w:vAlign w:val="center"/>
          </w:tcPr>
          <w:p w:rsidR="004315C6" w:rsidRPr="005F5406" w:rsidRDefault="004315C6" w:rsidP="002951F9">
            <w:pPr>
              <w:jc w:val="center"/>
              <w:rPr>
                <w:b/>
                <w:noProof/>
                <w:sz w:val="20"/>
              </w:rPr>
            </w:pPr>
            <w:r w:rsidRPr="003752EA">
              <w:rPr>
                <w:b/>
                <w:noProof/>
                <w:sz w:val="20"/>
              </w:rPr>
              <w:t>2021</w:t>
            </w:r>
            <w:r w:rsidRPr="005F5406">
              <w:rPr>
                <w:b/>
                <w:noProof/>
                <w:sz w:val="20"/>
              </w:rPr>
              <w:t>. un turpmākie gadi</w:t>
            </w:r>
          </w:p>
        </w:tc>
        <w:tc>
          <w:tcPr>
            <w:tcW w:w="3005" w:type="dxa"/>
            <w:vAlign w:val="center"/>
          </w:tcPr>
          <w:p w:rsidR="004315C6" w:rsidRPr="005F5406" w:rsidRDefault="004315C6" w:rsidP="002951F9">
            <w:pPr>
              <w:jc w:val="center"/>
              <w:rPr>
                <w:b/>
                <w:noProof/>
                <w:sz w:val="20"/>
              </w:rPr>
            </w:pPr>
            <w:r w:rsidRPr="005F5406">
              <w:rPr>
                <w:b/>
                <w:noProof/>
                <w:sz w:val="20"/>
              </w:rPr>
              <w:t>KOPĀ</w:t>
            </w:r>
          </w:p>
        </w:tc>
      </w:tr>
      <w:tr w:rsidR="007F4FF3" w:rsidRPr="005F5406" w:rsidTr="002951F9">
        <w:trPr>
          <w:gridAfter w:val="1"/>
          <w:wAfter w:w="41" w:type="dxa"/>
          <w:trHeight w:val="313"/>
        </w:trPr>
        <w:tc>
          <w:tcPr>
            <w:tcW w:w="6046" w:type="dxa"/>
            <w:gridSpan w:val="4"/>
            <w:vAlign w:val="center"/>
          </w:tcPr>
          <w:p w:rsidR="004315C6" w:rsidRPr="005F5406" w:rsidRDefault="004315C6" w:rsidP="002951F9">
            <w:pPr>
              <w:spacing w:before="20" w:after="20"/>
              <w:rPr>
                <w:noProof/>
                <w:sz w:val="22"/>
              </w:rPr>
            </w:pPr>
            <w:r w:rsidRPr="005F5406">
              <w:rPr>
                <w:noProof/>
                <w:sz w:val="22"/>
              </w:rPr>
              <w:sym w:font="Wingdings" w:char="F09F"/>
            </w:r>
            <w:r w:rsidRPr="005F5406">
              <w:t>Cilvēkresursi</w:t>
            </w:r>
          </w:p>
        </w:tc>
        <w:tc>
          <w:tcPr>
            <w:tcW w:w="850"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4</w:t>
            </w:r>
          </w:p>
        </w:tc>
        <w:tc>
          <w:tcPr>
            <w:tcW w:w="850"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4</w:t>
            </w:r>
          </w:p>
        </w:tc>
        <w:tc>
          <w:tcPr>
            <w:tcW w:w="850"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4</w:t>
            </w:r>
          </w:p>
        </w:tc>
        <w:tc>
          <w:tcPr>
            <w:tcW w:w="1587"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792</w:t>
            </w:r>
          </w:p>
        </w:tc>
        <w:tc>
          <w:tcPr>
            <w:tcW w:w="3005" w:type="dxa"/>
            <w:vAlign w:val="center"/>
          </w:tcPr>
          <w:p w:rsidR="004315C6" w:rsidRPr="005F5406" w:rsidRDefault="004315C6" w:rsidP="002951F9">
            <w:pPr>
              <w:spacing w:before="20" w:after="20"/>
              <w:jc w:val="right"/>
              <w:rPr>
                <w:b/>
                <w:noProof/>
                <w:sz w:val="20"/>
              </w:rPr>
            </w:pPr>
            <w:r w:rsidRPr="003752EA">
              <w:rPr>
                <w:b/>
                <w:noProof/>
                <w:sz w:val="20"/>
              </w:rPr>
              <w:t>6</w:t>
            </w:r>
            <w:r w:rsidRPr="005F5406">
              <w:rPr>
                <w:b/>
                <w:noProof/>
                <w:sz w:val="20"/>
              </w:rPr>
              <w:t>,</w:t>
            </w:r>
            <w:r w:rsidRPr="003752EA">
              <w:rPr>
                <w:b/>
                <w:noProof/>
                <w:sz w:val="20"/>
              </w:rPr>
              <w:t>744</w:t>
            </w:r>
          </w:p>
        </w:tc>
      </w:tr>
      <w:tr w:rsidR="007F4FF3" w:rsidRPr="005F5406" w:rsidTr="002951F9">
        <w:trPr>
          <w:gridAfter w:val="1"/>
          <w:wAfter w:w="41" w:type="dxa"/>
          <w:trHeight w:val="351"/>
        </w:trPr>
        <w:tc>
          <w:tcPr>
            <w:tcW w:w="6046" w:type="dxa"/>
            <w:gridSpan w:val="4"/>
            <w:vAlign w:val="center"/>
          </w:tcPr>
          <w:p w:rsidR="004315C6" w:rsidRPr="005F5406" w:rsidRDefault="004315C6" w:rsidP="002951F9">
            <w:pPr>
              <w:spacing w:before="20" w:after="20"/>
              <w:rPr>
                <w:noProof/>
                <w:sz w:val="22"/>
              </w:rPr>
            </w:pPr>
            <w:r w:rsidRPr="005F5406">
              <w:rPr>
                <w:noProof/>
                <w:sz w:val="22"/>
              </w:rPr>
              <w:sym w:font="Wingdings" w:char="F09F"/>
            </w:r>
            <w:r w:rsidRPr="005F5406">
              <w:t>Pārējie administratīvie izdevumi</w:t>
            </w:r>
          </w:p>
        </w:tc>
        <w:tc>
          <w:tcPr>
            <w:tcW w:w="850"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539</w:t>
            </w:r>
          </w:p>
        </w:tc>
        <w:tc>
          <w:tcPr>
            <w:tcW w:w="850"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539</w:t>
            </w:r>
          </w:p>
        </w:tc>
        <w:tc>
          <w:tcPr>
            <w:tcW w:w="850"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539</w:t>
            </w:r>
          </w:p>
        </w:tc>
        <w:tc>
          <w:tcPr>
            <w:tcW w:w="1587" w:type="dxa"/>
            <w:gridSpan w:val="2"/>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404</w:t>
            </w:r>
          </w:p>
        </w:tc>
        <w:tc>
          <w:tcPr>
            <w:tcW w:w="3005" w:type="dxa"/>
            <w:vAlign w:val="center"/>
          </w:tcPr>
          <w:p w:rsidR="004315C6" w:rsidRPr="005F5406" w:rsidRDefault="004315C6" w:rsidP="002951F9">
            <w:pPr>
              <w:spacing w:before="20" w:after="20"/>
              <w:jc w:val="right"/>
              <w:rPr>
                <w:b/>
                <w:noProof/>
                <w:sz w:val="20"/>
              </w:rPr>
            </w:pPr>
            <w:r w:rsidRPr="003752EA">
              <w:rPr>
                <w:b/>
                <w:noProof/>
                <w:sz w:val="20"/>
              </w:rPr>
              <w:t>4</w:t>
            </w:r>
            <w:r w:rsidRPr="005F5406">
              <w:rPr>
                <w:b/>
                <w:noProof/>
                <w:sz w:val="20"/>
              </w:rPr>
              <w:t>,</w:t>
            </w:r>
            <w:r w:rsidRPr="003752EA">
              <w:rPr>
                <w:b/>
                <w:noProof/>
                <w:sz w:val="20"/>
              </w:rPr>
              <w:t>445</w:t>
            </w:r>
          </w:p>
        </w:tc>
      </w:tr>
      <w:tr w:rsidR="004315C6" w:rsidRPr="005F5406" w:rsidTr="002951F9">
        <w:tc>
          <w:tcPr>
            <w:tcW w:w="3954" w:type="dxa"/>
            <w:vAlign w:val="center"/>
          </w:tcPr>
          <w:p w:rsidR="004315C6" w:rsidRPr="005F5406" w:rsidRDefault="004315C6" w:rsidP="002951F9">
            <w:pPr>
              <w:jc w:val="center"/>
              <w:rPr>
                <w:b/>
                <w:noProof/>
                <w:sz w:val="22"/>
              </w:rPr>
            </w:pPr>
            <w:r w:rsidRPr="005F5406">
              <w:rPr>
                <w:b/>
              </w:rPr>
              <w:t>KOPĀ</w:t>
            </w:r>
            <w:r w:rsidRPr="005F5406">
              <w:t xml:space="preserve"> CLIMA ĢD</w:t>
            </w:r>
          </w:p>
        </w:tc>
        <w:tc>
          <w:tcPr>
            <w:tcW w:w="2076" w:type="dxa"/>
            <w:gridSpan w:val="2"/>
            <w:vAlign w:val="center"/>
          </w:tcPr>
          <w:p w:rsidR="004315C6" w:rsidRPr="005F5406" w:rsidRDefault="004315C6" w:rsidP="002951F9">
            <w:pPr>
              <w:rPr>
                <w:noProof/>
                <w:sz w:val="14"/>
              </w:rPr>
            </w:pPr>
            <w:r w:rsidRPr="005F5406">
              <w:rPr>
                <w:noProof/>
                <w:sz w:val="18"/>
              </w:rPr>
              <w:t xml:space="preserve">Apropriācijas </w:t>
            </w:r>
          </w:p>
        </w:tc>
        <w:tc>
          <w:tcPr>
            <w:tcW w:w="850" w:type="dxa"/>
            <w:gridSpan w:val="2"/>
            <w:vAlign w:val="center"/>
          </w:tcPr>
          <w:p w:rsidR="004315C6" w:rsidRPr="005F5406" w:rsidRDefault="004315C6" w:rsidP="002951F9">
            <w:pPr>
              <w:spacing w:before="60" w:after="60"/>
              <w:jc w:val="right"/>
              <w:rPr>
                <w:noProof/>
                <w:sz w:val="20"/>
              </w:rPr>
            </w:pPr>
          </w:p>
        </w:tc>
        <w:tc>
          <w:tcPr>
            <w:tcW w:w="850" w:type="dxa"/>
            <w:gridSpan w:val="2"/>
            <w:vAlign w:val="center"/>
          </w:tcPr>
          <w:p w:rsidR="004315C6" w:rsidRPr="005F5406" w:rsidRDefault="004315C6" w:rsidP="002951F9">
            <w:pPr>
              <w:spacing w:before="20" w:after="20"/>
              <w:jc w:val="right"/>
              <w:rPr>
                <w:noProof/>
                <w:sz w:val="20"/>
              </w:rPr>
            </w:pPr>
          </w:p>
        </w:tc>
        <w:tc>
          <w:tcPr>
            <w:tcW w:w="851" w:type="dxa"/>
            <w:gridSpan w:val="2"/>
            <w:vAlign w:val="center"/>
          </w:tcPr>
          <w:p w:rsidR="004315C6" w:rsidRPr="005F5406" w:rsidRDefault="004315C6" w:rsidP="002951F9">
            <w:pPr>
              <w:spacing w:before="20" w:after="20"/>
              <w:jc w:val="right"/>
              <w:rPr>
                <w:noProof/>
                <w:sz w:val="20"/>
              </w:rPr>
            </w:pPr>
          </w:p>
        </w:tc>
        <w:tc>
          <w:tcPr>
            <w:tcW w:w="1587" w:type="dxa"/>
            <w:gridSpan w:val="2"/>
            <w:vAlign w:val="center"/>
          </w:tcPr>
          <w:p w:rsidR="004315C6" w:rsidRPr="005F5406" w:rsidRDefault="004315C6" w:rsidP="002951F9">
            <w:pPr>
              <w:spacing w:before="20" w:after="20"/>
              <w:jc w:val="right"/>
              <w:rPr>
                <w:noProof/>
                <w:sz w:val="20"/>
              </w:rPr>
            </w:pPr>
          </w:p>
        </w:tc>
        <w:tc>
          <w:tcPr>
            <w:tcW w:w="3061" w:type="dxa"/>
            <w:gridSpan w:val="3"/>
            <w:vAlign w:val="center"/>
          </w:tcPr>
          <w:p w:rsidR="004315C6" w:rsidRPr="005F5406" w:rsidRDefault="004315C6" w:rsidP="002951F9">
            <w:pPr>
              <w:spacing w:before="20" w:after="20"/>
              <w:jc w:val="right"/>
              <w:rPr>
                <w:b/>
                <w:noProof/>
                <w:sz w:val="20"/>
              </w:rPr>
            </w:pPr>
          </w:p>
        </w:tc>
      </w:tr>
    </w:tbl>
    <w:p w:rsidR="004315C6" w:rsidRPr="005F5406" w:rsidRDefault="004315C6" w:rsidP="004315C6">
      <w:pPr>
        <w:ind w:left="972"/>
        <w:rPr>
          <w:noProof/>
        </w:rPr>
      </w:pPr>
    </w:p>
    <w:tbl>
      <w:tblPr>
        <w:tblW w:w="132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1531"/>
        <w:gridCol w:w="3061"/>
      </w:tblGrid>
      <w:tr w:rsidR="007F4FF3" w:rsidRPr="005F5406" w:rsidTr="002951F9">
        <w:tc>
          <w:tcPr>
            <w:tcW w:w="3960" w:type="dxa"/>
            <w:shd w:val="thinDiagStripe" w:color="C0C0C0" w:fill="auto"/>
            <w:vAlign w:val="center"/>
          </w:tcPr>
          <w:p w:rsidR="004315C6" w:rsidRPr="005F5406" w:rsidRDefault="004315C6" w:rsidP="002951F9">
            <w:pPr>
              <w:jc w:val="center"/>
              <w:rPr>
                <w:b/>
                <w:noProof/>
                <w:sz w:val="22"/>
              </w:rPr>
            </w:pPr>
            <w:r w:rsidRPr="005F5406">
              <w:rPr>
                <w:b/>
              </w:rPr>
              <w:t>KOPĀ</w:t>
            </w:r>
            <w:r w:rsidRPr="005F5406">
              <w:t xml:space="preserve"> daudzgadu finanšu shēmas </w:t>
            </w:r>
            <w:r w:rsidRPr="003752EA">
              <w:rPr>
                <w:b/>
              </w:rPr>
              <w:t>5</w:t>
            </w:r>
            <w:r w:rsidRPr="005F5406">
              <w:rPr>
                <w:b/>
              </w:rPr>
              <w:t>. IZDEVUMU KATEGORIJAS apropriācijas</w:t>
            </w:r>
            <w:r w:rsidRPr="005F5406">
              <w:rPr>
                <w:b/>
                <w:noProof/>
                <w:sz w:val="22"/>
              </w:rPr>
              <w:t xml:space="preserve"> </w:t>
            </w:r>
          </w:p>
        </w:tc>
        <w:tc>
          <w:tcPr>
            <w:tcW w:w="2094" w:type="dxa"/>
            <w:vAlign w:val="center"/>
          </w:tcPr>
          <w:p w:rsidR="004315C6" w:rsidRPr="005F5406" w:rsidRDefault="004315C6" w:rsidP="002951F9">
            <w:pPr>
              <w:spacing w:before="40" w:after="40"/>
              <w:rPr>
                <w:noProof/>
                <w:sz w:val="22"/>
              </w:rPr>
            </w:pPr>
            <w:r w:rsidRPr="005F5406">
              <w:rPr>
                <w:noProof/>
                <w:sz w:val="18"/>
              </w:rPr>
              <w:t>(Saistību summa = maksājumu summa)</w:t>
            </w:r>
          </w:p>
        </w:tc>
        <w:tc>
          <w:tcPr>
            <w:tcW w:w="868" w:type="dxa"/>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939</w:t>
            </w:r>
          </w:p>
        </w:tc>
        <w:tc>
          <w:tcPr>
            <w:tcW w:w="868" w:type="dxa"/>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939</w:t>
            </w:r>
          </w:p>
        </w:tc>
        <w:tc>
          <w:tcPr>
            <w:tcW w:w="868" w:type="dxa"/>
            <w:vAlign w:val="center"/>
          </w:tcPr>
          <w:p w:rsidR="004315C6" w:rsidRPr="005F5406" w:rsidRDefault="004315C6" w:rsidP="002951F9">
            <w:pPr>
              <w:spacing w:before="20" w:after="20"/>
              <w:jc w:val="right"/>
              <w:rPr>
                <w:noProof/>
                <w:sz w:val="20"/>
              </w:rPr>
            </w:pPr>
            <w:r w:rsidRPr="003752EA">
              <w:rPr>
                <w:noProof/>
                <w:sz w:val="20"/>
              </w:rPr>
              <w:t>0</w:t>
            </w:r>
            <w:r w:rsidRPr="005F5406">
              <w:rPr>
                <w:noProof/>
                <w:sz w:val="20"/>
              </w:rPr>
              <w:t>,</w:t>
            </w:r>
            <w:r w:rsidRPr="003752EA">
              <w:rPr>
                <w:noProof/>
                <w:sz w:val="20"/>
              </w:rPr>
              <w:t>939</w:t>
            </w:r>
          </w:p>
        </w:tc>
        <w:tc>
          <w:tcPr>
            <w:tcW w:w="1531" w:type="dxa"/>
            <w:vAlign w:val="center"/>
          </w:tcPr>
          <w:p w:rsidR="004315C6" w:rsidRPr="005F5406" w:rsidRDefault="004315C6" w:rsidP="002951F9">
            <w:pPr>
              <w:spacing w:before="20" w:after="20"/>
              <w:jc w:val="right"/>
              <w:rPr>
                <w:noProof/>
                <w:sz w:val="20"/>
              </w:rPr>
            </w:pPr>
            <w:r w:rsidRPr="003752EA">
              <w:rPr>
                <w:noProof/>
                <w:sz w:val="20"/>
              </w:rPr>
              <w:t>1</w:t>
            </w:r>
            <w:r w:rsidRPr="005F5406">
              <w:rPr>
                <w:noProof/>
                <w:sz w:val="20"/>
              </w:rPr>
              <w:t>,</w:t>
            </w:r>
            <w:r w:rsidRPr="003752EA">
              <w:rPr>
                <w:noProof/>
                <w:sz w:val="20"/>
              </w:rPr>
              <w:t>196</w:t>
            </w:r>
          </w:p>
        </w:tc>
        <w:tc>
          <w:tcPr>
            <w:tcW w:w="3061" w:type="dxa"/>
            <w:vAlign w:val="center"/>
          </w:tcPr>
          <w:p w:rsidR="004315C6" w:rsidRPr="005F5406" w:rsidRDefault="004315C6" w:rsidP="002951F9">
            <w:pPr>
              <w:spacing w:before="20" w:after="20"/>
              <w:jc w:val="right"/>
              <w:rPr>
                <w:b/>
                <w:noProof/>
                <w:sz w:val="20"/>
              </w:rPr>
            </w:pPr>
            <w:r w:rsidRPr="003752EA">
              <w:rPr>
                <w:b/>
                <w:noProof/>
                <w:sz w:val="20"/>
              </w:rPr>
              <w:t>11</w:t>
            </w:r>
            <w:r w:rsidRPr="005F5406">
              <w:rPr>
                <w:b/>
                <w:noProof/>
                <w:sz w:val="20"/>
              </w:rPr>
              <w:t>,</w:t>
            </w:r>
            <w:r w:rsidRPr="003752EA">
              <w:rPr>
                <w:b/>
                <w:noProof/>
                <w:sz w:val="20"/>
              </w:rPr>
              <w:t>189</w:t>
            </w:r>
          </w:p>
        </w:tc>
      </w:tr>
    </w:tbl>
    <w:p w:rsidR="004315C6" w:rsidRPr="005F5406" w:rsidRDefault="004315C6" w:rsidP="004315C6">
      <w:pPr>
        <w:ind w:left="972"/>
        <w:jc w:val="right"/>
        <w:rPr>
          <w:noProof/>
          <w:sz w:val="20"/>
        </w:rPr>
      </w:pPr>
      <w:r w:rsidRPr="005F5406">
        <w:rPr>
          <w:noProof/>
          <w:sz w:val="20"/>
        </w:rPr>
        <w:t>EUR miljonos (trīs zīmes aiz komata)</w:t>
      </w:r>
    </w:p>
    <w:tbl>
      <w:tblPr>
        <w:tblW w:w="13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4"/>
        <w:gridCol w:w="1558"/>
        <w:gridCol w:w="533"/>
        <w:gridCol w:w="867"/>
        <w:gridCol w:w="868"/>
        <w:gridCol w:w="868"/>
        <w:gridCol w:w="1474"/>
        <w:gridCol w:w="19"/>
        <w:gridCol w:w="3099"/>
        <w:gridCol w:w="20"/>
      </w:tblGrid>
      <w:tr w:rsidR="007F4FF3" w:rsidRPr="005F5406" w:rsidTr="002951F9">
        <w:trPr>
          <w:trHeight w:val="541"/>
        </w:trPr>
        <w:tc>
          <w:tcPr>
            <w:tcW w:w="3954" w:type="dxa"/>
            <w:tcBorders>
              <w:top w:val="nil"/>
              <w:left w:val="nil"/>
              <w:right w:val="nil"/>
            </w:tcBorders>
            <w:vAlign w:val="center"/>
          </w:tcPr>
          <w:p w:rsidR="004315C6" w:rsidRPr="005F5406" w:rsidRDefault="004315C6" w:rsidP="002951F9">
            <w:pPr>
              <w:jc w:val="center"/>
              <w:rPr>
                <w:noProof/>
                <w:sz w:val="22"/>
              </w:rPr>
            </w:pPr>
          </w:p>
        </w:tc>
        <w:tc>
          <w:tcPr>
            <w:tcW w:w="1558" w:type="dxa"/>
            <w:tcBorders>
              <w:top w:val="nil"/>
              <w:left w:val="nil"/>
              <w:right w:val="nil"/>
            </w:tcBorders>
          </w:tcPr>
          <w:p w:rsidR="004315C6" w:rsidRPr="005F5406" w:rsidRDefault="004315C6" w:rsidP="002951F9">
            <w:pPr>
              <w:rPr>
                <w:noProof/>
                <w:sz w:val="20"/>
              </w:rPr>
            </w:pPr>
          </w:p>
        </w:tc>
        <w:tc>
          <w:tcPr>
            <w:tcW w:w="533" w:type="dxa"/>
            <w:tcBorders>
              <w:top w:val="nil"/>
              <w:left w:val="nil"/>
            </w:tcBorders>
          </w:tcPr>
          <w:p w:rsidR="004315C6" w:rsidRPr="005F5406" w:rsidRDefault="004315C6" w:rsidP="002951F9">
            <w:pPr>
              <w:jc w:val="center"/>
              <w:rPr>
                <w:noProof/>
                <w:sz w:val="20"/>
              </w:rPr>
            </w:pPr>
          </w:p>
        </w:tc>
        <w:tc>
          <w:tcPr>
            <w:tcW w:w="867" w:type="dxa"/>
            <w:vAlign w:val="center"/>
          </w:tcPr>
          <w:p w:rsidR="004315C6" w:rsidRPr="005F5406" w:rsidRDefault="004315C6" w:rsidP="002951F9">
            <w:pPr>
              <w:jc w:val="center"/>
              <w:rPr>
                <w:b/>
                <w:noProof/>
                <w:sz w:val="20"/>
              </w:rPr>
            </w:pPr>
            <w:r w:rsidRPr="003752EA">
              <w:rPr>
                <w:b/>
                <w:noProof/>
                <w:sz w:val="20"/>
              </w:rPr>
              <w:t>2018</w:t>
            </w:r>
            <w:r w:rsidRPr="005F5406">
              <w:rPr>
                <w:rStyle w:val="FootnoteReference"/>
                <w:b/>
                <w:noProof/>
                <w:sz w:val="20"/>
              </w:rPr>
              <w:footnoteReference w:id="30"/>
            </w:r>
          </w:p>
        </w:tc>
        <w:tc>
          <w:tcPr>
            <w:tcW w:w="868" w:type="dxa"/>
            <w:vAlign w:val="center"/>
          </w:tcPr>
          <w:p w:rsidR="004315C6" w:rsidRPr="005F5406" w:rsidRDefault="004315C6" w:rsidP="002951F9">
            <w:pPr>
              <w:jc w:val="center"/>
              <w:rPr>
                <w:b/>
                <w:noProof/>
                <w:sz w:val="20"/>
              </w:rPr>
            </w:pPr>
            <w:r w:rsidRPr="003752EA">
              <w:rPr>
                <w:b/>
                <w:noProof/>
                <w:sz w:val="20"/>
              </w:rPr>
              <w:t>2019</w:t>
            </w:r>
          </w:p>
        </w:tc>
        <w:tc>
          <w:tcPr>
            <w:tcW w:w="868" w:type="dxa"/>
            <w:vAlign w:val="center"/>
          </w:tcPr>
          <w:p w:rsidR="004315C6" w:rsidRPr="005F5406" w:rsidRDefault="004315C6" w:rsidP="002951F9">
            <w:pPr>
              <w:jc w:val="center"/>
              <w:rPr>
                <w:b/>
                <w:noProof/>
                <w:sz w:val="20"/>
              </w:rPr>
            </w:pPr>
            <w:r w:rsidRPr="003752EA">
              <w:rPr>
                <w:b/>
                <w:noProof/>
                <w:sz w:val="20"/>
              </w:rPr>
              <w:t>2020</w:t>
            </w:r>
          </w:p>
        </w:tc>
        <w:tc>
          <w:tcPr>
            <w:tcW w:w="1493" w:type="dxa"/>
            <w:gridSpan w:val="2"/>
            <w:vAlign w:val="center"/>
          </w:tcPr>
          <w:p w:rsidR="004315C6" w:rsidRPr="005F5406" w:rsidRDefault="004315C6" w:rsidP="002951F9">
            <w:pPr>
              <w:jc w:val="center"/>
              <w:rPr>
                <w:b/>
                <w:noProof/>
                <w:sz w:val="20"/>
              </w:rPr>
            </w:pPr>
            <w:r w:rsidRPr="003752EA">
              <w:rPr>
                <w:b/>
                <w:noProof/>
                <w:sz w:val="20"/>
              </w:rPr>
              <w:t>2021</w:t>
            </w:r>
          </w:p>
        </w:tc>
        <w:tc>
          <w:tcPr>
            <w:tcW w:w="3119" w:type="dxa"/>
            <w:gridSpan w:val="2"/>
            <w:vAlign w:val="center"/>
          </w:tcPr>
          <w:p w:rsidR="004315C6" w:rsidRPr="005F5406" w:rsidRDefault="004315C6" w:rsidP="002951F9">
            <w:pPr>
              <w:jc w:val="center"/>
              <w:rPr>
                <w:b/>
                <w:noProof/>
                <w:sz w:val="20"/>
              </w:rPr>
            </w:pPr>
            <w:r w:rsidRPr="005F5406">
              <w:rPr>
                <w:b/>
                <w:noProof/>
                <w:sz w:val="20"/>
              </w:rPr>
              <w:t>KOPĀ</w:t>
            </w:r>
          </w:p>
        </w:tc>
      </w:tr>
      <w:tr w:rsidR="007F4FF3" w:rsidRPr="005F5406" w:rsidTr="002951F9">
        <w:trPr>
          <w:gridAfter w:val="1"/>
          <w:wAfter w:w="20" w:type="dxa"/>
        </w:trPr>
        <w:tc>
          <w:tcPr>
            <w:tcW w:w="3954" w:type="dxa"/>
            <w:vMerge w:val="restart"/>
            <w:shd w:val="clear" w:color="auto" w:fill="C0C0C0"/>
            <w:vAlign w:val="center"/>
          </w:tcPr>
          <w:p w:rsidR="004315C6" w:rsidRPr="005F5406" w:rsidRDefault="004315C6" w:rsidP="002951F9">
            <w:pPr>
              <w:jc w:val="center"/>
              <w:rPr>
                <w:b/>
                <w:noProof/>
                <w:sz w:val="22"/>
              </w:rPr>
            </w:pPr>
            <w:r w:rsidRPr="005F5406">
              <w:rPr>
                <w:b/>
              </w:rPr>
              <w:t>KOPĀ</w:t>
            </w:r>
            <w:r w:rsidRPr="005F5406">
              <w:t xml:space="preserve"> daudzgadu finanšu shēmas </w:t>
            </w:r>
            <w:r w:rsidRPr="005F5406">
              <w:br/>
            </w:r>
            <w:r w:rsidRPr="003752EA">
              <w:rPr>
                <w:b/>
              </w:rPr>
              <w:t>1</w:t>
            </w:r>
            <w:r w:rsidRPr="005F5406">
              <w:rPr>
                <w:b/>
              </w:rPr>
              <w:t>.–</w:t>
            </w:r>
            <w:r w:rsidRPr="003752EA">
              <w:rPr>
                <w:b/>
              </w:rPr>
              <w:t>5</w:t>
            </w:r>
            <w:r w:rsidRPr="005F5406">
              <w:rPr>
                <w:b/>
              </w:rPr>
              <w:t>. IZDEVUMU KATEGORIJAS apropriācijas</w:t>
            </w:r>
            <w:r w:rsidR="009650E9">
              <w:rPr>
                <w:b/>
              </w:rPr>
              <w:t xml:space="preserve"> </w:t>
            </w:r>
            <w:r w:rsidRPr="005F5406">
              <w:br/>
            </w:r>
            <w:r w:rsidRPr="005F5406">
              <w:rPr>
                <w:b/>
                <w:noProof/>
                <w:sz w:val="22"/>
              </w:rPr>
              <w:t xml:space="preserve"> </w:t>
            </w:r>
          </w:p>
        </w:tc>
        <w:tc>
          <w:tcPr>
            <w:tcW w:w="2091" w:type="dxa"/>
            <w:gridSpan w:val="2"/>
            <w:vAlign w:val="center"/>
          </w:tcPr>
          <w:p w:rsidR="004315C6" w:rsidRPr="005F5406" w:rsidRDefault="004315C6" w:rsidP="002951F9">
            <w:pPr>
              <w:rPr>
                <w:noProof/>
                <w:sz w:val="14"/>
              </w:rPr>
            </w:pPr>
            <w:r w:rsidRPr="005F5406">
              <w:rPr>
                <w:noProof/>
                <w:sz w:val="18"/>
              </w:rPr>
              <w:t>Saistības</w:t>
            </w:r>
          </w:p>
        </w:tc>
        <w:tc>
          <w:tcPr>
            <w:tcW w:w="867" w:type="dxa"/>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959</w:t>
            </w:r>
          </w:p>
        </w:tc>
        <w:tc>
          <w:tcPr>
            <w:tcW w:w="868" w:type="dxa"/>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209</w:t>
            </w:r>
          </w:p>
        </w:tc>
        <w:tc>
          <w:tcPr>
            <w:tcW w:w="868" w:type="dxa"/>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209</w:t>
            </w:r>
          </w:p>
        </w:tc>
        <w:tc>
          <w:tcPr>
            <w:tcW w:w="1474" w:type="dxa"/>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466</w:t>
            </w:r>
          </w:p>
        </w:tc>
        <w:tc>
          <w:tcPr>
            <w:tcW w:w="3118" w:type="dxa"/>
            <w:gridSpan w:val="2"/>
            <w:vAlign w:val="center"/>
          </w:tcPr>
          <w:p w:rsidR="004315C6" w:rsidRPr="005F5406" w:rsidRDefault="004315C6" w:rsidP="002951F9">
            <w:pPr>
              <w:spacing w:before="60" w:after="60"/>
              <w:jc w:val="right"/>
              <w:rPr>
                <w:b/>
                <w:noProof/>
                <w:sz w:val="20"/>
              </w:rPr>
            </w:pPr>
            <w:r w:rsidRPr="003752EA">
              <w:rPr>
                <w:b/>
                <w:noProof/>
                <w:sz w:val="20"/>
              </w:rPr>
              <w:t>14</w:t>
            </w:r>
            <w:r w:rsidRPr="005F5406">
              <w:rPr>
                <w:b/>
                <w:noProof/>
                <w:sz w:val="20"/>
              </w:rPr>
              <w:t>,</w:t>
            </w:r>
            <w:r w:rsidRPr="003752EA">
              <w:rPr>
                <w:b/>
                <w:noProof/>
                <w:sz w:val="20"/>
              </w:rPr>
              <w:t>639</w:t>
            </w:r>
          </w:p>
        </w:tc>
      </w:tr>
      <w:tr w:rsidR="007F4FF3" w:rsidRPr="005F5406" w:rsidTr="002951F9">
        <w:tc>
          <w:tcPr>
            <w:tcW w:w="3954" w:type="dxa"/>
            <w:vMerge/>
            <w:shd w:val="clear" w:color="auto" w:fill="C0C0C0"/>
          </w:tcPr>
          <w:p w:rsidR="004315C6" w:rsidRPr="005F5406" w:rsidRDefault="004315C6" w:rsidP="002951F9">
            <w:pPr>
              <w:rPr>
                <w:noProof/>
                <w:sz w:val="20"/>
              </w:rPr>
            </w:pPr>
          </w:p>
        </w:tc>
        <w:tc>
          <w:tcPr>
            <w:tcW w:w="2091" w:type="dxa"/>
            <w:gridSpan w:val="2"/>
            <w:vAlign w:val="center"/>
          </w:tcPr>
          <w:p w:rsidR="004315C6" w:rsidRPr="005F5406" w:rsidRDefault="004315C6" w:rsidP="002951F9">
            <w:pPr>
              <w:rPr>
                <w:noProof/>
                <w:sz w:val="14"/>
              </w:rPr>
            </w:pPr>
            <w:r w:rsidRPr="005F5406">
              <w:rPr>
                <w:noProof/>
                <w:sz w:val="18"/>
              </w:rPr>
              <w:t>Maksājumi</w:t>
            </w:r>
          </w:p>
        </w:tc>
        <w:tc>
          <w:tcPr>
            <w:tcW w:w="867" w:type="dxa"/>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959</w:t>
            </w:r>
          </w:p>
        </w:tc>
        <w:tc>
          <w:tcPr>
            <w:tcW w:w="868" w:type="dxa"/>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209</w:t>
            </w:r>
          </w:p>
        </w:tc>
        <w:tc>
          <w:tcPr>
            <w:tcW w:w="868" w:type="dxa"/>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209</w:t>
            </w:r>
          </w:p>
        </w:tc>
        <w:tc>
          <w:tcPr>
            <w:tcW w:w="1493" w:type="dxa"/>
            <w:gridSpan w:val="2"/>
            <w:vAlign w:val="center"/>
          </w:tcPr>
          <w:p w:rsidR="004315C6" w:rsidRPr="005F5406" w:rsidRDefault="004315C6" w:rsidP="002951F9">
            <w:pPr>
              <w:spacing w:before="60" w:after="60"/>
              <w:jc w:val="right"/>
              <w:rPr>
                <w:noProof/>
                <w:sz w:val="20"/>
              </w:rPr>
            </w:pPr>
            <w:r w:rsidRPr="003752EA">
              <w:rPr>
                <w:noProof/>
                <w:sz w:val="20"/>
              </w:rPr>
              <w:t>1</w:t>
            </w:r>
            <w:r w:rsidRPr="005F5406">
              <w:rPr>
                <w:noProof/>
                <w:sz w:val="20"/>
              </w:rPr>
              <w:t>,</w:t>
            </w:r>
            <w:r w:rsidRPr="003752EA">
              <w:rPr>
                <w:noProof/>
                <w:sz w:val="20"/>
              </w:rPr>
              <w:t>466</w:t>
            </w:r>
          </w:p>
        </w:tc>
        <w:tc>
          <w:tcPr>
            <w:tcW w:w="3119" w:type="dxa"/>
            <w:gridSpan w:val="2"/>
            <w:vAlign w:val="center"/>
          </w:tcPr>
          <w:p w:rsidR="004315C6" w:rsidRPr="005F5406" w:rsidRDefault="004315C6" w:rsidP="002951F9">
            <w:pPr>
              <w:spacing w:before="60" w:after="60"/>
              <w:jc w:val="right"/>
              <w:rPr>
                <w:b/>
                <w:noProof/>
                <w:sz w:val="20"/>
              </w:rPr>
            </w:pPr>
            <w:r w:rsidRPr="003752EA">
              <w:rPr>
                <w:b/>
                <w:noProof/>
                <w:sz w:val="20"/>
              </w:rPr>
              <w:t>14</w:t>
            </w:r>
            <w:r w:rsidRPr="005F5406">
              <w:rPr>
                <w:b/>
                <w:noProof/>
                <w:sz w:val="20"/>
              </w:rPr>
              <w:t>,</w:t>
            </w:r>
            <w:r w:rsidRPr="003752EA">
              <w:rPr>
                <w:b/>
                <w:noProof/>
                <w:sz w:val="20"/>
              </w:rPr>
              <w:t>639</w:t>
            </w:r>
          </w:p>
        </w:tc>
      </w:tr>
    </w:tbl>
    <w:p w:rsidR="004315C6" w:rsidRPr="005F5406" w:rsidRDefault="004315C6" w:rsidP="004315C6">
      <w:pPr>
        <w:rPr>
          <w:noProof/>
        </w:rPr>
        <w:sectPr w:rsidR="004315C6" w:rsidRPr="005F5406" w:rsidSect="00D23D9E">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4315C6" w:rsidRPr="005F5406" w:rsidRDefault="004315C6" w:rsidP="00E12A59">
      <w:pPr>
        <w:pStyle w:val="Heading3"/>
        <w:numPr>
          <w:ilvl w:val="2"/>
          <w:numId w:val="11"/>
        </w:numPr>
        <w:rPr>
          <w:bCs w:val="0"/>
          <w:noProof/>
          <w:szCs w:val="24"/>
        </w:rPr>
      </w:pPr>
      <w:r w:rsidRPr="005F5406">
        <w:lastRenderedPageBreak/>
        <w:t xml:space="preserve">Paredzamā ietekme uz darbības apropriācijām </w:t>
      </w:r>
    </w:p>
    <w:p w:rsidR="004315C6" w:rsidRPr="005F5406" w:rsidRDefault="004315C6" w:rsidP="004315C6">
      <w:pPr>
        <w:pStyle w:val="ListDash1"/>
        <w:rPr>
          <w:noProof/>
        </w:rPr>
      </w:pPr>
      <w:r w:rsidRPr="005F5406">
        <w:rPr>
          <w:noProof/>
        </w:rPr>
        <w:sym w:font="Wingdings" w:char="F0A8"/>
      </w:r>
      <w:r w:rsidRPr="005F5406">
        <w:t xml:space="preserve">Priekšlikums/iniciatīva neparedz izmantot darbības apropriācijas </w:t>
      </w:r>
    </w:p>
    <w:p w:rsidR="004315C6" w:rsidRPr="005F5406" w:rsidRDefault="004315C6" w:rsidP="004315C6">
      <w:pPr>
        <w:pStyle w:val="ListDash1"/>
        <w:rPr>
          <w:noProof/>
        </w:rPr>
      </w:pPr>
      <w:r w:rsidRPr="005F5406">
        <w:rPr>
          <w:noProof/>
        </w:rPr>
        <w:sym w:font="Wingdings" w:char="F0FC"/>
      </w:r>
      <w:r w:rsidRPr="005F5406">
        <w:t>Priekšlikums/iniciatīva paredz darbības apropriācijas</w:t>
      </w:r>
      <w:r w:rsidRPr="005F5406">
        <w:rPr>
          <w:rStyle w:val="FootnoteReference"/>
          <w:noProof/>
        </w:rPr>
        <w:footnoteReference w:id="31"/>
      </w:r>
      <w:r w:rsidRPr="005F5406">
        <w:t xml:space="preserve"> izmantot šādā veidā:</w:t>
      </w:r>
    </w:p>
    <w:p w:rsidR="004315C6" w:rsidRPr="005F5406" w:rsidRDefault="004315C6" w:rsidP="004315C6">
      <w:pPr>
        <w:jc w:val="right"/>
        <w:rPr>
          <w:noProof/>
          <w:sz w:val="20"/>
        </w:rPr>
      </w:pPr>
      <w:r w:rsidRPr="005F5406">
        <w:rPr>
          <w:noProof/>
          <w:sz w:val="20"/>
        </w:rPr>
        <w:t>Saistību apropriācijas EUR miljonos (trīs zīmes aiz komata)</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134"/>
        <w:gridCol w:w="632"/>
        <w:gridCol w:w="504"/>
        <w:gridCol w:w="720"/>
        <w:gridCol w:w="540"/>
        <w:gridCol w:w="720"/>
        <w:gridCol w:w="720"/>
        <w:gridCol w:w="720"/>
        <w:gridCol w:w="900"/>
        <w:gridCol w:w="51"/>
        <w:gridCol w:w="669"/>
        <w:gridCol w:w="720"/>
        <w:gridCol w:w="900"/>
      </w:tblGrid>
      <w:tr w:rsidR="007F4FF3" w:rsidRPr="005F5406" w:rsidTr="002951F9">
        <w:trPr>
          <w:jc w:val="center"/>
        </w:trPr>
        <w:tc>
          <w:tcPr>
            <w:tcW w:w="1078" w:type="dxa"/>
            <w:vMerge w:val="restart"/>
            <w:vAlign w:val="center"/>
          </w:tcPr>
          <w:p w:rsidR="004315C6" w:rsidRPr="005F5406" w:rsidRDefault="004315C6" w:rsidP="002951F9">
            <w:pPr>
              <w:ind w:right="-29"/>
              <w:jc w:val="center"/>
              <w:rPr>
                <w:b/>
                <w:noProof/>
                <w:sz w:val="16"/>
                <w:szCs w:val="16"/>
              </w:rPr>
            </w:pPr>
            <w:r w:rsidRPr="005F5406">
              <w:rPr>
                <w:b/>
                <w:noProof/>
                <w:sz w:val="16"/>
              </w:rPr>
              <w:t xml:space="preserve">Norādīt mērķus un rezultātus </w:t>
            </w:r>
          </w:p>
          <w:p w:rsidR="004315C6" w:rsidRPr="005F5406" w:rsidRDefault="004315C6" w:rsidP="002951F9">
            <w:pPr>
              <w:ind w:right="-29"/>
              <w:jc w:val="center"/>
              <w:rPr>
                <w:b/>
                <w:noProof/>
                <w:sz w:val="16"/>
                <w:szCs w:val="16"/>
              </w:rPr>
            </w:pPr>
          </w:p>
          <w:p w:rsidR="004315C6" w:rsidRPr="005F5406" w:rsidRDefault="004315C6" w:rsidP="002951F9">
            <w:pPr>
              <w:ind w:right="-29"/>
              <w:jc w:val="center"/>
              <w:rPr>
                <w:noProof/>
                <w:sz w:val="16"/>
                <w:szCs w:val="16"/>
              </w:rPr>
            </w:pPr>
            <w:r w:rsidRPr="005F5406">
              <w:rPr>
                <w:noProof/>
                <w:sz w:val="16"/>
                <w:szCs w:val="16"/>
              </w:rPr>
              <w:sym w:font="Wingdings" w:char="F0F2"/>
            </w:r>
          </w:p>
        </w:tc>
        <w:tc>
          <w:tcPr>
            <w:tcW w:w="1134" w:type="dxa"/>
            <w:vAlign w:val="center"/>
          </w:tcPr>
          <w:p w:rsidR="004315C6" w:rsidRPr="005F5406" w:rsidRDefault="004315C6" w:rsidP="002951F9">
            <w:pPr>
              <w:ind w:right="-29"/>
              <w:jc w:val="center"/>
              <w:rPr>
                <w:noProof/>
                <w:sz w:val="16"/>
                <w:szCs w:val="16"/>
              </w:rPr>
            </w:pPr>
          </w:p>
        </w:tc>
        <w:tc>
          <w:tcPr>
            <w:tcW w:w="632" w:type="dxa"/>
            <w:vAlign w:val="center"/>
          </w:tcPr>
          <w:p w:rsidR="004315C6" w:rsidRPr="005F5406" w:rsidRDefault="004315C6" w:rsidP="002951F9">
            <w:pPr>
              <w:ind w:right="-29"/>
              <w:jc w:val="center"/>
              <w:rPr>
                <w:noProof/>
                <w:sz w:val="16"/>
                <w:szCs w:val="16"/>
              </w:rPr>
            </w:pPr>
          </w:p>
        </w:tc>
        <w:tc>
          <w:tcPr>
            <w:tcW w:w="1224" w:type="dxa"/>
            <w:gridSpan w:val="2"/>
            <w:tcBorders>
              <w:left w:val="nil"/>
            </w:tcBorders>
            <w:vAlign w:val="center"/>
          </w:tcPr>
          <w:p w:rsidR="004315C6" w:rsidRPr="005F5406" w:rsidRDefault="004315C6" w:rsidP="002951F9">
            <w:pPr>
              <w:ind w:right="-29"/>
              <w:jc w:val="center"/>
              <w:rPr>
                <w:noProof/>
                <w:sz w:val="16"/>
                <w:szCs w:val="16"/>
              </w:rPr>
            </w:pPr>
            <w:r w:rsidRPr="003752EA">
              <w:rPr>
                <w:noProof/>
                <w:sz w:val="16"/>
              </w:rPr>
              <w:t>2018</w:t>
            </w:r>
          </w:p>
        </w:tc>
        <w:tc>
          <w:tcPr>
            <w:tcW w:w="1260" w:type="dxa"/>
            <w:gridSpan w:val="2"/>
            <w:vAlign w:val="center"/>
          </w:tcPr>
          <w:p w:rsidR="004315C6" w:rsidRPr="005F5406" w:rsidRDefault="004315C6" w:rsidP="002951F9">
            <w:pPr>
              <w:ind w:right="-29"/>
              <w:jc w:val="center"/>
              <w:rPr>
                <w:noProof/>
                <w:sz w:val="16"/>
                <w:szCs w:val="16"/>
              </w:rPr>
            </w:pPr>
            <w:r w:rsidRPr="003752EA">
              <w:rPr>
                <w:noProof/>
                <w:sz w:val="16"/>
              </w:rPr>
              <w:t>2019</w:t>
            </w:r>
          </w:p>
        </w:tc>
        <w:tc>
          <w:tcPr>
            <w:tcW w:w="1440" w:type="dxa"/>
            <w:gridSpan w:val="2"/>
            <w:vAlign w:val="center"/>
          </w:tcPr>
          <w:p w:rsidR="004315C6" w:rsidRPr="005F5406" w:rsidRDefault="004315C6" w:rsidP="002951F9">
            <w:pPr>
              <w:ind w:right="-29"/>
              <w:jc w:val="center"/>
              <w:rPr>
                <w:noProof/>
                <w:sz w:val="16"/>
                <w:szCs w:val="16"/>
              </w:rPr>
            </w:pPr>
            <w:r w:rsidRPr="003752EA">
              <w:rPr>
                <w:noProof/>
                <w:sz w:val="16"/>
              </w:rPr>
              <w:t>2020</w:t>
            </w:r>
          </w:p>
        </w:tc>
        <w:tc>
          <w:tcPr>
            <w:tcW w:w="1620" w:type="dxa"/>
            <w:gridSpan w:val="3"/>
            <w:vAlign w:val="center"/>
          </w:tcPr>
          <w:p w:rsidR="004315C6" w:rsidRPr="005F5406" w:rsidRDefault="004315C6" w:rsidP="002951F9">
            <w:pPr>
              <w:ind w:right="-29"/>
              <w:jc w:val="center"/>
              <w:rPr>
                <w:noProof/>
                <w:sz w:val="16"/>
                <w:szCs w:val="16"/>
              </w:rPr>
            </w:pPr>
            <w:r w:rsidRPr="003752EA">
              <w:rPr>
                <w:noProof/>
                <w:sz w:val="16"/>
              </w:rPr>
              <w:t>2021</w:t>
            </w:r>
            <w:r w:rsidRPr="005F5406">
              <w:rPr>
                <w:noProof/>
                <w:sz w:val="16"/>
              </w:rPr>
              <w:t>. un turpmākie gadi</w:t>
            </w:r>
          </w:p>
        </w:tc>
        <w:tc>
          <w:tcPr>
            <w:tcW w:w="1620" w:type="dxa"/>
            <w:gridSpan w:val="2"/>
            <w:tcBorders>
              <w:left w:val="nil"/>
              <w:bottom w:val="nil"/>
            </w:tcBorders>
            <w:vAlign w:val="center"/>
          </w:tcPr>
          <w:p w:rsidR="004315C6" w:rsidRPr="005F5406" w:rsidRDefault="004315C6" w:rsidP="002951F9">
            <w:pPr>
              <w:ind w:right="-29"/>
              <w:jc w:val="center"/>
              <w:rPr>
                <w:noProof/>
                <w:sz w:val="16"/>
                <w:szCs w:val="16"/>
              </w:rPr>
            </w:pPr>
            <w:r w:rsidRPr="005F5406">
              <w:rPr>
                <w:b/>
                <w:noProof/>
                <w:sz w:val="16"/>
              </w:rPr>
              <w:t>KOPĀ</w:t>
            </w:r>
          </w:p>
        </w:tc>
      </w:tr>
      <w:tr w:rsidR="007F4FF3" w:rsidRPr="005F5406" w:rsidTr="002951F9">
        <w:trPr>
          <w:gridAfter w:val="13"/>
          <w:wAfter w:w="8930" w:type="dxa"/>
          <w:trHeight w:val="450"/>
          <w:jc w:val="center"/>
        </w:trPr>
        <w:tc>
          <w:tcPr>
            <w:tcW w:w="1078" w:type="dxa"/>
            <w:vMerge/>
            <w:vAlign w:val="center"/>
          </w:tcPr>
          <w:p w:rsidR="004315C6" w:rsidRPr="005F5406" w:rsidRDefault="004315C6" w:rsidP="002951F9">
            <w:pPr>
              <w:ind w:right="-29"/>
              <w:jc w:val="center"/>
              <w:rPr>
                <w:noProof/>
                <w:sz w:val="16"/>
                <w:szCs w:val="16"/>
              </w:rPr>
            </w:pPr>
          </w:p>
        </w:tc>
      </w:tr>
      <w:tr w:rsidR="007F4FF3" w:rsidRPr="005F5406" w:rsidTr="005911FE">
        <w:trPr>
          <w:cantSplit/>
          <w:trHeight w:val="1134"/>
          <w:jc w:val="center"/>
        </w:trPr>
        <w:tc>
          <w:tcPr>
            <w:tcW w:w="1078" w:type="dxa"/>
            <w:vMerge/>
            <w:vAlign w:val="center"/>
          </w:tcPr>
          <w:p w:rsidR="004315C6" w:rsidRPr="005F5406" w:rsidRDefault="004315C6" w:rsidP="002951F9">
            <w:pPr>
              <w:rPr>
                <w:noProof/>
                <w:sz w:val="16"/>
                <w:szCs w:val="16"/>
              </w:rPr>
            </w:pPr>
          </w:p>
        </w:tc>
        <w:tc>
          <w:tcPr>
            <w:tcW w:w="1134" w:type="dxa"/>
            <w:vAlign w:val="center"/>
          </w:tcPr>
          <w:p w:rsidR="004315C6" w:rsidRPr="005F5406" w:rsidRDefault="004315C6" w:rsidP="002951F9">
            <w:pPr>
              <w:jc w:val="center"/>
              <w:rPr>
                <w:noProof/>
                <w:sz w:val="16"/>
                <w:szCs w:val="16"/>
              </w:rPr>
            </w:pPr>
            <w:r w:rsidRPr="005F5406">
              <w:rPr>
                <w:noProof/>
                <w:sz w:val="16"/>
              </w:rPr>
              <w:t>Rezultāta veids</w:t>
            </w:r>
            <w:r w:rsidRPr="005F5406">
              <w:rPr>
                <w:rStyle w:val="FootnoteReference"/>
                <w:noProof/>
                <w:sz w:val="16"/>
              </w:rPr>
              <w:footnoteReference w:id="32"/>
            </w:r>
          </w:p>
          <w:p w:rsidR="004315C6" w:rsidRPr="005F5406" w:rsidRDefault="004315C6" w:rsidP="002951F9">
            <w:pPr>
              <w:spacing w:before="0" w:after="0"/>
              <w:jc w:val="center"/>
              <w:rPr>
                <w:noProof/>
                <w:sz w:val="16"/>
                <w:szCs w:val="16"/>
              </w:rPr>
            </w:pPr>
          </w:p>
        </w:tc>
        <w:tc>
          <w:tcPr>
            <w:tcW w:w="632" w:type="dxa"/>
            <w:vAlign w:val="center"/>
          </w:tcPr>
          <w:p w:rsidR="004315C6" w:rsidRPr="005F5406" w:rsidRDefault="004315C6" w:rsidP="002951F9">
            <w:pPr>
              <w:jc w:val="center"/>
              <w:rPr>
                <w:noProof/>
                <w:sz w:val="16"/>
                <w:szCs w:val="16"/>
              </w:rPr>
            </w:pPr>
            <w:r w:rsidRPr="005F5406">
              <w:rPr>
                <w:noProof/>
                <w:sz w:val="16"/>
              </w:rPr>
              <w:t>Rezultāta vidējās izmaksas</w:t>
            </w:r>
          </w:p>
        </w:tc>
        <w:tc>
          <w:tcPr>
            <w:tcW w:w="504" w:type="dxa"/>
            <w:tcBorders>
              <w:left w:val="nil"/>
              <w:right w:val="dashSmallGap" w:sz="4" w:space="0" w:color="auto"/>
            </w:tcBorders>
            <w:shd w:val="pct10" w:color="auto" w:fill="auto"/>
            <w:textDirection w:val="btLr"/>
            <w:vAlign w:val="center"/>
          </w:tcPr>
          <w:p w:rsidR="004315C6" w:rsidRPr="005F5406" w:rsidRDefault="004315C6" w:rsidP="002951F9">
            <w:pPr>
              <w:ind w:left="113" w:right="113"/>
              <w:jc w:val="center"/>
              <w:rPr>
                <w:noProof/>
                <w:sz w:val="16"/>
                <w:szCs w:val="16"/>
              </w:rPr>
            </w:pPr>
            <w:r w:rsidRPr="005F5406">
              <w:rPr>
                <w:noProof/>
                <w:sz w:val="16"/>
              </w:rPr>
              <w:t>Daudzums</w:t>
            </w:r>
          </w:p>
        </w:tc>
        <w:tc>
          <w:tcPr>
            <w:tcW w:w="720" w:type="dxa"/>
            <w:tcBorders>
              <w:left w:val="dashSmallGap" w:sz="4" w:space="0" w:color="auto"/>
            </w:tcBorders>
            <w:shd w:val="pct10" w:color="auto" w:fill="auto"/>
            <w:vAlign w:val="center"/>
          </w:tcPr>
          <w:p w:rsidR="004315C6" w:rsidRPr="005F5406" w:rsidRDefault="004315C6" w:rsidP="002951F9">
            <w:pPr>
              <w:jc w:val="center"/>
              <w:rPr>
                <w:noProof/>
                <w:sz w:val="16"/>
                <w:szCs w:val="16"/>
              </w:rPr>
            </w:pPr>
            <w:r w:rsidRPr="005F5406">
              <w:rPr>
                <w:noProof/>
                <w:sz w:val="16"/>
              </w:rPr>
              <w:t>Izmaksas</w:t>
            </w:r>
          </w:p>
        </w:tc>
        <w:tc>
          <w:tcPr>
            <w:tcW w:w="540" w:type="dxa"/>
            <w:tcBorders>
              <w:right w:val="dashSmallGap" w:sz="4" w:space="0" w:color="auto"/>
            </w:tcBorders>
            <w:shd w:val="pct10" w:color="auto" w:fill="auto"/>
            <w:textDirection w:val="btLr"/>
            <w:vAlign w:val="center"/>
          </w:tcPr>
          <w:p w:rsidR="004315C6" w:rsidRPr="005F5406" w:rsidRDefault="004315C6" w:rsidP="002951F9">
            <w:pPr>
              <w:ind w:left="113" w:right="113"/>
              <w:jc w:val="center"/>
              <w:rPr>
                <w:noProof/>
                <w:sz w:val="16"/>
                <w:szCs w:val="16"/>
              </w:rPr>
            </w:pPr>
            <w:r w:rsidRPr="005F5406">
              <w:rPr>
                <w:noProof/>
                <w:sz w:val="16"/>
              </w:rPr>
              <w:t>Daudzums</w:t>
            </w:r>
          </w:p>
        </w:tc>
        <w:tc>
          <w:tcPr>
            <w:tcW w:w="720" w:type="dxa"/>
            <w:tcBorders>
              <w:left w:val="dashSmallGap" w:sz="4" w:space="0" w:color="auto"/>
            </w:tcBorders>
            <w:shd w:val="pct10" w:color="auto" w:fill="auto"/>
            <w:vAlign w:val="center"/>
          </w:tcPr>
          <w:p w:rsidR="004315C6" w:rsidRPr="005F5406" w:rsidRDefault="004315C6" w:rsidP="002951F9">
            <w:pPr>
              <w:jc w:val="center"/>
              <w:rPr>
                <w:noProof/>
                <w:sz w:val="16"/>
                <w:szCs w:val="16"/>
              </w:rPr>
            </w:pPr>
            <w:r w:rsidRPr="005F5406">
              <w:rPr>
                <w:noProof/>
                <w:sz w:val="16"/>
              </w:rPr>
              <w:t>Izmaksas</w:t>
            </w:r>
          </w:p>
        </w:tc>
        <w:tc>
          <w:tcPr>
            <w:tcW w:w="720" w:type="dxa"/>
            <w:tcBorders>
              <w:right w:val="dashSmallGap" w:sz="4" w:space="0" w:color="auto"/>
            </w:tcBorders>
            <w:shd w:val="pct10" w:color="auto" w:fill="auto"/>
            <w:textDirection w:val="btLr"/>
            <w:vAlign w:val="center"/>
          </w:tcPr>
          <w:p w:rsidR="004315C6" w:rsidRPr="005F5406" w:rsidRDefault="004315C6" w:rsidP="002951F9">
            <w:pPr>
              <w:ind w:left="113" w:right="113"/>
              <w:jc w:val="center"/>
              <w:rPr>
                <w:noProof/>
                <w:sz w:val="16"/>
                <w:szCs w:val="16"/>
              </w:rPr>
            </w:pPr>
            <w:r w:rsidRPr="005F5406">
              <w:rPr>
                <w:noProof/>
                <w:sz w:val="16"/>
              </w:rPr>
              <w:t>Daudzums</w:t>
            </w:r>
          </w:p>
        </w:tc>
        <w:tc>
          <w:tcPr>
            <w:tcW w:w="720" w:type="dxa"/>
            <w:tcBorders>
              <w:left w:val="dashSmallGap" w:sz="4" w:space="0" w:color="auto"/>
            </w:tcBorders>
            <w:shd w:val="pct10" w:color="auto" w:fill="auto"/>
            <w:vAlign w:val="center"/>
          </w:tcPr>
          <w:p w:rsidR="004315C6" w:rsidRPr="005F5406" w:rsidRDefault="004315C6" w:rsidP="002951F9">
            <w:pPr>
              <w:jc w:val="center"/>
              <w:rPr>
                <w:noProof/>
                <w:sz w:val="16"/>
                <w:szCs w:val="16"/>
              </w:rPr>
            </w:pPr>
            <w:r w:rsidRPr="005F5406">
              <w:rPr>
                <w:noProof/>
                <w:sz w:val="16"/>
              </w:rPr>
              <w:t>Izmaksas</w:t>
            </w:r>
          </w:p>
        </w:tc>
        <w:tc>
          <w:tcPr>
            <w:tcW w:w="900" w:type="dxa"/>
            <w:tcBorders>
              <w:right w:val="dashSmallGap" w:sz="4" w:space="0" w:color="auto"/>
            </w:tcBorders>
            <w:shd w:val="pct10" w:color="auto" w:fill="auto"/>
            <w:textDirection w:val="btLr"/>
            <w:vAlign w:val="center"/>
          </w:tcPr>
          <w:p w:rsidR="004315C6" w:rsidRPr="005F5406" w:rsidRDefault="004315C6" w:rsidP="002951F9">
            <w:pPr>
              <w:ind w:left="113" w:right="113"/>
              <w:jc w:val="center"/>
              <w:rPr>
                <w:noProof/>
                <w:sz w:val="16"/>
                <w:szCs w:val="16"/>
              </w:rPr>
            </w:pPr>
            <w:r w:rsidRPr="005F5406">
              <w:rPr>
                <w:noProof/>
                <w:sz w:val="16"/>
              </w:rPr>
              <w:t>Daudzums</w:t>
            </w:r>
          </w:p>
        </w:tc>
        <w:tc>
          <w:tcPr>
            <w:tcW w:w="720" w:type="dxa"/>
            <w:gridSpan w:val="2"/>
            <w:tcBorders>
              <w:left w:val="dashSmallGap" w:sz="4" w:space="0" w:color="auto"/>
            </w:tcBorders>
            <w:shd w:val="pct10" w:color="auto" w:fill="auto"/>
            <w:vAlign w:val="center"/>
          </w:tcPr>
          <w:p w:rsidR="004315C6" w:rsidRPr="005F5406" w:rsidRDefault="004315C6" w:rsidP="002951F9">
            <w:pPr>
              <w:jc w:val="center"/>
              <w:rPr>
                <w:noProof/>
                <w:sz w:val="16"/>
                <w:szCs w:val="16"/>
              </w:rPr>
            </w:pPr>
            <w:r w:rsidRPr="005F5406">
              <w:rPr>
                <w:noProof/>
                <w:sz w:val="16"/>
              </w:rPr>
              <w:t>Izmaksas</w:t>
            </w:r>
          </w:p>
        </w:tc>
        <w:tc>
          <w:tcPr>
            <w:tcW w:w="720" w:type="dxa"/>
            <w:tcBorders>
              <w:right w:val="dashSmallGap" w:sz="4" w:space="0" w:color="auto"/>
            </w:tcBorders>
            <w:shd w:val="pct10" w:color="auto" w:fill="auto"/>
            <w:textDirection w:val="btLr"/>
            <w:vAlign w:val="center"/>
          </w:tcPr>
          <w:p w:rsidR="004315C6" w:rsidRPr="005F5406" w:rsidRDefault="004315C6" w:rsidP="005911FE">
            <w:pPr>
              <w:ind w:left="113" w:right="113"/>
              <w:jc w:val="center"/>
              <w:rPr>
                <w:noProof/>
                <w:sz w:val="16"/>
                <w:szCs w:val="16"/>
              </w:rPr>
            </w:pPr>
            <w:r w:rsidRPr="005F5406">
              <w:rPr>
                <w:noProof/>
                <w:sz w:val="16"/>
              </w:rPr>
              <w:t>Kopējais rezultātu daudzums</w:t>
            </w:r>
          </w:p>
        </w:tc>
        <w:tc>
          <w:tcPr>
            <w:tcW w:w="900" w:type="dxa"/>
            <w:tcBorders>
              <w:left w:val="dashSmallGap" w:sz="4" w:space="0" w:color="auto"/>
            </w:tcBorders>
            <w:shd w:val="pct10" w:color="auto" w:fill="auto"/>
            <w:vAlign w:val="center"/>
          </w:tcPr>
          <w:p w:rsidR="004315C6" w:rsidRPr="005F5406" w:rsidRDefault="004315C6" w:rsidP="002951F9">
            <w:pPr>
              <w:jc w:val="center"/>
              <w:rPr>
                <w:noProof/>
                <w:sz w:val="18"/>
                <w:szCs w:val="18"/>
              </w:rPr>
            </w:pPr>
            <w:r w:rsidRPr="005F5406">
              <w:rPr>
                <w:noProof/>
                <w:sz w:val="18"/>
              </w:rPr>
              <w:t>Kopējās izmaksas</w:t>
            </w:r>
          </w:p>
        </w:tc>
      </w:tr>
      <w:tr w:rsidR="007F4FF3" w:rsidRPr="005F5406" w:rsidTr="002951F9">
        <w:trPr>
          <w:jc w:val="center"/>
        </w:trPr>
        <w:tc>
          <w:tcPr>
            <w:tcW w:w="2844" w:type="dxa"/>
            <w:gridSpan w:val="3"/>
            <w:vAlign w:val="center"/>
          </w:tcPr>
          <w:p w:rsidR="004315C6" w:rsidRPr="005F5406" w:rsidRDefault="004315C6" w:rsidP="002951F9">
            <w:pPr>
              <w:spacing w:before="60" w:after="60"/>
              <w:ind w:right="-29"/>
              <w:jc w:val="center"/>
              <w:rPr>
                <w:noProof/>
                <w:sz w:val="16"/>
                <w:szCs w:val="16"/>
              </w:rPr>
            </w:pPr>
            <w:r w:rsidRPr="005F5406">
              <w:rPr>
                <w:noProof/>
                <w:sz w:val="16"/>
              </w:rPr>
              <w:t>KONKRĒTAIS MĒRĶIS Nr. </w:t>
            </w:r>
            <w:r w:rsidRPr="003752EA">
              <w:rPr>
                <w:noProof/>
                <w:sz w:val="16"/>
              </w:rPr>
              <w:t>1</w:t>
            </w:r>
            <w:r w:rsidRPr="005F5406">
              <w:rPr>
                <w:rStyle w:val="FootnoteReference"/>
                <w:noProof/>
                <w:sz w:val="16"/>
              </w:rPr>
              <w:footnoteReference w:id="33"/>
            </w:r>
          </w:p>
        </w:tc>
        <w:tc>
          <w:tcPr>
            <w:tcW w:w="504"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54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90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gridSpan w:val="2"/>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90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r>
      <w:tr w:rsidR="007F4FF3" w:rsidRPr="005F5406" w:rsidTr="002951F9">
        <w:trPr>
          <w:trHeight w:hRule="exact" w:val="587"/>
          <w:jc w:val="center"/>
        </w:trPr>
        <w:tc>
          <w:tcPr>
            <w:tcW w:w="1078" w:type="dxa"/>
          </w:tcPr>
          <w:p w:rsidR="004315C6" w:rsidRPr="005F5406" w:rsidRDefault="004315C6" w:rsidP="002951F9">
            <w:pPr>
              <w:ind w:right="-29"/>
              <w:jc w:val="center"/>
              <w:rPr>
                <w:noProof/>
                <w:sz w:val="16"/>
                <w:szCs w:val="16"/>
              </w:rPr>
            </w:pPr>
            <w:r w:rsidRPr="005F5406">
              <w:rPr>
                <w:noProof/>
                <w:sz w:val="16"/>
              </w:rPr>
              <w:t>- Rezultāts</w:t>
            </w:r>
          </w:p>
        </w:tc>
        <w:tc>
          <w:tcPr>
            <w:tcW w:w="1134" w:type="dxa"/>
          </w:tcPr>
          <w:p w:rsidR="004315C6" w:rsidRPr="005F5406" w:rsidRDefault="004315C6" w:rsidP="002951F9">
            <w:pPr>
              <w:ind w:right="-29"/>
              <w:rPr>
                <w:noProof/>
                <w:sz w:val="16"/>
                <w:szCs w:val="16"/>
              </w:rPr>
            </w:pPr>
            <w:r w:rsidRPr="005F5406">
              <w:rPr>
                <w:noProof/>
                <w:sz w:val="16"/>
              </w:rPr>
              <w:t>Pētījumu skaits</w:t>
            </w:r>
          </w:p>
        </w:tc>
        <w:tc>
          <w:tcPr>
            <w:tcW w:w="632" w:type="dxa"/>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04" w:type="dxa"/>
            <w:tcBorders>
              <w:right w:val="dashSmallGap" w:sz="4" w:space="0" w:color="auto"/>
            </w:tcBorders>
          </w:tcPr>
          <w:p w:rsidR="004315C6" w:rsidRPr="005F5406" w:rsidRDefault="004315C6" w:rsidP="002951F9">
            <w:pPr>
              <w:ind w:right="-29"/>
              <w:jc w:val="center"/>
              <w:rPr>
                <w:noProof/>
                <w:sz w:val="16"/>
                <w:szCs w:val="16"/>
              </w:rPr>
            </w:pPr>
            <w:r w:rsidRPr="003752EA">
              <w:rPr>
                <w:noProof/>
                <w:sz w:val="16"/>
              </w:rPr>
              <w:t>1</w:t>
            </w:r>
          </w:p>
        </w:tc>
        <w:tc>
          <w:tcPr>
            <w:tcW w:w="720" w:type="dxa"/>
            <w:tcBorders>
              <w:left w:val="dashSmallGap" w:sz="4" w:space="0" w:color="auto"/>
            </w:tcBorders>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40" w:type="dxa"/>
            <w:tcBorders>
              <w:right w:val="dashSmallGap" w:sz="4"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left w:val="dashSmallGap" w:sz="4"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right w:val="dashSmallGap" w:sz="4"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left w:val="dashSmallGap" w:sz="4" w:space="0" w:color="auto"/>
            </w:tcBorders>
          </w:tcPr>
          <w:p w:rsidR="004315C6" w:rsidRPr="005F5406" w:rsidRDefault="004315C6" w:rsidP="002951F9">
            <w:pPr>
              <w:ind w:right="-29"/>
              <w:jc w:val="center"/>
              <w:rPr>
                <w:noProof/>
                <w:sz w:val="16"/>
                <w:szCs w:val="16"/>
              </w:rPr>
            </w:pPr>
            <w:r w:rsidRPr="005F5406">
              <w:rPr>
                <w:noProof/>
                <w:sz w:val="16"/>
              </w:rPr>
              <w:t>-</w:t>
            </w:r>
          </w:p>
        </w:tc>
        <w:tc>
          <w:tcPr>
            <w:tcW w:w="900" w:type="dxa"/>
            <w:tcBorders>
              <w:right w:val="dashSmallGap" w:sz="4"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gridSpan w:val="2"/>
            <w:tcBorders>
              <w:left w:val="dashSmallGap" w:sz="4"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Pr>
          <w:p w:rsidR="004315C6" w:rsidRPr="005F5406" w:rsidRDefault="004315C6" w:rsidP="002951F9">
            <w:pPr>
              <w:ind w:right="-29"/>
              <w:jc w:val="center"/>
              <w:rPr>
                <w:noProof/>
                <w:sz w:val="16"/>
                <w:szCs w:val="16"/>
              </w:rPr>
            </w:pPr>
            <w:r w:rsidRPr="005F5406">
              <w:rPr>
                <w:noProof/>
                <w:sz w:val="16"/>
              </w:rPr>
              <w:t>-</w:t>
            </w:r>
          </w:p>
        </w:tc>
        <w:tc>
          <w:tcPr>
            <w:tcW w:w="900" w:type="dxa"/>
          </w:tcPr>
          <w:p w:rsidR="004315C6" w:rsidRPr="005F5406" w:rsidRDefault="004315C6" w:rsidP="002951F9">
            <w:pPr>
              <w:ind w:right="-29"/>
              <w:jc w:val="center"/>
              <w:rPr>
                <w:noProof/>
                <w:sz w:val="16"/>
                <w:szCs w:val="16"/>
              </w:rPr>
            </w:pPr>
            <w:r w:rsidRPr="005F5406">
              <w:rPr>
                <w:noProof/>
                <w:sz w:val="16"/>
              </w:rPr>
              <w:t>-</w:t>
            </w:r>
          </w:p>
        </w:tc>
      </w:tr>
      <w:tr w:rsidR="007F4FF3" w:rsidRPr="005F5406" w:rsidTr="002951F9">
        <w:trPr>
          <w:jc w:val="center"/>
        </w:trPr>
        <w:tc>
          <w:tcPr>
            <w:tcW w:w="2844" w:type="dxa"/>
            <w:gridSpan w:val="3"/>
            <w:tcBorders>
              <w:bottom w:val="single" w:sz="12" w:space="0" w:color="auto"/>
            </w:tcBorders>
            <w:vAlign w:val="center"/>
          </w:tcPr>
          <w:p w:rsidR="004315C6" w:rsidRPr="005F5406" w:rsidRDefault="004315C6" w:rsidP="002951F9">
            <w:pPr>
              <w:ind w:right="-29"/>
              <w:jc w:val="center"/>
              <w:rPr>
                <w:noProof/>
                <w:sz w:val="16"/>
                <w:szCs w:val="16"/>
              </w:rPr>
            </w:pPr>
            <w:r w:rsidRPr="005F5406">
              <w:rPr>
                <w:noProof/>
                <w:sz w:val="16"/>
              </w:rPr>
              <w:t>Starpsumma – konkrētais mērķis Nr. </w:t>
            </w:r>
            <w:r w:rsidRPr="003752EA">
              <w:rPr>
                <w:noProof/>
                <w:sz w:val="16"/>
              </w:rPr>
              <w:t>1</w:t>
            </w:r>
          </w:p>
        </w:tc>
        <w:tc>
          <w:tcPr>
            <w:tcW w:w="504"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1</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4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90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gridSpan w:val="2"/>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90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r>
      <w:tr w:rsidR="007F4FF3" w:rsidRPr="005F5406" w:rsidTr="002951F9">
        <w:trPr>
          <w:jc w:val="center"/>
        </w:trPr>
        <w:tc>
          <w:tcPr>
            <w:tcW w:w="2844" w:type="dxa"/>
            <w:gridSpan w:val="3"/>
            <w:vAlign w:val="center"/>
          </w:tcPr>
          <w:p w:rsidR="004315C6" w:rsidRPr="005F5406" w:rsidRDefault="004315C6" w:rsidP="002951F9">
            <w:pPr>
              <w:spacing w:before="60" w:after="60"/>
              <w:ind w:right="-29"/>
              <w:jc w:val="center"/>
              <w:rPr>
                <w:noProof/>
                <w:sz w:val="16"/>
                <w:szCs w:val="16"/>
              </w:rPr>
            </w:pPr>
            <w:r w:rsidRPr="005F5406">
              <w:rPr>
                <w:noProof/>
                <w:sz w:val="16"/>
              </w:rPr>
              <w:t>KONKRĒTAIS MĒRĶIS Nr. </w:t>
            </w:r>
            <w:r w:rsidRPr="003752EA">
              <w:rPr>
                <w:noProof/>
                <w:sz w:val="16"/>
              </w:rPr>
              <w:t>2</w:t>
            </w:r>
          </w:p>
        </w:tc>
        <w:tc>
          <w:tcPr>
            <w:tcW w:w="504"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54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90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gridSpan w:val="2"/>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72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c>
          <w:tcPr>
            <w:tcW w:w="900" w:type="dxa"/>
            <w:tcBorders>
              <w:top w:val="nil"/>
              <w:left w:val="nil"/>
              <w:bottom w:val="nil"/>
              <w:right w:val="nil"/>
            </w:tcBorders>
          </w:tcPr>
          <w:p w:rsidR="004315C6" w:rsidRPr="005F5406" w:rsidRDefault="004315C6" w:rsidP="002951F9">
            <w:pPr>
              <w:spacing w:before="60" w:after="60"/>
              <w:ind w:right="-29"/>
              <w:jc w:val="center"/>
              <w:rPr>
                <w:noProof/>
                <w:sz w:val="16"/>
                <w:szCs w:val="16"/>
              </w:rPr>
            </w:pPr>
          </w:p>
        </w:tc>
      </w:tr>
      <w:tr w:rsidR="007F4FF3" w:rsidRPr="005F5406" w:rsidTr="002951F9">
        <w:trPr>
          <w:trHeight w:hRule="exact" w:val="607"/>
          <w:jc w:val="center"/>
        </w:trPr>
        <w:tc>
          <w:tcPr>
            <w:tcW w:w="1078" w:type="dxa"/>
          </w:tcPr>
          <w:p w:rsidR="004315C6" w:rsidRPr="005F5406" w:rsidRDefault="004315C6" w:rsidP="002951F9">
            <w:pPr>
              <w:ind w:right="-29"/>
              <w:jc w:val="center"/>
              <w:rPr>
                <w:noProof/>
                <w:sz w:val="16"/>
                <w:szCs w:val="16"/>
              </w:rPr>
            </w:pPr>
            <w:r w:rsidRPr="005F5406">
              <w:rPr>
                <w:noProof/>
                <w:sz w:val="16"/>
              </w:rPr>
              <w:t>- Rezultāts</w:t>
            </w:r>
          </w:p>
        </w:tc>
        <w:tc>
          <w:tcPr>
            <w:tcW w:w="1134" w:type="dxa"/>
          </w:tcPr>
          <w:p w:rsidR="004315C6" w:rsidRPr="005F5406" w:rsidRDefault="004315C6" w:rsidP="002951F9">
            <w:pPr>
              <w:ind w:right="-29"/>
              <w:jc w:val="center"/>
              <w:rPr>
                <w:noProof/>
                <w:sz w:val="16"/>
                <w:szCs w:val="16"/>
              </w:rPr>
            </w:pPr>
            <w:r w:rsidRPr="005F5406">
              <w:rPr>
                <w:noProof/>
                <w:sz w:val="16"/>
              </w:rPr>
              <w:t>Pētījumu skaits</w:t>
            </w:r>
          </w:p>
        </w:tc>
        <w:tc>
          <w:tcPr>
            <w:tcW w:w="632" w:type="dxa"/>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04" w:type="dxa"/>
          </w:tcPr>
          <w:p w:rsidR="004315C6" w:rsidRPr="005F5406" w:rsidRDefault="004315C6" w:rsidP="002951F9">
            <w:pPr>
              <w:ind w:right="-29"/>
              <w:jc w:val="center"/>
              <w:rPr>
                <w:noProof/>
                <w:sz w:val="16"/>
                <w:szCs w:val="16"/>
              </w:rPr>
            </w:pPr>
            <w:r w:rsidRPr="003752EA">
              <w:rPr>
                <w:noProof/>
                <w:sz w:val="16"/>
              </w:rPr>
              <w:t>1</w:t>
            </w:r>
          </w:p>
        </w:tc>
        <w:tc>
          <w:tcPr>
            <w:tcW w:w="720" w:type="dxa"/>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40" w:type="dxa"/>
          </w:tcPr>
          <w:p w:rsidR="004315C6" w:rsidRPr="005F5406" w:rsidRDefault="004315C6" w:rsidP="002951F9">
            <w:pPr>
              <w:ind w:right="-29"/>
              <w:jc w:val="center"/>
              <w:rPr>
                <w:noProof/>
                <w:sz w:val="16"/>
                <w:szCs w:val="16"/>
              </w:rPr>
            </w:pPr>
            <w:r w:rsidRPr="005F5406">
              <w:rPr>
                <w:noProof/>
                <w:sz w:val="16"/>
              </w:rPr>
              <w:t>-</w:t>
            </w:r>
          </w:p>
        </w:tc>
        <w:tc>
          <w:tcPr>
            <w:tcW w:w="720" w:type="dxa"/>
          </w:tcPr>
          <w:p w:rsidR="004315C6" w:rsidRPr="005F5406" w:rsidRDefault="004315C6" w:rsidP="002951F9">
            <w:pPr>
              <w:ind w:right="-29"/>
              <w:jc w:val="center"/>
              <w:rPr>
                <w:noProof/>
                <w:sz w:val="16"/>
                <w:szCs w:val="16"/>
              </w:rPr>
            </w:pPr>
            <w:r w:rsidRPr="005F5406">
              <w:rPr>
                <w:noProof/>
                <w:sz w:val="16"/>
              </w:rPr>
              <w:t>-</w:t>
            </w:r>
          </w:p>
        </w:tc>
        <w:tc>
          <w:tcPr>
            <w:tcW w:w="720" w:type="dxa"/>
          </w:tcPr>
          <w:p w:rsidR="004315C6" w:rsidRPr="005F5406" w:rsidRDefault="004315C6" w:rsidP="002951F9">
            <w:pPr>
              <w:ind w:right="-29"/>
              <w:jc w:val="center"/>
              <w:rPr>
                <w:noProof/>
                <w:sz w:val="16"/>
                <w:szCs w:val="16"/>
              </w:rPr>
            </w:pPr>
            <w:r w:rsidRPr="005F5406">
              <w:rPr>
                <w:noProof/>
                <w:sz w:val="16"/>
              </w:rPr>
              <w:t>-</w:t>
            </w:r>
          </w:p>
        </w:tc>
        <w:tc>
          <w:tcPr>
            <w:tcW w:w="720" w:type="dxa"/>
          </w:tcPr>
          <w:p w:rsidR="004315C6" w:rsidRPr="005F5406" w:rsidRDefault="004315C6" w:rsidP="002951F9">
            <w:pPr>
              <w:ind w:right="-29"/>
              <w:jc w:val="center"/>
              <w:rPr>
                <w:noProof/>
                <w:sz w:val="16"/>
                <w:szCs w:val="16"/>
              </w:rPr>
            </w:pPr>
            <w:r w:rsidRPr="005F5406">
              <w:rPr>
                <w:noProof/>
                <w:sz w:val="16"/>
              </w:rPr>
              <w:t>-</w:t>
            </w:r>
          </w:p>
        </w:tc>
        <w:tc>
          <w:tcPr>
            <w:tcW w:w="900" w:type="dxa"/>
          </w:tcPr>
          <w:p w:rsidR="004315C6" w:rsidRPr="005F5406" w:rsidRDefault="004315C6" w:rsidP="002951F9">
            <w:pPr>
              <w:ind w:right="-29"/>
              <w:jc w:val="center"/>
              <w:rPr>
                <w:noProof/>
                <w:sz w:val="16"/>
                <w:szCs w:val="16"/>
              </w:rPr>
            </w:pPr>
            <w:r w:rsidRPr="005F5406">
              <w:rPr>
                <w:noProof/>
                <w:sz w:val="16"/>
              </w:rPr>
              <w:t>-</w:t>
            </w:r>
          </w:p>
        </w:tc>
        <w:tc>
          <w:tcPr>
            <w:tcW w:w="720" w:type="dxa"/>
            <w:gridSpan w:val="2"/>
          </w:tcPr>
          <w:p w:rsidR="004315C6" w:rsidRPr="005F5406" w:rsidRDefault="004315C6" w:rsidP="002951F9">
            <w:pPr>
              <w:ind w:right="-29"/>
              <w:jc w:val="center"/>
              <w:rPr>
                <w:noProof/>
                <w:sz w:val="16"/>
                <w:szCs w:val="16"/>
              </w:rPr>
            </w:pPr>
            <w:r w:rsidRPr="005F5406">
              <w:rPr>
                <w:noProof/>
                <w:sz w:val="16"/>
              </w:rPr>
              <w:t>-</w:t>
            </w:r>
          </w:p>
        </w:tc>
        <w:tc>
          <w:tcPr>
            <w:tcW w:w="720" w:type="dxa"/>
          </w:tcPr>
          <w:p w:rsidR="004315C6" w:rsidRPr="005F5406" w:rsidRDefault="004315C6" w:rsidP="002951F9">
            <w:pPr>
              <w:ind w:right="-29"/>
              <w:jc w:val="center"/>
              <w:rPr>
                <w:noProof/>
                <w:sz w:val="16"/>
                <w:szCs w:val="16"/>
              </w:rPr>
            </w:pPr>
            <w:r w:rsidRPr="005F5406">
              <w:rPr>
                <w:noProof/>
                <w:sz w:val="16"/>
              </w:rPr>
              <w:t>-</w:t>
            </w:r>
          </w:p>
        </w:tc>
        <w:tc>
          <w:tcPr>
            <w:tcW w:w="900" w:type="dxa"/>
          </w:tcPr>
          <w:p w:rsidR="004315C6" w:rsidRPr="005F5406" w:rsidRDefault="004315C6" w:rsidP="002951F9">
            <w:pPr>
              <w:ind w:right="-29"/>
              <w:jc w:val="center"/>
              <w:rPr>
                <w:noProof/>
                <w:sz w:val="16"/>
                <w:szCs w:val="16"/>
              </w:rPr>
            </w:pPr>
            <w:r w:rsidRPr="005F5406">
              <w:rPr>
                <w:noProof/>
                <w:sz w:val="16"/>
              </w:rPr>
              <w:t>-</w:t>
            </w:r>
          </w:p>
        </w:tc>
      </w:tr>
      <w:tr w:rsidR="007F4FF3" w:rsidRPr="005F5406" w:rsidTr="002951F9">
        <w:trPr>
          <w:jc w:val="center"/>
        </w:trPr>
        <w:tc>
          <w:tcPr>
            <w:tcW w:w="2844" w:type="dxa"/>
            <w:gridSpan w:val="3"/>
            <w:tcBorders>
              <w:bottom w:val="single" w:sz="12" w:space="0" w:color="auto"/>
            </w:tcBorders>
            <w:vAlign w:val="center"/>
          </w:tcPr>
          <w:p w:rsidR="004315C6" w:rsidRPr="005F5406" w:rsidRDefault="004315C6" w:rsidP="002951F9">
            <w:pPr>
              <w:jc w:val="center"/>
              <w:rPr>
                <w:noProof/>
                <w:sz w:val="16"/>
                <w:szCs w:val="16"/>
              </w:rPr>
            </w:pPr>
            <w:r w:rsidRPr="005F5406">
              <w:rPr>
                <w:noProof/>
                <w:sz w:val="16"/>
              </w:rPr>
              <w:t>Starpsumma – konkrētais mērķis Nr. </w:t>
            </w:r>
            <w:r w:rsidRPr="003752EA">
              <w:rPr>
                <w:noProof/>
                <w:sz w:val="16"/>
              </w:rPr>
              <w:t>2</w:t>
            </w:r>
          </w:p>
        </w:tc>
        <w:tc>
          <w:tcPr>
            <w:tcW w:w="504"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1</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4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951" w:type="dxa"/>
            <w:gridSpan w:val="2"/>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669"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90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r>
      <w:tr w:rsidR="007F4FF3" w:rsidRPr="005F5406" w:rsidTr="002951F9">
        <w:trPr>
          <w:jc w:val="center"/>
        </w:trPr>
        <w:tc>
          <w:tcPr>
            <w:tcW w:w="2844" w:type="dxa"/>
            <w:gridSpan w:val="3"/>
            <w:tcBorders>
              <w:bottom w:val="single" w:sz="12" w:space="0" w:color="auto"/>
            </w:tcBorders>
            <w:vAlign w:val="center"/>
          </w:tcPr>
          <w:p w:rsidR="004315C6" w:rsidRPr="005F5406" w:rsidRDefault="004315C6" w:rsidP="002951F9">
            <w:pPr>
              <w:jc w:val="center"/>
              <w:rPr>
                <w:noProof/>
                <w:sz w:val="16"/>
                <w:szCs w:val="16"/>
              </w:rPr>
            </w:pPr>
            <w:r w:rsidRPr="005F5406">
              <w:rPr>
                <w:noProof/>
                <w:sz w:val="16"/>
              </w:rPr>
              <w:t>KONKRĒTAIS MĒRĶIS Nr. </w:t>
            </w:r>
            <w:r w:rsidRPr="003752EA">
              <w:rPr>
                <w:noProof/>
                <w:sz w:val="16"/>
              </w:rPr>
              <w:t>3</w:t>
            </w:r>
          </w:p>
        </w:tc>
        <w:tc>
          <w:tcPr>
            <w:tcW w:w="504" w:type="dxa"/>
            <w:tcBorders>
              <w:bottom w:val="single" w:sz="12" w:space="0" w:color="auto"/>
            </w:tcBorders>
          </w:tcPr>
          <w:p w:rsidR="004315C6" w:rsidRPr="005F5406" w:rsidRDefault="004315C6" w:rsidP="002951F9">
            <w:pPr>
              <w:ind w:right="-29"/>
              <w:jc w:val="center"/>
              <w:rPr>
                <w:noProof/>
                <w:sz w:val="16"/>
                <w:szCs w:val="16"/>
              </w:rPr>
            </w:pP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540" w:type="dxa"/>
            <w:tcBorders>
              <w:bottom w:val="single" w:sz="12" w:space="0" w:color="auto"/>
            </w:tcBorders>
          </w:tcPr>
          <w:p w:rsidR="004315C6" w:rsidRPr="005F5406" w:rsidRDefault="004315C6" w:rsidP="002951F9">
            <w:pPr>
              <w:ind w:right="-29"/>
              <w:jc w:val="center"/>
              <w:rPr>
                <w:noProof/>
                <w:sz w:val="16"/>
                <w:szCs w:val="16"/>
              </w:rPr>
            </w:pP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951" w:type="dxa"/>
            <w:gridSpan w:val="2"/>
            <w:tcBorders>
              <w:bottom w:val="single" w:sz="12" w:space="0" w:color="auto"/>
            </w:tcBorders>
          </w:tcPr>
          <w:p w:rsidR="004315C6" w:rsidRPr="005F5406" w:rsidRDefault="004315C6" w:rsidP="002951F9">
            <w:pPr>
              <w:ind w:right="-29"/>
              <w:jc w:val="center"/>
              <w:rPr>
                <w:noProof/>
                <w:sz w:val="16"/>
                <w:szCs w:val="16"/>
              </w:rPr>
            </w:pPr>
          </w:p>
        </w:tc>
        <w:tc>
          <w:tcPr>
            <w:tcW w:w="669" w:type="dxa"/>
            <w:tcBorders>
              <w:bottom w:val="single" w:sz="12" w:space="0" w:color="auto"/>
            </w:tcBorders>
          </w:tcPr>
          <w:p w:rsidR="004315C6" w:rsidRPr="005F5406" w:rsidRDefault="004315C6" w:rsidP="002951F9">
            <w:pPr>
              <w:ind w:right="-29"/>
              <w:jc w:val="center"/>
              <w:rPr>
                <w:noProof/>
                <w:sz w:val="16"/>
                <w:szCs w:val="16"/>
              </w:rPr>
            </w:pP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900" w:type="dxa"/>
            <w:tcBorders>
              <w:bottom w:val="single" w:sz="12" w:space="0" w:color="auto"/>
            </w:tcBorders>
          </w:tcPr>
          <w:p w:rsidR="004315C6" w:rsidRPr="005F5406" w:rsidRDefault="004315C6" w:rsidP="002951F9">
            <w:pPr>
              <w:ind w:right="-29"/>
              <w:jc w:val="center"/>
              <w:rPr>
                <w:noProof/>
                <w:sz w:val="16"/>
                <w:szCs w:val="16"/>
              </w:rPr>
            </w:pPr>
          </w:p>
        </w:tc>
      </w:tr>
      <w:tr w:rsidR="007F4FF3" w:rsidRPr="005F5406" w:rsidTr="002951F9">
        <w:trPr>
          <w:jc w:val="center"/>
        </w:trPr>
        <w:tc>
          <w:tcPr>
            <w:tcW w:w="1078" w:type="dxa"/>
            <w:tcBorders>
              <w:bottom w:val="single" w:sz="12" w:space="0" w:color="auto"/>
            </w:tcBorders>
          </w:tcPr>
          <w:p w:rsidR="004315C6" w:rsidRPr="005F5406" w:rsidRDefault="004315C6" w:rsidP="002951F9">
            <w:pPr>
              <w:jc w:val="center"/>
              <w:rPr>
                <w:noProof/>
                <w:sz w:val="16"/>
                <w:szCs w:val="16"/>
              </w:rPr>
            </w:pPr>
            <w:r w:rsidRPr="005F5406">
              <w:rPr>
                <w:noProof/>
                <w:sz w:val="16"/>
              </w:rPr>
              <w:t>- Rezultāts</w:t>
            </w:r>
          </w:p>
        </w:tc>
        <w:tc>
          <w:tcPr>
            <w:tcW w:w="1134" w:type="dxa"/>
            <w:tcBorders>
              <w:bottom w:val="single" w:sz="12" w:space="0" w:color="auto"/>
            </w:tcBorders>
          </w:tcPr>
          <w:p w:rsidR="004315C6" w:rsidRPr="005F5406" w:rsidRDefault="004315C6" w:rsidP="002951F9">
            <w:pPr>
              <w:jc w:val="center"/>
              <w:rPr>
                <w:noProof/>
                <w:sz w:val="16"/>
                <w:szCs w:val="16"/>
              </w:rPr>
            </w:pPr>
            <w:r w:rsidRPr="005F5406">
              <w:rPr>
                <w:noProof/>
                <w:sz w:val="16"/>
              </w:rPr>
              <w:t>Pētījumu skaits</w:t>
            </w:r>
          </w:p>
        </w:tc>
        <w:tc>
          <w:tcPr>
            <w:tcW w:w="632" w:type="dxa"/>
            <w:tcBorders>
              <w:bottom w:val="single" w:sz="12" w:space="0" w:color="auto"/>
            </w:tcBorders>
          </w:tcPr>
          <w:p w:rsidR="004315C6" w:rsidRPr="005F5406" w:rsidRDefault="004315C6" w:rsidP="002951F9">
            <w:pPr>
              <w:jc w:val="center"/>
              <w:rPr>
                <w:noProof/>
                <w:sz w:val="16"/>
                <w:szCs w:val="16"/>
              </w:rPr>
            </w:pPr>
            <w:r w:rsidRPr="003752EA">
              <w:rPr>
                <w:noProof/>
                <w:sz w:val="16"/>
              </w:rPr>
              <w:t>0</w:t>
            </w:r>
            <w:r w:rsidRPr="005F5406">
              <w:rPr>
                <w:noProof/>
                <w:sz w:val="16"/>
              </w:rPr>
              <w:t>,</w:t>
            </w:r>
            <w:r w:rsidRPr="003752EA">
              <w:rPr>
                <w:noProof/>
                <w:sz w:val="16"/>
              </w:rPr>
              <w:t>250</w:t>
            </w:r>
          </w:p>
        </w:tc>
        <w:tc>
          <w:tcPr>
            <w:tcW w:w="504"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1</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4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951" w:type="dxa"/>
            <w:gridSpan w:val="2"/>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669"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90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r>
      <w:tr w:rsidR="007F4FF3" w:rsidRPr="005F5406" w:rsidTr="002951F9">
        <w:trPr>
          <w:jc w:val="center"/>
        </w:trPr>
        <w:tc>
          <w:tcPr>
            <w:tcW w:w="2844" w:type="dxa"/>
            <w:gridSpan w:val="3"/>
            <w:tcBorders>
              <w:bottom w:val="single" w:sz="12" w:space="0" w:color="auto"/>
            </w:tcBorders>
            <w:vAlign w:val="center"/>
          </w:tcPr>
          <w:p w:rsidR="004315C6" w:rsidRPr="005F5406" w:rsidRDefault="004315C6" w:rsidP="002951F9">
            <w:pPr>
              <w:jc w:val="center"/>
              <w:rPr>
                <w:noProof/>
                <w:sz w:val="16"/>
                <w:szCs w:val="16"/>
              </w:rPr>
            </w:pPr>
            <w:r w:rsidRPr="005F5406">
              <w:rPr>
                <w:noProof/>
                <w:sz w:val="16"/>
              </w:rPr>
              <w:lastRenderedPageBreak/>
              <w:t>Starpsumma – konkrētais mērķis Nr. </w:t>
            </w:r>
            <w:r w:rsidRPr="003752EA">
              <w:rPr>
                <w:noProof/>
                <w:sz w:val="16"/>
              </w:rPr>
              <w:t>3</w:t>
            </w:r>
          </w:p>
        </w:tc>
        <w:tc>
          <w:tcPr>
            <w:tcW w:w="504"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1</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3752EA">
              <w:rPr>
                <w:noProof/>
                <w:sz w:val="16"/>
              </w:rPr>
              <w:t>0</w:t>
            </w:r>
            <w:r w:rsidRPr="005F5406">
              <w:rPr>
                <w:noProof/>
                <w:sz w:val="16"/>
              </w:rPr>
              <w:t>,</w:t>
            </w:r>
            <w:r w:rsidRPr="003752EA">
              <w:rPr>
                <w:noProof/>
                <w:sz w:val="16"/>
              </w:rPr>
              <w:t>250</w:t>
            </w:r>
          </w:p>
        </w:tc>
        <w:tc>
          <w:tcPr>
            <w:tcW w:w="54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720" w:type="dxa"/>
            <w:tcBorders>
              <w:bottom w:val="single" w:sz="12" w:space="0" w:color="auto"/>
            </w:tcBorders>
          </w:tcPr>
          <w:p w:rsidR="004315C6" w:rsidRPr="005F5406" w:rsidRDefault="004315C6" w:rsidP="002951F9">
            <w:pPr>
              <w:ind w:right="-29"/>
              <w:jc w:val="center"/>
              <w:rPr>
                <w:noProof/>
                <w:sz w:val="16"/>
                <w:szCs w:val="16"/>
              </w:rPr>
            </w:pPr>
          </w:p>
        </w:tc>
        <w:tc>
          <w:tcPr>
            <w:tcW w:w="951" w:type="dxa"/>
            <w:gridSpan w:val="2"/>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669"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72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c>
          <w:tcPr>
            <w:tcW w:w="900" w:type="dxa"/>
            <w:tcBorders>
              <w:bottom w:val="single" w:sz="12" w:space="0" w:color="auto"/>
            </w:tcBorders>
          </w:tcPr>
          <w:p w:rsidR="004315C6" w:rsidRPr="005F5406" w:rsidRDefault="004315C6" w:rsidP="002951F9">
            <w:pPr>
              <w:ind w:right="-29"/>
              <w:jc w:val="center"/>
              <w:rPr>
                <w:noProof/>
                <w:sz w:val="16"/>
                <w:szCs w:val="16"/>
              </w:rPr>
            </w:pPr>
            <w:r w:rsidRPr="005F5406">
              <w:rPr>
                <w:noProof/>
                <w:sz w:val="16"/>
              </w:rPr>
              <w:t>-</w:t>
            </w:r>
          </w:p>
        </w:tc>
      </w:tr>
      <w:tr w:rsidR="007F4FF3" w:rsidRPr="005F5406" w:rsidTr="002951F9">
        <w:trPr>
          <w:trHeight w:val="253"/>
          <w:jc w:val="center"/>
        </w:trPr>
        <w:tc>
          <w:tcPr>
            <w:tcW w:w="2844" w:type="dxa"/>
            <w:gridSpan w:val="3"/>
            <w:tcBorders>
              <w:top w:val="single" w:sz="12" w:space="0" w:color="auto"/>
              <w:left w:val="single" w:sz="12" w:space="0" w:color="auto"/>
              <w:bottom w:val="single" w:sz="12" w:space="0" w:color="auto"/>
            </w:tcBorders>
            <w:vAlign w:val="center"/>
          </w:tcPr>
          <w:p w:rsidR="004315C6" w:rsidRPr="005F5406" w:rsidRDefault="004315C6" w:rsidP="002951F9">
            <w:pPr>
              <w:ind w:right="-29"/>
              <w:jc w:val="center"/>
              <w:rPr>
                <w:noProof/>
                <w:sz w:val="16"/>
                <w:szCs w:val="16"/>
              </w:rPr>
            </w:pPr>
            <w:r w:rsidRPr="005F5406">
              <w:rPr>
                <w:b/>
                <w:noProof/>
                <w:sz w:val="16"/>
              </w:rPr>
              <w:t>KOPĒJĀS IZMAKSAS</w:t>
            </w:r>
          </w:p>
        </w:tc>
        <w:tc>
          <w:tcPr>
            <w:tcW w:w="504"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3752EA">
              <w:rPr>
                <w:noProof/>
                <w:sz w:val="16"/>
              </w:rPr>
              <w:t>3</w:t>
            </w:r>
          </w:p>
        </w:tc>
        <w:tc>
          <w:tcPr>
            <w:tcW w:w="720"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3752EA">
              <w:rPr>
                <w:noProof/>
                <w:sz w:val="16"/>
              </w:rPr>
              <w:t>0</w:t>
            </w:r>
            <w:r w:rsidRPr="005F5406">
              <w:rPr>
                <w:noProof/>
                <w:sz w:val="16"/>
              </w:rPr>
              <w:t>,</w:t>
            </w:r>
            <w:r w:rsidRPr="003752EA">
              <w:rPr>
                <w:noProof/>
                <w:sz w:val="16"/>
              </w:rPr>
              <w:t>750</w:t>
            </w:r>
          </w:p>
        </w:tc>
        <w:tc>
          <w:tcPr>
            <w:tcW w:w="540"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c>
          <w:tcPr>
            <w:tcW w:w="720"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c>
          <w:tcPr>
            <w:tcW w:w="720"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c>
          <w:tcPr>
            <w:tcW w:w="720"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c>
          <w:tcPr>
            <w:tcW w:w="900"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c>
          <w:tcPr>
            <w:tcW w:w="720" w:type="dxa"/>
            <w:gridSpan w:val="2"/>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c>
          <w:tcPr>
            <w:tcW w:w="720" w:type="dxa"/>
            <w:tcBorders>
              <w:top w:val="single" w:sz="12" w:space="0" w:color="auto"/>
              <w:bottom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c>
          <w:tcPr>
            <w:tcW w:w="900" w:type="dxa"/>
            <w:tcBorders>
              <w:top w:val="single" w:sz="12" w:space="0" w:color="auto"/>
              <w:bottom w:val="single" w:sz="12" w:space="0" w:color="auto"/>
              <w:right w:val="single" w:sz="12" w:space="0" w:color="auto"/>
            </w:tcBorders>
          </w:tcPr>
          <w:p w:rsidR="004315C6" w:rsidRPr="005F5406" w:rsidRDefault="004315C6" w:rsidP="002951F9">
            <w:pPr>
              <w:spacing w:before="180" w:after="180"/>
              <w:ind w:right="-29"/>
              <w:jc w:val="center"/>
              <w:rPr>
                <w:noProof/>
                <w:sz w:val="16"/>
                <w:szCs w:val="16"/>
              </w:rPr>
            </w:pPr>
            <w:r w:rsidRPr="005F5406">
              <w:rPr>
                <w:noProof/>
                <w:sz w:val="16"/>
              </w:rPr>
              <w:t>-</w:t>
            </w:r>
          </w:p>
        </w:tc>
      </w:tr>
    </w:tbl>
    <w:p w:rsidR="004315C6" w:rsidRPr="005F5406" w:rsidRDefault="004315C6" w:rsidP="004315C6">
      <w:pPr>
        <w:rPr>
          <w:noProof/>
        </w:rPr>
        <w:sectPr w:rsidR="004315C6" w:rsidRPr="005F5406" w:rsidSect="00D23D9E">
          <w:pgSz w:w="16840" w:h="11907" w:orient="landscape" w:code="9"/>
          <w:pgMar w:top="1134" w:right="1418" w:bottom="567" w:left="1418" w:header="709" w:footer="709" w:gutter="0"/>
          <w:cols w:space="708"/>
          <w:docGrid w:linePitch="360"/>
        </w:sectPr>
      </w:pPr>
    </w:p>
    <w:p w:rsidR="004315C6" w:rsidRPr="005F5406" w:rsidRDefault="004315C6" w:rsidP="00E12A59">
      <w:pPr>
        <w:pStyle w:val="Heading3"/>
        <w:numPr>
          <w:ilvl w:val="2"/>
          <w:numId w:val="11"/>
        </w:numPr>
        <w:rPr>
          <w:bCs w:val="0"/>
          <w:noProof/>
          <w:szCs w:val="24"/>
        </w:rPr>
      </w:pPr>
      <w:r w:rsidRPr="005F5406">
        <w:lastRenderedPageBreak/>
        <w:t>Paredzamā ietekme uz administratīvajām apropriācijām</w:t>
      </w:r>
    </w:p>
    <w:p w:rsidR="004315C6" w:rsidRPr="005F5406" w:rsidRDefault="004315C6" w:rsidP="00E12A59">
      <w:pPr>
        <w:pStyle w:val="Heading4"/>
        <w:numPr>
          <w:ilvl w:val="3"/>
          <w:numId w:val="11"/>
        </w:numPr>
        <w:rPr>
          <w:noProof/>
        </w:rPr>
      </w:pPr>
      <w:r w:rsidRPr="005F5406">
        <w:t xml:space="preserve">Kopsavilkums </w:t>
      </w:r>
    </w:p>
    <w:p w:rsidR="004315C6" w:rsidRPr="005F5406" w:rsidRDefault="004315C6" w:rsidP="004315C6">
      <w:pPr>
        <w:pStyle w:val="ListDash1"/>
        <w:rPr>
          <w:noProof/>
        </w:rPr>
      </w:pPr>
      <w:r w:rsidRPr="005F5406">
        <w:rPr>
          <w:noProof/>
        </w:rPr>
        <w:sym w:font="Wingdings" w:char="F0A8"/>
      </w:r>
      <w:r w:rsidRPr="005F5406">
        <w:t xml:space="preserve">Priekšlikums/iniciatīva neparedz izmantot administratīvās apropriācijas </w:t>
      </w:r>
    </w:p>
    <w:p w:rsidR="004315C6" w:rsidRPr="005F5406" w:rsidRDefault="004315C6" w:rsidP="004315C6">
      <w:pPr>
        <w:pStyle w:val="ListDash1"/>
        <w:rPr>
          <w:noProof/>
        </w:rPr>
      </w:pPr>
      <w:r w:rsidRPr="005F5406">
        <w:rPr>
          <w:noProof/>
        </w:rPr>
        <w:sym w:font="Wingdings" w:char="F0FC"/>
      </w:r>
      <w:r w:rsidRPr="005F5406">
        <w:t>Priekšlikums/iniciatīva paredz izmantot administratīvās apropriācijas šādā veidā:</w:t>
      </w:r>
    </w:p>
    <w:p w:rsidR="004315C6" w:rsidRPr="005F5406" w:rsidRDefault="004315C6" w:rsidP="004315C6">
      <w:pPr>
        <w:rPr>
          <w:noProof/>
          <w:sz w:val="20"/>
        </w:rPr>
      </w:pPr>
      <w:r w:rsidRPr="005F5406">
        <w:rPr>
          <w:noProof/>
          <w:sz w:val="20"/>
        </w:rPr>
        <w:t>EUR miljonos (trīs zīmes aiz komata)</w:t>
      </w:r>
    </w:p>
    <w:tbl>
      <w:tblPr>
        <w:tblW w:w="5950" w:type="dxa"/>
        <w:tblInd w:w="1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794"/>
        <w:gridCol w:w="794"/>
        <w:gridCol w:w="794"/>
        <w:gridCol w:w="794"/>
        <w:gridCol w:w="794"/>
      </w:tblGrid>
      <w:tr w:rsidR="004315C6" w:rsidRPr="005F5406" w:rsidTr="002951F9">
        <w:trPr>
          <w:trHeight w:val="585"/>
        </w:trPr>
        <w:tc>
          <w:tcPr>
            <w:tcW w:w="1980" w:type="dxa"/>
          </w:tcPr>
          <w:p w:rsidR="004315C6" w:rsidRPr="005F5406" w:rsidRDefault="004315C6" w:rsidP="002951F9">
            <w:pPr>
              <w:spacing w:before="60" w:after="60" w:line="200" w:lineRule="exact"/>
              <w:rPr>
                <w:noProof/>
                <w:sz w:val="16"/>
                <w:szCs w:val="16"/>
              </w:rPr>
            </w:pPr>
          </w:p>
        </w:tc>
        <w:tc>
          <w:tcPr>
            <w:tcW w:w="794" w:type="dxa"/>
            <w:vAlign w:val="center"/>
          </w:tcPr>
          <w:p w:rsidR="004315C6" w:rsidRPr="005F5406" w:rsidRDefault="004315C6" w:rsidP="002951F9">
            <w:pPr>
              <w:jc w:val="center"/>
              <w:rPr>
                <w:b/>
                <w:noProof/>
                <w:sz w:val="20"/>
              </w:rPr>
            </w:pPr>
            <w:r w:rsidRPr="003752EA">
              <w:rPr>
                <w:b/>
                <w:noProof/>
                <w:sz w:val="20"/>
              </w:rPr>
              <w:t>2018</w:t>
            </w:r>
            <w:r w:rsidRPr="005F5406">
              <w:rPr>
                <w:rStyle w:val="FootnoteReference"/>
                <w:b/>
                <w:noProof/>
                <w:sz w:val="20"/>
              </w:rPr>
              <w:footnoteReference w:id="34"/>
            </w:r>
          </w:p>
        </w:tc>
        <w:tc>
          <w:tcPr>
            <w:tcW w:w="794" w:type="dxa"/>
            <w:vAlign w:val="center"/>
          </w:tcPr>
          <w:p w:rsidR="004315C6" w:rsidRPr="005F5406" w:rsidRDefault="004315C6" w:rsidP="002951F9">
            <w:pPr>
              <w:jc w:val="center"/>
              <w:rPr>
                <w:b/>
                <w:noProof/>
                <w:sz w:val="20"/>
              </w:rPr>
            </w:pPr>
            <w:r w:rsidRPr="003752EA">
              <w:rPr>
                <w:b/>
                <w:noProof/>
                <w:sz w:val="20"/>
              </w:rPr>
              <w:t>2019</w:t>
            </w:r>
          </w:p>
        </w:tc>
        <w:tc>
          <w:tcPr>
            <w:tcW w:w="794" w:type="dxa"/>
            <w:vAlign w:val="center"/>
          </w:tcPr>
          <w:p w:rsidR="004315C6" w:rsidRPr="005F5406" w:rsidRDefault="004315C6" w:rsidP="002951F9">
            <w:pPr>
              <w:jc w:val="center"/>
              <w:rPr>
                <w:b/>
                <w:noProof/>
                <w:sz w:val="20"/>
              </w:rPr>
            </w:pPr>
            <w:r w:rsidRPr="003752EA">
              <w:rPr>
                <w:b/>
                <w:noProof/>
                <w:sz w:val="20"/>
              </w:rPr>
              <w:t>2020</w:t>
            </w:r>
          </w:p>
        </w:tc>
        <w:tc>
          <w:tcPr>
            <w:tcW w:w="794" w:type="dxa"/>
            <w:vAlign w:val="center"/>
          </w:tcPr>
          <w:p w:rsidR="004315C6" w:rsidRPr="005F5406" w:rsidRDefault="004315C6" w:rsidP="002951F9">
            <w:pPr>
              <w:jc w:val="center"/>
              <w:rPr>
                <w:b/>
                <w:noProof/>
                <w:sz w:val="20"/>
              </w:rPr>
            </w:pPr>
            <w:r w:rsidRPr="003752EA">
              <w:rPr>
                <w:b/>
                <w:noProof/>
                <w:sz w:val="20"/>
              </w:rPr>
              <w:t>2021</w:t>
            </w:r>
            <w:r w:rsidRPr="005F5406">
              <w:rPr>
                <w:b/>
                <w:noProof/>
                <w:sz w:val="20"/>
              </w:rPr>
              <w:t>. un turpmākie gadi</w:t>
            </w:r>
          </w:p>
        </w:tc>
        <w:tc>
          <w:tcPr>
            <w:tcW w:w="794" w:type="dxa"/>
            <w:vAlign w:val="center"/>
          </w:tcPr>
          <w:p w:rsidR="004315C6" w:rsidRPr="005F5406" w:rsidRDefault="004315C6" w:rsidP="002951F9">
            <w:pPr>
              <w:spacing w:before="60" w:after="60" w:line="200" w:lineRule="exact"/>
              <w:jc w:val="center"/>
              <w:rPr>
                <w:b/>
                <w:noProof/>
                <w:sz w:val="16"/>
                <w:szCs w:val="16"/>
              </w:rPr>
            </w:pPr>
            <w:r w:rsidRPr="005F5406">
              <w:rPr>
                <w:b/>
                <w:noProof/>
                <w:sz w:val="16"/>
              </w:rPr>
              <w:t>KOPĀ</w:t>
            </w:r>
          </w:p>
        </w:tc>
      </w:tr>
    </w:tbl>
    <w:p w:rsidR="004315C6" w:rsidRPr="005F5406" w:rsidRDefault="004315C6" w:rsidP="004315C6">
      <w:pPr>
        <w:spacing w:line="200" w:lineRule="exact"/>
        <w:rPr>
          <w:noProof/>
          <w:sz w:val="16"/>
          <w:szCs w:val="16"/>
        </w:rPr>
      </w:pPr>
    </w:p>
    <w:tbl>
      <w:tblPr>
        <w:tblW w:w="5950" w:type="dxa"/>
        <w:tblInd w:w="1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794"/>
        <w:gridCol w:w="794"/>
        <w:gridCol w:w="794"/>
        <w:gridCol w:w="794"/>
        <w:gridCol w:w="794"/>
      </w:tblGrid>
      <w:tr w:rsidR="007F4FF3" w:rsidRPr="005F5406" w:rsidTr="002951F9">
        <w:trPr>
          <w:trHeight w:val="585"/>
        </w:trPr>
        <w:tc>
          <w:tcPr>
            <w:tcW w:w="1980" w:type="dxa"/>
            <w:shd w:val="clear" w:color="auto" w:fill="CCCCCC"/>
            <w:vAlign w:val="center"/>
          </w:tcPr>
          <w:p w:rsidR="004315C6" w:rsidRPr="005F5406" w:rsidRDefault="004315C6" w:rsidP="002951F9">
            <w:pPr>
              <w:spacing w:before="60" w:after="60" w:line="200" w:lineRule="exact"/>
              <w:jc w:val="center"/>
              <w:rPr>
                <w:b/>
                <w:noProof/>
                <w:sz w:val="16"/>
                <w:szCs w:val="16"/>
              </w:rPr>
            </w:pPr>
            <w:r w:rsidRPr="005F5406">
              <w:rPr>
                <w:b/>
                <w:sz w:val="16"/>
                <w:szCs w:val="16"/>
              </w:rPr>
              <w:t xml:space="preserve">Daudzgadu finanšu shēmas </w:t>
            </w:r>
            <w:r w:rsidRPr="003752EA">
              <w:rPr>
                <w:b/>
                <w:sz w:val="16"/>
                <w:szCs w:val="16"/>
              </w:rPr>
              <w:t>5</w:t>
            </w:r>
            <w:r w:rsidRPr="005F5406">
              <w:rPr>
                <w:b/>
                <w:sz w:val="16"/>
                <w:szCs w:val="16"/>
              </w:rPr>
              <w:t>. IZDEVUMU KATEGORIJA</w:t>
            </w: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vAlign w:val="center"/>
          </w:tcPr>
          <w:p w:rsidR="004315C6" w:rsidRPr="005F5406" w:rsidRDefault="004315C6" w:rsidP="002951F9">
            <w:pPr>
              <w:spacing w:before="60" w:after="60" w:line="200" w:lineRule="exact"/>
              <w:jc w:val="right"/>
              <w:rPr>
                <w:b/>
                <w:noProof/>
                <w:sz w:val="16"/>
                <w:szCs w:val="16"/>
              </w:rPr>
            </w:pPr>
          </w:p>
        </w:tc>
      </w:tr>
      <w:tr w:rsidR="007F4FF3" w:rsidRPr="005F5406" w:rsidTr="002951F9">
        <w:trPr>
          <w:trHeight w:val="585"/>
        </w:trPr>
        <w:tc>
          <w:tcPr>
            <w:tcW w:w="1980" w:type="dxa"/>
            <w:vAlign w:val="center"/>
          </w:tcPr>
          <w:p w:rsidR="004315C6" w:rsidRPr="005F5406" w:rsidRDefault="004315C6" w:rsidP="002951F9">
            <w:pPr>
              <w:spacing w:before="60" w:after="60" w:line="200" w:lineRule="exact"/>
              <w:ind w:left="72"/>
              <w:jc w:val="left"/>
              <w:rPr>
                <w:noProof/>
                <w:sz w:val="16"/>
                <w:szCs w:val="16"/>
              </w:rPr>
            </w:pPr>
            <w:r w:rsidRPr="005F5406">
              <w:rPr>
                <w:noProof/>
                <w:sz w:val="16"/>
              </w:rPr>
              <w:t xml:space="preserve">Cilvēkresursi </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4</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4</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4</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792</w:t>
            </w:r>
          </w:p>
        </w:tc>
        <w:tc>
          <w:tcPr>
            <w:tcW w:w="794" w:type="dxa"/>
            <w:vAlign w:val="center"/>
          </w:tcPr>
          <w:p w:rsidR="004315C6" w:rsidRPr="005F5406" w:rsidRDefault="004315C6" w:rsidP="002951F9">
            <w:pPr>
              <w:spacing w:before="60" w:after="60" w:line="200" w:lineRule="exact"/>
              <w:jc w:val="right"/>
              <w:rPr>
                <w:b/>
                <w:noProof/>
                <w:sz w:val="16"/>
                <w:szCs w:val="16"/>
              </w:rPr>
            </w:pPr>
            <w:r w:rsidRPr="003752EA">
              <w:rPr>
                <w:b/>
                <w:noProof/>
                <w:sz w:val="16"/>
              </w:rPr>
              <w:t>6</w:t>
            </w:r>
            <w:r w:rsidRPr="005F5406">
              <w:rPr>
                <w:b/>
                <w:noProof/>
                <w:sz w:val="16"/>
              </w:rPr>
              <w:t>,</w:t>
            </w:r>
            <w:r w:rsidRPr="003752EA">
              <w:rPr>
                <w:b/>
                <w:noProof/>
                <w:sz w:val="16"/>
              </w:rPr>
              <w:t>744</w:t>
            </w:r>
          </w:p>
        </w:tc>
      </w:tr>
      <w:tr w:rsidR="007F4FF3" w:rsidRPr="005F5406" w:rsidTr="002951F9">
        <w:trPr>
          <w:trHeight w:val="585"/>
        </w:trPr>
        <w:tc>
          <w:tcPr>
            <w:tcW w:w="1980" w:type="dxa"/>
            <w:vAlign w:val="center"/>
          </w:tcPr>
          <w:p w:rsidR="004315C6" w:rsidRPr="005F5406" w:rsidRDefault="004315C6" w:rsidP="002951F9">
            <w:pPr>
              <w:spacing w:before="60" w:after="60" w:line="200" w:lineRule="exact"/>
              <w:ind w:left="72"/>
              <w:jc w:val="left"/>
              <w:rPr>
                <w:noProof/>
                <w:sz w:val="16"/>
                <w:szCs w:val="16"/>
              </w:rPr>
            </w:pPr>
            <w:r w:rsidRPr="005F5406">
              <w:rPr>
                <w:noProof/>
                <w:sz w:val="16"/>
              </w:rPr>
              <w:t xml:space="preserve">Pārējie administratīvie izdevumi </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539</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539</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539</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404</w:t>
            </w:r>
          </w:p>
        </w:tc>
        <w:tc>
          <w:tcPr>
            <w:tcW w:w="794" w:type="dxa"/>
            <w:vAlign w:val="center"/>
          </w:tcPr>
          <w:p w:rsidR="004315C6" w:rsidRPr="005F5406" w:rsidRDefault="004315C6" w:rsidP="002951F9">
            <w:pPr>
              <w:spacing w:before="60" w:after="60" w:line="200" w:lineRule="exact"/>
              <w:jc w:val="right"/>
              <w:rPr>
                <w:b/>
                <w:noProof/>
                <w:sz w:val="16"/>
                <w:szCs w:val="16"/>
              </w:rPr>
            </w:pPr>
            <w:r w:rsidRPr="003752EA">
              <w:rPr>
                <w:b/>
                <w:noProof/>
                <w:sz w:val="16"/>
              </w:rPr>
              <w:t>5</w:t>
            </w:r>
            <w:r w:rsidRPr="005F5406">
              <w:rPr>
                <w:b/>
                <w:noProof/>
                <w:sz w:val="16"/>
              </w:rPr>
              <w:t>,</w:t>
            </w:r>
            <w:r w:rsidRPr="003752EA">
              <w:rPr>
                <w:b/>
                <w:noProof/>
                <w:sz w:val="16"/>
              </w:rPr>
              <w:t>195</w:t>
            </w:r>
          </w:p>
        </w:tc>
      </w:tr>
      <w:tr w:rsidR="007F4FF3" w:rsidRPr="005F5406" w:rsidTr="002951F9">
        <w:trPr>
          <w:trHeight w:val="585"/>
        </w:trPr>
        <w:tc>
          <w:tcPr>
            <w:tcW w:w="1980" w:type="dxa"/>
            <w:shd w:val="clear" w:color="auto" w:fill="CCCCCC"/>
            <w:vAlign w:val="center"/>
          </w:tcPr>
          <w:p w:rsidR="004315C6" w:rsidRPr="005F5406" w:rsidRDefault="004315C6" w:rsidP="002951F9">
            <w:pPr>
              <w:spacing w:before="60" w:after="60" w:line="200" w:lineRule="exact"/>
              <w:jc w:val="center"/>
              <w:rPr>
                <w:b/>
                <w:noProof/>
                <w:sz w:val="16"/>
                <w:szCs w:val="16"/>
              </w:rPr>
            </w:pPr>
            <w:r w:rsidRPr="005F5406">
              <w:rPr>
                <w:b/>
                <w:sz w:val="16"/>
                <w:szCs w:val="16"/>
              </w:rPr>
              <w:t xml:space="preserve">Starpsumma – daudzgadu finanšu shēmas </w:t>
            </w:r>
            <w:r w:rsidRPr="003752EA">
              <w:rPr>
                <w:b/>
                <w:sz w:val="16"/>
                <w:szCs w:val="16"/>
              </w:rPr>
              <w:t>5</w:t>
            </w:r>
            <w:r w:rsidRPr="005F5406">
              <w:rPr>
                <w:b/>
                <w:sz w:val="16"/>
                <w:szCs w:val="16"/>
              </w:rPr>
              <w:t>. IZDEVUMU KATEGORIJA</w:t>
            </w:r>
            <w:r w:rsidRPr="005F5406">
              <w:rPr>
                <w:b/>
                <w:noProof/>
                <w:sz w:val="16"/>
                <w:szCs w:val="16"/>
              </w:rPr>
              <w:t xml:space="preserve"> </w:t>
            </w:r>
          </w:p>
        </w:tc>
        <w:tc>
          <w:tcPr>
            <w:tcW w:w="794" w:type="dxa"/>
            <w:vAlign w:val="center"/>
          </w:tcPr>
          <w:p w:rsidR="004315C6" w:rsidRPr="005F5406" w:rsidRDefault="004315C6" w:rsidP="002951F9">
            <w:pPr>
              <w:spacing w:before="20" w:after="20"/>
              <w:jc w:val="right"/>
              <w:rPr>
                <w:noProof/>
                <w:sz w:val="16"/>
                <w:szCs w:val="16"/>
              </w:rPr>
            </w:pPr>
            <w:r w:rsidRPr="003752EA">
              <w:rPr>
                <w:noProof/>
                <w:sz w:val="16"/>
              </w:rPr>
              <w:t>0</w:t>
            </w:r>
            <w:r w:rsidRPr="005F5406">
              <w:rPr>
                <w:noProof/>
                <w:sz w:val="16"/>
              </w:rPr>
              <w:t>,</w:t>
            </w:r>
            <w:r w:rsidRPr="003752EA">
              <w:rPr>
                <w:noProof/>
                <w:sz w:val="16"/>
              </w:rPr>
              <w:t>939</w:t>
            </w:r>
          </w:p>
        </w:tc>
        <w:tc>
          <w:tcPr>
            <w:tcW w:w="794" w:type="dxa"/>
            <w:vAlign w:val="center"/>
          </w:tcPr>
          <w:p w:rsidR="004315C6" w:rsidRPr="005F5406" w:rsidRDefault="004315C6" w:rsidP="002951F9">
            <w:pPr>
              <w:spacing w:before="20" w:after="20"/>
              <w:jc w:val="right"/>
              <w:rPr>
                <w:noProof/>
                <w:sz w:val="16"/>
                <w:szCs w:val="16"/>
              </w:rPr>
            </w:pPr>
            <w:r w:rsidRPr="003752EA">
              <w:rPr>
                <w:noProof/>
                <w:sz w:val="16"/>
              </w:rPr>
              <w:t>0</w:t>
            </w:r>
            <w:r w:rsidRPr="005F5406">
              <w:rPr>
                <w:noProof/>
                <w:sz w:val="16"/>
              </w:rPr>
              <w:t>,</w:t>
            </w:r>
            <w:r w:rsidRPr="003752EA">
              <w:rPr>
                <w:noProof/>
                <w:sz w:val="16"/>
              </w:rPr>
              <w:t>939</w:t>
            </w:r>
          </w:p>
        </w:tc>
        <w:tc>
          <w:tcPr>
            <w:tcW w:w="794" w:type="dxa"/>
            <w:vAlign w:val="center"/>
          </w:tcPr>
          <w:p w:rsidR="004315C6" w:rsidRPr="005F5406" w:rsidRDefault="004315C6" w:rsidP="002951F9">
            <w:pPr>
              <w:spacing w:before="20" w:after="20"/>
              <w:jc w:val="right"/>
              <w:rPr>
                <w:noProof/>
                <w:sz w:val="16"/>
                <w:szCs w:val="16"/>
              </w:rPr>
            </w:pPr>
            <w:r w:rsidRPr="003752EA">
              <w:rPr>
                <w:noProof/>
                <w:sz w:val="16"/>
              </w:rPr>
              <w:t>0</w:t>
            </w:r>
            <w:r w:rsidRPr="005F5406">
              <w:rPr>
                <w:noProof/>
                <w:sz w:val="16"/>
              </w:rPr>
              <w:t>,</w:t>
            </w:r>
            <w:r w:rsidRPr="003752EA">
              <w:rPr>
                <w:noProof/>
                <w:sz w:val="16"/>
              </w:rPr>
              <w:t>939</w:t>
            </w:r>
          </w:p>
        </w:tc>
        <w:tc>
          <w:tcPr>
            <w:tcW w:w="794" w:type="dxa"/>
            <w:vAlign w:val="center"/>
          </w:tcPr>
          <w:p w:rsidR="004315C6" w:rsidRPr="005F5406" w:rsidRDefault="004315C6" w:rsidP="002951F9">
            <w:pPr>
              <w:spacing w:before="20" w:after="20"/>
              <w:jc w:val="right"/>
              <w:rPr>
                <w:noProof/>
                <w:sz w:val="16"/>
                <w:szCs w:val="16"/>
              </w:rPr>
            </w:pPr>
            <w:r w:rsidRPr="003752EA">
              <w:rPr>
                <w:noProof/>
                <w:sz w:val="16"/>
              </w:rPr>
              <w:t>1</w:t>
            </w:r>
            <w:r w:rsidRPr="005F5406">
              <w:rPr>
                <w:noProof/>
                <w:sz w:val="16"/>
              </w:rPr>
              <w:t>,</w:t>
            </w:r>
            <w:r w:rsidRPr="003752EA">
              <w:rPr>
                <w:noProof/>
                <w:sz w:val="16"/>
              </w:rPr>
              <w:t>196</w:t>
            </w:r>
          </w:p>
        </w:tc>
        <w:tc>
          <w:tcPr>
            <w:tcW w:w="794" w:type="dxa"/>
            <w:vAlign w:val="center"/>
          </w:tcPr>
          <w:p w:rsidR="004315C6" w:rsidRPr="005F5406" w:rsidRDefault="004315C6" w:rsidP="002951F9">
            <w:pPr>
              <w:spacing w:before="20" w:after="20"/>
              <w:jc w:val="right"/>
              <w:rPr>
                <w:b/>
                <w:noProof/>
                <w:sz w:val="16"/>
                <w:szCs w:val="16"/>
              </w:rPr>
            </w:pPr>
            <w:r w:rsidRPr="003752EA">
              <w:rPr>
                <w:b/>
                <w:noProof/>
                <w:sz w:val="16"/>
              </w:rPr>
              <w:t>11</w:t>
            </w:r>
            <w:r w:rsidRPr="005F5406">
              <w:rPr>
                <w:b/>
                <w:noProof/>
                <w:sz w:val="16"/>
              </w:rPr>
              <w:t>,</w:t>
            </w:r>
            <w:r w:rsidRPr="003752EA">
              <w:rPr>
                <w:b/>
                <w:noProof/>
                <w:sz w:val="16"/>
              </w:rPr>
              <w:t>939</w:t>
            </w:r>
          </w:p>
        </w:tc>
      </w:tr>
    </w:tbl>
    <w:p w:rsidR="004315C6" w:rsidRPr="005F5406" w:rsidRDefault="004315C6" w:rsidP="004315C6">
      <w:pPr>
        <w:spacing w:line="200" w:lineRule="exact"/>
        <w:rPr>
          <w:noProof/>
          <w:sz w:val="16"/>
          <w:szCs w:val="16"/>
        </w:rPr>
      </w:pPr>
    </w:p>
    <w:tbl>
      <w:tblPr>
        <w:tblW w:w="5950" w:type="dxa"/>
        <w:tblInd w:w="1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794"/>
        <w:gridCol w:w="794"/>
        <w:gridCol w:w="794"/>
        <w:gridCol w:w="794"/>
        <w:gridCol w:w="794"/>
      </w:tblGrid>
      <w:tr w:rsidR="007F4FF3" w:rsidRPr="005F5406" w:rsidTr="002951F9">
        <w:trPr>
          <w:trHeight w:val="585"/>
        </w:trPr>
        <w:tc>
          <w:tcPr>
            <w:tcW w:w="1980" w:type="dxa"/>
            <w:shd w:val="clear" w:color="auto" w:fill="CCCCCC"/>
            <w:vAlign w:val="center"/>
          </w:tcPr>
          <w:p w:rsidR="004315C6" w:rsidRPr="005F5406" w:rsidRDefault="004315C6" w:rsidP="002951F9">
            <w:pPr>
              <w:spacing w:before="60" w:after="60" w:line="200" w:lineRule="exact"/>
              <w:jc w:val="center"/>
              <w:rPr>
                <w:noProof/>
                <w:sz w:val="16"/>
                <w:szCs w:val="16"/>
              </w:rPr>
            </w:pPr>
            <w:r w:rsidRPr="005F5406">
              <w:rPr>
                <w:b/>
                <w:sz w:val="16"/>
                <w:szCs w:val="16"/>
              </w:rPr>
              <w:t xml:space="preserve">Ārpus daudzgadu finanšu shēmas </w:t>
            </w:r>
            <w:r w:rsidRPr="003752EA">
              <w:rPr>
                <w:b/>
                <w:sz w:val="16"/>
                <w:szCs w:val="16"/>
              </w:rPr>
              <w:t>5</w:t>
            </w:r>
            <w:r w:rsidRPr="005F5406">
              <w:rPr>
                <w:b/>
                <w:sz w:val="16"/>
                <w:szCs w:val="16"/>
              </w:rPr>
              <w:t>. IZDEVUMU KATEGORIJAS</w:t>
            </w:r>
            <w:r w:rsidRPr="005F5406">
              <w:rPr>
                <w:rStyle w:val="FootnoteReference"/>
                <w:b/>
                <w:noProof/>
                <w:sz w:val="16"/>
              </w:rPr>
              <w:footnoteReference w:id="35"/>
            </w:r>
            <w:r w:rsidRPr="005F5406">
              <w:rPr>
                <w:b/>
                <w:noProof/>
                <w:sz w:val="16"/>
              </w:rPr>
              <w:t xml:space="preserve"> </w:t>
            </w:r>
          </w:p>
          <w:p w:rsidR="004315C6" w:rsidRPr="005F5406" w:rsidRDefault="004315C6" w:rsidP="002951F9">
            <w:pPr>
              <w:spacing w:before="0" w:after="0" w:line="200" w:lineRule="exact"/>
              <w:jc w:val="center"/>
              <w:rPr>
                <w:b/>
                <w:noProof/>
                <w:sz w:val="16"/>
                <w:szCs w:val="16"/>
              </w:rPr>
            </w:pP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vAlign w:val="center"/>
          </w:tcPr>
          <w:p w:rsidR="004315C6" w:rsidRPr="005F5406" w:rsidRDefault="004315C6" w:rsidP="002951F9">
            <w:pPr>
              <w:spacing w:before="60" w:after="60" w:line="200" w:lineRule="exact"/>
              <w:jc w:val="right"/>
              <w:rPr>
                <w:noProof/>
                <w:sz w:val="16"/>
                <w:szCs w:val="16"/>
              </w:rPr>
            </w:pPr>
          </w:p>
        </w:tc>
        <w:tc>
          <w:tcPr>
            <w:tcW w:w="794" w:type="dxa"/>
          </w:tcPr>
          <w:p w:rsidR="004315C6" w:rsidRPr="005F5406" w:rsidRDefault="004315C6" w:rsidP="002951F9">
            <w:pPr>
              <w:spacing w:before="60" w:after="60" w:line="200" w:lineRule="exact"/>
              <w:jc w:val="right"/>
              <w:rPr>
                <w:b/>
                <w:noProof/>
                <w:sz w:val="16"/>
                <w:szCs w:val="16"/>
              </w:rPr>
            </w:pPr>
          </w:p>
        </w:tc>
      </w:tr>
      <w:tr w:rsidR="007F4FF3" w:rsidRPr="005F5406" w:rsidTr="002951F9">
        <w:trPr>
          <w:trHeight w:val="585"/>
        </w:trPr>
        <w:tc>
          <w:tcPr>
            <w:tcW w:w="1980" w:type="dxa"/>
            <w:vAlign w:val="center"/>
          </w:tcPr>
          <w:p w:rsidR="004315C6" w:rsidRPr="005F5406" w:rsidRDefault="004315C6" w:rsidP="002951F9">
            <w:pPr>
              <w:spacing w:before="60" w:after="60" w:line="200" w:lineRule="exact"/>
              <w:ind w:left="72"/>
              <w:jc w:val="left"/>
              <w:rPr>
                <w:noProof/>
                <w:sz w:val="16"/>
                <w:szCs w:val="16"/>
              </w:rPr>
            </w:pPr>
            <w:r w:rsidRPr="005F5406">
              <w:rPr>
                <w:noProof/>
                <w:sz w:val="16"/>
              </w:rPr>
              <w:t xml:space="preserve">Cilvēkresursi </w:t>
            </w:r>
          </w:p>
        </w:tc>
        <w:tc>
          <w:tcPr>
            <w:tcW w:w="794" w:type="dxa"/>
            <w:vAlign w:val="center"/>
          </w:tcPr>
          <w:p w:rsidR="004315C6" w:rsidRPr="005F5406" w:rsidRDefault="004315C6" w:rsidP="002951F9">
            <w:pPr>
              <w:spacing w:before="60" w:after="60" w:line="200" w:lineRule="exact"/>
              <w:jc w:val="center"/>
              <w:rPr>
                <w:noProof/>
                <w:sz w:val="16"/>
                <w:szCs w:val="16"/>
              </w:rPr>
            </w:pPr>
            <w:r w:rsidRPr="005F5406">
              <w:rPr>
                <w:noProof/>
                <w:sz w:val="16"/>
              </w:rPr>
              <w:t>-</w:t>
            </w:r>
          </w:p>
        </w:tc>
        <w:tc>
          <w:tcPr>
            <w:tcW w:w="794" w:type="dxa"/>
          </w:tcPr>
          <w:p w:rsidR="004315C6" w:rsidRPr="005F5406" w:rsidRDefault="004315C6" w:rsidP="002951F9">
            <w:r w:rsidRPr="005F5406">
              <w:rPr>
                <w:noProof/>
                <w:sz w:val="16"/>
              </w:rPr>
              <w:t>-</w:t>
            </w:r>
          </w:p>
        </w:tc>
        <w:tc>
          <w:tcPr>
            <w:tcW w:w="794" w:type="dxa"/>
          </w:tcPr>
          <w:p w:rsidR="004315C6" w:rsidRPr="005F5406" w:rsidRDefault="004315C6" w:rsidP="002951F9">
            <w:r w:rsidRPr="005F5406">
              <w:rPr>
                <w:noProof/>
                <w:sz w:val="16"/>
              </w:rPr>
              <w:t>-</w:t>
            </w:r>
          </w:p>
        </w:tc>
        <w:tc>
          <w:tcPr>
            <w:tcW w:w="794" w:type="dxa"/>
          </w:tcPr>
          <w:p w:rsidR="004315C6" w:rsidRPr="005F5406" w:rsidRDefault="004315C6" w:rsidP="002951F9">
            <w:r w:rsidRPr="005F5406">
              <w:rPr>
                <w:noProof/>
                <w:sz w:val="16"/>
              </w:rPr>
              <w:t>-</w:t>
            </w:r>
          </w:p>
        </w:tc>
        <w:tc>
          <w:tcPr>
            <w:tcW w:w="794" w:type="dxa"/>
          </w:tcPr>
          <w:p w:rsidR="004315C6" w:rsidRPr="005F5406" w:rsidRDefault="004315C6" w:rsidP="002951F9">
            <w:r w:rsidRPr="005F5406">
              <w:rPr>
                <w:noProof/>
                <w:sz w:val="16"/>
              </w:rPr>
              <w:t>-</w:t>
            </w:r>
          </w:p>
        </w:tc>
      </w:tr>
      <w:tr w:rsidR="007F4FF3" w:rsidRPr="005F5406" w:rsidTr="002951F9">
        <w:trPr>
          <w:trHeight w:val="585"/>
        </w:trPr>
        <w:tc>
          <w:tcPr>
            <w:tcW w:w="1980" w:type="dxa"/>
            <w:vAlign w:val="center"/>
          </w:tcPr>
          <w:p w:rsidR="004315C6" w:rsidRPr="005F5406" w:rsidRDefault="004315C6" w:rsidP="002951F9">
            <w:pPr>
              <w:spacing w:before="60" w:after="60" w:line="200" w:lineRule="exact"/>
              <w:ind w:left="72"/>
              <w:jc w:val="left"/>
              <w:rPr>
                <w:noProof/>
                <w:sz w:val="16"/>
                <w:szCs w:val="16"/>
              </w:rPr>
            </w:pPr>
            <w:r w:rsidRPr="005F5406">
              <w:rPr>
                <w:sz w:val="16"/>
                <w:szCs w:val="16"/>
              </w:rPr>
              <w:t>Pārējie administratīvie izdevumi</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jc w:val="cente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jc w:val="cente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jc w:val="cente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spacing w:before="60" w:after="60" w:line="200" w:lineRule="exact"/>
              <w:jc w:val="center"/>
              <w:rPr>
                <w:b/>
                <w:noProof/>
                <w:sz w:val="16"/>
                <w:szCs w:val="16"/>
              </w:rPr>
            </w:pPr>
            <w:r w:rsidRPr="003752EA">
              <w:rPr>
                <w:b/>
                <w:noProof/>
                <w:sz w:val="16"/>
              </w:rPr>
              <w:t>2</w:t>
            </w:r>
            <w:r w:rsidRPr="005F5406">
              <w:rPr>
                <w:b/>
                <w:noProof/>
                <w:sz w:val="16"/>
              </w:rPr>
              <w:t>,</w:t>
            </w:r>
            <w:r w:rsidRPr="003752EA">
              <w:rPr>
                <w:b/>
                <w:noProof/>
                <w:sz w:val="16"/>
              </w:rPr>
              <w:t>7</w:t>
            </w:r>
          </w:p>
        </w:tc>
      </w:tr>
      <w:tr w:rsidR="007F4FF3" w:rsidRPr="005F5406" w:rsidTr="002951F9">
        <w:trPr>
          <w:trHeight w:val="585"/>
        </w:trPr>
        <w:tc>
          <w:tcPr>
            <w:tcW w:w="1980" w:type="dxa"/>
            <w:shd w:val="clear" w:color="auto" w:fill="CCCCCC"/>
            <w:vAlign w:val="center"/>
          </w:tcPr>
          <w:p w:rsidR="004315C6" w:rsidRPr="005F5406" w:rsidRDefault="004315C6" w:rsidP="002951F9">
            <w:pPr>
              <w:spacing w:before="60" w:after="60" w:line="200" w:lineRule="exact"/>
              <w:jc w:val="center"/>
              <w:rPr>
                <w:b/>
                <w:noProof/>
                <w:sz w:val="16"/>
                <w:szCs w:val="16"/>
              </w:rPr>
            </w:pPr>
            <w:r w:rsidRPr="005F5406">
              <w:rPr>
                <w:b/>
                <w:sz w:val="16"/>
                <w:szCs w:val="16"/>
              </w:rPr>
              <w:t xml:space="preserve">Starpsumma – ārpus daudzgadu finanšu shēmas </w:t>
            </w:r>
            <w:r w:rsidRPr="003752EA">
              <w:rPr>
                <w:b/>
                <w:sz w:val="16"/>
                <w:szCs w:val="16"/>
              </w:rPr>
              <w:t>5</w:t>
            </w:r>
            <w:r w:rsidRPr="005F5406">
              <w:rPr>
                <w:b/>
                <w:sz w:val="16"/>
                <w:szCs w:val="16"/>
              </w:rPr>
              <w:t>. IZDEVUMU KATEGORIJAS</w:t>
            </w:r>
            <w:r w:rsidRPr="005F5406">
              <w:rPr>
                <w:b/>
                <w:noProof/>
                <w:sz w:val="16"/>
                <w:szCs w:val="16"/>
              </w:rPr>
              <w:t xml:space="preserve"> </w:t>
            </w:r>
          </w:p>
        </w:tc>
        <w:tc>
          <w:tcPr>
            <w:tcW w:w="794" w:type="dxa"/>
            <w:vAlign w:val="center"/>
          </w:tcPr>
          <w:p w:rsidR="004315C6" w:rsidRPr="005F5406" w:rsidRDefault="004315C6" w:rsidP="002951F9">
            <w:pPr>
              <w:spacing w:before="60" w:after="60" w:line="200" w:lineRule="exact"/>
              <w:jc w:val="right"/>
              <w:rPr>
                <w:noProof/>
                <w:sz w:val="16"/>
                <w:szCs w:val="16"/>
              </w:rP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jc w:val="cente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jc w:val="cente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jc w:val="center"/>
            </w:pPr>
            <w:r w:rsidRPr="003752EA">
              <w:rPr>
                <w:noProof/>
                <w:sz w:val="16"/>
              </w:rPr>
              <w:t>0</w:t>
            </w:r>
            <w:r w:rsidRPr="005F5406">
              <w:rPr>
                <w:noProof/>
                <w:sz w:val="16"/>
              </w:rPr>
              <w:t>,</w:t>
            </w:r>
            <w:r w:rsidRPr="003752EA">
              <w:rPr>
                <w:noProof/>
                <w:sz w:val="16"/>
              </w:rPr>
              <w:t>270</w:t>
            </w:r>
          </w:p>
        </w:tc>
        <w:tc>
          <w:tcPr>
            <w:tcW w:w="794" w:type="dxa"/>
            <w:vAlign w:val="center"/>
          </w:tcPr>
          <w:p w:rsidR="004315C6" w:rsidRPr="005F5406" w:rsidRDefault="004315C6" w:rsidP="002951F9">
            <w:pPr>
              <w:spacing w:before="60" w:after="60" w:line="200" w:lineRule="exact"/>
              <w:jc w:val="center"/>
              <w:rPr>
                <w:b/>
                <w:noProof/>
                <w:sz w:val="16"/>
                <w:szCs w:val="16"/>
              </w:rPr>
            </w:pPr>
            <w:r w:rsidRPr="003752EA">
              <w:rPr>
                <w:b/>
                <w:noProof/>
                <w:sz w:val="16"/>
              </w:rPr>
              <w:t>2</w:t>
            </w:r>
            <w:r w:rsidRPr="005F5406">
              <w:rPr>
                <w:b/>
                <w:noProof/>
                <w:sz w:val="16"/>
              </w:rPr>
              <w:t>,</w:t>
            </w:r>
            <w:r w:rsidRPr="003752EA">
              <w:rPr>
                <w:b/>
                <w:noProof/>
                <w:sz w:val="16"/>
              </w:rPr>
              <w:t>7</w:t>
            </w:r>
          </w:p>
        </w:tc>
      </w:tr>
    </w:tbl>
    <w:p w:rsidR="004315C6" w:rsidRPr="005F5406" w:rsidRDefault="004315C6" w:rsidP="004315C6">
      <w:pPr>
        <w:spacing w:line="200" w:lineRule="exact"/>
        <w:rPr>
          <w:noProof/>
          <w:sz w:val="16"/>
          <w:szCs w:val="16"/>
        </w:rPr>
      </w:pPr>
    </w:p>
    <w:tbl>
      <w:tblPr>
        <w:tblW w:w="5950" w:type="dxa"/>
        <w:tblInd w:w="1440" w:type="dxa"/>
        <w:tblLayout w:type="fixed"/>
        <w:tblLook w:val="01E0" w:firstRow="1" w:lastRow="1" w:firstColumn="1" w:lastColumn="1" w:noHBand="0" w:noVBand="0"/>
      </w:tblPr>
      <w:tblGrid>
        <w:gridCol w:w="1980"/>
        <w:gridCol w:w="794"/>
        <w:gridCol w:w="794"/>
        <w:gridCol w:w="794"/>
        <w:gridCol w:w="794"/>
        <w:gridCol w:w="794"/>
      </w:tblGrid>
      <w:tr w:rsidR="007F4FF3" w:rsidRPr="005F5406" w:rsidTr="002951F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4315C6" w:rsidRPr="005F5406" w:rsidRDefault="004315C6" w:rsidP="002951F9">
            <w:pPr>
              <w:spacing w:before="60" w:after="60" w:line="200" w:lineRule="exact"/>
              <w:jc w:val="center"/>
              <w:rPr>
                <w:noProof/>
                <w:sz w:val="16"/>
                <w:szCs w:val="16"/>
              </w:rPr>
            </w:pPr>
            <w:r w:rsidRPr="005F5406">
              <w:rPr>
                <w:b/>
                <w:noProof/>
                <w:sz w:val="16"/>
              </w:rPr>
              <w:t>KOPĀ</w:t>
            </w:r>
          </w:p>
        </w:tc>
        <w:tc>
          <w:tcPr>
            <w:tcW w:w="794" w:type="dxa"/>
            <w:tcBorders>
              <w:top w:val="single" w:sz="12" w:space="0" w:color="auto"/>
              <w:left w:val="single" w:sz="2" w:space="0" w:color="auto"/>
              <w:bottom w:val="single" w:sz="12" w:space="0" w:color="auto"/>
              <w:right w:val="single" w:sz="2" w:space="0" w:color="auto"/>
            </w:tcBorders>
            <w:vAlign w:val="center"/>
          </w:tcPr>
          <w:p w:rsidR="004315C6" w:rsidRPr="005F5406" w:rsidRDefault="004315C6" w:rsidP="002951F9">
            <w:pPr>
              <w:spacing w:before="60" w:after="60"/>
              <w:jc w:val="center"/>
              <w:rPr>
                <w:noProof/>
                <w:sz w:val="16"/>
                <w:szCs w:val="16"/>
              </w:rPr>
            </w:pPr>
            <w:r w:rsidRPr="003752EA">
              <w:rPr>
                <w:noProof/>
                <w:sz w:val="16"/>
              </w:rPr>
              <w:t>1</w:t>
            </w:r>
            <w:r w:rsidRPr="005F5406">
              <w:rPr>
                <w:noProof/>
                <w:sz w:val="16"/>
              </w:rPr>
              <w:t>,</w:t>
            </w:r>
            <w:r w:rsidRPr="003752EA">
              <w:rPr>
                <w:noProof/>
                <w:sz w:val="16"/>
              </w:rPr>
              <w:t>209</w:t>
            </w:r>
          </w:p>
        </w:tc>
        <w:tc>
          <w:tcPr>
            <w:tcW w:w="794" w:type="dxa"/>
            <w:tcBorders>
              <w:top w:val="single" w:sz="12" w:space="0" w:color="auto"/>
              <w:left w:val="single" w:sz="2" w:space="0" w:color="auto"/>
              <w:bottom w:val="single" w:sz="12" w:space="0" w:color="auto"/>
              <w:right w:val="single" w:sz="2" w:space="0" w:color="auto"/>
            </w:tcBorders>
            <w:vAlign w:val="center"/>
          </w:tcPr>
          <w:p w:rsidR="004315C6" w:rsidRPr="005F5406" w:rsidRDefault="004315C6" w:rsidP="002951F9">
            <w:pPr>
              <w:spacing w:before="60" w:after="60"/>
              <w:jc w:val="center"/>
              <w:rPr>
                <w:noProof/>
                <w:sz w:val="16"/>
                <w:szCs w:val="16"/>
              </w:rPr>
            </w:pPr>
            <w:r w:rsidRPr="003752EA">
              <w:rPr>
                <w:noProof/>
                <w:sz w:val="16"/>
              </w:rPr>
              <w:t>1</w:t>
            </w:r>
            <w:r w:rsidRPr="005F5406">
              <w:rPr>
                <w:noProof/>
                <w:sz w:val="16"/>
              </w:rPr>
              <w:t>,</w:t>
            </w:r>
            <w:r w:rsidRPr="003752EA">
              <w:rPr>
                <w:noProof/>
                <w:sz w:val="16"/>
              </w:rPr>
              <w:t>209</w:t>
            </w:r>
          </w:p>
        </w:tc>
        <w:tc>
          <w:tcPr>
            <w:tcW w:w="794" w:type="dxa"/>
            <w:tcBorders>
              <w:top w:val="single" w:sz="12" w:space="0" w:color="auto"/>
              <w:left w:val="single" w:sz="2" w:space="0" w:color="auto"/>
              <w:bottom w:val="single" w:sz="12" w:space="0" w:color="auto"/>
              <w:right w:val="single" w:sz="2" w:space="0" w:color="auto"/>
            </w:tcBorders>
            <w:vAlign w:val="center"/>
          </w:tcPr>
          <w:p w:rsidR="004315C6" w:rsidRPr="005F5406" w:rsidRDefault="004315C6" w:rsidP="002951F9">
            <w:pPr>
              <w:spacing w:before="60" w:after="60"/>
              <w:jc w:val="center"/>
              <w:rPr>
                <w:noProof/>
                <w:sz w:val="16"/>
                <w:szCs w:val="16"/>
              </w:rPr>
            </w:pPr>
            <w:r w:rsidRPr="003752EA">
              <w:rPr>
                <w:noProof/>
                <w:sz w:val="16"/>
              </w:rPr>
              <w:t>1</w:t>
            </w:r>
            <w:r w:rsidRPr="005F5406">
              <w:rPr>
                <w:noProof/>
                <w:sz w:val="16"/>
              </w:rPr>
              <w:t>,</w:t>
            </w:r>
            <w:r w:rsidRPr="003752EA">
              <w:rPr>
                <w:noProof/>
                <w:sz w:val="16"/>
              </w:rPr>
              <w:t>209</w:t>
            </w:r>
          </w:p>
        </w:tc>
        <w:tc>
          <w:tcPr>
            <w:tcW w:w="794" w:type="dxa"/>
            <w:tcBorders>
              <w:top w:val="single" w:sz="12" w:space="0" w:color="auto"/>
              <w:left w:val="single" w:sz="2" w:space="0" w:color="auto"/>
              <w:bottom w:val="single" w:sz="12" w:space="0" w:color="auto"/>
              <w:right w:val="single" w:sz="2" w:space="0" w:color="auto"/>
            </w:tcBorders>
            <w:vAlign w:val="center"/>
          </w:tcPr>
          <w:p w:rsidR="004315C6" w:rsidRPr="005F5406" w:rsidRDefault="004315C6" w:rsidP="002951F9">
            <w:pPr>
              <w:spacing w:before="60" w:after="60"/>
              <w:jc w:val="center"/>
              <w:rPr>
                <w:noProof/>
                <w:sz w:val="16"/>
                <w:szCs w:val="16"/>
              </w:rPr>
            </w:pPr>
            <w:r w:rsidRPr="003752EA">
              <w:rPr>
                <w:noProof/>
                <w:sz w:val="16"/>
              </w:rPr>
              <w:t>1</w:t>
            </w:r>
            <w:r w:rsidRPr="005F5406">
              <w:rPr>
                <w:noProof/>
                <w:sz w:val="16"/>
              </w:rPr>
              <w:t>,</w:t>
            </w:r>
            <w:r w:rsidRPr="003752EA">
              <w:rPr>
                <w:noProof/>
                <w:sz w:val="16"/>
              </w:rPr>
              <w:t>466</w:t>
            </w:r>
          </w:p>
        </w:tc>
        <w:tc>
          <w:tcPr>
            <w:tcW w:w="794" w:type="dxa"/>
            <w:tcBorders>
              <w:top w:val="single" w:sz="12" w:space="0" w:color="auto"/>
              <w:left w:val="single" w:sz="2" w:space="0" w:color="auto"/>
              <w:bottom w:val="single" w:sz="12" w:space="0" w:color="auto"/>
              <w:right w:val="single" w:sz="12" w:space="0" w:color="auto"/>
            </w:tcBorders>
            <w:vAlign w:val="center"/>
          </w:tcPr>
          <w:p w:rsidR="004315C6" w:rsidRPr="005F5406" w:rsidRDefault="004315C6" w:rsidP="002951F9">
            <w:pPr>
              <w:spacing w:before="60" w:after="60"/>
              <w:jc w:val="center"/>
              <w:rPr>
                <w:b/>
                <w:noProof/>
                <w:sz w:val="16"/>
                <w:szCs w:val="16"/>
              </w:rPr>
            </w:pPr>
            <w:r w:rsidRPr="003752EA">
              <w:rPr>
                <w:b/>
                <w:noProof/>
                <w:sz w:val="16"/>
              </w:rPr>
              <w:t>14</w:t>
            </w:r>
            <w:r w:rsidRPr="005F5406">
              <w:rPr>
                <w:b/>
                <w:noProof/>
                <w:sz w:val="16"/>
              </w:rPr>
              <w:t>,</w:t>
            </w:r>
            <w:r w:rsidRPr="003752EA">
              <w:rPr>
                <w:b/>
                <w:noProof/>
                <w:sz w:val="16"/>
              </w:rPr>
              <w:t>639</w:t>
            </w:r>
          </w:p>
        </w:tc>
      </w:tr>
    </w:tbl>
    <w:p w:rsidR="004315C6" w:rsidRPr="005F5406" w:rsidRDefault="004315C6" w:rsidP="004315C6">
      <w:pPr>
        <w:rPr>
          <w:noProof/>
          <w:sz w:val="18"/>
        </w:rPr>
        <w:sectPr w:rsidR="004315C6" w:rsidRPr="005F5406" w:rsidSect="00D23D9E">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sidRPr="005F5406">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rsidR="004315C6" w:rsidRPr="005F5406" w:rsidRDefault="004315C6" w:rsidP="00E12A59">
      <w:pPr>
        <w:pStyle w:val="Heading4"/>
        <w:numPr>
          <w:ilvl w:val="3"/>
          <w:numId w:val="11"/>
        </w:numPr>
        <w:rPr>
          <w:bCs w:val="0"/>
          <w:noProof/>
          <w:szCs w:val="24"/>
        </w:rPr>
      </w:pPr>
      <w:r w:rsidRPr="005F5406">
        <w:lastRenderedPageBreak/>
        <w:t>Paredzamās vajadzības pēc cilvēkresursiem</w:t>
      </w:r>
    </w:p>
    <w:p w:rsidR="004315C6" w:rsidRPr="005F5406" w:rsidRDefault="004315C6" w:rsidP="004315C6">
      <w:pPr>
        <w:pStyle w:val="ListDash1"/>
        <w:rPr>
          <w:noProof/>
        </w:rPr>
      </w:pPr>
      <w:r w:rsidRPr="005F5406">
        <w:rPr>
          <w:noProof/>
        </w:rPr>
        <w:sym w:font="Wingdings" w:char="F0A8"/>
      </w:r>
      <w:r w:rsidRPr="005F5406">
        <w:t xml:space="preserve">Priekšlikums/iniciatīva neparedz cilvēkresursu izmantošanu </w:t>
      </w:r>
    </w:p>
    <w:p w:rsidR="004315C6" w:rsidRPr="005F5406" w:rsidRDefault="004315C6" w:rsidP="004315C6">
      <w:pPr>
        <w:pStyle w:val="ListDash1"/>
        <w:rPr>
          <w:noProof/>
        </w:rPr>
      </w:pPr>
      <w:r w:rsidRPr="005F5406">
        <w:rPr>
          <w:noProof/>
        </w:rPr>
        <w:sym w:font="Wingdings" w:char="F0FC"/>
      </w:r>
      <w:r w:rsidRPr="005F5406">
        <w:t>Priekšlikums/iniciatīva paredz cilvēkresursu izmantošanu šādā veidā:</w:t>
      </w:r>
    </w:p>
    <w:p w:rsidR="004315C6" w:rsidRPr="005F5406" w:rsidRDefault="004315C6" w:rsidP="004315C6">
      <w:pPr>
        <w:spacing w:after="60"/>
        <w:jc w:val="right"/>
        <w:rPr>
          <w:i/>
          <w:noProof/>
          <w:sz w:val="20"/>
        </w:rPr>
      </w:pPr>
      <w:r w:rsidRPr="005F5406">
        <w:rPr>
          <w:i/>
          <w:noProof/>
          <w:sz w:val="20"/>
        </w:rPr>
        <w:t>Aplēse izsakāma ar pilnslodzes ekvivalentu</w:t>
      </w:r>
    </w:p>
    <w:tbl>
      <w:tblPr>
        <w:tblW w:w="3632" w:type="pct"/>
        <w:jc w:val="center"/>
        <w:tblInd w:w="-2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36"/>
        <w:gridCol w:w="1754"/>
        <w:gridCol w:w="810"/>
        <w:gridCol w:w="42"/>
        <w:gridCol w:w="758"/>
        <w:gridCol w:w="7"/>
        <w:gridCol w:w="811"/>
        <w:gridCol w:w="7"/>
        <w:gridCol w:w="799"/>
        <w:gridCol w:w="22"/>
      </w:tblGrid>
      <w:tr w:rsidR="007F4FF3" w:rsidRPr="005F5406" w:rsidTr="002951F9">
        <w:trPr>
          <w:gridAfter w:val="1"/>
          <w:wAfter w:w="16" w:type="pct"/>
          <w:trHeight w:val="289"/>
          <w:jc w:val="center"/>
        </w:trPr>
        <w:tc>
          <w:tcPr>
            <w:tcW w:w="2587" w:type="pct"/>
            <w:gridSpan w:val="2"/>
            <w:shd w:val="clear" w:color="auto" w:fill="auto"/>
          </w:tcPr>
          <w:p w:rsidR="004315C6" w:rsidRPr="005F5406" w:rsidRDefault="004315C6" w:rsidP="002951F9">
            <w:pPr>
              <w:pStyle w:val="Text1"/>
              <w:spacing w:before="40" w:after="40"/>
              <w:ind w:left="0"/>
              <w:jc w:val="center"/>
              <w:rPr>
                <w:i/>
                <w:noProof/>
                <w:sz w:val="16"/>
                <w:szCs w:val="16"/>
              </w:rPr>
            </w:pPr>
          </w:p>
        </w:tc>
        <w:tc>
          <w:tcPr>
            <w:tcW w:w="600" w:type="pct"/>
            <w:shd w:val="clear" w:color="auto" w:fill="auto"/>
            <w:vAlign w:val="center"/>
          </w:tcPr>
          <w:p w:rsidR="004315C6" w:rsidRPr="005F5406" w:rsidRDefault="004315C6" w:rsidP="002951F9">
            <w:pPr>
              <w:jc w:val="center"/>
              <w:rPr>
                <w:b/>
                <w:noProof/>
                <w:sz w:val="20"/>
              </w:rPr>
            </w:pPr>
            <w:r w:rsidRPr="003752EA">
              <w:rPr>
                <w:b/>
                <w:noProof/>
                <w:sz w:val="20"/>
              </w:rPr>
              <w:t>2018</w:t>
            </w:r>
            <w:r w:rsidRPr="005F5406">
              <w:rPr>
                <w:rStyle w:val="FootnoteReference"/>
                <w:b/>
                <w:noProof/>
                <w:sz w:val="20"/>
              </w:rPr>
              <w:footnoteReference w:id="36"/>
            </w:r>
          </w:p>
        </w:tc>
        <w:tc>
          <w:tcPr>
            <w:tcW w:w="598" w:type="pct"/>
            <w:gridSpan w:val="3"/>
            <w:shd w:val="clear" w:color="auto" w:fill="auto"/>
            <w:vAlign w:val="center"/>
          </w:tcPr>
          <w:p w:rsidR="004315C6" w:rsidRPr="005F5406" w:rsidRDefault="004315C6" w:rsidP="002951F9">
            <w:pPr>
              <w:jc w:val="center"/>
              <w:rPr>
                <w:b/>
                <w:noProof/>
                <w:sz w:val="20"/>
              </w:rPr>
            </w:pPr>
            <w:r w:rsidRPr="003752EA">
              <w:rPr>
                <w:b/>
                <w:noProof/>
                <w:sz w:val="20"/>
              </w:rPr>
              <w:t>2019</w:t>
            </w:r>
          </w:p>
        </w:tc>
        <w:tc>
          <w:tcPr>
            <w:tcW w:w="601" w:type="pct"/>
            <w:shd w:val="clear" w:color="auto" w:fill="auto"/>
            <w:vAlign w:val="center"/>
          </w:tcPr>
          <w:p w:rsidR="004315C6" w:rsidRPr="005F5406" w:rsidRDefault="004315C6" w:rsidP="002951F9">
            <w:pPr>
              <w:jc w:val="center"/>
              <w:rPr>
                <w:b/>
                <w:noProof/>
                <w:sz w:val="20"/>
              </w:rPr>
            </w:pPr>
            <w:r w:rsidRPr="003752EA">
              <w:rPr>
                <w:b/>
                <w:noProof/>
                <w:sz w:val="20"/>
              </w:rPr>
              <w:t>2020</w:t>
            </w:r>
          </w:p>
        </w:tc>
        <w:tc>
          <w:tcPr>
            <w:tcW w:w="597" w:type="pct"/>
            <w:gridSpan w:val="2"/>
            <w:shd w:val="clear" w:color="auto" w:fill="auto"/>
            <w:vAlign w:val="center"/>
          </w:tcPr>
          <w:p w:rsidR="004315C6" w:rsidRPr="005F5406" w:rsidRDefault="004315C6" w:rsidP="002951F9">
            <w:pPr>
              <w:jc w:val="center"/>
              <w:rPr>
                <w:b/>
                <w:noProof/>
                <w:sz w:val="20"/>
              </w:rPr>
            </w:pPr>
            <w:r w:rsidRPr="003752EA">
              <w:rPr>
                <w:b/>
                <w:noProof/>
                <w:sz w:val="20"/>
              </w:rPr>
              <w:t>2021</w:t>
            </w:r>
            <w:r w:rsidRPr="005F5406">
              <w:rPr>
                <w:b/>
                <w:noProof/>
                <w:sz w:val="20"/>
              </w:rPr>
              <w:t>. un turpmākie gadi</w:t>
            </w: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4"/>
              <w:jc w:val="left"/>
              <w:rPr>
                <w:b/>
                <w:noProof/>
                <w:sz w:val="16"/>
                <w:szCs w:val="16"/>
              </w:rPr>
            </w:pPr>
            <w:r w:rsidRPr="003752EA">
              <w:rPr>
                <w:noProof/>
                <w:sz w:val="16"/>
              </w:rPr>
              <w:t>34</w:t>
            </w:r>
            <w:r w:rsidRPr="005F5406">
              <w:rPr>
                <w:noProof/>
                <w:sz w:val="16"/>
              </w:rPr>
              <w:t xml:space="preserve"> </w:t>
            </w:r>
            <w:r w:rsidRPr="003752EA">
              <w:rPr>
                <w:noProof/>
                <w:sz w:val="16"/>
              </w:rPr>
              <w:t>01</w:t>
            </w:r>
            <w:r w:rsidRPr="005F5406">
              <w:rPr>
                <w:noProof/>
                <w:sz w:val="16"/>
              </w:rPr>
              <w:t xml:space="preserve"> </w:t>
            </w:r>
            <w:r w:rsidRPr="003752EA">
              <w:rPr>
                <w:noProof/>
                <w:sz w:val="16"/>
              </w:rPr>
              <w:t>01</w:t>
            </w:r>
            <w:r w:rsidRPr="005F5406">
              <w:rPr>
                <w:noProof/>
                <w:sz w:val="16"/>
              </w:rPr>
              <w:t xml:space="preserve"> </w:t>
            </w:r>
            <w:r w:rsidRPr="003752EA">
              <w:rPr>
                <w:noProof/>
                <w:sz w:val="16"/>
              </w:rPr>
              <w:t>01</w:t>
            </w:r>
            <w:r w:rsidRPr="005F5406">
              <w:rPr>
                <w:noProof/>
                <w:sz w:val="16"/>
              </w:rPr>
              <w:t xml:space="preserve"> (Galvenā mītne un Komisijas pārstāvniecības)</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3</w:t>
            </w: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3</w:t>
            </w: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3</w:t>
            </w: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6</w:t>
            </w: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4"/>
              <w:jc w:val="left"/>
              <w:rPr>
                <w:noProof/>
                <w:sz w:val="16"/>
                <w:szCs w:val="16"/>
              </w:rPr>
            </w:pPr>
            <w:r w:rsidRPr="005F5406">
              <w:rPr>
                <w:noProof/>
                <w:sz w:val="16"/>
              </w:rPr>
              <w:t xml:space="preserve">XX </w:t>
            </w:r>
            <w:r w:rsidRPr="003752EA">
              <w:rPr>
                <w:noProof/>
                <w:sz w:val="16"/>
              </w:rPr>
              <w:t>01</w:t>
            </w:r>
            <w:r w:rsidRPr="005F5406">
              <w:rPr>
                <w:noProof/>
                <w:sz w:val="16"/>
              </w:rPr>
              <w:t xml:space="preserve"> </w:t>
            </w:r>
            <w:r w:rsidRPr="003752EA">
              <w:rPr>
                <w:noProof/>
                <w:sz w:val="16"/>
              </w:rPr>
              <w:t>01</w:t>
            </w:r>
            <w:r w:rsidRPr="005F5406">
              <w:rPr>
                <w:noProof/>
                <w:sz w:val="16"/>
              </w:rPr>
              <w:t xml:space="preserve"> </w:t>
            </w:r>
            <w:r w:rsidRPr="003752EA">
              <w:rPr>
                <w:noProof/>
                <w:sz w:val="16"/>
              </w:rPr>
              <w:t>02</w:t>
            </w:r>
            <w:r w:rsidRPr="005F5406">
              <w:rPr>
                <w:noProof/>
                <w:sz w:val="16"/>
              </w:rPr>
              <w:t xml:space="preserve"> (Delegācijas)</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4"/>
              <w:jc w:val="left"/>
              <w:rPr>
                <w:noProof/>
                <w:sz w:val="16"/>
                <w:szCs w:val="16"/>
              </w:rPr>
            </w:pPr>
            <w:r w:rsidRPr="005F5406">
              <w:rPr>
                <w:noProof/>
                <w:sz w:val="16"/>
              </w:rPr>
              <w:t xml:space="preserve">XX </w:t>
            </w:r>
            <w:r w:rsidRPr="003752EA">
              <w:rPr>
                <w:noProof/>
                <w:sz w:val="16"/>
              </w:rPr>
              <w:t>01</w:t>
            </w:r>
            <w:r w:rsidRPr="005F5406">
              <w:rPr>
                <w:noProof/>
                <w:sz w:val="16"/>
              </w:rPr>
              <w:t xml:space="preserve"> </w:t>
            </w:r>
            <w:r w:rsidRPr="003752EA">
              <w:rPr>
                <w:noProof/>
                <w:sz w:val="16"/>
              </w:rPr>
              <w:t>05</w:t>
            </w:r>
            <w:r w:rsidRPr="005F5406">
              <w:rPr>
                <w:noProof/>
                <w:sz w:val="16"/>
              </w:rPr>
              <w:t xml:space="preserve"> </w:t>
            </w:r>
            <w:r w:rsidRPr="003752EA">
              <w:rPr>
                <w:noProof/>
                <w:sz w:val="16"/>
              </w:rPr>
              <w:t>01</w:t>
            </w:r>
            <w:r w:rsidRPr="005F5406">
              <w:rPr>
                <w:noProof/>
                <w:sz w:val="16"/>
              </w:rPr>
              <w:t xml:space="preserve"> (Netiešā pētniecība)</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4"/>
              <w:jc w:val="left"/>
              <w:rPr>
                <w:noProof/>
                <w:sz w:val="16"/>
                <w:szCs w:val="16"/>
              </w:rPr>
            </w:pPr>
            <w:r w:rsidRPr="003752EA">
              <w:rPr>
                <w:noProof/>
                <w:sz w:val="16"/>
              </w:rPr>
              <w:t>10</w:t>
            </w:r>
            <w:r w:rsidRPr="005F5406">
              <w:rPr>
                <w:noProof/>
                <w:sz w:val="16"/>
              </w:rPr>
              <w:t xml:space="preserve"> </w:t>
            </w:r>
            <w:r w:rsidRPr="003752EA">
              <w:rPr>
                <w:noProof/>
                <w:sz w:val="16"/>
              </w:rPr>
              <w:t>01</w:t>
            </w:r>
            <w:r w:rsidRPr="005F5406">
              <w:rPr>
                <w:noProof/>
                <w:sz w:val="16"/>
              </w:rPr>
              <w:t xml:space="preserve"> </w:t>
            </w:r>
            <w:r w:rsidRPr="003752EA">
              <w:rPr>
                <w:noProof/>
                <w:sz w:val="16"/>
              </w:rPr>
              <w:t>05</w:t>
            </w:r>
            <w:r w:rsidRPr="005F5406">
              <w:rPr>
                <w:noProof/>
                <w:sz w:val="16"/>
              </w:rPr>
              <w:t xml:space="preserve"> </w:t>
            </w:r>
            <w:r w:rsidRPr="003752EA">
              <w:rPr>
                <w:noProof/>
                <w:sz w:val="16"/>
              </w:rPr>
              <w:t>01</w:t>
            </w:r>
            <w:r w:rsidRPr="005F5406">
              <w:rPr>
                <w:noProof/>
                <w:sz w:val="16"/>
              </w:rPr>
              <w:t xml:space="preserve"> (Tiešā pētniecība)</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6"/>
              <w:jc w:val="left"/>
              <w:rPr>
                <w:b/>
                <w:noProof/>
                <w:sz w:val="16"/>
                <w:szCs w:val="16"/>
              </w:rPr>
            </w:pPr>
            <w:r w:rsidRPr="003752EA">
              <w:rPr>
                <w:noProof/>
                <w:sz w:val="16"/>
              </w:rPr>
              <w:t>34</w:t>
            </w:r>
            <w:r w:rsidRPr="005F5406">
              <w:rPr>
                <w:noProof/>
                <w:sz w:val="16"/>
              </w:rPr>
              <w:t xml:space="preserve"> </w:t>
            </w:r>
            <w:r w:rsidRPr="003752EA">
              <w:rPr>
                <w:noProof/>
                <w:sz w:val="16"/>
              </w:rPr>
              <w:t>01</w:t>
            </w:r>
            <w:r w:rsidRPr="005F5406">
              <w:rPr>
                <w:noProof/>
                <w:sz w:val="16"/>
              </w:rPr>
              <w:t xml:space="preserve"> </w:t>
            </w:r>
            <w:r w:rsidRPr="003752EA">
              <w:rPr>
                <w:noProof/>
                <w:sz w:val="16"/>
              </w:rPr>
              <w:t>02</w:t>
            </w:r>
            <w:r w:rsidRPr="005F5406">
              <w:rPr>
                <w:noProof/>
                <w:sz w:val="16"/>
              </w:rPr>
              <w:t xml:space="preserve"> </w:t>
            </w:r>
            <w:r w:rsidRPr="003752EA">
              <w:rPr>
                <w:noProof/>
                <w:sz w:val="16"/>
              </w:rPr>
              <w:t>01</w:t>
            </w:r>
            <w:r w:rsidRPr="005F5406">
              <w:rPr>
                <w:noProof/>
                <w:sz w:val="16"/>
              </w:rPr>
              <w:t xml:space="preserve"> (</w:t>
            </w:r>
            <w:r w:rsidRPr="005F5406">
              <w:rPr>
                <w:i/>
                <w:noProof/>
                <w:sz w:val="16"/>
              </w:rPr>
              <w:t>CA, SNE, INT</w:t>
            </w:r>
            <w:r w:rsidRPr="005F5406">
              <w:rPr>
                <w:noProof/>
                <w:sz w:val="16"/>
              </w:rPr>
              <w:t>, ko finansē no vispārīgajām apropriācijām)</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6"/>
              <w:jc w:val="left"/>
              <w:rPr>
                <w:noProof/>
                <w:sz w:val="16"/>
                <w:szCs w:val="16"/>
              </w:rPr>
            </w:pPr>
            <w:r w:rsidRPr="003752EA">
              <w:rPr>
                <w:noProof/>
                <w:sz w:val="16"/>
              </w:rPr>
              <w:t>34</w:t>
            </w:r>
            <w:r w:rsidRPr="005F5406">
              <w:rPr>
                <w:noProof/>
                <w:sz w:val="16"/>
              </w:rPr>
              <w:t xml:space="preserve"> </w:t>
            </w:r>
            <w:r w:rsidRPr="003752EA">
              <w:rPr>
                <w:noProof/>
                <w:sz w:val="16"/>
              </w:rPr>
              <w:t>01</w:t>
            </w:r>
            <w:r w:rsidRPr="005F5406">
              <w:rPr>
                <w:noProof/>
                <w:sz w:val="16"/>
              </w:rPr>
              <w:t xml:space="preserve"> </w:t>
            </w:r>
            <w:r w:rsidRPr="003752EA">
              <w:rPr>
                <w:noProof/>
                <w:sz w:val="16"/>
              </w:rPr>
              <w:t>02</w:t>
            </w:r>
            <w:r w:rsidRPr="005F5406">
              <w:rPr>
                <w:noProof/>
                <w:sz w:val="16"/>
              </w:rPr>
              <w:t xml:space="preserve"> </w:t>
            </w:r>
            <w:r w:rsidRPr="003752EA">
              <w:rPr>
                <w:noProof/>
                <w:sz w:val="16"/>
              </w:rPr>
              <w:t>02</w:t>
            </w:r>
            <w:r w:rsidRPr="005F5406">
              <w:rPr>
                <w:noProof/>
                <w:sz w:val="16"/>
              </w:rPr>
              <w:t xml:space="preserve"> (</w:t>
            </w:r>
            <w:r w:rsidRPr="005F5406">
              <w:rPr>
                <w:i/>
                <w:noProof/>
                <w:sz w:val="16"/>
              </w:rPr>
              <w:t>CA, LA, SNE, INT</w:t>
            </w:r>
            <w:r w:rsidRPr="005F5406">
              <w:rPr>
                <w:noProof/>
                <w:sz w:val="16"/>
              </w:rPr>
              <w:t xml:space="preserve"> un </w:t>
            </w:r>
            <w:r w:rsidRPr="005F5406">
              <w:rPr>
                <w:i/>
                <w:noProof/>
                <w:sz w:val="16"/>
              </w:rPr>
              <w:t>JED</w:t>
            </w:r>
            <w:r w:rsidRPr="005F5406">
              <w:rPr>
                <w:noProof/>
                <w:sz w:val="16"/>
              </w:rPr>
              <w:t xml:space="preserve"> delegācijās)</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shd w:val="clear" w:color="auto" w:fill="auto"/>
          </w:tcPr>
          <w:p w:rsidR="004315C6" w:rsidRPr="005F5406" w:rsidRDefault="004315C6" w:rsidP="002951F9"/>
        </w:tc>
        <w:tc>
          <w:tcPr>
            <w:tcW w:w="611" w:type="pct"/>
            <w:gridSpan w:val="3"/>
            <w:shd w:val="clear" w:color="auto" w:fill="auto"/>
          </w:tcPr>
          <w:p w:rsidR="004315C6" w:rsidRPr="005F5406" w:rsidRDefault="004315C6" w:rsidP="002951F9"/>
        </w:tc>
        <w:tc>
          <w:tcPr>
            <w:tcW w:w="608" w:type="pct"/>
            <w:gridSpan w:val="2"/>
            <w:shd w:val="clear" w:color="auto" w:fill="auto"/>
          </w:tcPr>
          <w:p w:rsidR="004315C6" w:rsidRPr="005F5406" w:rsidRDefault="004315C6" w:rsidP="002951F9"/>
        </w:tc>
      </w:tr>
      <w:tr w:rsidR="007F4FF3" w:rsidRPr="005F5406" w:rsidTr="002951F9">
        <w:trPr>
          <w:trHeight w:val="289"/>
          <w:jc w:val="center"/>
        </w:trPr>
        <w:tc>
          <w:tcPr>
            <w:tcW w:w="1287" w:type="pct"/>
            <w:vMerge w:val="restart"/>
            <w:shd w:val="clear" w:color="auto" w:fill="auto"/>
            <w:vAlign w:val="center"/>
          </w:tcPr>
          <w:p w:rsidR="004315C6" w:rsidRPr="005F5406" w:rsidRDefault="004315C6" w:rsidP="002951F9">
            <w:pPr>
              <w:pStyle w:val="Text1"/>
              <w:spacing w:beforeLines="20" w:before="48" w:afterLines="20" w:after="48"/>
              <w:ind w:left="136"/>
              <w:jc w:val="left"/>
              <w:rPr>
                <w:b/>
                <w:noProof/>
                <w:sz w:val="16"/>
                <w:szCs w:val="16"/>
              </w:rPr>
            </w:pPr>
            <w:r w:rsidRPr="003752EA">
              <w:rPr>
                <w:b/>
                <w:noProof/>
                <w:sz w:val="16"/>
              </w:rPr>
              <w:t>34</w:t>
            </w:r>
            <w:r w:rsidRPr="005F5406">
              <w:rPr>
                <w:noProof/>
                <w:sz w:val="16"/>
              </w:rPr>
              <w:t xml:space="preserve"> </w:t>
            </w:r>
            <w:r w:rsidRPr="003752EA">
              <w:rPr>
                <w:noProof/>
                <w:sz w:val="16"/>
              </w:rPr>
              <w:t>01</w:t>
            </w:r>
            <w:r w:rsidRPr="005F5406">
              <w:rPr>
                <w:noProof/>
                <w:sz w:val="16"/>
              </w:rPr>
              <w:t xml:space="preserve"> </w:t>
            </w:r>
            <w:r w:rsidRPr="003752EA">
              <w:rPr>
                <w:noProof/>
                <w:sz w:val="16"/>
              </w:rPr>
              <w:t>04</w:t>
            </w:r>
            <w:r w:rsidRPr="005F5406">
              <w:rPr>
                <w:noProof/>
                <w:sz w:val="16"/>
              </w:rPr>
              <w:t xml:space="preserve"> </w:t>
            </w:r>
            <w:r w:rsidRPr="003752EA">
              <w:rPr>
                <w:b/>
                <w:noProof/>
                <w:sz w:val="16"/>
              </w:rPr>
              <w:t>01</w:t>
            </w:r>
            <w:r w:rsidRPr="005F5406">
              <w:rPr>
                <w:b/>
                <w:i/>
                <w:noProof/>
                <w:sz w:val="16"/>
              </w:rPr>
              <w:t xml:space="preserve"> </w:t>
            </w:r>
            <w:r w:rsidRPr="005F5406">
              <w:rPr>
                <w:rStyle w:val="FootnoteReference"/>
                <w:b/>
                <w:i/>
                <w:noProof/>
                <w:sz w:val="16"/>
              </w:rPr>
              <w:footnoteReference w:id="37"/>
            </w:r>
          </w:p>
          <w:p w:rsidR="004315C6" w:rsidRPr="005F5406" w:rsidRDefault="004315C6" w:rsidP="002951F9">
            <w:pPr>
              <w:pStyle w:val="Text1"/>
              <w:spacing w:beforeLines="20" w:before="48" w:afterLines="20" w:after="48"/>
              <w:ind w:left="136"/>
              <w:jc w:val="left"/>
              <w:rPr>
                <w:b/>
                <w:noProof/>
                <w:sz w:val="16"/>
                <w:szCs w:val="16"/>
              </w:rPr>
            </w:pPr>
          </w:p>
        </w:tc>
        <w:tc>
          <w:tcPr>
            <w:tcW w:w="1300" w:type="pct"/>
            <w:shd w:val="clear" w:color="auto" w:fill="auto"/>
            <w:vAlign w:val="center"/>
          </w:tcPr>
          <w:p w:rsidR="004315C6" w:rsidRPr="005F5406" w:rsidRDefault="004315C6" w:rsidP="002951F9">
            <w:pPr>
              <w:pStyle w:val="Text1"/>
              <w:spacing w:beforeLines="20" w:before="48" w:afterLines="20" w:after="48"/>
              <w:ind w:left="136"/>
              <w:jc w:val="left"/>
              <w:rPr>
                <w:b/>
                <w:noProof/>
                <w:sz w:val="16"/>
                <w:szCs w:val="16"/>
              </w:rPr>
            </w:pPr>
            <w:r w:rsidRPr="005F5406">
              <w:rPr>
                <w:noProof/>
                <w:sz w:val="16"/>
              </w:rPr>
              <w:t>- galvenajā mītnē</w:t>
            </w:r>
          </w:p>
          <w:p w:rsidR="004315C6" w:rsidRPr="005F5406" w:rsidRDefault="004315C6" w:rsidP="002951F9">
            <w:pPr>
              <w:pStyle w:val="Text1"/>
              <w:spacing w:beforeLines="20" w:before="48" w:afterLines="20" w:after="48"/>
              <w:ind w:left="136"/>
              <w:jc w:val="left"/>
              <w:rPr>
                <w:b/>
                <w:noProof/>
                <w:sz w:val="16"/>
                <w:szCs w:val="16"/>
              </w:rPr>
            </w:pPr>
          </w:p>
        </w:tc>
        <w:tc>
          <w:tcPr>
            <w:tcW w:w="631" w:type="pct"/>
            <w:gridSpan w:val="2"/>
            <w:shd w:val="clear" w:color="auto" w:fill="auto"/>
            <w:vAlign w:val="center"/>
          </w:tcPr>
          <w:p w:rsidR="004315C6" w:rsidRPr="005F5406" w:rsidRDefault="004315C6" w:rsidP="002951F9">
            <w:pPr>
              <w:pStyle w:val="Text1"/>
              <w:spacing w:beforeLines="20" w:before="48" w:afterLines="20" w:after="48"/>
              <w:ind w:left="0"/>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1287" w:type="pct"/>
            <w:vMerge/>
            <w:shd w:val="clear" w:color="auto" w:fill="auto"/>
            <w:vAlign w:val="center"/>
          </w:tcPr>
          <w:p w:rsidR="004315C6" w:rsidRPr="005F5406" w:rsidRDefault="004315C6" w:rsidP="002951F9">
            <w:pPr>
              <w:pStyle w:val="Text1"/>
              <w:spacing w:beforeLines="20" w:before="48" w:afterLines="20" w:after="48"/>
              <w:ind w:left="136"/>
              <w:jc w:val="left"/>
              <w:rPr>
                <w:b/>
                <w:noProof/>
                <w:sz w:val="16"/>
                <w:szCs w:val="16"/>
              </w:rPr>
            </w:pPr>
          </w:p>
        </w:tc>
        <w:tc>
          <w:tcPr>
            <w:tcW w:w="1300" w:type="pct"/>
            <w:shd w:val="clear" w:color="auto" w:fill="auto"/>
            <w:vAlign w:val="center"/>
          </w:tcPr>
          <w:p w:rsidR="004315C6" w:rsidRPr="005F5406" w:rsidRDefault="004315C6" w:rsidP="002951F9">
            <w:pPr>
              <w:pStyle w:val="Text1"/>
              <w:spacing w:beforeLines="20" w:before="48" w:afterLines="20" w:after="48"/>
              <w:ind w:left="136"/>
              <w:jc w:val="left"/>
              <w:rPr>
                <w:b/>
                <w:noProof/>
                <w:sz w:val="16"/>
                <w:szCs w:val="16"/>
              </w:rPr>
            </w:pPr>
            <w:r w:rsidRPr="005F5406">
              <w:rPr>
                <w:noProof/>
                <w:sz w:val="16"/>
              </w:rPr>
              <w:t xml:space="preserve">- delegācijās </w:t>
            </w:r>
          </w:p>
        </w:tc>
        <w:tc>
          <w:tcPr>
            <w:tcW w:w="631" w:type="pct"/>
            <w:gridSpan w:val="2"/>
            <w:shd w:val="clear" w:color="auto" w:fill="auto"/>
            <w:vAlign w:val="center"/>
          </w:tcPr>
          <w:p w:rsidR="004315C6" w:rsidRPr="005F5406" w:rsidRDefault="004315C6" w:rsidP="002951F9">
            <w:pPr>
              <w:pStyle w:val="Text1"/>
              <w:spacing w:beforeLines="20" w:before="48" w:afterLines="20" w:after="48"/>
              <w:ind w:left="0"/>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6"/>
              <w:jc w:val="left"/>
              <w:rPr>
                <w:noProof/>
                <w:sz w:val="16"/>
                <w:szCs w:val="16"/>
              </w:rPr>
            </w:pPr>
            <w:r w:rsidRPr="005F5406">
              <w:rPr>
                <w:noProof/>
                <w:sz w:val="16"/>
              </w:rPr>
              <w:t xml:space="preserve">XX </w:t>
            </w:r>
            <w:r w:rsidRPr="003752EA">
              <w:rPr>
                <w:noProof/>
                <w:sz w:val="16"/>
              </w:rPr>
              <w:t>01</w:t>
            </w:r>
            <w:r w:rsidRPr="005F5406">
              <w:rPr>
                <w:noProof/>
                <w:sz w:val="16"/>
              </w:rPr>
              <w:t xml:space="preserve"> </w:t>
            </w:r>
            <w:r w:rsidRPr="003752EA">
              <w:rPr>
                <w:noProof/>
                <w:sz w:val="16"/>
              </w:rPr>
              <w:t>05</w:t>
            </w:r>
            <w:r w:rsidRPr="005F5406">
              <w:rPr>
                <w:noProof/>
                <w:sz w:val="16"/>
              </w:rPr>
              <w:t xml:space="preserve"> </w:t>
            </w:r>
            <w:r w:rsidRPr="003752EA">
              <w:rPr>
                <w:noProof/>
                <w:sz w:val="16"/>
              </w:rPr>
              <w:t>02</w:t>
            </w:r>
            <w:r w:rsidRPr="005F5406">
              <w:rPr>
                <w:noProof/>
                <w:sz w:val="16"/>
              </w:rPr>
              <w:t xml:space="preserve"> (</w:t>
            </w:r>
            <w:r w:rsidRPr="005F5406">
              <w:rPr>
                <w:i/>
                <w:noProof/>
                <w:sz w:val="16"/>
              </w:rPr>
              <w:t>CA, SNE, INT</w:t>
            </w:r>
            <w:r w:rsidRPr="005F5406">
              <w:rPr>
                <w:noProof/>
                <w:sz w:val="16"/>
              </w:rPr>
              <w:t xml:space="preserve"> – netiešā pētniecība)</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shd w:val="clear" w:color="auto" w:fill="auto"/>
            <w:vAlign w:val="center"/>
          </w:tcPr>
          <w:p w:rsidR="004315C6" w:rsidRPr="005F5406" w:rsidRDefault="004315C6" w:rsidP="002951F9">
            <w:pPr>
              <w:pStyle w:val="Text1"/>
              <w:spacing w:beforeLines="20" w:before="48" w:afterLines="20" w:after="48"/>
              <w:ind w:left="136"/>
              <w:jc w:val="left"/>
              <w:rPr>
                <w:noProof/>
                <w:sz w:val="16"/>
                <w:szCs w:val="16"/>
              </w:rPr>
            </w:pPr>
            <w:r w:rsidRPr="003752EA">
              <w:rPr>
                <w:noProof/>
                <w:sz w:val="16"/>
              </w:rPr>
              <w:t>10</w:t>
            </w:r>
            <w:r w:rsidRPr="005F5406">
              <w:rPr>
                <w:noProof/>
                <w:sz w:val="16"/>
              </w:rPr>
              <w:t xml:space="preserve"> </w:t>
            </w:r>
            <w:r w:rsidRPr="003752EA">
              <w:rPr>
                <w:noProof/>
                <w:sz w:val="16"/>
              </w:rPr>
              <w:t>01</w:t>
            </w:r>
            <w:r w:rsidRPr="005F5406">
              <w:rPr>
                <w:noProof/>
                <w:sz w:val="16"/>
              </w:rPr>
              <w:t xml:space="preserve"> </w:t>
            </w:r>
            <w:r w:rsidRPr="003752EA">
              <w:rPr>
                <w:noProof/>
                <w:sz w:val="16"/>
              </w:rPr>
              <w:t>05</w:t>
            </w:r>
            <w:r w:rsidRPr="005F5406">
              <w:rPr>
                <w:noProof/>
                <w:sz w:val="16"/>
              </w:rPr>
              <w:t xml:space="preserve"> </w:t>
            </w:r>
            <w:r w:rsidRPr="003752EA">
              <w:rPr>
                <w:noProof/>
                <w:sz w:val="16"/>
              </w:rPr>
              <w:t>02</w:t>
            </w:r>
            <w:r w:rsidRPr="005F5406">
              <w:rPr>
                <w:noProof/>
                <w:sz w:val="16"/>
              </w:rPr>
              <w:t xml:space="preserve"> (</w:t>
            </w:r>
            <w:r w:rsidRPr="005F5406">
              <w:rPr>
                <w:i/>
                <w:noProof/>
                <w:sz w:val="16"/>
              </w:rPr>
              <w:t>CA, INT, SNE</w:t>
            </w:r>
            <w:r w:rsidRPr="005F5406">
              <w:rPr>
                <w:noProof/>
                <w:sz w:val="16"/>
              </w:rPr>
              <w:t> – tiešā pētniecība)</w:t>
            </w:r>
          </w:p>
        </w:tc>
        <w:tc>
          <w:tcPr>
            <w:tcW w:w="631"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tcBorders>
              <w:bottom w:val="double" w:sz="4" w:space="0" w:color="auto"/>
            </w:tcBorders>
            <w:shd w:val="clear" w:color="auto" w:fill="auto"/>
            <w:vAlign w:val="center"/>
          </w:tcPr>
          <w:p w:rsidR="004315C6" w:rsidRPr="005F5406" w:rsidRDefault="004315C6" w:rsidP="002951F9">
            <w:pPr>
              <w:pStyle w:val="Text1"/>
              <w:spacing w:beforeLines="20" w:before="48" w:afterLines="20" w:after="48"/>
              <w:ind w:left="134"/>
              <w:jc w:val="left"/>
              <w:rPr>
                <w:noProof/>
                <w:sz w:val="16"/>
                <w:szCs w:val="16"/>
              </w:rPr>
            </w:pPr>
            <w:r w:rsidRPr="005F5406">
              <w:rPr>
                <w:noProof/>
                <w:sz w:val="16"/>
              </w:rPr>
              <w:t>Citas budžeta pozīcijas (precizēt)</w:t>
            </w:r>
          </w:p>
        </w:tc>
        <w:tc>
          <w:tcPr>
            <w:tcW w:w="631" w:type="pct"/>
            <w:gridSpan w:val="2"/>
            <w:tcBorders>
              <w:bottom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562" w:type="pct"/>
            <w:tcBorders>
              <w:bottom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11" w:type="pct"/>
            <w:gridSpan w:val="3"/>
            <w:tcBorders>
              <w:bottom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p>
        </w:tc>
        <w:tc>
          <w:tcPr>
            <w:tcW w:w="608" w:type="pct"/>
            <w:gridSpan w:val="2"/>
            <w:tcBorders>
              <w:bottom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p>
        </w:tc>
      </w:tr>
      <w:tr w:rsidR="007F4FF3" w:rsidRPr="005F5406" w:rsidTr="002951F9">
        <w:trPr>
          <w:trHeight w:val="289"/>
          <w:jc w:val="center"/>
        </w:trPr>
        <w:tc>
          <w:tcPr>
            <w:tcW w:w="2587" w:type="pct"/>
            <w:gridSpan w:val="2"/>
            <w:tcBorders>
              <w:top w:val="double" w:sz="4" w:space="0" w:color="auto"/>
            </w:tcBorders>
            <w:shd w:val="clear" w:color="auto" w:fill="auto"/>
            <w:vAlign w:val="center"/>
          </w:tcPr>
          <w:p w:rsidR="004315C6" w:rsidRPr="005F5406" w:rsidRDefault="004315C6" w:rsidP="002951F9">
            <w:pPr>
              <w:pStyle w:val="Text1"/>
              <w:spacing w:beforeLines="20" w:before="48" w:afterLines="20" w:after="48"/>
              <w:ind w:left="136"/>
              <w:jc w:val="left"/>
              <w:rPr>
                <w:noProof/>
                <w:sz w:val="16"/>
                <w:szCs w:val="16"/>
              </w:rPr>
            </w:pPr>
            <w:r w:rsidRPr="005F5406">
              <w:rPr>
                <w:b/>
                <w:noProof/>
                <w:sz w:val="16"/>
              </w:rPr>
              <w:t>KOPĀ</w:t>
            </w:r>
          </w:p>
        </w:tc>
        <w:tc>
          <w:tcPr>
            <w:tcW w:w="631" w:type="pct"/>
            <w:gridSpan w:val="2"/>
            <w:tcBorders>
              <w:top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3</w:t>
            </w:r>
          </w:p>
        </w:tc>
        <w:tc>
          <w:tcPr>
            <w:tcW w:w="562" w:type="pct"/>
            <w:tcBorders>
              <w:top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3</w:t>
            </w:r>
          </w:p>
        </w:tc>
        <w:tc>
          <w:tcPr>
            <w:tcW w:w="611" w:type="pct"/>
            <w:gridSpan w:val="3"/>
            <w:tcBorders>
              <w:top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3</w:t>
            </w:r>
          </w:p>
        </w:tc>
        <w:tc>
          <w:tcPr>
            <w:tcW w:w="608" w:type="pct"/>
            <w:gridSpan w:val="2"/>
            <w:tcBorders>
              <w:top w:val="double" w:sz="4" w:space="0" w:color="auto"/>
            </w:tcBorders>
            <w:shd w:val="clear" w:color="auto" w:fill="auto"/>
            <w:vAlign w:val="center"/>
          </w:tcPr>
          <w:p w:rsidR="004315C6" w:rsidRPr="005F5406" w:rsidRDefault="004315C6" w:rsidP="002951F9">
            <w:pPr>
              <w:spacing w:beforeLines="20" w:before="48" w:afterLines="20" w:after="48"/>
              <w:jc w:val="center"/>
              <w:rPr>
                <w:noProof/>
                <w:sz w:val="16"/>
                <w:szCs w:val="16"/>
              </w:rPr>
            </w:pPr>
            <w:r w:rsidRPr="003752EA">
              <w:rPr>
                <w:noProof/>
                <w:sz w:val="16"/>
              </w:rPr>
              <w:t>6</w:t>
            </w:r>
          </w:p>
        </w:tc>
      </w:tr>
    </w:tbl>
    <w:p w:rsidR="004315C6" w:rsidRPr="005F5406" w:rsidRDefault="004315C6" w:rsidP="005911FE">
      <w:pPr>
        <w:pStyle w:val="Text1"/>
        <w:tabs>
          <w:tab w:val="left" w:pos="5984"/>
        </w:tabs>
        <w:spacing w:before="60" w:after="60"/>
        <w:ind w:left="851"/>
        <w:rPr>
          <w:noProof/>
          <w:sz w:val="18"/>
          <w:szCs w:val="18"/>
        </w:rPr>
      </w:pPr>
      <w:r w:rsidRPr="005F5406">
        <w:rPr>
          <w:b/>
          <w:sz w:val="18"/>
          <w:szCs w:val="18"/>
        </w:rPr>
        <w:t>XX</w:t>
      </w:r>
      <w:r w:rsidRPr="005F5406">
        <w:rPr>
          <w:sz w:val="18"/>
          <w:szCs w:val="18"/>
        </w:rPr>
        <w:t xml:space="preserve"> ir attiecīgā politikas joma vai budžeta sadaļa.</w:t>
      </w:r>
      <w:r w:rsidR="005911FE" w:rsidRPr="005F5406">
        <w:rPr>
          <w:sz w:val="18"/>
          <w:szCs w:val="18"/>
        </w:rPr>
        <w:tab/>
      </w:r>
    </w:p>
    <w:p w:rsidR="004315C6" w:rsidRPr="005F5406" w:rsidRDefault="004315C6" w:rsidP="004315C6">
      <w:pPr>
        <w:pStyle w:val="Text1"/>
        <w:rPr>
          <w:noProof/>
          <w:sz w:val="18"/>
          <w:szCs w:val="18"/>
        </w:rPr>
      </w:pPr>
      <w:r w:rsidRPr="005F5406">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rsidR="004315C6" w:rsidRPr="005F5406" w:rsidRDefault="004315C6" w:rsidP="004315C6">
      <w:pPr>
        <w:rPr>
          <w:noProof/>
          <w:sz w:val="20"/>
        </w:rPr>
      </w:pPr>
      <w:r w:rsidRPr="005F5406">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7F4FF3" w:rsidRPr="005F5406" w:rsidTr="002951F9">
        <w:tc>
          <w:tcPr>
            <w:tcW w:w="3240" w:type="dxa"/>
          </w:tcPr>
          <w:p w:rsidR="004315C6" w:rsidRPr="005F5406" w:rsidRDefault="004315C6" w:rsidP="002951F9">
            <w:pPr>
              <w:rPr>
                <w:noProof/>
                <w:sz w:val="20"/>
              </w:rPr>
            </w:pPr>
            <w:r w:rsidRPr="005F5406">
              <w:rPr>
                <w:noProof/>
                <w:sz w:val="20"/>
              </w:rPr>
              <w:t>Ierēdņi un pagaidu darbinieki</w:t>
            </w:r>
          </w:p>
        </w:tc>
        <w:tc>
          <w:tcPr>
            <w:tcW w:w="7200" w:type="dxa"/>
          </w:tcPr>
          <w:p w:rsidR="004315C6" w:rsidRPr="005F5406" w:rsidRDefault="004315C6" w:rsidP="002951F9">
            <w:pPr>
              <w:rPr>
                <w:noProof/>
                <w:sz w:val="20"/>
              </w:rPr>
            </w:pPr>
            <w:r w:rsidRPr="005F5406">
              <w:rPr>
                <w:noProof/>
                <w:sz w:val="20"/>
              </w:rPr>
              <w:t>Datu vākšana, rūpniecībai piešķiramo kvotu aprēķināšana, attiecīgo Komisijas lēmumu sagatavošana, dalībvalstu sagatavoto nacionālo plānu pārraudzība un novērtēšana, ziņojumu publicēšana, Modernizācijas fonda pārvaldība.</w:t>
            </w:r>
          </w:p>
        </w:tc>
      </w:tr>
      <w:tr w:rsidR="007F4FF3" w:rsidRPr="005F5406" w:rsidTr="002951F9">
        <w:tc>
          <w:tcPr>
            <w:tcW w:w="3240" w:type="dxa"/>
          </w:tcPr>
          <w:p w:rsidR="004315C6" w:rsidRPr="005F5406" w:rsidRDefault="004315C6" w:rsidP="002951F9">
            <w:pPr>
              <w:spacing w:before="60" w:after="60"/>
              <w:rPr>
                <w:noProof/>
                <w:sz w:val="20"/>
              </w:rPr>
            </w:pPr>
            <w:r w:rsidRPr="005F5406">
              <w:rPr>
                <w:noProof/>
                <w:sz w:val="20"/>
              </w:rPr>
              <w:t>Ārštata darbinieki</w:t>
            </w:r>
          </w:p>
        </w:tc>
        <w:tc>
          <w:tcPr>
            <w:tcW w:w="7200" w:type="dxa"/>
          </w:tcPr>
          <w:p w:rsidR="004315C6" w:rsidRPr="005F5406" w:rsidRDefault="004315C6" w:rsidP="002951F9">
            <w:pPr>
              <w:rPr>
                <w:noProof/>
                <w:sz w:val="20"/>
              </w:rPr>
            </w:pPr>
          </w:p>
        </w:tc>
      </w:tr>
    </w:tbl>
    <w:p w:rsidR="004315C6" w:rsidRPr="005F5406" w:rsidRDefault="004315C6" w:rsidP="004315C6">
      <w:pPr>
        <w:rPr>
          <w:noProof/>
        </w:rPr>
        <w:sectPr w:rsidR="004315C6" w:rsidRPr="005F5406" w:rsidSect="00D23D9E">
          <w:pgSz w:w="11907" w:h="16840"/>
          <w:pgMar w:top="1134" w:right="1418" w:bottom="1134" w:left="1418" w:header="709" w:footer="709" w:gutter="0"/>
          <w:cols w:space="708"/>
          <w:docGrid w:linePitch="360"/>
        </w:sectPr>
      </w:pPr>
    </w:p>
    <w:p w:rsidR="004315C6" w:rsidRPr="005F5406" w:rsidRDefault="004315C6" w:rsidP="00E12A59">
      <w:pPr>
        <w:pStyle w:val="Heading3"/>
        <w:numPr>
          <w:ilvl w:val="2"/>
          <w:numId w:val="11"/>
        </w:numPr>
        <w:rPr>
          <w:bCs w:val="0"/>
          <w:noProof/>
          <w:szCs w:val="24"/>
        </w:rPr>
      </w:pPr>
      <w:r w:rsidRPr="005F5406">
        <w:lastRenderedPageBreak/>
        <w:t xml:space="preserve">Saderība ar kārtējo daudzgadu finanšu shēmu </w:t>
      </w:r>
    </w:p>
    <w:p w:rsidR="004315C6" w:rsidRPr="005F5406" w:rsidRDefault="004315C6" w:rsidP="004315C6">
      <w:pPr>
        <w:pStyle w:val="ListDash1"/>
        <w:rPr>
          <w:noProof/>
        </w:rPr>
      </w:pPr>
      <w:r w:rsidRPr="005F5406">
        <w:rPr>
          <w:noProof/>
        </w:rPr>
        <w:sym w:font="Wingdings" w:char="F0FC"/>
      </w:r>
      <w:r w:rsidRPr="005F5406">
        <w:t>Priekšlikums/iniciatīva atbilst kārtējai daudzgadu finanšu shēmai</w:t>
      </w:r>
    </w:p>
    <w:p w:rsidR="004315C6" w:rsidRPr="005F5406" w:rsidRDefault="004315C6" w:rsidP="004315C6">
      <w:pPr>
        <w:pStyle w:val="ListDash1"/>
        <w:rPr>
          <w:noProof/>
        </w:rPr>
      </w:pPr>
      <w:r w:rsidRPr="005F5406">
        <w:rPr>
          <w:noProof/>
        </w:rPr>
        <w:sym w:font="Wingdings" w:char="F0A8"/>
      </w:r>
      <w:r w:rsidRPr="005F5406">
        <w:t>Pieņemot priekšlikumu/iniciatīvu, jāpārplāno attiecīgā izdevumu kategorija daudzgadu finanšu shēmā</w:t>
      </w:r>
    </w:p>
    <w:p w:rsidR="004315C6" w:rsidRPr="005F5406" w:rsidRDefault="004315C6" w:rsidP="004315C6">
      <w:pPr>
        <w:pStyle w:val="ListDash1"/>
        <w:rPr>
          <w:noProof/>
        </w:rPr>
      </w:pPr>
      <w:r w:rsidRPr="005F5406">
        <w:rPr>
          <w:noProof/>
        </w:rPr>
        <w:sym w:font="Wingdings" w:char="F0A8"/>
      </w:r>
      <w:r w:rsidRPr="005F5406">
        <w:t>Pieņemot priekšlikumu/iniciatīvu, jāpiemēro elastības instruments vai jāpārskata daudzgadu finanšu shēma</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r w:rsidRPr="005F5406">
        <w:rPr>
          <w:noProof/>
          <w:sz w:val="20"/>
        </w:rPr>
        <w:t xml:space="preserve">Resursu iekšējās pārdales iespējas CLIMA ĢD ir izsmeltas, ir vajadzīgas korekcijas daudzgadu finanšu shēmas </w:t>
      </w:r>
      <w:r w:rsidRPr="003752EA">
        <w:rPr>
          <w:noProof/>
          <w:sz w:val="20"/>
        </w:rPr>
        <w:t>2</w:t>
      </w:r>
      <w:r w:rsidRPr="005F5406">
        <w:rPr>
          <w:noProof/>
          <w:sz w:val="20"/>
        </w:rPr>
        <w:t xml:space="preserve">. un </w:t>
      </w:r>
      <w:r w:rsidRPr="003752EA">
        <w:rPr>
          <w:noProof/>
          <w:sz w:val="20"/>
        </w:rPr>
        <w:t>5</w:t>
      </w:r>
      <w:r w:rsidRPr="005F5406">
        <w:rPr>
          <w:noProof/>
          <w:sz w:val="20"/>
        </w:rPr>
        <w:t>. pozīcijā</w:t>
      </w:r>
      <w:r w:rsidR="009650E9">
        <w:rPr>
          <w:noProof/>
          <w:sz w:val="20"/>
        </w:rPr>
        <w:t xml:space="preserve"> </w:t>
      </w:r>
      <w:r w:rsidRPr="005F5406">
        <w:rPr>
          <w:noProof/>
          <w:sz w:val="20"/>
        </w:rPr>
        <w:t xml:space="preserve">maksimālo daudzumu robežās, jo ir jāveic jauni uzdevumi, lai varētu izpildīt prasības, kas izriet no šīs iniciatīvas jaunajiem noteikumiem: no </w:t>
      </w:r>
      <w:r w:rsidRPr="003752EA">
        <w:rPr>
          <w:noProof/>
          <w:sz w:val="20"/>
        </w:rPr>
        <w:t>2018</w:t>
      </w:r>
      <w:r w:rsidRPr="005F5406">
        <w:rPr>
          <w:noProof/>
          <w:sz w:val="20"/>
        </w:rPr>
        <w:t xml:space="preserve">. gada jāpiešķir papildu budžets </w:t>
      </w:r>
      <w:r w:rsidRPr="003752EA">
        <w:rPr>
          <w:noProof/>
          <w:sz w:val="20"/>
        </w:rPr>
        <w:t>2</w:t>
      </w:r>
      <w:r w:rsidRPr="005F5406">
        <w:rPr>
          <w:noProof/>
          <w:sz w:val="20"/>
        </w:rPr>
        <w:t xml:space="preserve">. un </w:t>
      </w:r>
      <w:r w:rsidRPr="003752EA">
        <w:rPr>
          <w:noProof/>
          <w:sz w:val="20"/>
        </w:rPr>
        <w:t>5</w:t>
      </w:r>
      <w:r w:rsidRPr="005F5406">
        <w:rPr>
          <w:noProof/>
          <w:sz w:val="20"/>
        </w:rPr>
        <w:t xml:space="preserve">. pozīcijā, lai segtu izmaksas par personālu, sanāksmēm un komandējumiem, kas nepieciešami, lai tirdzniecības periodā datus ievāktu divas reizes (nevis vienu, kā pašlaik), un Inovācijas un Modernizācijas fondu izmaksas. Sīkāka informācija tabulās </w:t>
      </w:r>
      <w:r w:rsidRPr="003752EA">
        <w:rPr>
          <w:noProof/>
          <w:sz w:val="20"/>
        </w:rPr>
        <w:t>3</w:t>
      </w:r>
      <w:r w:rsidRPr="005F5406">
        <w:rPr>
          <w:noProof/>
          <w:sz w:val="20"/>
        </w:rPr>
        <w:t>.</w:t>
      </w:r>
      <w:r w:rsidRPr="003752EA">
        <w:rPr>
          <w:noProof/>
          <w:sz w:val="20"/>
        </w:rPr>
        <w:t>2</w:t>
      </w:r>
      <w:r w:rsidRPr="005F5406">
        <w:rPr>
          <w:noProof/>
          <w:sz w:val="20"/>
        </w:rPr>
        <w:t>.</w:t>
      </w:r>
      <w:r w:rsidRPr="003752EA">
        <w:rPr>
          <w:noProof/>
          <w:sz w:val="20"/>
        </w:rPr>
        <w:t>3</w:t>
      </w:r>
      <w:r w:rsidRPr="005F5406">
        <w:rPr>
          <w:noProof/>
          <w:sz w:val="20"/>
        </w:rPr>
        <w:t xml:space="preserve">. punktā. Nav iespējams paredzēt budžeta lēmējinstitūcijas lēmumus par nākamo daudzgadu finanšu shēmu, tomēr, tā kā iecerēts, ka iniciatīva turpināsies pēc </w:t>
      </w:r>
      <w:r w:rsidRPr="003752EA">
        <w:rPr>
          <w:noProof/>
          <w:sz w:val="20"/>
        </w:rPr>
        <w:t>2027</w:t>
      </w:r>
      <w:r w:rsidRPr="005F5406">
        <w:rPr>
          <w:noProof/>
          <w:sz w:val="20"/>
        </w:rPr>
        <w:t>. gada, var uzskatīt, ka tāds pats daudzums ir jāparedz nākamajās DFS.</w:t>
      </w:r>
    </w:p>
    <w:p w:rsidR="004315C6" w:rsidRPr="005F5406" w:rsidRDefault="004315C6" w:rsidP="00E12A59">
      <w:pPr>
        <w:pStyle w:val="Heading3"/>
        <w:numPr>
          <w:ilvl w:val="2"/>
          <w:numId w:val="11"/>
        </w:numPr>
        <w:rPr>
          <w:bCs w:val="0"/>
          <w:noProof/>
          <w:szCs w:val="24"/>
        </w:rPr>
      </w:pPr>
      <w:r w:rsidRPr="005F5406">
        <w:t xml:space="preserve">Trešo personu iemaksas </w:t>
      </w:r>
    </w:p>
    <w:p w:rsidR="004315C6" w:rsidRPr="005F5406" w:rsidRDefault="004315C6" w:rsidP="004315C6">
      <w:pPr>
        <w:pStyle w:val="ListDash1"/>
        <w:rPr>
          <w:noProof/>
        </w:rPr>
      </w:pPr>
      <w:r w:rsidRPr="005F5406">
        <w:t xml:space="preserve">Priekšlikums/iniciatīva neparedz trešo personu līdzfinansējumu </w:t>
      </w:r>
    </w:p>
    <w:p w:rsidR="004315C6" w:rsidRPr="005F5406" w:rsidRDefault="004315C6" w:rsidP="004315C6">
      <w:pPr>
        <w:pStyle w:val="ListDash1"/>
        <w:rPr>
          <w:noProof/>
        </w:rPr>
      </w:pPr>
      <w:r w:rsidRPr="005F5406">
        <w:rPr>
          <w:strike/>
          <w:noProof/>
        </w:rPr>
        <w:t>Priekšlikums/iniciatīva paredz šādu līdzfinansējumu:</w:t>
      </w:r>
    </w:p>
    <w:p w:rsidR="004315C6" w:rsidRPr="005F5406" w:rsidRDefault="004315C6" w:rsidP="004315C6">
      <w:pPr>
        <w:jc w:val="right"/>
        <w:rPr>
          <w:noProof/>
          <w:sz w:val="20"/>
        </w:rPr>
      </w:pPr>
      <w:r w:rsidRPr="005F5406">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F4FF3" w:rsidRPr="005F5406" w:rsidTr="002951F9">
        <w:trPr>
          <w:cantSplit/>
        </w:trPr>
        <w:tc>
          <w:tcPr>
            <w:tcW w:w="2340" w:type="dxa"/>
          </w:tcPr>
          <w:p w:rsidR="004315C6" w:rsidRPr="005F5406" w:rsidRDefault="004315C6" w:rsidP="002951F9">
            <w:pPr>
              <w:spacing w:before="60" w:after="60"/>
              <w:rPr>
                <w:noProof/>
                <w:sz w:val="20"/>
              </w:rPr>
            </w:pPr>
          </w:p>
        </w:tc>
        <w:tc>
          <w:tcPr>
            <w:tcW w:w="964" w:type="dxa"/>
            <w:vAlign w:val="center"/>
          </w:tcPr>
          <w:p w:rsidR="004315C6" w:rsidRPr="005F5406" w:rsidRDefault="004315C6" w:rsidP="002951F9">
            <w:pPr>
              <w:jc w:val="center"/>
              <w:rPr>
                <w:noProof/>
                <w:sz w:val="20"/>
              </w:rPr>
            </w:pPr>
            <w:r w:rsidRPr="005F5406">
              <w:rPr>
                <w:b/>
              </w:rPr>
              <w:t xml:space="preserve">N </w:t>
            </w:r>
            <w:r w:rsidRPr="005F5406">
              <w:t>gads</w:t>
            </w:r>
          </w:p>
        </w:tc>
        <w:tc>
          <w:tcPr>
            <w:tcW w:w="964" w:type="dxa"/>
            <w:vAlign w:val="center"/>
          </w:tcPr>
          <w:p w:rsidR="004315C6" w:rsidRPr="005F5406" w:rsidRDefault="004315C6" w:rsidP="002951F9">
            <w:pPr>
              <w:jc w:val="center"/>
              <w:rPr>
                <w:noProof/>
                <w:sz w:val="20"/>
              </w:rPr>
            </w:pPr>
            <w:r w:rsidRPr="005F5406">
              <w:rPr>
                <w:b/>
              </w:rPr>
              <w:t>N+</w:t>
            </w:r>
            <w:r w:rsidRPr="003752EA">
              <w:rPr>
                <w:b/>
              </w:rPr>
              <w:t>1</w:t>
            </w:r>
            <w:r w:rsidRPr="005F5406">
              <w:t xml:space="preserve"> gads</w:t>
            </w:r>
          </w:p>
        </w:tc>
        <w:tc>
          <w:tcPr>
            <w:tcW w:w="964" w:type="dxa"/>
            <w:vAlign w:val="center"/>
          </w:tcPr>
          <w:p w:rsidR="004315C6" w:rsidRPr="005F5406" w:rsidRDefault="004315C6" w:rsidP="002951F9">
            <w:pPr>
              <w:jc w:val="center"/>
              <w:rPr>
                <w:noProof/>
                <w:sz w:val="20"/>
              </w:rPr>
            </w:pPr>
            <w:r w:rsidRPr="005F5406">
              <w:rPr>
                <w:b/>
              </w:rPr>
              <w:t>N+</w:t>
            </w:r>
            <w:r w:rsidRPr="003752EA">
              <w:rPr>
                <w:b/>
              </w:rPr>
              <w:t>2</w:t>
            </w:r>
            <w:r w:rsidRPr="005F5406">
              <w:t xml:space="preserve"> gads</w:t>
            </w:r>
          </w:p>
        </w:tc>
        <w:tc>
          <w:tcPr>
            <w:tcW w:w="964" w:type="dxa"/>
            <w:vAlign w:val="center"/>
          </w:tcPr>
          <w:p w:rsidR="004315C6" w:rsidRPr="005F5406" w:rsidRDefault="004315C6" w:rsidP="002951F9">
            <w:pPr>
              <w:jc w:val="center"/>
              <w:rPr>
                <w:noProof/>
                <w:sz w:val="20"/>
              </w:rPr>
            </w:pPr>
            <w:r w:rsidRPr="005F5406">
              <w:rPr>
                <w:b/>
              </w:rPr>
              <w:t>N+</w:t>
            </w:r>
            <w:r w:rsidRPr="003752EA">
              <w:rPr>
                <w:b/>
              </w:rPr>
              <w:t>3</w:t>
            </w:r>
            <w:r w:rsidRPr="005F5406">
              <w:t xml:space="preserve"> gads</w:t>
            </w:r>
          </w:p>
        </w:tc>
        <w:tc>
          <w:tcPr>
            <w:tcW w:w="2892" w:type="dxa"/>
            <w:gridSpan w:val="3"/>
            <w:vAlign w:val="center"/>
          </w:tcPr>
          <w:p w:rsidR="004315C6" w:rsidRPr="005F5406" w:rsidRDefault="004315C6" w:rsidP="002951F9">
            <w:pPr>
              <w:jc w:val="center"/>
              <w:rPr>
                <w:b/>
                <w:noProof/>
                <w:sz w:val="20"/>
              </w:rPr>
            </w:pPr>
            <w:r w:rsidRPr="005F5406">
              <w:rPr>
                <w:noProof/>
                <w:sz w:val="20"/>
              </w:rPr>
              <w:t>Norādīt tik gadu, cik nepieciešams ietekmes ilguma atspoguļošanai (sk. </w:t>
            </w:r>
            <w:r w:rsidRPr="003752EA">
              <w:rPr>
                <w:noProof/>
                <w:sz w:val="20"/>
              </w:rPr>
              <w:t>1</w:t>
            </w:r>
            <w:r w:rsidRPr="005F5406">
              <w:rPr>
                <w:noProof/>
                <w:sz w:val="20"/>
              </w:rPr>
              <w:t>.</w:t>
            </w:r>
            <w:r w:rsidRPr="003752EA">
              <w:rPr>
                <w:noProof/>
                <w:sz w:val="20"/>
              </w:rPr>
              <w:t>6</w:t>
            </w:r>
            <w:r w:rsidRPr="005F5406">
              <w:rPr>
                <w:noProof/>
                <w:sz w:val="20"/>
              </w:rPr>
              <w:t>. punktu)</w:t>
            </w:r>
          </w:p>
        </w:tc>
        <w:tc>
          <w:tcPr>
            <w:tcW w:w="1158" w:type="dxa"/>
            <w:vAlign w:val="center"/>
          </w:tcPr>
          <w:p w:rsidR="004315C6" w:rsidRPr="005F5406" w:rsidRDefault="004315C6" w:rsidP="002951F9">
            <w:pPr>
              <w:spacing w:before="60" w:after="60"/>
              <w:jc w:val="center"/>
              <w:rPr>
                <w:noProof/>
                <w:sz w:val="20"/>
              </w:rPr>
            </w:pPr>
            <w:r w:rsidRPr="005F5406">
              <w:rPr>
                <w:noProof/>
                <w:sz w:val="20"/>
              </w:rPr>
              <w:t>Kopā</w:t>
            </w:r>
          </w:p>
        </w:tc>
      </w:tr>
      <w:tr w:rsidR="007F4FF3" w:rsidRPr="005F5406" w:rsidTr="002951F9">
        <w:trPr>
          <w:cantSplit/>
        </w:trPr>
        <w:tc>
          <w:tcPr>
            <w:tcW w:w="2340" w:type="dxa"/>
          </w:tcPr>
          <w:p w:rsidR="004315C6" w:rsidRPr="005F5406" w:rsidRDefault="004315C6" w:rsidP="002951F9">
            <w:pPr>
              <w:rPr>
                <w:noProof/>
                <w:sz w:val="22"/>
              </w:rPr>
            </w:pPr>
            <w:r w:rsidRPr="005F5406">
              <w:rPr>
                <w:noProof/>
                <w:sz w:val="20"/>
              </w:rPr>
              <w:t>Norādīt līdzfinansējuma struktūru</w:t>
            </w:r>
            <w:r w:rsidRPr="005F5406">
              <w:rPr>
                <w:i/>
                <w:noProof/>
                <w:sz w:val="20"/>
              </w:rPr>
              <w:t xml:space="preserve"> </w:t>
            </w: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1158" w:type="dxa"/>
            <w:vAlign w:val="center"/>
          </w:tcPr>
          <w:p w:rsidR="004315C6" w:rsidRPr="005F5406" w:rsidRDefault="004315C6" w:rsidP="002951F9">
            <w:pPr>
              <w:spacing w:before="60" w:after="60"/>
              <w:jc w:val="center"/>
              <w:rPr>
                <w:noProof/>
                <w:sz w:val="20"/>
              </w:rPr>
            </w:pPr>
          </w:p>
        </w:tc>
      </w:tr>
      <w:tr w:rsidR="007F4FF3" w:rsidRPr="005F5406" w:rsidTr="002951F9">
        <w:trPr>
          <w:cantSplit/>
        </w:trPr>
        <w:tc>
          <w:tcPr>
            <w:tcW w:w="2340" w:type="dxa"/>
          </w:tcPr>
          <w:p w:rsidR="004315C6" w:rsidRPr="005F5406" w:rsidRDefault="004315C6" w:rsidP="002951F9">
            <w:pPr>
              <w:spacing w:before="60" w:after="60"/>
              <w:jc w:val="left"/>
              <w:rPr>
                <w:noProof/>
                <w:sz w:val="20"/>
              </w:rPr>
            </w:pPr>
            <w:r w:rsidRPr="005F5406">
              <w:rPr>
                <w:noProof/>
                <w:sz w:val="20"/>
              </w:rPr>
              <w:t xml:space="preserve">KOPĀ līdzfinansējuma apropriācijas </w:t>
            </w: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964" w:type="dxa"/>
            <w:vAlign w:val="center"/>
          </w:tcPr>
          <w:p w:rsidR="004315C6" w:rsidRPr="005F5406" w:rsidRDefault="004315C6" w:rsidP="002951F9">
            <w:pPr>
              <w:spacing w:before="60" w:after="60"/>
              <w:jc w:val="center"/>
              <w:rPr>
                <w:noProof/>
                <w:sz w:val="20"/>
              </w:rPr>
            </w:pPr>
          </w:p>
        </w:tc>
        <w:tc>
          <w:tcPr>
            <w:tcW w:w="1158" w:type="dxa"/>
            <w:vAlign w:val="center"/>
          </w:tcPr>
          <w:p w:rsidR="004315C6" w:rsidRPr="005F5406" w:rsidRDefault="004315C6" w:rsidP="002951F9">
            <w:pPr>
              <w:spacing w:before="60" w:after="60"/>
              <w:jc w:val="center"/>
              <w:rPr>
                <w:noProof/>
                <w:sz w:val="20"/>
              </w:rPr>
            </w:pPr>
          </w:p>
        </w:tc>
      </w:tr>
    </w:tbl>
    <w:p w:rsidR="004315C6" w:rsidRPr="005F5406" w:rsidRDefault="004315C6" w:rsidP="004315C6">
      <w:pPr>
        <w:rPr>
          <w:noProof/>
        </w:rPr>
      </w:pPr>
      <w:r w:rsidRPr="005F5406">
        <w:br/>
      </w:r>
    </w:p>
    <w:p w:rsidR="004315C6" w:rsidRPr="005F5406" w:rsidRDefault="004315C6" w:rsidP="00E12A59">
      <w:pPr>
        <w:pStyle w:val="Heading2"/>
        <w:numPr>
          <w:ilvl w:val="1"/>
          <w:numId w:val="11"/>
        </w:numPr>
        <w:rPr>
          <w:bCs w:val="0"/>
          <w:noProof/>
          <w:szCs w:val="24"/>
        </w:rPr>
      </w:pPr>
      <w:r w:rsidRPr="005F5406">
        <w:br w:type="page"/>
      </w:r>
      <w:r w:rsidRPr="005F5406">
        <w:lastRenderedPageBreak/>
        <w:t xml:space="preserve">Paredzamā ietekme uz ieņēmumiem </w:t>
      </w:r>
    </w:p>
    <w:p w:rsidR="004315C6" w:rsidRPr="005F5406" w:rsidRDefault="004315C6" w:rsidP="004315C6">
      <w:pPr>
        <w:pStyle w:val="ListDash1"/>
        <w:rPr>
          <w:noProof/>
        </w:rPr>
      </w:pPr>
      <w:r w:rsidRPr="005F5406">
        <w:rPr>
          <w:noProof/>
        </w:rPr>
        <w:sym w:font="Wingdings" w:char="F0FC"/>
      </w:r>
      <w:r w:rsidRPr="005F5406">
        <w:t>Priekšlikums/iniciatīva finansiāli neietekmē ieņēmumus</w:t>
      </w:r>
    </w:p>
    <w:p w:rsidR="004315C6" w:rsidRPr="005F5406" w:rsidRDefault="004315C6" w:rsidP="004315C6">
      <w:pPr>
        <w:pStyle w:val="ListDash1"/>
        <w:rPr>
          <w:noProof/>
        </w:rPr>
      </w:pPr>
      <w:r w:rsidRPr="005F5406">
        <w:rPr>
          <w:noProof/>
        </w:rPr>
        <w:sym w:font="Wingdings" w:char="F0A8"/>
      </w:r>
      <w:r w:rsidRPr="005F5406">
        <w:t>Priekšlikums/iniciatīva finansiāli ietekmē:</w:t>
      </w:r>
    </w:p>
    <w:p w:rsidR="004315C6" w:rsidRPr="005F5406" w:rsidRDefault="004315C6" w:rsidP="004315C6">
      <w:pPr>
        <w:pStyle w:val="ListNumberLevel3"/>
        <w:rPr>
          <w:noProof/>
        </w:rPr>
      </w:pPr>
      <w:r w:rsidRPr="005F5406">
        <w:rPr>
          <w:noProof/>
        </w:rPr>
        <w:sym w:font="Wingdings" w:char="F0A8"/>
      </w:r>
      <w:r w:rsidRPr="005F5406">
        <w:t xml:space="preserve">pašu resursus </w:t>
      </w:r>
    </w:p>
    <w:p w:rsidR="004315C6" w:rsidRPr="005F5406" w:rsidRDefault="004315C6" w:rsidP="004315C6">
      <w:pPr>
        <w:pStyle w:val="ListNumberLevel3"/>
        <w:rPr>
          <w:noProof/>
        </w:rPr>
      </w:pPr>
      <w:r w:rsidRPr="005F5406">
        <w:rPr>
          <w:noProof/>
        </w:rPr>
        <w:sym w:font="Wingdings" w:char="F0A8"/>
      </w:r>
      <w:r w:rsidRPr="005F5406">
        <w:t xml:space="preserve">dažādus ieņēmumus </w:t>
      </w:r>
    </w:p>
    <w:p w:rsidR="004315C6" w:rsidRPr="005F5406" w:rsidRDefault="004315C6" w:rsidP="004315C6">
      <w:pPr>
        <w:jc w:val="right"/>
        <w:rPr>
          <w:i/>
          <w:noProof/>
          <w:sz w:val="20"/>
        </w:rPr>
      </w:pPr>
      <w:r w:rsidRPr="005F5406">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7F4FF3" w:rsidRPr="005F5406" w:rsidTr="002951F9">
        <w:trPr>
          <w:trHeight w:val="388"/>
        </w:trPr>
        <w:tc>
          <w:tcPr>
            <w:tcW w:w="2144" w:type="dxa"/>
            <w:vMerge w:val="restart"/>
            <w:vAlign w:val="center"/>
          </w:tcPr>
          <w:p w:rsidR="004315C6" w:rsidRPr="005F5406" w:rsidRDefault="004315C6" w:rsidP="002951F9">
            <w:pPr>
              <w:spacing w:before="40" w:after="40"/>
              <w:rPr>
                <w:noProof/>
                <w:sz w:val="18"/>
              </w:rPr>
            </w:pPr>
            <w:r w:rsidRPr="005F5406">
              <w:rPr>
                <w:noProof/>
                <w:sz w:val="18"/>
              </w:rPr>
              <w:t>Budžeta ieņēmumu pozīcija</w:t>
            </w:r>
          </w:p>
        </w:tc>
        <w:tc>
          <w:tcPr>
            <w:tcW w:w="1276" w:type="dxa"/>
            <w:vMerge w:val="restart"/>
            <w:vAlign w:val="center"/>
          </w:tcPr>
          <w:p w:rsidR="004315C6" w:rsidRPr="005F5406" w:rsidRDefault="004315C6" w:rsidP="002951F9">
            <w:pPr>
              <w:jc w:val="center"/>
              <w:rPr>
                <w:noProof/>
                <w:sz w:val="18"/>
              </w:rPr>
            </w:pPr>
            <w:r w:rsidRPr="005F5406">
              <w:rPr>
                <w:noProof/>
                <w:sz w:val="18"/>
              </w:rPr>
              <w:t>Kārtējā finanšu gadā pieejamās apropriācijas</w:t>
            </w:r>
          </w:p>
        </w:tc>
        <w:tc>
          <w:tcPr>
            <w:tcW w:w="7200" w:type="dxa"/>
            <w:gridSpan w:val="7"/>
            <w:vAlign w:val="center"/>
          </w:tcPr>
          <w:p w:rsidR="004315C6" w:rsidRPr="005F5406" w:rsidRDefault="004315C6" w:rsidP="002951F9">
            <w:pPr>
              <w:jc w:val="center"/>
              <w:rPr>
                <w:noProof/>
                <w:sz w:val="18"/>
              </w:rPr>
            </w:pPr>
            <w:r w:rsidRPr="005F5406">
              <w:rPr>
                <w:noProof/>
                <w:sz w:val="18"/>
              </w:rPr>
              <w:t>Priekšlikuma/iniciatīvas ietekme</w:t>
            </w:r>
            <w:r w:rsidRPr="005F5406">
              <w:rPr>
                <w:rStyle w:val="FootnoteReference"/>
                <w:noProof/>
                <w:sz w:val="18"/>
              </w:rPr>
              <w:footnoteReference w:id="38"/>
            </w:r>
          </w:p>
        </w:tc>
      </w:tr>
      <w:tr w:rsidR="007F4FF3" w:rsidRPr="005F5406" w:rsidTr="002951F9">
        <w:trPr>
          <w:trHeight w:val="388"/>
        </w:trPr>
        <w:tc>
          <w:tcPr>
            <w:tcW w:w="2144" w:type="dxa"/>
            <w:vMerge/>
          </w:tcPr>
          <w:p w:rsidR="004315C6" w:rsidRPr="005F5406" w:rsidRDefault="004315C6" w:rsidP="002951F9">
            <w:pPr>
              <w:spacing w:before="40" w:after="40"/>
              <w:rPr>
                <w:noProof/>
                <w:sz w:val="18"/>
              </w:rPr>
            </w:pPr>
          </w:p>
        </w:tc>
        <w:tc>
          <w:tcPr>
            <w:tcW w:w="1276" w:type="dxa"/>
            <w:vMerge/>
          </w:tcPr>
          <w:p w:rsidR="004315C6" w:rsidRPr="005F5406" w:rsidRDefault="004315C6" w:rsidP="002951F9">
            <w:pPr>
              <w:spacing w:beforeLines="40" w:before="96" w:afterLines="40" w:after="96"/>
              <w:rPr>
                <w:i/>
                <w:noProof/>
                <w:sz w:val="18"/>
              </w:rPr>
            </w:pPr>
          </w:p>
        </w:tc>
        <w:tc>
          <w:tcPr>
            <w:tcW w:w="1080" w:type="dxa"/>
            <w:vAlign w:val="center"/>
          </w:tcPr>
          <w:p w:rsidR="004315C6" w:rsidRPr="005F5406" w:rsidRDefault="004315C6" w:rsidP="002951F9">
            <w:pPr>
              <w:jc w:val="center"/>
              <w:rPr>
                <w:noProof/>
                <w:sz w:val="18"/>
              </w:rPr>
            </w:pPr>
            <w:r w:rsidRPr="005F5406">
              <w:rPr>
                <w:b/>
              </w:rPr>
              <w:t xml:space="preserve">N </w:t>
            </w:r>
            <w:r w:rsidRPr="005F5406">
              <w:t>gads</w:t>
            </w:r>
          </w:p>
        </w:tc>
        <w:tc>
          <w:tcPr>
            <w:tcW w:w="900" w:type="dxa"/>
            <w:vAlign w:val="center"/>
          </w:tcPr>
          <w:p w:rsidR="004315C6" w:rsidRPr="005F5406" w:rsidRDefault="004315C6" w:rsidP="002951F9">
            <w:pPr>
              <w:jc w:val="center"/>
              <w:rPr>
                <w:noProof/>
                <w:sz w:val="18"/>
              </w:rPr>
            </w:pPr>
            <w:r w:rsidRPr="005F5406">
              <w:rPr>
                <w:b/>
              </w:rPr>
              <w:t>N+</w:t>
            </w:r>
            <w:r w:rsidRPr="003752EA">
              <w:rPr>
                <w:b/>
              </w:rPr>
              <w:t>1</w:t>
            </w:r>
            <w:r w:rsidRPr="005F5406">
              <w:rPr>
                <w:b/>
              </w:rPr>
              <w:t xml:space="preserve"> </w:t>
            </w:r>
            <w:r w:rsidRPr="005F5406">
              <w:t>gads</w:t>
            </w:r>
          </w:p>
        </w:tc>
        <w:tc>
          <w:tcPr>
            <w:tcW w:w="900" w:type="dxa"/>
            <w:vAlign w:val="center"/>
          </w:tcPr>
          <w:p w:rsidR="004315C6" w:rsidRPr="005F5406" w:rsidRDefault="004315C6" w:rsidP="002951F9">
            <w:pPr>
              <w:jc w:val="center"/>
              <w:rPr>
                <w:noProof/>
                <w:sz w:val="18"/>
              </w:rPr>
            </w:pPr>
            <w:r w:rsidRPr="005F5406">
              <w:rPr>
                <w:b/>
              </w:rPr>
              <w:t>N+</w:t>
            </w:r>
            <w:r w:rsidRPr="003752EA">
              <w:rPr>
                <w:b/>
              </w:rPr>
              <w:t>2</w:t>
            </w:r>
            <w:r w:rsidRPr="005F5406">
              <w:rPr>
                <w:b/>
              </w:rPr>
              <w:t xml:space="preserve"> </w:t>
            </w:r>
            <w:r w:rsidRPr="005F5406">
              <w:t>gads</w:t>
            </w:r>
          </w:p>
        </w:tc>
        <w:tc>
          <w:tcPr>
            <w:tcW w:w="1080" w:type="dxa"/>
            <w:vAlign w:val="center"/>
          </w:tcPr>
          <w:p w:rsidR="004315C6" w:rsidRPr="005F5406" w:rsidRDefault="004315C6" w:rsidP="002951F9">
            <w:pPr>
              <w:jc w:val="center"/>
              <w:rPr>
                <w:noProof/>
                <w:sz w:val="18"/>
              </w:rPr>
            </w:pPr>
            <w:r w:rsidRPr="005F5406">
              <w:rPr>
                <w:b/>
              </w:rPr>
              <w:t>N+</w:t>
            </w:r>
            <w:r w:rsidRPr="003752EA">
              <w:rPr>
                <w:b/>
              </w:rPr>
              <w:t>3</w:t>
            </w:r>
            <w:r w:rsidRPr="005F5406">
              <w:rPr>
                <w:b/>
              </w:rPr>
              <w:t xml:space="preserve"> </w:t>
            </w:r>
            <w:r w:rsidRPr="005F5406">
              <w:t>gads</w:t>
            </w:r>
          </w:p>
        </w:tc>
        <w:tc>
          <w:tcPr>
            <w:tcW w:w="3240" w:type="dxa"/>
            <w:gridSpan w:val="3"/>
            <w:vAlign w:val="center"/>
          </w:tcPr>
          <w:p w:rsidR="004315C6" w:rsidRPr="005F5406" w:rsidRDefault="004315C6" w:rsidP="002951F9">
            <w:pPr>
              <w:jc w:val="center"/>
              <w:rPr>
                <w:b/>
                <w:noProof/>
                <w:sz w:val="18"/>
              </w:rPr>
            </w:pPr>
            <w:r w:rsidRPr="005F5406">
              <w:rPr>
                <w:noProof/>
                <w:sz w:val="18"/>
              </w:rPr>
              <w:t>Norādīt tik gadu, cik nepieciešams ietekmes ilguma atspoguļošanai (sk. </w:t>
            </w:r>
            <w:r w:rsidRPr="003752EA">
              <w:rPr>
                <w:noProof/>
                <w:sz w:val="18"/>
              </w:rPr>
              <w:t>1</w:t>
            </w:r>
            <w:r w:rsidRPr="005F5406">
              <w:rPr>
                <w:noProof/>
                <w:sz w:val="18"/>
              </w:rPr>
              <w:t>.</w:t>
            </w:r>
            <w:r w:rsidRPr="003752EA">
              <w:rPr>
                <w:noProof/>
                <w:sz w:val="18"/>
              </w:rPr>
              <w:t>6</w:t>
            </w:r>
            <w:r w:rsidRPr="005F5406">
              <w:rPr>
                <w:noProof/>
                <w:sz w:val="18"/>
              </w:rPr>
              <w:t>. punktu)</w:t>
            </w:r>
          </w:p>
        </w:tc>
      </w:tr>
      <w:tr w:rsidR="007F4FF3" w:rsidRPr="005F5406" w:rsidTr="002951F9">
        <w:trPr>
          <w:trHeight w:val="388"/>
        </w:trPr>
        <w:tc>
          <w:tcPr>
            <w:tcW w:w="2144" w:type="dxa"/>
            <w:vAlign w:val="center"/>
          </w:tcPr>
          <w:p w:rsidR="004315C6" w:rsidRPr="005F5406" w:rsidRDefault="004315C6" w:rsidP="002951F9">
            <w:pPr>
              <w:spacing w:before="40" w:after="40"/>
              <w:rPr>
                <w:noProof/>
                <w:sz w:val="18"/>
              </w:rPr>
            </w:pPr>
            <w:r w:rsidRPr="005F5406">
              <w:rPr>
                <w:noProof/>
                <w:sz w:val="18"/>
              </w:rPr>
              <w:t>.... pants</w:t>
            </w:r>
          </w:p>
        </w:tc>
        <w:tc>
          <w:tcPr>
            <w:tcW w:w="1276" w:type="dxa"/>
          </w:tcPr>
          <w:p w:rsidR="004315C6" w:rsidRPr="005F5406" w:rsidRDefault="004315C6" w:rsidP="002951F9">
            <w:pPr>
              <w:spacing w:beforeLines="40" w:before="96" w:afterLines="40" w:after="96"/>
              <w:jc w:val="center"/>
              <w:rPr>
                <w:i/>
                <w:noProof/>
                <w:sz w:val="18"/>
              </w:rPr>
            </w:pPr>
          </w:p>
        </w:tc>
        <w:tc>
          <w:tcPr>
            <w:tcW w:w="1080" w:type="dxa"/>
          </w:tcPr>
          <w:p w:rsidR="004315C6" w:rsidRPr="005F5406" w:rsidRDefault="004315C6" w:rsidP="002951F9">
            <w:pPr>
              <w:spacing w:beforeLines="40" w:before="96" w:afterLines="40" w:after="96"/>
              <w:jc w:val="center"/>
              <w:rPr>
                <w:noProof/>
                <w:sz w:val="18"/>
              </w:rPr>
            </w:pPr>
          </w:p>
        </w:tc>
        <w:tc>
          <w:tcPr>
            <w:tcW w:w="900" w:type="dxa"/>
          </w:tcPr>
          <w:p w:rsidR="004315C6" w:rsidRPr="005F5406" w:rsidRDefault="004315C6" w:rsidP="002951F9">
            <w:pPr>
              <w:spacing w:beforeLines="40" w:before="96" w:afterLines="40" w:after="96"/>
              <w:jc w:val="center"/>
              <w:rPr>
                <w:noProof/>
                <w:sz w:val="18"/>
              </w:rPr>
            </w:pPr>
          </w:p>
        </w:tc>
        <w:tc>
          <w:tcPr>
            <w:tcW w:w="900" w:type="dxa"/>
          </w:tcPr>
          <w:p w:rsidR="004315C6" w:rsidRPr="005F5406" w:rsidRDefault="004315C6" w:rsidP="002951F9">
            <w:pPr>
              <w:spacing w:beforeLines="40" w:before="96" w:afterLines="40" w:after="96"/>
              <w:jc w:val="center"/>
              <w:rPr>
                <w:noProof/>
                <w:sz w:val="18"/>
              </w:rPr>
            </w:pPr>
          </w:p>
        </w:tc>
        <w:tc>
          <w:tcPr>
            <w:tcW w:w="1080" w:type="dxa"/>
          </w:tcPr>
          <w:p w:rsidR="004315C6" w:rsidRPr="005F5406" w:rsidRDefault="004315C6" w:rsidP="002951F9">
            <w:pPr>
              <w:spacing w:beforeLines="40" w:before="96" w:afterLines="40" w:after="96"/>
              <w:jc w:val="center"/>
              <w:rPr>
                <w:noProof/>
                <w:sz w:val="18"/>
              </w:rPr>
            </w:pPr>
          </w:p>
        </w:tc>
        <w:tc>
          <w:tcPr>
            <w:tcW w:w="1080" w:type="dxa"/>
          </w:tcPr>
          <w:p w:rsidR="004315C6" w:rsidRPr="005F5406" w:rsidRDefault="004315C6" w:rsidP="002951F9">
            <w:pPr>
              <w:spacing w:beforeLines="40" w:before="96" w:afterLines="40" w:after="96"/>
              <w:jc w:val="center"/>
              <w:rPr>
                <w:noProof/>
                <w:sz w:val="18"/>
              </w:rPr>
            </w:pPr>
          </w:p>
        </w:tc>
        <w:tc>
          <w:tcPr>
            <w:tcW w:w="1080" w:type="dxa"/>
          </w:tcPr>
          <w:p w:rsidR="004315C6" w:rsidRPr="005F5406" w:rsidRDefault="004315C6" w:rsidP="002951F9">
            <w:pPr>
              <w:spacing w:beforeLines="40" w:before="96" w:afterLines="40" w:after="96"/>
              <w:jc w:val="center"/>
              <w:rPr>
                <w:noProof/>
                <w:sz w:val="18"/>
              </w:rPr>
            </w:pPr>
          </w:p>
        </w:tc>
        <w:tc>
          <w:tcPr>
            <w:tcW w:w="1080" w:type="dxa"/>
          </w:tcPr>
          <w:p w:rsidR="004315C6" w:rsidRPr="005F5406" w:rsidRDefault="004315C6" w:rsidP="002951F9">
            <w:pPr>
              <w:spacing w:beforeLines="40" w:before="96" w:afterLines="40" w:after="96"/>
              <w:jc w:val="center"/>
              <w:rPr>
                <w:noProof/>
                <w:sz w:val="18"/>
              </w:rPr>
            </w:pPr>
          </w:p>
        </w:tc>
      </w:tr>
    </w:tbl>
    <w:p w:rsidR="004315C6" w:rsidRPr="005F5406" w:rsidRDefault="004315C6" w:rsidP="004315C6">
      <w:pPr>
        <w:pStyle w:val="Text1"/>
        <w:rPr>
          <w:noProof/>
          <w:sz w:val="20"/>
        </w:rPr>
      </w:pPr>
      <w:r w:rsidRPr="005F5406">
        <w:rPr>
          <w:noProof/>
          <w:sz w:val="20"/>
        </w:rPr>
        <w:t>Attiecībā uz īpaši novirzāmiem dažādajiem ieņēmumiem norādīt attiecīgo(-ās) izdevumu pozīciju(-as).</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rPr>
          <w:noProof/>
        </w:rPr>
      </w:pPr>
    </w:p>
    <w:p w:rsidR="004315C6" w:rsidRPr="005F5406" w:rsidRDefault="004315C6" w:rsidP="004315C6">
      <w:pPr>
        <w:pStyle w:val="Text1"/>
        <w:rPr>
          <w:noProof/>
          <w:sz w:val="20"/>
        </w:rPr>
      </w:pPr>
      <w:r w:rsidRPr="005F5406">
        <w:rPr>
          <w:noProof/>
          <w:sz w:val="20"/>
        </w:rPr>
        <w:t>Norādīt ietekmes uz ieņēmumiem aprēķināšanai izmantoto metodi.</w:t>
      </w:r>
    </w:p>
    <w:p w:rsidR="004315C6" w:rsidRPr="005F5406" w:rsidRDefault="004315C6" w:rsidP="004315C6">
      <w:pPr>
        <w:pStyle w:val="Text1"/>
        <w:pBdr>
          <w:top w:val="single" w:sz="4" w:space="1" w:color="auto"/>
          <w:left w:val="single" w:sz="4" w:space="4" w:color="auto"/>
          <w:bottom w:val="single" w:sz="4" w:space="1" w:color="auto"/>
          <w:right w:val="single" w:sz="4" w:space="4" w:color="auto"/>
        </w:pBdr>
      </w:pPr>
    </w:p>
    <w:p w:rsidR="00D07624" w:rsidRPr="002C09B1" w:rsidRDefault="00D07624" w:rsidP="00AD3054">
      <w:pPr>
        <w:pStyle w:val="ManualHeading1"/>
      </w:pPr>
    </w:p>
    <w:sectPr w:rsidR="00D07624" w:rsidRPr="002C09B1" w:rsidSect="00D23D9E">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B1" w:rsidRDefault="002C09B1" w:rsidP="00FE3AE7">
      <w:pPr>
        <w:spacing w:before="0" w:after="0"/>
      </w:pPr>
      <w:r>
        <w:separator/>
      </w:r>
    </w:p>
  </w:endnote>
  <w:endnote w:type="continuationSeparator" w:id="0">
    <w:p w:rsidR="002C09B1" w:rsidRDefault="002C09B1" w:rsidP="00FE3A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F4" w:rsidRDefault="00201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1" w:rsidRPr="00D23D9E" w:rsidRDefault="00D23D9E" w:rsidP="00D23D9E">
    <w:pPr>
      <w:pStyle w:val="Footer"/>
      <w:rPr>
        <w:rFonts w:ascii="Arial" w:hAnsi="Arial" w:cs="Arial"/>
        <w:b/>
        <w:sz w:val="48"/>
      </w:rPr>
    </w:pPr>
    <w:r w:rsidRPr="00D23D9E">
      <w:rPr>
        <w:rFonts w:ascii="Arial" w:hAnsi="Arial" w:cs="Arial"/>
        <w:b/>
        <w:sz w:val="48"/>
      </w:rPr>
      <w:t>LV</w:t>
    </w:r>
    <w:r w:rsidRPr="00D23D9E">
      <w:rPr>
        <w:rFonts w:ascii="Arial" w:hAnsi="Arial" w:cs="Arial"/>
        <w:b/>
        <w:sz w:val="48"/>
      </w:rPr>
      <w:tab/>
    </w:r>
    <w:r w:rsidRPr="00D23D9E">
      <w:rPr>
        <w:rFonts w:ascii="Arial" w:hAnsi="Arial" w:cs="Arial"/>
        <w:b/>
        <w:sz w:val="48"/>
      </w:rPr>
      <w:tab/>
    </w:r>
    <w:fldSimple w:instr=" DOCVARIABLE &quot;LW_Confidence&quot; \* MERGEFORMAT ">
      <w:r>
        <w:t xml:space="preserve"> </w:t>
      </w:r>
    </w:fldSimple>
    <w:r w:rsidRPr="00D23D9E">
      <w:tab/>
    </w:r>
    <w:r w:rsidRPr="00D23D9E">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F4" w:rsidRDefault="00201E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1" w:rsidRPr="00D23D9E" w:rsidRDefault="00D23D9E" w:rsidP="00D23D9E">
    <w:pPr>
      <w:pStyle w:val="Footer"/>
      <w:rPr>
        <w:rFonts w:ascii="Arial" w:hAnsi="Arial" w:cs="Arial"/>
        <w:b/>
        <w:sz w:val="48"/>
      </w:rPr>
    </w:pPr>
    <w:r w:rsidRPr="00D23D9E">
      <w:rPr>
        <w:rFonts w:ascii="Arial" w:hAnsi="Arial" w:cs="Arial"/>
        <w:b/>
        <w:sz w:val="48"/>
      </w:rPr>
      <w:t>LV</w:t>
    </w:r>
    <w:r w:rsidRPr="00D23D9E">
      <w:rPr>
        <w:rFonts w:ascii="Arial" w:hAnsi="Arial" w:cs="Arial"/>
        <w:b/>
        <w:sz w:val="48"/>
      </w:rPr>
      <w:tab/>
    </w:r>
    <w:r>
      <w:fldChar w:fldCharType="begin"/>
    </w:r>
    <w:r>
      <w:instrText xml:space="preserve"> PAGE  \* MERGEFORMAT </w:instrText>
    </w:r>
    <w:r>
      <w:fldChar w:fldCharType="separate"/>
    </w:r>
    <w:r w:rsidR="00201EF4">
      <w:rPr>
        <w:noProof/>
      </w:rPr>
      <w:t>9</w:t>
    </w:r>
    <w:r>
      <w:fldChar w:fldCharType="end"/>
    </w:r>
    <w:r>
      <w:tab/>
    </w:r>
    <w:fldSimple w:instr=" DOCVARIABLE &quot;LW_Confidence&quot; \* MERGEFORMAT ">
      <w:r>
        <w:t xml:space="preserve"> </w:t>
      </w:r>
    </w:fldSimple>
    <w:r w:rsidRPr="00D23D9E">
      <w:tab/>
    </w:r>
    <w:r w:rsidRPr="00D23D9E">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9E" w:rsidRPr="00D23D9E" w:rsidRDefault="00D23D9E" w:rsidP="00D23D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1" w:rsidRPr="00D23D9E" w:rsidRDefault="00D23D9E" w:rsidP="00D23D9E">
    <w:pPr>
      <w:pStyle w:val="FooterLandscape"/>
      <w:rPr>
        <w:rFonts w:ascii="Arial" w:hAnsi="Arial" w:cs="Arial"/>
        <w:b/>
        <w:sz w:val="48"/>
      </w:rPr>
    </w:pPr>
    <w:r w:rsidRPr="00D23D9E">
      <w:rPr>
        <w:rFonts w:ascii="Arial" w:hAnsi="Arial" w:cs="Arial"/>
        <w:b/>
        <w:sz w:val="48"/>
      </w:rPr>
      <w:t>LV</w:t>
    </w:r>
    <w:r w:rsidRPr="00D23D9E">
      <w:rPr>
        <w:rFonts w:ascii="Arial" w:hAnsi="Arial" w:cs="Arial"/>
        <w:b/>
        <w:sz w:val="48"/>
      </w:rPr>
      <w:tab/>
    </w:r>
    <w:r>
      <w:fldChar w:fldCharType="begin"/>
    </w:r>
    <w:r>
      <w:instrText xml:space="preserve"> PAGE  \* MERGEFORMAT </w:instrText>
    </w:r>
    <w:r>
      <w:fldChar w:fldCharType="separate"/>
    </w:r>
    <w:r w:rsidR="00201EF4">
      <w:rPr>
        <w:noProof/>
      </w:rPr>
      <w:t>36</w:t>
    </w:r>
    <w:r>
      <w:fldChar w:fldCharType="end"/>
    </w:r>
    <w:r>
      <w:tab/>
    </w:r>
    <w:fldSimple w:instr=" DOCVARIABLE &quot;LW_Confidence&quot; \* MERGEFORMAT ">
      <w:r>
        <w:t xml:space="preserve"> </w:t>
      </w:r>
    </w:fldSimple>
    <w:r w:rsidRPr="00D23D9E">
      <w:tab/>
    </w:r>
    <w:r w:rsidRPr="00D23D9E">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9E" w:rsidRPr="00D23D9E" w:rsidRDefault="00D23D9E" w:rsidP="00D23D9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1" w:rsidRPr="00D23D9E" w:rsidRDefault="00D23D9E" w:rsidP="00D23D9E">
    <w:pPr>
      <w:pStyle w:val="Footer"/>
      <w:rPr>
        <w:rFonts w:ascii="Arial" w:hAnsi="Arial" w:cs="Arial"/>
        <w:b/>
        <w:sz w:val="48"/>
      </w:rPr>
    </w:pPr>
    <w:r w:rsidRPr="00D23D9E">
      <w:rPr>
        <w:rFonts w:ascii="Arial" w:hAnsi="Arial" w:cs="Arial"/>
        <w:b/>
        <w:sz w:val="48"/>
      </w:rPr>
      <w:t>LV</w:t>
    </w:r>
    <w:r w:rsidRPr="00D23D9E">
      <w:rPr>
        <w:rFonts w:ascii="Arial" w:hAnsi="Arial" w:cs="Arial"/>
        <w:b/>
        <w:sz w:val="48"/>
      </w:rPr>
      <w:tab/>
    </w:r>
    <w:r>
      <w:fldChar w:fldCharType="begin"/>
    </w:r>
    <w:r>
      <w:instrText xml:space="preserve"> PAGE  \* MERGEFORMAT </w:instrText>
    </w:r>
    <w:r>
      <w:fldChar w:fldCharType="separate"/>
    </w:r>
    <w:r w:rsidR="00201EF4">
      <w:rPr>
        <w:noProof/>
      </w:rPr>
      <w:t>40</w:t>
    </w:r>
    <w:r>
      <w:fldChar w:fldCharType="end"/>
    </w:r>
    <w:r>
      <w:tab/>
    </w:r>
    <w:fldSimple w:instr=" DOCVARIABLE &quot;LW_Confidence&quot; \* MERGEFORMAT ">
      <w:r>
        <w:t xml:space="preserve"> </w:t>
      </w:r>
    </w:fldSimple>
    <w:r w:rsidRPr="00D23D9E">
      <w:tab/>
    </w:r>
    <w:r w:rsidRPr="00D23D9E">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9E" w:rsidRPr="00D23D9E" w:rsidRDefault="00D23D9E" w:rsidP="00D23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B1" w:rsidRDefault="002C09B1" w:rsidP="00FE3AE7">
      <w:pPr>
        <w:spacing w:before="0" w:after="0"/>
      </w:pPr>
      <w:r>
        <w:separator/>
      </w:r>
    </w:p>
  </w:footnote>
  <w:footnote w:type="continuationSeparator" w:id="0">
    <w:p w:rsidR="002C09B1" w:rsidRDefault="002C09B1" w:rsidP="00FE3AE7">
      <w:pPr>
        <w:spacing w:before="0" w:after="0"/>
      </w:pPr>
      <w:r>
        <w:continuationSeparator/>
      </w:r>
    </w:p>
  </w:footnote>
  <w:footnote w:id="1">
    <w:p w:rsidR="002C09B1" w:rsidRPr="00967A94" w:rsidRDefault="002C09B1" w:rsidP="00285123">
      <w:pPr>
        <w:pStyle w:val="FootnoteText"/>
      </w:pPr>
      <w:r w:rsidRPr="00967A94">
        <w:rPr>
          <w:rStyle w:val="FootnoteReference"/>
        </w:rPr>
        <w:footnoteRef/>
      </w:r>
      <w:r w:rsidRPr="00967A94">
        <w:tab/>
        <w:t>http://www.consilium.europa.eu/uedocs/cms_data/docs/pressdata/en/ec/</w:t>
      </w:r>
      <w:r w:rsidRPr="003752EA">
        <w:t>145397</w:t>
      </w:r>
      <w:r w:rsidRPr="00967A94">
        <w:t>.pdf</w:t>
      </w:r>
    </w:p>
  </w:footnote>
  <w:footnote w:id="2">
    <w:p w:rsidR="002C09B1" w:rsidRPr="00967A94" w:rsidRDefault="002C09B1" w:rsidP="00285123">
      <w:pPr>
        <w:pStyle w:val="FootnoteText"/>
      </w:pPr>
      <w:r w:rsidRPr="00967A94">
        <w:rPr>
          <w:rStyle w:val="FootnoteReference"/>
        </w:rPr>
        <w:footnoteRef/>
      </w:r>
      <w:r w:rsidRPr="00967A94">
        <w:tab/>
      </w:r>
      <w:r w:rsidRPr="003752EA">
        <w:t>2011</w:t>
      </w:r>
      <w:r w:rsidRPr="00967A94">
        <w:t xml:space="preserve">. gada </w:t>
      </w:r>
      <w:r w:rsidRPr="003752EA">
        <w:t>16</w:t>
      </w:r>
      <w:r w:rsidRPr="00967A94">
        <w:t xml:space="preserve">. februāra Regula (ES) </w:t>
      </w:r>
      <w:proofErr w:type="spellStart"/>
      <w:r w:rsidRPr="00967A94">
        <w:t>Nr</w:t>
      </w:r>
      <w:proofErr w:type="spellEnd"/>
      <w:r w:rsidRPr="00967A94">
        <w:t>. </w:t>
      </w:r>
      <w:r w:rsidRPr="003752EA">
        <w:t>182</w:t>
      </w:r>
      <w:r w:rsidRPr="00967A94">
        <w:t>/</w:t>
      </w:r>
      <w:r w:rsidRPr="003752EA">
        <w:t>2011</w:t>
      </w:r>
      <w:r w:rsidRPr="00967A94">
        <w:t>.</w:t>
      </w:r>
    </w:p>
  </w:footnote>
  <w:footnote w:id="3">
    <w:p w:rsidR="002C09B1" w:rsidRPr="00967A94" w:rsidRDefault="002C09B1" w:rsidP="00285123">
      <w:pPr>
        <w:pStyle w:val="FootnoteText"/>
      </w:pPr>
      <w:r w:rsidRPr="00967A94">
        <w:rPr>
          <w:rStyle w:val="FootnoteReference"/>
        </w:rPr>
        <w:footnoteRef/>
      </w:r>
      <w:r w:rsidRPr="00967A94">
        <w:tab/>
        <w:t xml:space="preserve">Gūto atziņu un iesniegto ierosinājumu kopsavilkums atrodams Klimata politikas ģenerāldirektorāta tīmekļa vietnē: </w:t>
      </w:r>
      <w:hyperlink r:id="rId1">
        <w:r w:rsidRPr="00967A94">
          <w:rPr>
            <w:rStyle w:val="Hyperlink"/>
          </w:rPr>
          <w:t>http://ec.europa.eu/clima/consultations/articles/</w:t>
        </w:r>
        <w:r w:rsidRPr="003752EA">
          <w:rPr>
            <w:rStyle w:val="Hyperlink"/>
          </w:rPr>
          <w:t>0023</w:t>
        </w:r>
        <w:r w:rsidRPr="00967A94">
          <w:rPr>
            <w:rStyle w:val="Hyperlink"/>
          </w:rPr>
          <w:t>_en.htm</w:t>
        </w:r>
      </w:hyperlink>
    </w:p>
  </w:footnote>
  <w:footnote w:id="4">
    <w:p w:rsidR="002C09B1" w:rsidRPr="00967A94" w:rsidRDefault="002C09B1" w:rsidP="00285123">
      <w:pPr>
        <w:pStyle w:val="FootnoteText"/>
      </w:pPr>
      <w:r w:rsidRPr="00967A94">
        <w:rPr>
          <w:rStyle w:val="FootnoteReference"/>
        </w:rPr>
        <w:footnoteRef/>
      </w:r>
      <w:r w:rsidRPr="00967A94">
        <w:tab/>
        <w:t xml:space="preserve">Sanāksmju ieraksti un prezentācijas atrodamas Klimata politikas ģenerāldirektorāta tīmekļa vietnē: </w:t>
      </w:r>
      <w:hyperlink r:id="rId2">
        <w:r w:rsidRPr="00967A94">
          <w:rPr>
            <w:rStyle w:val="Hyperlink"/>
          </w:rPr>
          <w:t>http://ec.europa.eu/clima/policies/ets/cap/leakage/documentation_en.htm</w:t>
        </w:r>
      </w:hyperlink>
    </w:p>
  </w:footnote>
  <w:footnote w:id="5">
    <w:p w:rsidR="002C09B1" w:rsidRPr="00967A94" w:rsidRDefault="002C09B1" w:rsidP="00285123">
      <w:pPr>
        <w:pStyle w:val="FootnoteText"/>
      </w:pPr>
      <w:r w:rsidRPr="00967A94">
        <w:rPr>
          <w:rStyle w:val="FootnoteReference"/>
        </w:rPr>
        <w:footnoteRef/>
      </w:r>
      <w:r w:rsidRPr="00967A94">
        <w:tab/>
        <w:t>SEC(</w:t>
      </w:r>
      <w:r w:rsidRPr="003752EA">
        <w:t>2015</w:t>
      </w:r>
      <w:r w:rsidRPr="00967A94">
        <w:t>)XXX</w:t>
      </w:r>
    </w:p>
  </w:footnote>
  <w:footnote w:id="6">
    <w:p w:rsidR="002C09B1" w:rsidRPr="00967A94" w:rsidRDefault="002C09B1" w:rsidP="00285123">
      <w:pPr>
        <w:pStyle w:val="FootnoteText"/>
      </w:pPr>
      <w:r w:rsidRPr="00967A94">
        <w:rPr>
          <w:rStyle w:val="FootnoteReference"/>
        </w:rPr>
        <w:footnoteRef/>
      </w:r>
      <w:r w:rsidRPr="00967A94">
        <w:tab/>
        <w:t xml:space="preserve">“ICF </w:t>
      </w:r>
      <w:proofErr w:type="spellStart"/>
      <w:r w:rsidRPr="00967A94">
        <w:t>International</w:t>
      </w:r>
      <w:proofErr w:type="spellEnd"/>
      <w:r w:rsidRPr="00967A94">
        <w:t xml:space="preserve">”, Vācijas Vides aģentūra </w:t>
      </w:r>
      <w:r w:rsidRPr="00967A94">
        <w:rPr>
          <w:i/>
        </w:rPr>
        <w:t>(</w:t>
      </w:r>
      <w:proofErr w:type="spellStart"/>
      <w:r w:rsidRPr="00967A94">
        <w:rPr>
          <w:i/>
        </w:rPr>
        <w:t>Umweltbundesamt</w:t>
      </w:r>
      <w:proofErr w:type="spellEnd"/>
      <w:r w:rsidRPr="00967A94">
        <w:rPr>
          <w:i/>
        </w:rPr>
        <w:t>)</w:t>
      </w:r>
      <w:r w:rsidRPr="00967A94">
        <w:t xml:space="preserve">, “SQ </w:t>
      </w:r>
      <w:proofErr w:type="spellStart"/>
      <w:r w:rsidRPr="00967A94">
        <w:t>Consult</w:t>
      </w:r>
      <w:proofErr w:type="spellEnd"/>
      <w:r w:rsidRPr="00967A94">
        <w:t>”, “</w:t>
      </w:r>
      <w:proofErr w:type="spellStart"/>
      <w:r w:rsidRPr="00967A94">
        <w:t>Ecologic</w:t>
      </w:r>
      <w:proofErr w:type="spellEnd"/>
      <w:r w:rsidRPr="00967A94">
        <w:t xml:space="preserve"> </w:t>
      </w:r>
      <w:proofErr w:type="spellStart"/>
      <w:r w:rsidRPr="00967A94">
        <w:t>Institut</w:t>
      </w:r>
      <w:proofErr w:type="spellEnd"/>
      <w:r w:rsidRPr="00967A94">
        <w:t>”, “</w:t>
      </w:r>
      <w:proofErr w:type="spellStart"/>
      <w:r w:rsidRPr="00967A94">
        <w:t>Vivid</w:t>
      </w:r>
      <w:proofErr w:type="spellEnd"/>
      <w:r w:rsidRPr="00967A94">
        <w:t xml:space="preserve"> </w:t>
      </w:r>
      <w:proofErr w:type="spellStart"/>
      <w:r w:rsidRPr="00967A94">
        <w:t>Economics</w:t>
      </w:r>
      <w:proofErr w:type="spellEnd"/>
      <w:r w:rsidRPr="00967A94">
        <w:t xml:space="preserve">” un Eiropas Ekonomisko pētījumu centrs </w:t>
      </w:r>
      <w:r w:rsidRPr="00967A94">
        <w:rPr>
          <w:i/>
        </w:rPr>
        <w:t>(ZEW)</w:t>
      </w:r>
      <w:r w:rsidRPr="00967A94">
        <w:t> – darbs turpinās.</w:t>
      </w:r>
    </w:p>
  </w:footnote>
  <w:footnote w:id="7">
    <w:p w:rsidR="002C09B1" w:rsidRPr="00967A94" w:rsidRDefault="002C09B1" w:rsidP="00285123">
      <w:pPr>
        <w:pStyle w:val="FootnoteText"/>
      </w:pPr>
      <w:r w:rsidRPr="00967A94">
        <w:rPr>
          <w:rStyle w:val="FootnoteReference"/>
        </w:rPr>
        <w:footnoteRef/>
      </w:r>
      <w:r w:rsidRPr="00967A94">
        <w:tab/>
        <w:t xml:space="preserve">Pētījums par dažādiem izmaksu nodošanas faktoriem, lai novērtētu ES ETS oglekļa izmaksu ietekmi </w:t>
      </w:r>
      <w:r w:rsidRPr="00967A94">
        <w:rPr>
          <w:i/>
        </w:rPr>
        <w:t>(</w:t>
      </w:r>
      <w:proofErr w:type="spellStart"/>
      <w:r w:rsidRPr="00967A94">
        <w:rPr>
          <w:i/>
        </w:rPr>
        <w:t>Study</w:t>
      </w:r>
      <w:proofErr w:type="spellEnd"/>
      <w:r w:rsidRPr="00967A94">
        <w:rPr>
          <w:i/>
        </w:rPr>
        <w:t xml:space="preserve"> </w:t>
      </w:r>
      <w:proofErr w:type="spellStart"/>
      <w:r w:rsidRPr="00967A94">
        <w:rPr>
          <w:i/>
        </w:rPr>
        <w:t>on</w:t>
      </w:r>
      <w:proofErr w:type="spellEnd"/>
      <w:r w:rsidRPr="00967A94">
        <w:rPr>
          <w:i/>
        </w:rPr>
        <w:t xml:space="preserve"> </w:t>
      </w:r>
      <w:proofErr w:type="spellStart"/>
      <w:r w:rsidRPr="00967A94">
        <w:rPr>
          <w:i/>
        </w:rPr>
        <w:t>different</w:t>
      </w:r>
      <w:proofErr w:type="spellEnd"/>
      <w:r w:rsidRPr="00967A94">
        <w:rPr>
          <w:i/>
        </w:rPr>
        <w:t xml:space="preserve"> </w:t>
      </w:r>
      <w:proofErr w:type="spellStart"/>
      <w:r w:rsidRPr="00967A94">
        <w:rPr>
          <w:i/>
        </w:rPr>
        <w:t>pass-through</w:t>
      </w:r>
      <w:proofErr w:type="spellEnd"/>
      <w:r w:rsidRPr="00967A94">
        <w:rPr>
          <w:i/>
        </w:rPr>
        <w:t xml:space="preserve"> </w:t>
      </w:r>
      <w:proofErr w:type="spellStart"/>
      <w:r w:rsidRPr="00967A94">
        <w:rPr>
          <w:i/>
        </w:rPr>
        <w:t>factors</w:t>
      </w:r>
      <w:proofErr w:type="spellEnd"/>
      <w:r w:rsidRPr="00967A94">
        <w:rPr>
          <w:i/>
        </w:rPr>
        <w:t xml:space="preserve"> to </w:t>
      </w:r>
      <w:proofErr w:type="spellStart"/>
      <w:r w:rsidRPr="00967A94">
        <w:rPr>
          <w:i/>
        </w:rPr>
        <w:t>assess</w:t>
      </w:r>
      <w:proofErr w:type="spellEnd"/>
      <w:r w:rsidRPr="00967A94">
        <w:rPr>
          <w:i/>
        </w:rPr>
        <w:t xml:space="preserve"> </w:t>
      </w:r>
      <w:proofErr w:type="spellStart"/>
      <w:r w:rsidRPr="00967A94">
        <w:rPr>
          <w:i/>
        </w:rPr>
        <w:t>the</w:t>
      </w:r>
      <w:proofErr w:type="spellEnd"/>
      <w:r w:rsidRPr="00967A94">
        <w:rPr>
          <w:i/>
        </w:rPr>
        <w:t xml:space="preserve"> </w:t>
      </w:r>
      <w:proofErr w:type="spellStart"/>
      <w:r w:rsidRPr="00967A94">
        <w:rPr>
          <w:i/>
        </w:rPr>
        <w:t>impact</w:t>
      </w:r>
      <w:proofErr w:type="spellEnd"/>
      <w:r w:rsidRPr="00967A94">
        <w:rPr>
          <w:i/>
        </w:rPr>
        <w:t xml:space="preserve"> </w:t>
      </w:r>
      <w:proofErr w:type="spellStart"/>
      <w:r w:rsidRPr="00967A94">
        <w:rPr>
          <w:i/>
        </w:rPr>
        <w:t>of</w:t>
      </w:r>
      <w:proofErr w:type="spellEnd"/>
      <w:r w:rsidRPr="00967A94">
        <w:rPr>
          <w:i/>
        </w:rPr>
        <w:t xml:space="preserve"> </w:t>
      </w:r>
      <w:proofErr w:type="spellStart"/>
      <w:r w:rsidRPr="00967A94">
        <w:rPr>
          <w:i/>
        </w:rPr>
        <w:t>the</w:t>
      </w:r>
      <w:proofErr w:type="spellEnd"/>
      <w:r w:rsidRPr="00967A94">
        <w:rPr>
          <w:i/>
        </w:rPr>
        <w:t xml:space="preserve"> EU ETS </w:t>
      </w:r>
      <w:proofErr w:type="spellStart"/>
      <w:r w:rsidRPr="00967A94">
        <w:rPr>
          <w:i/>
        </w:rPr>
        <w:t>carbon</w:t>
      </w:r>
      <w:proofErr w:type="spellEnd"/>
      <w:r w:rsidRPr="00967A94">
        <w:rPr>
          <w:i/>
        </w:rPr>
        <w:t xml:space="preserve"> </w:t>
      </w:r>
      <w:proofErr w:type="spellStart"/>
      <w:r w:rsidRPr="00967A94">
        <w:rPr>
          <w:i/>
        </w:rPr>
        <w:t>cost</w:t>
      </w:r>
      <w:proofErr w:type="spellEnd"/>
      <w:r w:rsidRPr="00967A94">
        <w:rPr>
          <w:i/>
        </w:rPr>
        <w:t>)</w:t>
      </w:r>
      <w:r w:rsidRPr="00967A94">
        <w:t xml:space="preserve"> – darbs turpinās. </w:t>
      </w:r>
    </w:p>
  </w:footnote>
  <w:footnote w:id="8">
    <w:p w:rsidR="002C09B1" w:rsidRPr="00967A94" w:rsidRDefault="002C09B1" w:rsidP="00285123">
      <w:pPr>
        <w:pStyle w:val="FootnoteText"/>
      </w:pPr>
      <w:r w:rsidRPr="00967A94">
        <w:rPr>
          <w:rStyle w:val="FootnoteReference"/>
        </w:rPr>
        <w:footnoteRef/>
      </w:r>
      <w:r w:rsidRPr="00967A94">
        <w:tab/>
        <w:t xml:space="preserve">Jaunās emisijas kvotu piešķiršanas sistēmas, kuras pamatā ir </w:t>
      </w:r>
      <w:proofErr w:type="spellStart"/>
      <w:r w:rsidRPr="00967A94">
        <w:t>līmeņatzīmes</w:t>
      </w:r>
      <w:proofErr w:type="spellEnd"/>
      <w:r w:rsidRPr="00967A94">
        <w:t xml:space="preserve">, pirmo darbības gadu novērtējums </w:t>
      </w:r>
      <w:r w:rsidRPr="00967A94">
        <w:rPr>
          <w:i/>
        </w:rPr>
        <w:t>(</w:t>
      </w:r>
      <w:proofErr w:type="spellStart"/>
      <w:r w:rsidRPr="00967A94">
        <w:rPr>
          <w:i/>
        </w:rPr>
        <w:t>Assessment</w:t>
      </w:r>
      <w:proofErr w:type="spellEnd"/>
      <w:r w:rsidRPr="00967A94">
        <w:rPr>
          <w:i/>
        </w:rPr>
        <w:t xml:space="preserve"> </w:t>
      </w:r>
      <w:proofErr w:type="spellStart"/>
      <w:r w:rsidRPr="00967A94">
        <w:rPr>
          <w:i/>
        </w:rPr>
        <w:t>of</w:t>
      </w:r>
      <w:proofErr w:type="spellEnd"/>
      <w:r w:rsidRPr="00967A94">
        <w:rPr>
          <w:i/>
        </w:rPr>
        <w:t xml:space="preserve"> </w:t>
      </w:r>
      <w:proofErr w:type="spellStart"/>
      <w:r w:rsidRPr="00967A94">
        <w:rPr>
          <w:i/>
        </w:rPr>
        <w:t>the</w:t>
      </w:r>
      <w:proofErr w:type="spellEnd"/>
      <w:r w:rsidRPr="00967A94">
        <w:rPr>
          <w:i/>
        </w:rPr>
        <w:t xml:space="preserve"> first </w:t>
      </w:r>
      <w:proofErr w:type="spellStart"/>
      <w:r w:rsidRPr="00967A94">
        <w:rPr>
          <w:i/>
        </w:rPr>
        <w:t>years</w:t>
      </w:r>
      <w:proofErr w:type="spellEnd"/>
      <w:r w:rsidRPr="00967A94">
        <w:rPr>
          <w:i/>
        </w:rPr>
        <w:t xml:space="preserve"> </w:t>
      </w:r>
      <w:proofErr w:type="spellStart"/>
      <w:r w:rsidRPr="00967A94">
        <w:rPr>
          <w:i/>
        </w:rPr>
        <w:t>of</w:t>
      </w:r>
      <w:proofErr w:type="spellEnd"/>
      <w:r w:rsidRPr="00967A94">
        <w:rPr>
          <w:i/>
        </w:rPr>
        <w:t xml:space="preserve"> </w:t>
      </w:r>
      <w:proofErr w:type="spellStart"/>
      <w:r w:rsidRPr="00967A94">
        <w:rPr>
          <w:i/>
        </w:rPr>
        <w:t>the</w:t>
      </w:r>
      <w:proofErr w:type="spellEnd"/>
      <w:r w:rsidRPr="00967A94">
        <w:rPr>
          <w:i/>
        </w:rPr>
        <w:t xml:space="preserve"> </w:t>
      </w:r>
      <w:proofErr w:type="spellStart"/>
      <w:r w:rsidRPr="00967A94">
        <w:rPr>
          <w:i/>
        </w:rPr>
        <w:t>functioning</w:t>
      </w:r>
      <w:proofErr w:type="spellEnd"/>
      <w:r w:rsidRPr="00967A94">
        <w:rPr>
          <w:i/>
        </w:rPr>
        <w:t xml:space="preserve"> </w:t>
      </w:r>
      <w:proofErr w:type="spellStart"/>
      <w:r w:rsidRPr="00967A94">
        <w:rPr>
          <w:i/>
        </w:rPr>
        <w:t>of</w:t>
      </w:r>
      <w:proofErr w:type="spellEnd"/>
      <w:r w:rsidRPr="00967A94">
        <w:rPr>
          <w:i/>
        </w:rPr>
        <w:t xml:space="preserve"> </w:t>
      </w:r>
      <w:proofErr w:type="spellStart"/>
      <w:r w:rsidRPr="00967A94">
        <w:rPr>
          <w:i/>
        </w:rPr>
        <w:t>the</w:t>
      </w:r>
      <w:proofErr w:type="spellEnd"/>
      <w:r w:rsidRPr="00967A94">
        <w:rPr>
          <w:i/>
        </w:rPr>
        <w:t xml:space="preserve"> </w:t>
      </w:r>
      <w:proofErr w:type="spellStart"/>
      <w:r w:rsidRPr="00967A94">
        <w:rPr>
          <w:i/>
        </w:rPr>
        <w:t>new</w:t>
      </w:r>
      <w:proofErr w:type="spellEnd"/>
      <w:r w:rsidRPr="00967A94">
        <w:rPr>
          <w:i/>
        </w:rPr>
        <w:t xml:space="preserve"> </w:t>
      </w:r>
      <w:proofErr w:type="spellStart"/>
      <w:r w:rsidRPr="00967A94">
        <w:rPr>
          <w:i/>
        </w:rPr>
        <w:t>allocation</w:t>
      </w:r>
      <w:proofErr w:type="spellEnd"/>
      <w:r w:rsidRPr="00967A94">
        <w:rPr>
          <w:i/>
        </w:rPr>
        <w:t xml:space="preserve"> </w:t>
      </w:r>
      <w:proofErr w:type="spellStart"/>
      <w:r w:rsidRPr="00967A94">
        <w:rPr>
          <w:i/>
        </w:rPr>
        <w:t>system</w:t>
      </w:r>
      <w:proofErr w:type="spellEnd"/>
      <w:r w:rsidRPr="00967A94">
        <w:rPr>
          <w:i/>
        </w:rPr>
        <w:t xml:space="preserve"> </w:t>
      </w:r>
      <w:proofErr w:type="spellStart"/>
      <w:r w:rsidRPr="00967A94">
        <w:rPr>
          <w:i/>
        </w:rPr>
        <w:t>based</w:t>
      </w:r>
      <w:proofErr w:type="spellEnd"/>
      <w:r w:rsidRPr="00967A94">
        <w:rPr>
          <w:i/>
        </w:rPr>
        <w:t xml:space="preserve"> </w:t>
      </w:r>
      <w:proofErr w:type="spellStart"/>
      <w:r w:rsidRPr="00967A94">
        <w:rPr>
          <w:i/>
        </w:rPr>
        <w:t>on</w:t>
      </w:r>
      <w:proofErr w:type="spellEnd"/>
      <w:r w:rsidRPr="00967A94">
        <w:rPr>
          <w:i/>
        </w:rPr>
        <w:t xml:space="preserve"> </w:t>
      </w:r>
      <w:proofErr w:type="spellStart"/>
      <w:r w:rsidRPr="00967A94">
        <w:rPr>
          <w:i/>
        </w:rPr>
        <w:t>benchmarks</w:t>
      </w:r>
      <w:proofErr w:type="spellEnd"/>
      <w:r w:rsidRPr="00967A94">
        <w:rPr>
          <w:i/>
        </w:rPr>
        <w:t>)</w:t>
      </w:r>
      <w:r w:rsidRPr="00967A94">
        <w:t> – darbs turpinās.</w:t>
      </w:r>
    </w:p>
  </w:footnote>
  <w:footnote w:id="9">
    <w:p w:rsidR="002C09B1" w:rsidRPr="00967A94" w:rsidRDefault="002C09B1" w:rsidP="00285123">
      <w:pPr>
        <w:pStyle w:val="FootnoteText"/>
      </w:pPr>
      <w:r w:rsidRPr="00967A94">
        <w:rPr>
          <w:rStyle w:val="FootnoteReference"/>
        </w:rPr>
        <w:footnoteRef/>
      </w:r>
      <w:r w:rsidRPr="00967A94">
        <w:tab/>
        <w:t xml:space="preserve">Oglekļa emisiju pārvirzes un konkurētspējas novērtējums </w:t>
      </w:r>
      <w:r w:rsidRPr="00967A94">
        <w:rPr>
          <w:i/>
        </w:rPr>
        <w:t>(</w:t>
      </w:r>
      <w:proofErr w:type="spellStart"/>
      <w:r w:rsidRPr="00967A94">
        <w:rPr>
          <w:i/>
        </w:rPr>
        <w:t>Carbon</w:t>
      </w:r>
      <w:proofErr w:type="spellEnd"/>
      <w:r w:rsidRPr="00967A94">
        <w:rPr>
          <w:i/>
        </w:rPr>
        <w:t xml:space="preserve"> </w:t>
      </w:r>
      <w:proofErr w:type="spellStart"/>
      <w:r w:rsidRPr="00967A94">
        <w:rPr>
          <w:i/>
        </w:rPr>
        <w:t>Leakage</w:t>
      </w:r>
      <w:proofErr w:type="spellEnd"/>
      <w:r w:rsidRPr="00967A94">
        <w:rPr>
          <w:i/>
        </w:rPr>
        <w:t xml:space="preserve"> </w:t>
      </w:r>
      <w:proofErr w:type="spellStart"/>
      <w:r w:rsidRPr="00967A94">
        <w:rPr>
          <w:i/>
        </w:rPr>
        <w:t>and</w:t>
      </w:r>
      <w:proofErr w:type="spellEnd"/>
      <w:r w:rsidRPr="00967A94">
        <w:rPr>
          <w:i/>
        </w:rPr>
        <w:t xml:space="preserve"> </w:t>
      </w:r>
      <w:proofErr w:type="spellStart"/>
      <w:r w:rsidRPr="00967A94">
        <w:rPr>
          <w:i/>
        </w:rPr>
        <w:t>Competitiveness</w:t>
      </w:r>
      <w:proofErr w:type="spellEnd"/>
      <w:r w:rsidRPr="00967A94">
        <w:rPr>
          <w:i/>
        </w:rPr>
        <w:t xml:space="preserve"> </w:t>
      </w:r>
      <w:proofErr w:type="spellStart"/>
      <w:r w:rsidRPr="00967A94">
        <w:rPr>
          <w:i/>
        </w:rPr>
        <w:t>Assessment</w:t>
      </w:r>
      <w:proofErr w:type="spellEnd"/>
      <w:r w:rsidRPr="00967A94">
        <w:rPr>
          <w:i/>
        </w:rPr>
        <w:t>)</w:t>
      </w:r>
      <w:r w:rsidRPr="00967A94">
        <w:t>, “</w:t>
      </w:r>
      <w:proofErr w:type="spellStart"/>
      <w:r w:rsidRPr="00967A94">
        <w:t>Ecorys</w:t>
      </w:r>
      <w:proofErr w:type="spellEnd"/>
      <w:r w:rsidRPr="00967A94">
        <w:t xml:space="preserve">”, </w:t>
      </w:r>
      <w:r w:rsidRPr="003752EA">
        <w:t>2014</w:t>
      </w:r>
      <w:r w:rsidRPr="00967A94">
        <w:t>. gads</w:t>
      </w:r>
      <w:r w:rsidRPr="00967A94">
        <w:tab/>
        <w:t>(</w:t>
      </w:r>
      <w:hyperlink r:id="rId3">
        <w:r w:rsidRPr="00967A94">
          <w:rPr>
            <w:rStyle w:val="Hyperlink"/>
          </w:rPr>
          <w:t>http://ec.europa.eu/clima/policies/ets/cap/leakage/docs/cl_evidence_factsheets_en.pdf</w:t>
        </w:r>
      </w:hyperlink>
      <w:r w:rsidRPr="00967A94">
        <w:t>).</w:t>
      </w:r>
    </w:p>
  </w:footnote>
  <w:footnote w:id="10">
    <w:p w:rsidR="002C09B1" w:rsidRPr="00967A94" w:rsidRDefault="002C09B1" w:rsidP="00285123">
      <w:pPr>
        <w:pStyle w:val="FootnoteText"/>
      </w:pPr>
      <w:r w:rsidRPr="00967A94">
        <w:rPr>
          <w:rStyle w:val="FootnoteReference"/>
        </w:rPr>
        <w:footnoteRef/>
      </w:r>
      <w:r w:rsidRPr="00967A94">
        <w:tab/>
        <w:t>SWD(</w:t>
      </w:r>
      <w:r w:rsidRPr="003752EA">
        <w:t>2014</w:t>
      </w:r>
      <w:r w:rsidRPr="00967A94">
        <w:t xml:space="preserve">) </w:t>
      </w:r>
      <w:r w:rsidRPr="003752EA">
        <w:t>15</w:t>
      </w:r>
      <w:r w:rsidRPr="00967A94">
        <w:t xml:space="preserve"> galīgā redakcija.</w:t>
      </w:r>
    </w:p>
  </w:footnote>
  <w:footnote w:id="11">
    <w:p w:rsidR="002C09B1" w:rsidRPr="00967A94" w:rsidRDefault="002C09B1" w:rsidP="00285123">
      <w:pPr>
        <w:pStyle w:val="FootnoteText"/>
      </w:pPr>
      <w:r w:rsidRPr="00967A94">
        <w:rPr>
          <w:rStyle w:val="FootnoteReference"/>
        </w:rPr>
        <w:footnoteRef/>
      </w:r>
      <w:r w:rsidRPr="00967A94">
        <w:tab/>
        <w:t>OV C </w:t>
      </w:r>
      <w:r w:rsidRPr="003752EA">
        <w:t>326</w:t>
      </w:r>
      <w:r w:rsidRPr="00967A94">
        <w:t xml:space="preserve">, </w:t>
      </w:r>
      <w:r w:rsidRPr="003752EA">
        <w:t>26</w:t>
      </w:r>
      <w:r w:rsidRPr="00967A94">
        <w:t>.</w:t>
      </w:r>
      <w:r w:rsidRPr="003752EA">
        <w:t>10</w:t>
      </w:r>
      <w:r w:rsidRPr="00967A94">
        <w:t>.</w:t>
      </w:r>
      <w:r w:rsidRPr="003752EA">
        <w:t>2012</w:t>
      </w:r>
      <w:r w:rsidRPr="00967A94">
        <w:t xml:space="preserve">., </w:t>
      </w:r>
      <w:r w:rsidRPr="003752EA">
        <w:t>391</w:t>
      </w:r>
      <w:r w:rsidRPr="00967A94">
        <w:t>. </w:t>
      </w:r>
      <w:proofErr w:type="spellStart"/>
      <w:r w:rsidRPr="00967A94">
        <w:t>lpp</w:t>
      </w:r>
      <w:proofErr w:type="spellEnd"/>
      <w:r w:rsidRPr="00967A94">
        <w:t>.</w:t>
      </w:r>
    </w:p>
  </w:footnote>
  <w:footnote w:id="12">
    <w:p w:rsidR="002C09B1" w:rsidRPr="00967A94" w:rsidRDefault="002C09B1">
      <w:pPr>
        <w:pStyle w:val="FootnoteText"/>
      </w:pPr>
      <w:r w:rsidRPr="00967A94">
        <w:rPr>
          <w:rStyle w:val="FootnoteReference"/>
        </w:rPr>
        <w:footnoteRef/>
      </w:r>
      <w:r w:rsidRPr="00967A94">
        <w:tab/>
        <w:t>OV C , ,</w:t>
      </w:r>
      <w:r>
        <w:t xml:space="preserve"> </w:t>
      </w:r>
      <w:r w:rsidRPr="002C09B1">
        <w:t>. </w:t>
      </w:r>
      <w:proofErr w:type="spellStart"/>
      <w:r w:rsidRPr="002C09B1">
        <w:t>lpp</w:t>
      </w:r>
      <w:proofErr w:type="spellEnd"/>
      <w:r w:rsidRPr="002C09B1">
        <w:t>.</w:t>
      </w:r>
      <w:r w:rsidRPr="00967A94">
        <w:t>.</w:t>
      </w:r>
    </w:p>
  </w:footnote>
  <w:footnote w:id="13">
    <w:p w:rsidR="002C09B1" w:rsidRPr="00967A94" w:rsidRDefault="002C09B1" w:rsidP="00B7757C">
      <w:pPr>
        <w:pStyle w:val="FootnoteText"/>
      </w:pPr>
      <w:r w:rsidRPr="00967A94">
        <w:rPr>
          <w:rStyle w:val="FootnoteReference"/>
        </w:rPr>
        <w:footnoteRef/>
      </w:r>
      <w:r w:rsidRPr="00967A94">
        <w:tab/>
        <w:t>OV C , ,</w:t>
      </w:r>
      <w:r>
        <w:t xml:space="preserve"> </w:t>
      </w:r>
      <w:r w:rsidRPr="002C09B1">
        <w:t>. </w:t>
      </w:r>
      <w:proofErr w:type="spellStart"/>
      <w:r w:rsidRPr="002C09B1">
        <w:t>lpp</w:t>
      </w:r>
      <w:proofErr w:type="spellEnd"/>
      <w:r w:rsidRPr="002C09B1">
        <w:t>.</w:t>
      </w:r>
      <w:r w:rsidRPr="00967A94">
        <w:t>.</w:t>
      </w:r>
    </w:p>
  </w:footnote>
  <w:footnote w:id="14">
    <w:p w:rsidR="002C09B1" w:rsidRPr="00967A94" w:rsidRDefault="002C09B1" w:rsidP="00B7757C">
      <w:pPr>
        <w:pStyle w:val="FootnoteText"/>
      </w:pPr>
      <w:r w:rsidRPr="00967A94">
        <w:rPr>
          <w:rStyle w:val="FootnoteReference"/>
        </w:rPr>
        <w:footnoteRef/>
      </w:r>
      <w:r w:rsidRPr="00967A94">
        <w:tab/>
        <w:t>OV C , ,</w:t>
      </w:r>
      <w:r>
        <w:t xml:space="preserve"> </w:t>
      </w:r>
      <w:r w:rsidRPr="002C09B1">
        <w:t>. </w:t>
      </w:r>
      <w:proofErr w:type="spellStart"/>
      <w:r w:rsidRPr="002C09B1">
        <w:t>lpp</w:t>
      </w:r>
      <w:proofErr w:type="spellEnd"/>
      <w:r w:rsidRPr="002C09B1">
        <w:t>.</w:t>
      </w:r>
      <w:r w:rsidRPr="00967A94">
        <w:t>.</w:t>
      </w:r>
    </w:p>
  </w:footnote>
  <w:footnote w:id="15">
    <w:p w:rsidR="002C09B1" w:rsidRPr="00967A94" w:rsidRDefault="002C09B1" w:rsidP="00D104F1">
      <w:pPr>
        <w:pStyle w:val="FootnoteText"/>
      </w:pPr>
      <w:r w:rsidRPr="00967A94">
        <w:rPr>
          <w:rStyle w:val="FootnoteReference"/>
        </w:rPr>
        <w:footnoteRef/>
      </w:r>
      <w:r w:rsidRPr="00967A94">
        <w:tab/>
        <w:t xml:space="preserve">Eiropas Parlamenta un Padomes </w:t>
      </w:r>
      <w:r w:rsidRPr="003752EA">
        <w:t>2003</w:t>
      </w:r>
      <w:r w:rsidRPr="00967A94">
        <w:t xml:space="preserve">. gada </w:t>
      </w:r>
      <w:r w:rsidRPr="003752EA">
        <w:t>13</w:t>
      </w:r>
      <w:r w:rsidRPr="00967A94">
        <w:t xml:space="preserve">. oktobra Direktīva </w:t>
      </w:r>
      <w:r w:rsidRPr="003752EA">
        <w:t>2003</w:t>
      </w:r>
      <w:r w:rsidRPr="00967A94">
        <w:t>/</w:t>
      </w:r>
      <w:r w:rsidRPr="003752EA">
        <w:t>87</w:t>
      </w:r>
      <w:r w:rsidRPr="00967A94">
        <w:t xml:space="preserve">/EK, ar kuru nosaka sistēmu siltumnīcas efektu izraisošo gāzu emisijas kvotu tirdzniecībai Kopienā un groza Padomes Direktīvu </w:t>
      </w:r>
      <w:r w:rsidRPr="003752EA">
        <w:t>96</w:t>
      </w:r>
      <w:r w:rsidRPr="00967A94">
        <w:t>/</w:t>
      </w:r>
      <w:r w:rsidRPr="003752EA">
        <w:t>61</w:t>
      </w:r>
      <w:r w:rsidRPr="00967A94">
        <w:t xml:space="preserve">/EK (OV L </w:t>
      </w:r>
      <w:r w:rsidRPr="003752EA">
        <w:t>275</w:t>
      </w:r>
      <w:r w:rsidRPr="00967A94">
        <w:t xml:space="preserve">, </w:t>
      </w:r>
      <w:r w:rsidRPr="003752EA">
        <w:t>25</w:t>
      </w:r>
      <w:r w:rsidRPr="00967A94">
        <w:t>.</w:t>
      </w:r>
      <w:r w:rsidRPr="003752EA">
        <w:t>10</w:t>
      </w:r>
      <w:r w:rsidRPr="00967A94">
        <w:t>.</w:t>
      </w:r>
      <w:r w:rsidRPr="003752EA">
        <w:t>2003</w:t>
      </w:r>
      <w:r w:rsidRPr="00967A94">
        <w:t xml:space="preserve">., </w:t>
      </w:r>
      <w:r w:rsidRPr="003752EA">
        <w:t>32</w:t>
      </w:r>
      <w:r w:rsidRPr="00967A94">
        <w:t xml:space="preserve">. </w:t>
      </w:r>
      <w:proofErr w:type="spellStart"/>
      <w:r w:rsidRPr="00967A94">
        <w:t>lpp</w:t>
      </w:r>
      <w:proofErr w:type="spellEnd"/>
      <w:r w:rsidRPr="00967A94">
        <w:t>.).</w:t>
      </w:r>
    </w:p>
  </w:footnote>
  <w:footnote w:id="16">
    <w:p w:rsidR="002C09B1" w:rsidRPr="00967A94" w:rsidRDefault="002C09B1" w:rsidP="00D104F1">
      <w:pPr>
        <w:pStyle w:val="FootnoteText"/>
      </w:pPr>
      <w:r w:rsidRPr="00967A94">
        <w:rPr>
          <w:rStyle w:val="FootnoteReference"/>
        </w:rPr>
        <w:footnoteRef/>
      </w:r>
      <w:r w:rsidRPr="00967A94">
        <w:tab/>
        <w:t>http://www</w:t>
      </w:r>
      <w:r w:rsidRPr="003752EA">
        <w:t>4</w:t>
      </w:r>
      <w:r w:rsidRPr="00967A94">
        <w:t>.unfccc.int/submissions/indc/Submission%</w:t>
      </w:r>
      <w:r w:rsidRPr="003752EA">
        <w:t>20</w:t>
      </w:r>
      <w:r w:rsidRPr="00967A94">
        <w:t xml:space="preserve">Pages/submissions.aspx. </w:t>
      </w:r>
    </w:p>
  </w:footnote>
  <w:footnote w:id="17">
    <w:p w:rsidR="002C09B1" w:rsidRPr="00967A94" w:rsidRDefault="002C09B1" w:rsidP="00D104F1">
      <w:pPr>
        <w:pStyle w:val="FootnoteText"/>
      </w:pPr>
      <w:r w:rsidRPr="00967A94">
        <w:rPr>
          <w:rStyle w:val="FootnoteReference"/>
        </w:rPr>
        <w:footnoteRef/>
      </w:r>
      <w:r w:rsidRPr="00967A94">
        <w:tab/>
        <w:t>COM(</w:t>
      </w:r>
      <w:r w:rsidRPr="003752EA">
        <w:t>2015</w:t>
      </w:r>
      <w:r w:rsidRPr="00967A94">
        <w:t>)</w:t>
      </w:r>
      <w:r w:rsidRPr="003752EA">
        <w:t>80</w:t>
      </w:r>
      <w:r w:rsidRPr="00967A94">
        <w:t xml:space="preserve">, </w:t>
      </w:r>
      <w:proofErr w:type="spellStart"/>
      <w:r w:rsidRPr="00967A94">
        <w:t>Pamatstratēģija</w:t>
      </w:r>
      <w:proofErr w:type="spellEnd"/>
      <w:r w:rsidRPr="00967A94">
        <w:t xml:space="preserve"> spēcīgai Enerģētikas savienībai ar tālredzīgu klimata pārmaiņu politiku.</w:t>
      </w:r>
    </w:p>
  </w:footnote>
  <w:footnote w:id="18">
    <w:p w:rsidR="002C09B1" w:rsidRPr="00967A94" w:rsidRDefault="002C09B1" w:rsidP="00D104F1">
      <w:pPr>
        <w:pStyle w:val="FootnoteText"/>
      </w:pPr>
      <w:r w:rsidRPr="00967A94">
        <w:rPr>
          <w:rStyle w:val="FootnoteReference"/>
        </w:rPr>
        <w:footnoteRef/>
      </w:r>
      <w:r w:rsidRPr="00967A94">
        <w:tab/>
        <w:t>SEC(</w:t>
      </w:r>
      <w:r w:rsidRPr="003752EA">
        <w:t>2015</w:t>
      </w:r>
      <w:r w:rsidRPr="00967A94">
        <w:t>)XX.</w:t>
      </w:r>
    </w:p>
  </w:footnote>
  <w:footnote w:id="19">
    <w:p w:rsidR="002C09B1" w:rsidRPr="00967A94" w:rsidRDefault="002C09B1">
      <w:pPr>
        <w:pStyle w:val="FootnoteText"/>
        <w:rPr>
          <w:rStyle w:val="FootnoteReference"/>
        </w:rPr>
      </w:pPr>
      <w:r w:rsidRPr="00967A94">
        <w:rPr>
          <w:rStyle w:val="FootnoteReference"/>
        </w:rPr>
        <w:footnoteRef/>
      </w:r>
      <w:r w:rsidRPr="00967A94">
        <w:tab/>
        <w:t xml:space="preserve">Eiropas Parlamenta un Padomes Lēmums (ES) </w:t>
      </w:r>
      <w:r w:rsidRPr="003752EA">
        <w:t>2015</w:t>
      </w:r>
      <w:r w:rsidRPr="00967A94">
        <w:t xml:space="preserve">/… par Savienības siltumnīcefekta gāzu emisijas kvotu tirdzniecības sistēmas tirgus stabilitātes rezerves izveidi un darbību un ar ko groza Direktīvu </w:t>
      </w:r>
      <w:r w:rsidRPr="003752EA">
        <w:t>2003</w:t>
      </w:r>
      <w:r w:rsidRPr="00967A94">
        <w:t>/</w:t>
      </w:r>
      <w:r w:rsidRPr="003752EA">
        <w:t>87</w:t>
      </w:r>
      <w:r w:rsidRPr="00967A94">
        <w:t>/EK</w:t>
      </w:r>
      <w:r>
        <w:t xml:space="preserve"> </w:t>
      </w:r>
      <w:r w:rsidRPr="00967A94">
        <w:t xml:space="preserve">(OV L […], […]., […]. </w:t>
      </w:r>
      <w:proofErr w:type="spellStart"/>
      <w:r w:rsidRPr="00967A94">
        <w:t>lpp</w:t>
      </w:r>
      <w:proofErr w:type="spellEnd"/>
      <w:r w:rsidRPr="00967A94">
        <w:t>.).</w:t>
      </w:r>
    </w:p>
  </w:footnote>
  <w:footnote w:id="20">
    <w:p w:rsidR="002C09B1" w:rsidRPr="00967A94" w:rsidRDefault="002C09B1" w:rsidP="00B346D9">
      <w:pPr>
        <w:pStyle w:val="FootnoteText"/>
      </w:pPr>
      <w:r w:rsidRPr="00967A94">
        <w:rPr>
          <w:rStyle w:val="FootnoteReference"/>
        </w:rPr>
        <w:footnoteRef/>
      </w:r>
      <w:r w:rsidRPr="00967A94">
        <w:tab/>
        <w:t xml:space="preserve">Eiropas Parlamenta un Padomes </w:t>
      </w:r>
      <w:r w:rsidRPr="003752EA">
        <w:t>2011</w:t>
      </w:r>
      <w:r w:rsidRPr="00967A94">
        <w:t xml:space="preserve">. gada </w:t>
      </w:r>
      <w:r w:rsidRPr="003752EA">
        <w:t>16</w:t>
      </w:r>
      <w:r w:rsidRPr="00967A94">
        <w:t xml:space="preserve">. februāra Regula (ES) </w:t>
      </w:r>
      <w:proofErr w:type="spellStart"/>
      <w:r w:rsidRPr="00967A94">
        <w:t>Nr</w:t>
      </w:r>
      <w:proofErr w:type="spellEnd"/>
      <w:r w:rsidRPr="00967A94">
        <w:t xml:space="preserve">. </w:t>
      </w:r>
      <w:r w:rsidRPr="003752EA">
        <w:t>182</w:t>
      </w:r>
      <w:r w:rsidRPr="00967A94">
        <w:t>/</w:t>
      </w:r>
      <w:r w:rsidRPr="003752EA">
        <w:t>2011</w:t>
      </w:r>
      <w:r w:rsidRPr="00967A94">
        <w:t xml:space="preserve">, ar ko nosaka normas un vispārīgus principus par dalībvalstu kontroles mehānismiem, kuri attiecas uz Komisijas īstenošanas pilnvaru izmantošanu, OV L </w:t>
      </w:r>
      <w:r w:rsidRPr="003752EA">
        <w:t>55</w:t>
      </w:r>
      <w:r w:rsidRPr="00967A94">
        <w:t xml:space="preserve">, </w:t>
      </w:r>
      <w:r w:rsidRPr="003752EA">
        <w:t>28</w:t>
      </w:r>
      <w:r w:rsidRPr="00967A94">
        <w:t>.</w:t>
      </w:r>
      <w:r w:rsidRPr="003752EA">
        <w:t>2</w:t>
      </w:r>
      <w:r w:rsidRPr="00967A94">
        <w:t>.</w:t>
      </w:r>
      <w:r w:rsidRPr="003752EA">
        <w:t>2011</w:t>
      </w:r>
      <w:r w:rsidRPr="00967A94">
        <w:t xml:space="preserve">., </w:t>
      </w:r>
      <w:r w:rsidRPr="003752EA">
        <w:t>13</w:t>
      </w:r>
      <w:r w:rsidRPr="00967A94">
        <w:t>. </w:t>
      </w:r>
      <w:proofErr w:type="spellStart"/>
      <w:r w:rsidRPr="00967A94">
        <w:t>lpp</w:t>
      </w:r>
      <w:proofErr w:type="spellEnd"/>
      <w:r w:rsidRPr="00967A94">
        <w:t>.</w:t>
      </w:r>
    </w:p>
  </w:footnote>
  <w:footnote w:id="21">
    <w:p w:rsidR="002C09B1" w:rsidRPr="00967A94" w:rsidRDefault="002C09B1" w:rsidP="00200B1F">
      <w:pPr>
        <w:pStyle w:val="FootnoteText"/>
      </w:pPr>
      <w:r w:rsidRPr="00967A94">
        <w:rPr>
          <w:rStyle w:val="FootnoteReference"/>
        </w:rPr>
        <w:footnoteRef/>
      </w:r>
      <w:r w:rsidRPr="00967A94">
        <w:tab/>
        <w:t xml:space="preserve">OV C </w:t>
      </w:r>
      <w:r w:rsidRPr="003752EA">
        <w:t>369</w:t>
      </w:r>
      <w:r w:rsidRPr="00967A94">
        <w:t xml:space="preserve">, </w:t>
      </w:r>
      <w:r w:rsidRPr="003752EA">
        <w:t>17</w:t>
      </w:r>
      <w:r w:rsidRPr="00967A94">
        <w:t>.</w:t>
      </w:r>
      <w:r w:rsidRPr="003752EA">
        <w:t>12</w:t>
      </w:r>
      <w:r w:rsidRPr="00967A94">
        <w:t>.</w:t>
      </w:r>
      <w:r w:rsidRPr="003752EA">
        <w:t>2011</w:t>
      </w:r>
      <w:r w:rsidRPr="00967A94">
        <w:t xml:space="preserve">., </w:t>
      </w:r>
      <w:r w:rsidRPr="003752EA">
        <w:t>14</w:t>
      </w:r>
      <w:r w:rsidRPr="00967A94">
        <w:t xml:space="preserve">. </w:t>
      </w:r>
      <w:proofErr w:type="spellStart"/>
      <w:r w:rsidRPr="00967A94">
        <w:t>lpp</w:t>
      </w:r>
      <w:proofErr w:type="spellEnd"/>
      <w:r w:rsidRPr="00967A94">
        <w:t>.</w:t>
      </w:r>
    </w:p>
  </w:footnote>
  <w:footnote w:id="22">
    <w:p w:rsidR="002C09B1" w:rsidRPr="00967A94" w:rsidRDefault="002C09B1" w:rsidP="004315C6">
      <w:pPr>
        <w:pStyle w:val="FootnoteText"/>
        <w:rPr>
          <w:szCs w:val="24"/>
        </w:rPr>
      </w:pPr>
      <w:r w:rsidRPr="00967A94">
        <w:rPr>
          <w:rStyle w:val="FootnoteReference"/>
        </w:rPr>
        <w:footnoteRef/>
      </w:r>
      <w:r w:rsidRPr="00967A94">
        <w:tab/>
        <w:t>ABM – budžeta līdzekļu vadība pa darbības jomām, ABB – budžeta līdzekļu sadale pa darbības jomām.</w:t>
      </w:r>
    </w:p>
  </w:footnote>
  <w:footnote w:id="23">
    <w:p w:rsidR="002C09B1" w:rsidRPr="00967A94" w:rsidRDefault="002C09B1" w:rsidP="004315C6">
      <w:pPr>
        <w:pStyle w:val="FootnoteText"/>
        <w:rPr>
          <w:szCs w:val="24"/>
        </w:rPr>
      </w:pPr>
      <w:r w:rsidRPr="00967A94">
        <w:rPr>
          <w:rStyle w:val="FootnoteReference"/>
        </w:rPr>
        <w:footnoteRef/>
      </w:r>
      <w:r w:rsidRPr="00967A94">
        <w:tab/>
        <w:t xml:space="preserve">Kā paredzēts Finanšu regulas </w:t>
      </w:r>
      <w:r w:rsidRPr="003752EA">
        <w:t>54</w:t>
      </w:r>
      <w:r w:rsidRPr="00967A94">
        <w:t xml:space="preserve">. panta </w:t>
      </w:r>
      <w:r w:rsidRPr="003752EA">
        <w:t>2</w:t>
      </w:r>
      <w:r w:rsidRPr="00967A94">
        <w:t>. punkta attiecīgi a) un b) apakšpunktā.</w:t>
      </w:r>
    </w:p>
  </w:footnote>
  <w:footnote w:id="24">
    <w:p w:rsidR="002C09B1" w:rsidRPr="00967A94" w:rsidRDefault="002C09B1" w:rsidP="004315C6">
      <w:pPr>
        <w:pStyle w:val="FootnoteText"/>
        <w:rPr>
          <w:szCs w:val="24"/>
        </w:rPr>
      </w:pPr>
      <w:r w:rsidRPr="00967A94">
        <w:rPr>
          <w:rStyle w:val="FootnoteReference"/>
        </w:rPr>
        <w:footnoteRef/>
      </w:r>
      <w:r w:rsidRPr="00967A94">
        <w:tab/>
        <w:t xml:space="preserve">Skaidrojumus par pārvaldības veidiem un atsauces uz Finanšu regulu skatīt </w:t>
      </w:r>
      <w:proofErr w:type="spellStart"/>
      <w:r w:rsidRPr="00967A94">
        <w:t>BudgWeb</w:t>
      </w:r>
      <w:proofErr w:type="spellEnd"/>
      <w:r w:rsidRPr="00967A94">
        <w:t xml:space="preserve"> tīmekļa vietnē: </w:t>
      </w:r>
      <w:hyperlink r:id="rId4">
        <w:r w:rsidRPr="00967A94">
          <w:rPr>
            <w:rStyle w:val="Hyperlink"/>
            <w:sz w:val="18"/>
          </w:rPr>
          <w:t>http://www.cc.cec/budg/man/budgmanag/budgmanag_en.html</w:t>
        </w:r>
      </w:hyperlink>
    </w:p>
  </w:footnote>
  <w:footnote w:id="25">
    <w:p w:rsidR="002C09B1" w:rsidRPr="00967A94" w:rsidRDefault="002C09B1" w:rsidP="004315C6">
      <w:pPr>
        <w:pStyle w:val="FootnoteText"/>
        <w:rPr>
          <w:szCs w:val="24"/>
        </w:rPr>
      </w:pPr>
      <w:r w:rsidRPr="00967A94">
        <w:rPr>
          <w:rStyle w:val="FootnoteReference"/>
        </w:rPr>
        <w:footnoteRef/>
      </w:r>
      <w:r w:rsidRPr="00967A94">
        <w:tab/>
      </w:r>
      <w:proofErr w:type="spellStart"/>
      <w:r w:rsidRPr="00967A94">
        <w:t>Dif</w:t>
      </w:r>
      <w:proofErr w:type="spellEnd"/>
      <w:r w:rsidRPr="00967A94">
        <w:t xml:space="preserve">. = diferencētās apropriācijas/ </w:t>
      </w:r>
      <w:proofErr w:type="spellStart"/>
      <w:r w:rsidRPr="00967A94">
        <w:t>nedif</w:t>
      </w:r>
      <w:proofErr w:type="spellEnd"/>
      <w:r w:rsidRPr="00967A94">
        <w:t>. = nediferencētās apropriācijas.</w:t>
      </w:r>
    </w:p>
  </w:footnote>
  <w:footnote w:id="26">
    <w:p w:rsidR="002C09B1" w:rsidRPr="00967A94" w:rsidRDefault="002C09B1" w:rsidP="004315C6">
      <w:pPr>
        <w:pStyle w:val="FootnoteText"/>
        <w:rPr>
          <w:szCs w:val="24"/>
        </w:rPr>
      </w:pPr>
      <w:r w:rsidRPr="00967A94">
        <w:rPr>
          <w:rStyle w:val="FootnoteReference"/>
        </w:rPr>
        <w:footnoteRef/>
      </w:r>
      <w:r w:rsidRPr="00967A94">
        <w:tab/>
        <w:t xml:space="preserve">EBTA: Eiropas Brīvās tirdzniecības asociācija </w:t>
      </w:r>
    </w:p>
  </w:footnote>
  <w:footnote w:id="27">
    <w:p w:rsidR="002C09B1" w:rsidRPr="00967A94" w:rsidRDefault="002C09B1" w:rsidP="004315C6">
      <w:pPr>
        <w:pStyle w:val="FootnoteText"/>
        <w:rPr>
          <w:szCs w:val="24"/>
        </w:rPr>
      </w:pPr>
      <w:r w:rsidRPr="00967A94">
        <w:rPr>
          <w:rStyle w:val="FootnoteReference"/>
        </w:rPr>
        <w:footnoteRef/>
      </w:r>
      <w:r w:rsidRPr="00967A94">
        <w:tab/>
        <w:t xml:space="preserve">Kandidātvalstis un attiecīgā gadījumā potenciālās kandidātvalstis no </w:t>
      </w:r>
      <w:proofErr w:type="spellStart"/>
      <w:r w:rsidRPr="00967A94">
        <w:t>Rietumbalkāniem</w:t>
      </w:r>
      <w:proofErr w:type="spellEnd"/>
      <w:r w:rsidRPr="00967A94">
        <w:t>.</w:t>
      </w:r>
    </w:p>
  </w:footnote>
  <w:footnote w:id="28">
    <w:p w:rsidR="002C09B1" w:rsidRPr="00967A94" w:rsidRDefault="002C09B1" w:rsidP="004315C6">
      <w:pPr>
        <w:pStyle w:val="FootnoteText"/>
        <w:rPr>
          <w:szCs w:val="24"/>
        </w:rPr>
      </w:pPr>
      <w:r w:rsidRPr="00967A94">
        <w:rPr>
          <w:rStyle w:val="FootnoteReference"/>
        </w:rPr>
        <w:footnoteRef/>
      </w:r>
      <w:r w:rsidRPr="00967A94">
        <w:tab/>
        <w:t>N gads ir gads, kurā priekšlikumu/iniciatīvu sāk īstenot.</w:t>
      </w:r>
    </w:p>
  </w:footnote>
  <w:footnote w:id="29">
    <w:p w:rsidR="002C09B1" w:rsidRPr="00967A94" w:rsidRDefault="002C09B1" w:rsidP="004315C6">
      <w:pPr>
        <w:pStyle w:val="FootnoteText"/>
        <w:rPr>
          <w:szCs w:val="24"/>
        </w:rPr>
      </w:pPr>
      <w:r w:rsidRPr="00967A94">
        <w:rPr>
          <w:rStyle w:val="FootnoteReference"/>
        </w:rPr>
        <w:footnoteRef/>
      </w:r>
      <w:r w:rsidRPr="00967A94">
        <w:tab/>
        <w:t>N gads ir gads, kurā priekšlikumu/iniciatīvu sāk īstenot.</w:t>
      </w:r>
    </w:p>
  </w:footnote>
  <w:footnote w:id="30">
    <w:p w:rsidR="002C09B1" w:rsidRPr="00967A94" w:rsidRDefault="002C09B1" w:rsidP="004315C6">
      <w:pPr>
        <w:pStyle w:val="FootnoteText"/>
        <w:rPr>
          <w:szCs w:val="24"/>
        </w:rPr>
      </w:pPr>
      <w:r w:rsidRPr="00967A94">
        <w:rPr>
          <w:rStyle w:val="FootnoteReference"/>
        </w:rPr>
        <w:footnoteRef/>
      </w:r>
      <w:r w:rsidRPr="00967A94">
        <w:tab/>
        <w:t>N gads ir gads, kurā priekšlikumu/iniciatīvu sāk īstenot.</w:t>
      </w:r>
    </w:p>
  </w:footnote>
  <w:footnote w:id="31">
    <w:p w:rsidR="002C09B1" w:rsidRPr="00967A94" w:rsidRDefault="002C09B1" w:rsidP="004315C6">
      <w:pPr>
        <w:pStyle w:val="FootnoteText"/>
      </w:pPr>
      <w:r w:rsidRPr="00967A94">
        <w:rPr>
          <w:rStyle w:val="FootnoteReference"/>
        </w:rPr>
        <w:footnoteRef/>
      </w:r>
      <w:r w:rsidRPr="00967A94">
        <w:tab/>
        <w:t xml:space="preserve">Regula (ES) </w:t>
      </w:r>
      <w:proofErr w:type="spellStart"/>
      <w:r w:rsidRPr="00967A94">
        <w:t>Nr</w:t>
      </w:r>
      <w:proofErr w:type="spellEnd"/>
      <w:r w:rsidRPr="00967A94">
        <w:t xml:space="preserve">. </w:t>
      </w:r>
      <w:r w:rsidRPr="003752EA">
        <w:t>1293</w:t>
      </w:r>
      <w:r w:rsidRPr="00967A94">
        <w:t>/</w:t>
      </w:r>
      <w:r w:rsidRPr="003752EA">
        <w:t>2013</w:t>
      </w:r>
      <w:r w:rsidRPr="00967A94">
        <w:t xml:space="preserve"> par programmu LIFE </w:t>
      </w:r>
      <w:r w:rsidRPr="003752EA">
        <w:t>2014</w:t>
      </w:r>
      <w:r w:rsidRPr="00967A94">
        <w:t>.-</w:t>
      </w:r>
      <w:r w:rsidRPr="003752EA">
        <w:t>2020</w:t>
      </w:r>
      <w:r w:rsidRPr="00967A94">
        <w:t xml:space="preserve">. gadam, </w:t>
      </w:r>
      <w:r w:rsidRPr="003752EA">
        <w:t>22</w:t>
      </w:r>
      <w:r w:rsidRPr="00967A94">
        <w:t xml:space="preserve">. pants, OV L </w:t>
      </w:r>
      <w:r w:rsidRPr="003752EA">
        <w:t>347</w:t>
      </w:r>
      <w:r w:rsidRPr="00967A94">
        <w:t>/</w:t>
      </w:r>
      <w:r w:rsidRPr="003752EA">
        <w:t>185</w:t>
      </w:r>
      <w:r w:rsidRPr="00967A94">
        <w:t xml:space="preserve">, </w:t>
      </w:r>
      <w:r w:rsidRPr="003752EA">
        <w:t>2013</w:t>
      </w:r>
      <w:r w:rsidRPr="00967A94">
        <w:t xml:space="preserve">. gada </w:t>
      </w:r>
      <w:r w:rsidRPr="003752EA">
        <w:t>20</w:t>
      </w:r>
      <w:r w:rsidRPr="00967A94">
        <w:t>. decembris.</w:t>
      </w:r>
    </w:p>
  </w:footnote>
  <w:footnote w:id="32">
    <w:p w:rsidR="002C09B1" w:rsidRPr="00967A94" w:rsidRDefault="002C09B1" w:rsidP="004315C6">
      <w:pPr>
        <w:pStyle w:val="FootnoteText"/>
        <w:rPr>
          <w:szCs w:val="24"/>
        </w:rPr>
      </w:pPr>
      <w:r w:rsidRPr="00967A94">
        <w:rPr>
          <w:rStyle w:val="FootnoteReference"/>
        </w:rPr>
        <w:footnoteRef/>
      </w:r>
      <w:r w:rsidRPr="00967A94">
        <w:tab/>
        <w:t xml:space="preserve">Rezultāti ir attiecīgie produkti vai pakalpojumi (piemēram, finansēto studentu apmaiņu skaits, uzbūvēto ceļu garums kilometros </w:t>
      </w:r>
      <w:proofErr w:type="spellStart"/>
      <w:r w:rsidRPr="00967A94">
        <w:t>utt</w:t>
      </w:r>
      <w:proofErr w:type="spellEnd"/>
      <w:r w:rsidRPr="00967A94">
        <w:t>.).</w:t>
      </w:r>
    </w:p>
  </w:footnote>
  <w:footnote w:id="33">
    <w:p w:rsidR="002C09B1" w:rsidRPr="00967A94" w:rsidRDefault="002C09B1" w:rsidP="004315C6">
      <w:pPr>
        <w:pStyle w:val="FootnoteText"/>
        <w:rPr>
          <w:szCs w:val="24"/>
        </w:rPr>
      </w:pPr>
      <w:r w:rsidRPr="00967A94">
        <w:rPr>
          <w:rStyle w:val="FootnoteReference"/>
        </w:rPr>
        <w:footnoteRef/>
      </w:r>
      <w:r w:rsidRPr="00967A94">
        <w:tab/>
        <w:t xml:space="preserve">Kā aprakstīts </w:t>
      </w:r>
      <w:r w:rsidRPr="003752EA">
        <w:t>1</w:t>
      </w:r>
      <w:r w:rsidRPr="00967A94">
        <w:t>.</w:t>
      </w:r>
      <w:r w:rsidRPr="003752EA">
        <w:t>4</w:t>
      </w:r>
      <w:r w:rsidRPr="00967A94">
        <w:t>.</w:t>
      </w:r>
      <w:r w:rsidRPr="003752EA">
        <w:t>2</w:t>
      </w:r>
      <w:r w:rsidRPr="00967A94">
        <w:t xml:space="preserve">. punktā. " Konkrētie mērķi… " </w:t>
      </w:r>
    </w:p>
  </w:footnote>
  <w:footnote w:id="34">
    <w:p w:rsidR="002C09B1" w:rsidRPr="00967A94" w:rsidRDefault="002C09B1" w:rsidP="004315C6">
      <w:pPr>
        <w:pStyle w:val="FootnoteText"/>
        <w:rPr>
          <w:szCs w:val="24"/>
        </w:rPr>
      </w:pPr>
      <w:r w:rsidRPr="00967A94">
        <w:rPr>
          <w:rStyle w:val="FootnoteReference"/>
        </w:rPr>
        <w:footnoteRef/>
      </w:r>
      <w:r w:rsidRPr="00967A94">
        <w:tab/>
        <w:t>N gads ir gads, kurā priekšlikumu/iniciatīvu sāk īstenot.</w:t>
      </w:r>
    </w:p>
  </w:footnote>
  <w:footnote w:id="35">
    <w:p w:rsidR="002C09B1" w:rsidRPr="00967A94" w:rsidRDefault="002C09B1" w:rsidP="004315C6">
      <w:pPr>
        <w:pStyle w:val="FootnoteText"/>
        <w:rPr>
          <w:szCs w:val="24"/>
        </w:rPr>
      </w:pPr>
      <w:r w:rsidRPr="00967A94">
        <w:rPr>
          <w:rStyle w:val="FootnoteReference"/>
        </w:rPr>
        <w:footnoteRef/>
      </w:r>
      <w:r w:rsidRPr="00967A94">
        <w:tab/>
        <w:t>Tehniskais un/vai administratīvais atbalsts un ES programmu un/vai darbību īstenošanas atbalsta izdevumi (kādreizējās “BA” pozīcijas), netiešā pētniecība, tiešā pētniecība.</w:t>
      </w:r>
    </w:p>
  </w:footnote>
  <w:footnote w:id="36">
    <w:p w:rsidR="002C09B1" w:rsidRPr="00967A94" w:rsidRDefault="002C09B1" w:rsidP="004315C6">
      <w:pPr>
        <w:pStyle w:val="FootnoteText"/>
        <w:rPr>
          <w:szCs w:val="24"/>
        </w:rPr>
      </w:pPr>
      <w:r w:rsidRPr="00967A94">
        <w:rPr>
          <w:rStyle w:val="FootnoteReference"/>
        </w:rPr>
        <w:footnoteRef/>
      </w:r>
      <w:r w:rsidRPr="00967A94">
        <w:tab/>
        <w:t>N gads ir gads, kurā priekšlikumu/iniciatīvu sāk īstenot.</w:t>
      </w:r>
    </w:p>
  </w:footnote>
  <w:footnote w:id="37">
    <w:p w:rsidR="002C09B1" w:rsidRPr="00967A94" w:rsidRDefault="002C09B1" w:rsidP="004315C6">
      <w:pPr>
        <w:pStyle w:val="FootnoteText"/>
        <w:rPr>
          <w:szCs w:val="24"/>
        </w:rPr>
      </w:pPr>
      <w:r w:rsidRPr="00967A94">
        <w:rPr>
          <w:rStyle w:val="FootnoteReference"/>
        </w:rPr>
        <w:footnoteRef/>
      </w:r>
      <w:r w:rsidRPr="00967A94">
        <w:tab/>
        <w:t>Ārštata darbiniekiem paredzēto maksimālo summu finansē no darbības apropriācijām (kādreizējām “BA” pozīcijām).</w:t>
      </w:r>
    </w:p>
  </w:footnote>
  <w:footnote w:id="38">
    <w:p w:rsidR="002C09B1" w:rsidRPr="00967A94" w:rsidRDefault="002C09B1" w:rsidP="004315C6">
      <w:pPr>
        <w:pStyle w:val="FootnoteText"/>
        <w:rPr>
          <w:szCs w:val="24"/>
        </w:rPr>
      </w:pPr>
      <w:r w:rsidRPr="00967A94">
        <w:rPr>
          <w:rStyle w:val="FootnoteReference"/>
        </w:rPr>
        <w:footnoteRef/>
      </w:r>
      <w:r w:rsidRPr="00967A94">
        <w:tab/>
        <w:t xml:space="preserve">Norādītajām tradicionālo pašu resursu (muitas nodokļi, cukura nodevas) summām jābūt neto summām, </w:t>
      </w:r>
      <w:proofErr w:type="spellStart"/>
      <w:r w:rsidRPr="00967A94">
        <w:t>t.i</w:t>
      </w:r>
      <w:proofErr w:type="spellEnd"/>
      <w:r w:rsidRPr="00967A94">
        <w:t xml:space="preserve">., bruto summām, no kurām atskaitītas iekasēšanas izmaksas </w:t>
      </w:r>
      <w:r w:rsidRPr="003752EA">
        <w:t>25</w:t>
      </w:r>
      <w:r w:rsidRPr="00967A94">
        <w:t>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F4" w:rsidRDefault="00201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F4" w:rsidRDefault="00201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F4" w:rsidRDefault="00201E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1" w:rsidRPr="002C09B1" w:rsidRDefault="002C09B1" w:rsidP="00D23D9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9E" w:rsidRPr="00D23D9E" w:rsidRDefault="00D23D9E" w:rsidP="00D23D9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9B1" w:rsidRPr="002C09B1" w:rsidRDefault="002C09B1" w:rsidP="00D23D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9E" w:rsidRPr="00D23D9E" w:rsidRDefault="00D23D9E" w:rsidP="00D23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A6BD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4A0C7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8B8E5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0E2DE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46965D7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DD60221"/>
    <w:multiLevelType w:val="multilevel"/>
    <w:tmpl w:val="37F4F72A"/>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hint="default"/>
        <w:color w:val="0067AC"/>
        <w:sz w:val="18"/>
      </w:rPr>
    </w:lvl>
    <w:lvl w:ilvl="1">
      <w:start w:val="1"/>
      <w:numFmt w:val="bullet"/>
      <w:lvlText w:val="–"/>
      <w:lvlJc w:val="left"/>
      <w:pPr>
        <w:tabs>
          <w:tab w:val="num" w:pos="680"/>
        </w:tabs>
        <w:ind w:left="680" w:hanging="340"/>
      </w:pPr>
      <w:rPr>
        <w:rFonts w:ascii="Arial" w:hAnsi="Arial" w:hint="default"/>
        <w:color w:val="0067AC"/>
      </w:rPr>
    </w:lvl>
    <w:lvl w:ilvl="2">
      <w:start w:val="1"/>
      <w:numFmt w:val="bullet"/>
      <w:pStyle w:val="Bullet30"/>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A611787"/>
    <w:multiLevelType w:val="multilevel"/>
    <w:tmpl w:val="85BCEBDA"/>
    <w:numStyleLink w:val="NumbLstBullet"/>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30E4DAD"/>
    <w:multiLevelType w:val="singleLevel"/>
    <w:tmpl w:val="DC928774"/>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5C26F71"/>
    <w:multiLevelType w:val="multilevel"/>
    <w:tmpl w:val="7766E3BC"/>
    <w:lvl w:ilvl="0">
      <w:start w:val="1"/>
      <w:numFmt w:val="decimal"/>
      <w:lvlRestart w:val="0"/>
      <w:pStyle w:val="Style1"/>
      <w:lvlText w:val="%1."/>
      <w:lvlJc w:val="left"/>
      <w:pPr>
        <w:tabs>
          <w:tab w:val="num" w:pos="850"/>
        </w:tabs>
        <w:ind w:left="850" w:hanging="850"/>
      </w:pPr>
      <w:rPr>
        <w:rFonts w:cs="Times New Roman"/>
      </w:rPr>
    </w:lvl>
    <w:lvl w:ilvl="1">
      <w:start w:val="1"/>
      <w:numFmt w:val="decimal"/>
      <w:pStyle w:val="Style11"/>
      <w:lvlText w:val="%1.%2."/>
      <w:lvlJc w:val="left"/>
      <w:pPr>
        <w:tabs>
          <w:tab w:val="num" w:pos="850"/>
        </w:tabs>
        <w:ind w:left="850" w:hanging="850"/>
      </w:pPr>
      <w:rPr>
        <w:rFonts w:cs="Times New Roman"/>
      </w:rPr>
    </w:lvl>
    <w:lvl w:ilvl="2">
      <w:start w:val="1"/>
      <w:numFmt w:val="decimal"/>
      <w:pStyle w:val="Style111"/>
      <w:lvlText w:val="%1.%2.%3."/>
      <w:lvlJc w:val="left"/>
      <w:pPr>
        <w:tabs>
          <w:tab w:val="num" w:pos="850"/>
        </w:tabs>
        <w:ind w:left="850" w:hanging="850"/>
      </w:pPr>
      <w:rPr>
        <w:rFonts w:cs="Times New Roman"/>
        <w:b/>
      </w:rPr>
    </w:lvl>
    <w:lvl w:ilvl="3">
      <w:start w:val="1"/>
      <w:numFmt w:val="decimal"/>
      <w:pStyle w:val="Style1111"/>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3"/>
  </w:num>
  <w:num w:numId="3">
    <w:abstractNumId w:val="27"/>
  </w:num>
  <w:num w:numId="4">
    <w:abstractNumId w:val="29"/>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
  </w:num>
  <w:num w:numId="8">
    <w:abstractNumId w:val="1"/>
  </w:num>
  <w:num w:numId="9">
    <w:abstractNumId w:val="0"/>
  </w:num>
  <w:num w:numId="10">
    <w:abstractNumId w:val="6"/>
  </w:num>
  <w:num w:numId="11">
    <w:abstractNumId w:val="24"/>
  </w:num>
  <w:num w:numId="12">
    <w:abstractNumId w:val="5"/>
  </w:num>
  <w:num w:numId="13">
    <w:abstractNumId w:val="11"/>
  </w:num>
  <w:num w:numId="14">
    <w:abstractNumId w:val="17"/>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8"/>
  </w:num>
  <w:num w:numId="19">
    <w:abstractNumId w:val="12"/>
  </w:num>
  <w:num w:numId="20">
    <w:abstractNumId w:val="19"/>
  </w:num>
  <w:num w:numId="21">
    <w:abstractNumId w:val="22"/>
  </w:num>
  <w:num w:numId="22">
    <w:abstractNumId w:val="13"/>
  </w:num>
  <w:num w:numId="23">
    <w:abstractNumId w:val="25"/>
  </w:num>
  <w:num w:numId="24">
    <w:abstractNumId w:val="10"/>
  </w:num>
  <w:num w:numId="25">
    <w:abstractNumId w:val="14"/>
  </w:num>
  <w:num w:numId="26">
    <w:abstractNumId w:val="8"/>
  </w:num>
  <w:num w:numId="27">
    <w:abstractNumId w:val="24"/>
  </w:num>
  <w:num w:numId="28">
    <w:abstractNumId w:val="7"/>
  </w:num>
  <w:num w:numId="29">
    <w:abstractNumId w:val="15"/>
  </w:num>
  <w:num w:numId="30">
    <w:abstractNumId w:val="20"/>
  </w:num>
  <w:num w:numId="31">
    <w:abstractNumId w:val="21"/>
  </w:num>
  <w:num w:numId="32">
    <w:abstractNumId w:val="9"/>
  </w:num>
  <w:num w:numId="33">
    <w:abstractNumId w:val="18"/>
  </w:num>
  <w:num w:numId="34">
    <w:abstractNumId w:val="29"/>
  </w:num>
  <w:num w:numId="35">
    <w:abstractNumId w:val="22"/>
  </w:num>
  <w:num w:numId="36">
    <w:abstractNumId w:val="13"/>
  </w:num>
  <w:num w:numId="37">
    <w:abstractNumId w:val="25"/>
  </w:num>
  <w:num w:numId="38">
    <w:abstractNumId w:val="10"/>
  </w:num>
  <w:num w:numId="39">
    <w:abstractNumId w:val="14"/>
  </w:num>
  <w:num w:numId="40">
    <w:abstractNumId w:val="8"/>
  </w:num>
  <w:num w:numId="41">
    <w:abstractNumId w:val="24"/>
  </w:num>
  <w:num w:numId="42">
    <w:abstractNumId w:val="7"/>
  </w:num>
  <w:num w:numId="43">
    <w:abstractNumId w:val="15"/>
  </w:num>
  <w:num w:numId="44">
    <w:abstractNumId w:val="20"/>
  </w:num>
  <w:num w:numId="45">
    <w:abstractNumId w:val="21"/>
  </w:num>
  <w:num w:numId="46">
    <w:abstractNumId w:val="9"/>
  </w:num>
  <w:num w:numId="47">
    <w:abstractNumId w:val="18"/>
  </w:num>
  <w:num w:numId="4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proofState w:spelling="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8-27 13:32: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23"/>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RRIGENDUM" w:val="&lt;UNUSED&gt;"/>
    <w:docVar w:name="LW_COVERPAGE_GUID" w:val="611E4B40FDB646BEA4EE78EC82836363"/>
    <w:docVar w:name="LW_CROSSREFERENCE" w:val="{SWD(2015) 135 final}_x000a_{SWD(2015) 136 final}"/>
    <w:docVar w:name="LW_DocType" w:val="COM"/>
    <w:docVar w:name="LW_EMISSION" w:val="15.7.2015"/>
    <w:docVar w:name="LW_EMISSION_ISODATE" w:val="2015-07-15"/>
    <w:docVar w:name="LW_EMISSION_LOCATION" w:val="BRX"/>
    <w:docVar w:name="LW_EMISSION_PREFIX" w:val="Brisel\u275?, "/>
    <w:docVar w:name="LW_EMISSION_SUFFIX" w:val="."/>
    <w:docVar w:name="LW_ID_DOCMODEL" w:val="SJ-024"/>
    <w:docVar w:name="LW_ID_DOCSIGNATURE" w:val="SJ-024"/>
    <w:docVar w:name="LW_ID_DOCSTRUCTURE" w:val="COM/PL/ORG"/>
    <w:docVar w:name="LW_ID_DOCTYPE" w:val="SJ-024"/>
    <w:docVar w:name="LW_ID_STATUT" w:val="SJ-024"/>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148"/>
    <w:docVar w:name="LW_REF.II.NEW.CP_YEAR" w:val="2015"/>
    <w:docVar w:name="LW_REF.INST.NEW" w:val="COM"/>
    <w:docVar w:name="LW_REF.INST.NEW_ADOPTED" w:val="final"/>
    <w:docVar w:name="LW_REF.INST.NEW_TEXT" w:val="(2015) 337"/>
    <w:docVar w:name="LW_REF.INTERNE" w:val="&lt;UNUSED&gt;"/>
    <w:docVar w:name="LW_SOUS.TITRE.OBJ.CP" w:val="&lt;UNUSED&gt;"/>
    <w:docVar w:name="LW_STATUT.CP" w:val="Priek\u353?likums"/>
    <w:docVar w:name="LW_SUPERTITRE" w:val="&lt;UNUSED&gt;"/>
    <w:docVar w:name="LW_TITRE.OBJ.CP" w:val="ar ko groza Direkt\u299?vu 2003/87/EK, lai sekm\u275?tu emisiju izmaksefekt\u299?vu samazin\u257?\u353?anu un invest\u299?cijas mazoglek\u316?a risin\u257?jumos"/>
    <w:docVar w:name="LW_TYPE.DOC.CP" w:val="EIROPAS PARLAMENTA UN PADOMES DIREKT\u298?VA,"/>
  </w:docVars>
  <w:rsids>
    <w:rsidRoot w:val="00FE3AE7"/>
    <w:rsid w:val="00001701"/>
    <w:rsid w:val="00002A9F"/>
    <w:rsid w:val="00003F1B"/>
    <w:rsid w:val="00005F49"/>
    <w:rsid w:val="0002229B"/>
    <w:rsid w:val="00031431"/>
    <w:rsid w:val="00045B25"/>
    <w:rsid w:val="00051A95"/>
    <w:rsid w:val="00051F34"/>
    <w:rsid w:val="00054BC1"/>
    <w:rsid w:val="00061B64"/>
    <w:rsid w:val="000630BE"/>
    <w:rsid w:val="00081EF3"/>
    <w:rsid w:val="00082555"/>
    <w:rsid w:val="000866A2"/>
    <w:rsid w:val="00091123"/>
    <w:rsid w:val="00094689"/>
    <w:rsid w:val="00095194"/>
    <w:rsid w:val="000A46D9"/>
    <w:rsid w:val="000A7420"/>
    <w:rsid w:val="000C028B"/>
    <w:rsid w:val="000C5263"/>
    <w:rsid w:val="000C5C42"/>
    <w:rsid w:val="000C6C3E"/>
    <w:rsid w:val="000D028B"/>
    <w:rsid w:val="000D096E"/>
    <w:rsid w:val="000D1616"/>
    <w:rsid w:val="000D3B73"/>
    <w:rsid w:val="000E2750"/>
    <w:rsid w:val="000E4028"/>
    <w:rsid w:val="000F4145"/>
    <w:rsid w:val="000F7E54"/>
    <w:rsid w:val="00100177"/>
    <w:rsid w:val="00101CA5"/>
    <w:rsid w:val="00123D28"/>
    <w:rsid w:val="00123FA5"/>
    <w:rsid w:val="00135DF7"/>
    <w:rsid w:val="00147580"/>
    <w:rsid w:val="001620DC"/>
    <w:rsid w:val="001631FB"/>
    <w:rsid w:val="00165B32"/>
    <w:rsid w:val="00166C7D"/>
    <w:rsid w:val="00171635"/>
    <w:rsid w:val="001775B8"/>
    <w:rsid w:val="00180600"/>
    <w:rsid w:val="001913E2"/>
    <w:rsid w:val="001A6A31"/>
    <w:rsid w:val="001B35DA"/>
    <w:rsid w:val="001C0DE6"/>
    <w:rsid w:val="001C329B"/>
    <w:rsid w:val="001C65A8"/>
    <w:rsid w:val="001E432B"/>
    <w:rsid w:val="001E4F02"/>
    <w:rsid w:val="001E514D"/>
    <w:rsid w:val="001F777E"/>
    <w:rsid w:val="00200B1F"/>
    <w:rsid w:val="0020116C"/>
    <w:rsid w:val="00201EF4"/>
    <w:rsid w:val="00205313"/>
    <w:rsid w:val="0020551B"/>
    <w:rsid w:val="00206049"/>
    <w:rsid w:val="00206DC8"/>
    <w:rsid w:val="00210764"/>
    <w:rsid w:val="00210E98"/>
    <w:rsid w:val="002137DC"/>
    <w:rsid w:val="00213FE2"/>
    <w:rsid w:val="0021409B"/>
    <w:rsid w:val="002352E6"/>
    <w:rsid w:val="00237065"/>
    <w:rsid w:val="0024271B"/>
    <w:rsid w:val="0024338F"/>
    <w:rsid w:val="00266ABC"/>
    <w:rsid w:val="00273162"/>
    <w:rsid w:val="002731AD"/>
    <w:rsid w:val="00275CB1"/>
    <w:rsid w:val="00283446"/>
    <w:rsid w:val="00285123"/>
    <w:rsid w:val="00291850"/>
    <w:rsid w:val="00292486"/>
    <w:rsid w:val="002951F9"/>
    <w:rsid w:val="002B281E"/>
    <w:rsid w:val="002C09B1"/>
    <w:rsid w:val="002C1F22"/>
    <w:rsid w:val="002C22B7"/>
    <w:rsid w:val="002D238D"/>
    <w:rsid w:val="002D62CA"/>
    <w:rsid w:val="002D7419"/>
    <w:rsid w:val="002F252E"/>
    <w:rsid w:val="002F40D8"/>
    <w:rsid w:val="002F6C99"/>
    <w:rsid w:val="002F7D2C"/>
    <w:rsid w:val="0030034F"/>
    <w:rsid w:val="00307648"/>
    <w:rsid w:val="003235B9"/>
    <w:rsid w:val="0032463A"/>
    <w:rsid w:val="0034445E"/>
    <w:rsid w:val="0035256E"/>
    <w:rsid w:val="00357B93"/>
    <w:rsid w:val="003700B1"/>
    <w:rsid w:val="0037126E"/>
    <w:rsid w:val="003752EA"/>
    <w:rsid w:val="00383666"/>
    <w:rsid w:val="00383689"/>
    <w:rsid w:val="003912D1"/>
    <w:rsid w:val="003B0CA4"/>
    <w:rsid w:val="003B3E5C"/>
    <w:rsid w:val="003B439D"/>
    <w:rsid w:val="003C10E3"/>
    <w:rsid w:val="003C33DE"/>
    <w:rsid w:val="003C4B91"/>
    <w:rsid w:val="003C75F3"/>
    <w:rsid w:val="003D355F"/>
    <w:rsid w:val="003E708D"/>
    <w:rsid w:val="003F05D0"/>
    <w:rsid w:val="00404C15"/>
    <w:rsid w:val="00406B6F"/>
    <w:rsid w:val="00417D1D"/>
    <w:rsid w:val="004220C2"/>
    <w:rsid w:val="00424DFE"/>
    <w:rsid w:val="004252F7"/>
    <w:rsid w:val="0043107E"/>
    <w:rsid w:val="004315C6"/>
    <w:rsid w:val="00433E02"/>
    <w:rsid w:val="00433EFC"/>
    <w:rsid w:val="00433FBD"/>
    <w:rsid w:val="0044435F"/>
    <w:rsid w:val="004534BE"/>
    <w:rsid w:val="00481791"/>
    <w:rsid w:val="00485EC9"/>
    <w:rsid w:val="00487029"/>
    <w:rsid w:val="00487B52"/>
    <w:rsid w:val="00490A41"/>
    <w:rsid w:val="00491D8D"/>
    <w:rsid w:val="004B1D49"/>
    <w:rsid w:val="004C3E8C"/>
    <w:rsid w:val="004C4AB0"/>
    <w:rsid w:val="004D265D"/>
    <w:rsid w:val="004E48AD"/>
    <w:rsid w:val="00536F7C"/>
    <w:rsid w:val="00537486"/>
    <w:rsid w:val="00541E75"/>
    <w:rsid w:val="00543D75"/>
    <w:rsid w:val="00563137"/>
    <w:rsid w:val="00581FEE"/>
    <w:rsid w:val="005863A0"/>
    <w:rsid w:val="005911FE"/>
    <w:rsid w:val="005935A6"/>
    <w:rsid w:val="005B5D57"/>
    <w:rsid w:val="005C2382"/>
    <w:rsid w:val="005C4334"/>
    <w:rsid w:val="005C5FF0"/>
    <w:rsid w:val="005D1518"/>
    <w:rsid w:val="005D6299"/>
    <w:rsid w:val="005E2393"/>
    <w:rsid w:val="005F5406"/>
    <w:rsid w:val="006046E3"/>
    <w:rsid w:val="00604FE5"/>
    <w:rsid w:val="0060623A"/>
    <w:rsid w:val="0060669A"/>
    <w:rsid w:val="00606B00"/>
    <w:rsid w:val="00606D41"/>
    <w:rsid w:val="00611E77"/>
    <w:rsid w:val="006151A8"/>
    <w:rsid w:val="00615838"/>
    <w:rsid w:val="00616607"/>
    <w:rsid w:val="0062236B"/>
    <w:rsid w:val="00623A82"/>
    <w:rsid w:val="00623E06"/>
    <w:rsid w:val="006259D9"/>
    <w:rsid w:val="00631B6C"/>
    <w:rsid w:val="00632522"/>
    <w:rsid w:val="006362DC"/>
    <w:rsid w:val="00637101"/>
    <w:rsid w:val="00637663"/>
    <w:rsid w:val="006447FD"/>
    <w:rsid w:val="0064544B"/>
    <w:rsid w:val="00646A14"/>
    <w:rsid w:val="006619A9"/>
    <w:rsid w:val="00666767"/>
    <w:rsid w:val="00666D39"/>
    <w:rsid w:val="00673264"/>
    <w:rsid w:val="006863AF"/>
    <w:rsid w:val="00686E89"/>
    <w:rsid w:val="006A3D35"/>
    <w:rsid w:val="006A5C0B"/>
    <w:rsid w:val="006A7296"/>
    <w:rsid w:val="006E000C"/>
    <w:rsid w:val="006E102E"/>
    <w:rsid w:val="006E3BA0"/>
    <w:rsid w:val="006F47A1"/>
    <w:rsid w:val="006F69D7"/>
    <w:rsid w:val="00700FF9"/>
    <w:rsid w:val="007012BD"/>
    <w:rsid w:val="00706CC7"/>
    <w:rsid w:val="0071408A"/>
    <w:rsid w:val="007143CF"/>
    <w:rsid w:val="00715D61"/>
    <w:rsid w:val="0071788D"/>
    <w:rsid w:val="0073010C"/>
    <w:rsid w:val="00731750"/>
    <w:rsid w:val="00743584"/>
    <w:rsid w:val="00744501"/>
    <w:rsid w:val="0076109C"/>
    <w:rsid w:val="00763483"/>
    <w:rsid w:val="007806CE"/>
    <w:rsid w:val="007849A2"/>
    <w:rsid w:val="00792787"/>
    <w:rsid w:val="00796179"/>
    <w:rsid w:val="007A03A9"/>
    <w:rsid w:val="007A2232"/>
    <w:rsid w:val="007B178E"/>
    <w:rsid w:val="007C025B"/>
    <w:rsid w:val="007C1EF4"/>
    <w:rsid w:val="007D194B"/>
    <w:rsid w:val="007D326F"/>
    <w:rsid w:val="007D53B6"/>
    <w:rsid w:val="007D663F"/>
    <w:rsid w:val="007E29E0"/>
    <w:rsid w:val="007F0341"/>
    <w:rsid w:val="007F16F0"/>
    <w:rsid w:val="007F1EEE"/>
    <w:rsid w:val="007F3962"/>
    <w:rsid w:val="007F4FF3"/>
    <w:rsid w:val="007F5364"/>
    <w:rsid w:val="00801F19"/>
    <w:rsid w:val="00803D37"/>
    <w:rsid w:val="00820422"/>
    <w:rsid w:val="00823F80"/>
    <w:rsid w:val="00825B2C"/>
    <w:rsid w:val="00834059"/>
    <w:rsid w:val="008341BB"/>
    <w:rsid w:val="008361B8"/>
    <w:rsid w:val="008363EB"/>
    <w:rsid w:val="008424F5"/>
    <w:rsid w:val="00850715"/>
    <w:rsid w:val="00851ED5"/>
    <w:rsid w:val="008544FC"/>
    <w:rsid w:val="008567AC"/>
    <w:rsid w:val="008574A3"/>
    <w:rsid w:val="00867D1A"/>
    <w:rsid w:val="00872087"/>
    <w:rsid w:val="008739BB"/>
    <w:rsid w:val="0087449A"/>
    <w:rsid w:val="008931A2"/>
    <w:rsid w:val="008B16FF"/>
    <w:rsid w:val="008B22C4"/>
    <w:rsid w:val="008C457C"/>
    <w:rsid w:val="008D362C"/>
    <w:rsid w:val="008D414E"/>
    <w:rsid w:val="008F2EC6"/>
    <w:rsid w:val="00910AD9"/>
    <w:rsid w:val="009110AA"/>
    <w:rsid w:val="00911A1A"/>
    <w:rsid w:val="009142EC"/>
    <w:rsid w:val="00917835"/>
    <w:rsid w:val="00921CEE"/>
    <w:rsid w:val="009247AD"/>
    <w:rsid w:val="0092677E"/>
    <w:rsid w:val="00935507"/>
    <w:rsid w:val="0094226F"/>
    <w:rsid w:val="00942FAF"/>
    <w:rsid w:val="0094391F"/>
    <w:rsid w:val="00950C21"/>
    <w:rsid w:val="00951BCD"/>
    <w:rsid w:val="00953786"/>
    <w:rsid w:val="009650E9"/>
    <w:rsid w:val="00966B90"/>
    <w:rsid w:val="00967A94"/>
    <w:rsid w:val="00982E43"/>
    <w:rsid w:val="009863DC"/>
    <w:rsid w:val="009866FB"/>
    <w:rsid w:val="00987261"/>
    <w:rsid w:val="009874AC"/>
    <w:rsid w:val="0098772A"/>
    <w:rsid w:val="009B01B8"/>
    <w:rsid w:val="009B04A5"/>
    <w:rsid w:val="009C4E9E"/>
    <w:rsid w:val="009D263B"/>
    <w:rsid w:val="009D78DB"/>
    <w:rsid w:val="009E1083"/>
    <w:rsid w:val="009E2FBC"/>
    <w:rsid w:val="009E4C48"/>
    <w:rsid w:val="009E55F0"/>
    <w:rsid w:val="009E6084"/>
    <w:rsid w:val="009F276D"/>
    <w:rsid w:val="009F5121"/>
    <w:rsid w:val="00A00DA4"/>
    <w:rsid w:val="00A113DF"/>
    <w:rsid w:val="00A32A22"/>
    <w:rsid w:val="00A348F6"/>
    <w:rsid w:val="00A44D81"/>
    <w:rsid w:val="00A502D2"/>
    <w:rsid w:val="00A60A1C"/>
    <w:rsid w:val="00A62D22"/>
    <w:rsid w:val="00A64888"/>
    <w:rsid w:val="00A73AD4"/>
    <w:rsid w:val="00A80633"/>
    <w:rsid w:val="00A849FA"/>
    <w:rsid w:val="00A90D8C"/>
    <w:rsid w:val="00A92A87"/>
    <w:rsid w:val="00A93F46"/>
    <w:rsid w:val="00A958DB"/>
    <w:rsid w:val="00A95CCF"/>
    <w:rsid w:val="00A97063"/>
    <w:rsid w:val="00AA27AC"/>
    <w:rsid w:val="00AA7AA9"/>
    <w:rsid w:val="00AB46F0"/>
    <w:rsid w:val="00AD1E5F"/>
    <w:rsid w:val="00AD3054"/>
    <w:rsid w:val="00AD5242"/>
    <w:rsid w:val="00AE1081"/>
    <w:rsid w:val="00AF45DF"/>
    <w:rsid w:val="00AF5AA4"/>
    <w:rsid w:val="00AF638F"/>
    <w:rsid w:val="00B04DCA"/>
    <w:rsid w:val="00B05B40"/>
    <w:rsid w:val="00B1353E"/>
    <w:rsid w:val="00B138BA"/>
    <w:rsid w:val="00B250A6"/>
    <w:rsid w:val="00B27E99"/>
    <w:rsid w:val="00B346D9"/>
    <w:rsid w:val="00B446C8"/>
    <w:rsid w:val="00B44CFD"/>
    <w:rsid w:val="00B560C2"/>
    <w:rsid w:val="00B70963"/>
    <w:rsid w:val="00B7757C"/>
    <w:rsid w:val="00B8303B"/>
    <w:rsid w:val="00B84F3F"/>
    <w:rsid w:val="00B87547"/>
    <w:rsid w:val="00B90DB9"/>
    <w:rsid w:val="00B93CC4"/>
    <w:rsid w:val="00BA39A2"/>
    <w:rsid w:val="00BA473D"/>
    <w:rsid w:val="00BA76B2"/>
    <w:rsid w:val="00BB3093"/>
    <w:rsid w:val="00BB39B5"/>
    <w:rsid w:val="00BB6D4A"/>
    <w:rsid w:val="00BC274D"/>
    <w:rsid w:val="00BC35C7"/>
    <w:rsid w:val="00BC756F"/>
    <w:rsid w:val="00BD225A"/>
    <w:rsid w:val="00BD4F4D"/>
    <w:rsid w:val="00C040A1"/>
    <w:rsid w:val="00C120E1"/>
    <w:rsid w:val="00C32C3F"/>
    <w:rsid w:val="00C43ED6"/>
    <w:rsid w:val="00C5304F"/>
    <w:rsid w:val="00C602C8"/>
    <w:rsid w:val="00C66AAF"/>
    <w:rsid w:val="00C67F49"/>
    <w:rsid w:val="00C73B3F"/>
    <w:rsid w:val="00C75D70"/>
    <w:rsid w:val="00C844B7"/>
    <w:rsid w:val="00C8538B"/>
    <w:rsid w:val="00C9029E"/>
    <w:rsid w:val="00C90DDF"/>
    <w:rsid w:val="00CA0C42"/>
    <w:rsid w:val="00CA3C2A"/>
    <w:rsid w:val="00CD24EC"/>
    <w:rsid w:val="00CD6865"/>
    <w:rsid w:val="00CD71AF"/>
    <w:rsid w:val="00CE1F2A"/>
    <w:rsid w:val="00CE6F7D"/>
    <w:rsid w:val="00D01E90"/>
    <w:rsid w:val="00D02A3A"/>
    <w:rsid w:val="00D0456D"/>
    <w:rsid w:val="00D04782"/>
    <w:rsid w:val="00D0491E"/>
    <w:rsid w:val="00D057B5"/>
    <w:rsid w:val="00D06AC9"/>
    <w:rsid w:val="00D07624"/>
    <w:rsid w:val="00D104F1"/>
    <w:rsid w:val="00D1486B"/>
    <w:rsid w:val="00D23D9E"/>
    <w:rsid w:val="00D3262D"/>
    <w:rsid w:val="00D44204"/>
    <w:rsid w:val="00D45023"/>
    <w:rsid w:val="00D550BA"/>
    <w:rsid w:val="00D55F8A"/>
    <w:rsid w:val="00D61791"/>
    <w:rsid w:val="00D80242"/>
    <w:rsid w:val="00D861BD"/>
    <w:rsid w:val="00D970B3"/>
    <w:rsid w:val="00DA5CC8"/>
    <w:rsid w:val="00DB0347"/>
    <w:rsid w:val="00DB2C0E"/>
    <w:rsid w:val="00DB3C63"/>
    <w:rsid w:val="00DB3D5D"/>
    <w:rsid w:val="00DD7D51"/>
    <w:rsid w:val="00DE4BA6"/>
    <w:rsid w:val="00DF2D86"/>
    <w:rsid w:val="00DF442B"/>
    <w:rsid w:val="00E020C0"/>
    <w:rsid w:val="00E04483"/>
    <w:rsid w:val="00E12A59"/>
    <w:rsid w:val="00E177A8"/>
    <w:rsid w:val="00E2209C"/>
    <w:rsid w:val="00E22BC4"/>
    <w:rsid w:val="00E45D94"/>
    <w:rsid w:val="00E46377"/>
    <w:rsid w:val="00E51943"/>
    <w:rsid w:val="00E54E89"/>
    <w:rsid w:val="00E65273"/>
    <w:rsid w:val="00E71176"/>
    <w:rsid w:val="00E72F97"/>
    <w:rsid w:val="00E77D53"/>
    <w:rsid w:val="00E84785"/>
    <w:rsid w:val="00E92573"/>
    <w:rsid w:val="00E94534"/>
    <w:rsid w:val="00E94A77"/>
    <w:rsid w:val="00E94EE7"/>
    <w:rsid w:val="00E9533F"/>
    <w:rsid w:val="00EA30EC"/>
    <w:rsid w:val="00EC7969"/>
    <w:rsid w:val="00ED0BF5"/>
    <w:rsid w:val="00ED23E9"/>
    <w:rsid w:val="00ED6366"/>
    <w:rsid w:val="00EE32A9"/>
    <w:rsid w:val="00EE6DB9"/>
    <w:rsid w:val="00EF27A6"/>
    <w:rsid w:val="00EF2D1C"/>
    <w:rsid w:val="00F0377F"/>
    <w:rsid w:val="00F03CB1"/>
    <w:rsid w:val="00F04289"/>
    <w:rsid w:val="00F05C60"/>
    <w:rsid w:val="00F102CD"/>
    <w:rsid w:val="00F22EBE"/>
    <w:rsid w:val="00F27BE7"/>
    <w:rsid w:val="00F304DF"/>
    <w:rsid w:val="00F31FE6"/>
    <w:rsid w:val="00F34887"/>
    <w:rsid w:val="00F53970"/>
    <w:rsid w:val="00F53E33"/>
    <w:rsid w:val="00F5486F"/>
    <w:rsid w:val="00F625E7"/>
    <w:rsid w:val="00F65B87"/>
    <w:rsid w:val="00F80511"/>
    <w:rsid w:val="00F819F7"/>
    <w:rsid w:val="00F85A88"/>
    <w:rsid w:val="00F87183"/>
    <w:rsid w:val="00F907C5"/>
    <w:rsid w:val="00F908C0"/>
    <w:rsid w:val="00F97BA6"/>
    <w:rsid w:val="00FA76CE"/>
    <w:rsid w:val="00FB0463"/>
    <w:rsid w:val="00FB5EF4"/>
    <w:rsid w:val="00FC4CEB"/>
    <w:rsid w:val="00FD3CF1"/>
    <w:rsid w:val="00FD558B"/>
    <w:rsid w:val="00FE194E"/>
    <w:rsid w:val="00FE20C9"/>
    <w:rsid w:val="00FE3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A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E7"/>
    <w:rPr>
      <w:rFonts w:ascii="Tahoma" w:hAnsi="Tahoma" w:cs="Tahoma"/>
      <w:sz w:val="16"/>
      <w:szCs w:val="16"/>
      <w:lang w:val="lv-LV"/>
    </w:rPr>
  </w:style>
  <w:style w:type="paragraph" w:styleId="ListBullet2">
    <w:name w:val="List Bullet 2"/>
    <w:basedOn w:val="Normal"/>
    <w:rsid w:val="00D104F1"/>
    <w:pPr>
      <w:numPr>
        <w:numId w:val="3"/>
      </w:numPr>
    </w:pPr>
    <w:rPr>
      <w:rFonts w:eastAsia="Times New Roman"/>
    </w:rPr>
  </w:style>
  <w:style w:type="paragraph" w:styleId="ListNumber">
    <w:name w:val="List Number"/>
    <w:basedOn w:val="Normal"/>
    <w:rsid w:val="00E92573"/>
    <w:pPr>
      <w:numPr>
        <w:numId w:val="6"/>
      </w:numPr>
    </w:pPr>
    <w:rPr>
      <w:rFonts w:eastAsia="Times New Roman"/>
    </w:rPr>
  </w:style>
  <w:style w:type="paragraph" w:customStyle="1" w:styleId="ListNumberLevel2">
    <w:name w:val="List Number (Level 2)"/>
    <w:basedOn w:val="Normal"/>
    <w:rsid w:val="00E92573"/>
    <w:pPr>
      <w:numPr>
        <w:ilvl w:val="1"/>
        <w:numId w:val="6"/>
      </w:numPr>
    </w:pPr>
    <w:rPr>
      <w:rFonts w:eastAsia="Times New Roman"/>
    </w:rPr>
  </w:style>
  <w:style w:type="paragraph" w:customStyle="1" w:styleId="ListNumberLevel3">
    <w:name w:val="List Number (Level 3)"/>
    <w:basedOn w:val="Normal"/>
    <w:rsid w:val="00E92573"/>
    <w:pPr>
      <w:numPr>
        <w:ilvl w:val="2"/>
        <w:numId w:val="6"/>
      </w:numPr>
    </w:pPr>
    <w:rPr>
      <w:rFonts w:eastAsia="Times New Roman"/>
    </w:rPr>
  </w:style>
  <w:style w:type="paragraph" w:customStyle="1" w:styleId="ListNumberLevel4">
    <w:name w:val="List Number (Level 4)"/>
    <w:basedOn w:val="Normal"/>
    <w:rsid w:val="00E92573"/>
    <w:pPr>
      <w:numPr>
        <w:ilvl w:val="3"/>
        <w:numId w:val="6"/>
      </w:numPr>
    </w:pPr>
    <w:rPr>
      <w:rFonts w:eastAsia="Times New Roman"/>
    </w:rPr>
  </w:style>
  <w:style w:type="character" w:styleId="Hyperlink">
    <w:name w:val="Hyperlink"/>
    <w:uiPriority w:val="99"/>
    <w:rsid w:val="00E92573"/>
    <w:rPr>
      <w:color w:val="0000FF"/>
      <w:u w:val="single"/>
    </w:rPr>
  </w:style>
  <w:style w:type="paragraph" w:styleId="ListBullet3">
    <w:name w:val="List Bullet 3"/>
    <w:basedOn w:val="Normal"/>
    <w:uiPriority w:val="99"/>
    <w:semiHidden/>
    <w:unhideWhenUsed/>
    <w:rsid w:val="00E92573"/>
    <w:pPr>
      <w:tabs>
        <w:tab w:val="num" w:pos="360"/>
      </w:tabs>
      <w:contextualSpacing/>
    </w:pPr>
  </w:style>
  <w:style w:type="character" w:styleId="Emphasis">
    <w:name w:val="Emphasis"/>
    <w:qFormat/>
    <w:rsid w:val="00E92573"/>
    <w:rPr>
      <w:rFonts w:cs="Times New Roman"/>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E92573"/>
    <w:rPr>
      <w:rFonts w:ascii="Times New Roman" w:hAnsi="Times New Roman" w:cs="Times New Roman"/>
      <w:sz w:val="20"/>
      <w:szCs w:val="20"/>
      <w:lang w:val="lv-LV"/>
    </w:rPr>
  </w:style>
  <w:style w:type="paragraph" w:styleId="Caption">
    <w:name w:val="caption"/>
    <w:basedOn w:val="Normal"/>
    <w:next w:val="Normal"/>
    <w:uiPriority w:val="35"/>
    <w:semiHidden/>
    <w:unhideWhenUsed/>
    <w:qFormat/>
    <w:rsid w:val="00632522"/>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632522"/>
    <w:pPr>
      <w:spacing w:after="0"/>
    </w:pPr>
  </w:style>
  <w:style w:type="paragraph" w:styleId="ListBullet">
    <w:name w:val="List Bullet"/>
    <w:basedOn w:val="Normal"/>
    <w:unhideWhenUsed/>
    <w:rsid w:val="00632522"/>
    <w:pPr>
      <w:numPr>
        <w:numId w:val="1"/>
      </w:numPr>
      <w:contextualSpacing/>
    </w:pPr>
  </w:style>
  <w:style w:type="paragraph" w:styleId="ListBullet4">
    <w:name w:val="List Bullet 4"/>
    <w:basedOn w:val="Normal"/>
    <w:uiPriority w:val="99"/>
    <w:semiHidden/>
    <w:unhideWhenUsed/>
    <w:rsid w:val="00632522"/>
    <w:pPr>
      <w:numPr>
        <w:numId w:val="2"/>
      </w:numPr>
      <w:contextualSpacing/>
    </w:pPr>
  </w:style>
  <w:style w:type="paragraph" w:styleId="ListNumber2">
    <w:name w:val="List Number 2"/>
    <w:basedOn w:val="Normal"/>
    <w:uiPriority w:val="99"/>
    <w:semiHidden/>
    <w:unhideWhenUsed/>
    <w:rsid w:val="00632522"/>
    <w:pPr>
      <w:numPr>
        <w:numId w:val="7"/>
      </w:numPr>
      <w:contextualSpacing/>
    </w:pPr>
  </w:style>
  <w:style w:type="paragraph" w:styleId="ListNumber3">
    <w:name w:val="List Number 3"/>
    <w:basedOn w:val="Normal"/>
    <w:uiPriority w:val="99"/>
    <w:semiHidden/>
    <w:unhideWhenUsed/>
    <w:rsid w:val="00632522"/>
    <w:pPr>
      <w:numPr>
        <w:numId w:val="8"/>
      </w:numPr>
      <w:contextualSpacing/>
    </w:pPr>
  </w:style>
  <w:style w:type="paragraph" w:styleId="ListNumber4">
    <w:name w:val="List Number 4"/>
    <w:basedOn w:val="Normal"/>
    <w:uiPriority w:val="99"/>
    <w:semiHidden/>
    <w:unhideWhenUsed/>
    <w:rsid w:val="00632522"/>
    <w:pPr>
      <w:numPr>
        <w:numId w:val="9"/>
      </w:numPr>
      <w:contextualSpacing/>
    </w:pPr>
  </w:style>
  <w:style w:type="paragraph" w:styleId="CommentSubject">
    <w:name w:val="annotation subject"/>
    <w:basedOn w:val="CommentText"/>
    <w:next w:val="CommentText"/>
    <w:link w:val="CommentSubjectChar"/>
    <w:uiPriority w:val="99"/>
    <w:semiHidden/>
    <w:unhideWhenUsed/>
    <w:rsid w:val="002D7419"/>
    <w:rPr>
      <w:b/>
      <w:bCs/>
    </w:rPr>
  </w:style>
  <w:style w:type="character" w:customStyle="1" w:styleId="CommentSubjectChar">
    <w:name w:val="Comment Subject Char"/>
    <w:basedOn w:val="CommentTextChar"/>
    <w:link w:val="CommentSubject"/>
    <w:uiPriority w:val="99"/>
    <w:semiHidden/>
    <w:rsid w:val="002D7419"/>
    <w:rPr>
      <w:rFonts w:ascii="Times New Roman" w:hAnsi="Times New Roman" w:cs="Times New Roman"/>
      <w:b/>
      <w:bCs/>
      <w:sz w:val="20"/>
      <w:szCs w:val="20"/>
      <w:lang w:val="lv-LV"/>
    </w:rPr>
  </w:style>
  <w:style w:type="paragraph" w:customStyle="1" w:styleId="ListNumber1">
    <w:name w:val="List Number 1"/>
    <w:basedOn w:val="Normal"/>
    <w:rsid w:val="00C602C8"/>
    <w:pPr>
      <w:numPr>
        <w:numId w:val="10"/>
      </w:numPr>
    </w:pPr>
    <w:rPr>
      <w:rFonts w:eastAsia="Times New Roman"/>
      <w:szCs w:val="20"/>
    </w:rPr>
  </w:style>
  <w:style w:type="paragraph" w:customStyle="1" w:styleId="ListNumber1Level2">
    <w:name w:val="List Number 1 (Level 2)"/>
    <w:basedOn w:val="Normal"/>
    <w:rsid w:val="00C602C8"/>
    <w:pPr>
      <w:numPr>
        <w:ilvl w:val="1"/>
        <w:numId w:val="10"/>
      </w:numPr>
    </w:pPr>
    <w:rPr>
      <w:rFonts w:eastAsia="Times New Roman"/>
      <w:szCs w:val="20"/>
    </w:rPr>
  </w:style>
  <w:style w:type="paragraph" w:customStyle="1" w:styleId="ListNumber1Level3">
    <w:name w:val="List Number 1 (Level 3)"/>
    <w:basedOn w:val="Normal"/>
    <w:rsid w:val="00C602C8"/>
    <w:pPr>
      <w:numPr>
        <w:ilvl w:val="2"/>
        <w:numId w:val="10"/>
      </w:numPr>
    </w:pPr>
    <w:rPr>
      <w:rFonts w:eastAsia="Times New Roman"/>
      <w:szCs w:val="20"/>
    </w:rPr>
  </w:style>
  <w:style w:type="paragraph" w:customStyle="1" w:styleId="ListNumber1Level4">
    <w:name w:val="List Number 1 (Level 4)"/>
    <w:basedOn w:val="Normal"/>
    <w:rsid w:val="00C602C8"/>
    <w:pPr>
      <w:numPr>
        <w:ilvl w:val="3"/>
        <w:numId w:val="10"/>
      </w:numPr>
    </w:pPr>
    <w:rPr>
      <w:rFonts w:eastAsia="Times New Roman"/>
      <w:szCs w:val="20"/>
    </w:rPr>
  </w:style>
  <w:style w:type="paragraph" w:customStyle="1" w:styleId="Annexetitreacte">
    <w:name w:val="Annexe titre (acte)"/>
    <w:basedOn w:val="Normal"/>
    <w:next w:val="Normal"/>
    <w:rsid w:val="00C602C8"/>
    <w:pPr>
      <w:jc w:val="center"/>
    </w:pPr>
    <w:rPr>
      <w:rFonts w:eastAsia="Times New Roman"/>
      <w:b/>
      <w:szCs w:val="20"/>
      <w:u w:val="single"/>
    </w:rPr>
  </w:style>
  <w:style w:type="paragraph" w:styleId="ListParagraph">
    <w:name w:val="List Paragraph"/>
    <w:basedOn w:val="Normal"/>
    <w:uiPriority w:val="34"/>
    <w:qFormat/>
    <w:rsid w:val="00F304DF"/>
    <w:pPr>
      <w:ind w:left="720"/>
      <w:contextualSpacing/>
    </w:pPr>
    <w:rPr>
      <w:rFonts w:eastAsiaTheme="minorHAnsi"/>
    </w:rPr>
  </w:style>
  <w:style w:type="paragraph" w:customStyle="1" w:styleId="Bullet10">
    <w:name w:val="Bullet 1"/>
    <w:basedOn w:val="Normal"/>
    <w:rsid w:val="007D53B6"/>
    <w:pPr>
      <w:tabs>
        <w:tab w:val="num" w:pos="1417"/>
      </w:tabs>
      <w:ind w:left="1417" w:hanging="567"/>
    </w:pPr>
  </w:style>
  <w:style w:type="paragraph" w:customStyle="1" w:styleId="Bullet20">
    <w:name w:val="Bullet 2"/>
    <w:basedOn w:val="Normal"/>
    <w:rsid w:val="007D53B6"/>
    <w:pPr>
      <w:tabs>
        <w:tab w:val="num" w:pos="1984"/>
      </w:tabs>
      <w:ind w:left="1984" w:hanging="567"/>
    </w:pPr>
  </w:style>
  <w:style w:type="paragraph" w:customStyle="1" w:styleId="ListBullet1">
    <w:name w:val="List Bullet 1"/>
    <w:basedOn w:val="Normal"/>
    <w:rsid w:val="00D07624"/>
    <w:pPr>
      <w:numPr>
        <w:numId w:val="12"/>
      </w:numPr>
    </w:pPr>
    <w:rPr>
      <w:rFonts w:eastAsia="Times New Roman"/>
    </w:rPr>
  </w:style>
  <w:style w:type="paragraph" w:customStyle="1" w:styleId="ListDash">
    <w:name w:val="List Dash"/>
    <w:basedOn w:val="Normal"/>
    <w:rsid w:val="00D07624"/>
    <w:pPr>
      <w:numPr>
        <w:numId w:val="13"/>
      </w:numPr>
    </w:pPr>
    <w:rPr>
      <w:rFonts w:eastAsia="Times New Roman"/>
    </w:rPr>
  </w:style>
  <w:style w:type="paragraph" w:customStyle="1" w:styleId="ListDash1">
    <w:name w:val="List Dash 1"/>
    <w:basedOn w:val="Normal"/>
    <w:rsid w:val="00D07624"/>
    <w:pPr>
      <w:numPr>
        <w:numId w:val="14"/>
      </w:numPr>
    </w:pPr>
    <w:rPr>
      <w:rFonts w:eastAsia="Times New Roman"/>
    </w:rPr>
  </w:style>
  <w:style w:type="paragraph" w:customStyle="1" w:styleId="ListDash2">
    <w:name w:val="List Dash 2"/>
    <w:basedOn w:val="Normal"/>
    <w:rsid w:val="00D07624"/>
    <w:pPr>
      <w:numPr>
        <w:numId w:val="15"/>
      </w:numPr>
    </w:pPr>
    <w:rPr>
      <w:rFonts w:eastAsia="Times New Roman"/>
    </w:rPr>
  </w:style>
  <w:style w:type="paragraph" w:customStyle="1" w:styleId="Normal1">
    <w:name w:val="Normal1"/>
    <w:basedOn w:val="Normal"/>
    <w:rsid w:val="00AD3054"/>
    <w:pPr>
      <w:spacing w:after="0"/>
    </w:pPr>
    <w:rPr>
      <w:rFonts w:eastAsia="Times New Roman"/>
      <w:szCs w:val="24"/>
    </w:rPr>
  </w:style>
  <w:style w:type="paragraph" w:customStyle="1" w:styleId="ListDash3">
    <w:name w:val="List Dash 3"/>
    <w:basedOn w:val="Normal"/>
    <w:rsid w:val="00AD3054"/>
    <w:pPr>
      <w:numPr>
        <w:numId w:val="17"/>
      </w:numPr>
    </w:pPr>
    <w:rPr>
      <w:rFonts w:eastAsia="Times New Roman"/>
      <w:szCs w:val="20"/>
    </w:rPr>
  </w:style>
  <w:style w:type="paragraph" w:customStyle="1" w:styleId="norm">
    <w:name w:val="norm"/>
    <w:basedOn w:val="Normal"/>
    <w:rsid w:val="00AD3054"/>
    <w:pPr>
      <w:spacing w:after="0"/>
    </w:pPr>
    <w:rPr>
      <w:rFonts w:eastAsia="Times New Roman"/>
      <w:szCs w:val="24"/>
    </w:rPr>
  </w:style>
  <w:style w:type="paragraph" w:customStyle="1" w:styleId="Norma">
    <w:name w:val="Norma"/>
    <w:basedOn w:val="Titrearticle"/>
    <w:rsid w:val="00AD3054"/>
    <w:rPr>
      <w:rFonts w:eastAsiaTheme="minorHAnsi"/>
    </w:rPr>
  </w:style>
  <w:style w:type="paragraph" w:customStyle="1" w:styleId="Style11">
    <w:name w:val="Style1.1"/>
    <w:basedOn w:val="Normal"/>
    <w:link w:val="Style11Char"/>
    <w:qFormat/>
    <w:rsid w:val="00AD3054"/>
    <w:pPr>
      <w:keepNext/>
      <w:numPr>
        <w:ilvl w:val="1"/>
        <w:numId w:val="18"/>
      </w:numPr>
      <w:outlineLvl w:val="1"/>
    </w:pPr>
    <w:rPr>
      <w:rFonts w:eastAsia="Times New Roman"/>
      <w:b/>
      <w:bCs/>
      <w:iCs/>
      <w:szCs w:val="28"/>
    </w:rPr>
  </w:style>
  <w:style w:type="paragraph" w:customStyle="1" w:styleId="Style111">
    <w:name w:val="Style1.1.1"/>
    <w:basedOn w:val="Normal"/>
    <w:qFormat/>
    <w:rsid w:val="00AD3054"/>
    <w:pPr>
      <w:keepNext/>
      <w:numPr>
        <w:ilvl w:val="2"/>
        <w:numId w:val="18"/>
      </w:numPr>
      <w:outlineLvl w:val="1"/>
    </w:pPr>
    <w:rPr>
      <w:rFonts w:eastAsia="Times New Roman"/>
      <w:bCs/>
      <w:iCs/>
      <w:szCs w:val="28"/>
      <w:u w:val="single"/>
    </w:rPr>
  </w:style>
  <w:style w:type="character" w:customStyle="1" w:styleId="Style11Char">
    <w:name w:val="Style1.1 Char"/>
    <w:link w:val="Style11"/>
    <w:rsid w:val="00AD3054"/>
    <w:rPr>
      <w:rFonts w:ascii="Times New Roman" w:eastAsia="Times New Roman" w:hAnsi="Times New Roman" w:cs="Times New Roman"/>
      <w:b/>
      <w:bCs/>
      <w:iCs/>
      <w:sz w:val="24"/>
      <w:szCs w:val="28"/>
      <w:lang w:val="en-GB"/>
    </w:rPr>
  </w:style>
  <w:style w:type="paragraph" w:customStyle="1" w:styleId="Style1">
    <w:name w:val="Style1"/>
    <w:basedOn w:val="Normal"/>
    <w:qFormat/>
    <w:rsid w:val="00AD3054"/>
    <w:pPr>
      <w:keepNext/>
      <w:numPr>
        <w:numId w:val="18"/>
      </w:numPr>
      <w:spacing w:before="360"/>
      <w:outlineLvl w:val="0"/>
    </w:pPr>
    <w:rPr>
      <w:rFonts w:eastAsia="Times New Roman"/>
      <w:b/>
      <w:bCs/>
      <w:smallCaps/>
      <w:szCs w:val="32"/>
    </w:rPr>
  </w:style>
  <w:style w:type="paragraph" w:customStyle="1" w:styleId="Style1111">
    <w:name w:val="Style1.1.1.1"/>
    <w:basedOn w:val="Normal"/>
    <w:qFormat/>
    <w:rsid w:val="00AD3054"/>
    <w:pPr>
      <w:keepNext/>
      <w:numPr>
        <w:ilvl w:val="3"/>
        <w:numId w:val="18"/>
      </w:numPr>
      <w:outlineLvl w:val="1"/>
    </w:pPr>
    <w:rPr>
      <w:rFonts w:eastAsia="Times New Roman"/>
      <w:bCs/>
      <w:i/>
      <w:iCs/>
      <w:szCs w:val="28"/>
    </w:rPr>
  </w:style>
  <w:style w:type="paragraph" w:customStyle="1" w:styleId="Bullet30">
    <w:name w:val="Bullet3"/>
    <w:basedOn w:val="Normal"/>
    <w:uiPriority w:val="6"/>
    <w:qFormat/>
    <w:rsid w:val="00AD3054"/>
    <w:pPr>
      <w:numPr>
        <w:ilvl w:val="2"/>
        <w:numId w:val="20"/>
      </w:numPr>
      <w:tabs>
        <w:tab w:val="num" w:pos="360"/>
      </w:tabs>
      <w:spacing w:before="0" w:after="0" w:line="240" w:lineRule="atLeast"/>
      <w:ind w:left="0" w:firstLine="0"/>
      <w:jc w:val="left"/>
    </w:pPr>
    <w:rPr>
      <w:rFonts w:ascii="Arial" w:eastAsia="Calibri" w:hAnsi="Arial"/>
      <w:sz w:val="20"/>
      <w:szCs w:val="24"/>
    </w:rPr>
  </w:style>
  <w:style w:type="numbering" w:customStyle="1" w:styleId="NumbLstBullet">
    <w:name w:val="NumbLstBullet"/>
    <w:uiPriority w:val="99"/>
    <w:rsid w:val="00AD3054"/>
    <w:pPr>
      <w:numPr>
        <w:numId w:val="19"/>
      </w:numPr>
    </w:pPr>
  </w:style>
  <w:style w:type="character" w:styleId="FollowedHyperlink">
    <w:name w:val="FollowedHyperlink"/>
    <w:basedOn w:val="DefaultParagraphFont"/>
    <w:uiPriority w:val="99"/>
    <w:semiHidden/>
    <w:unhideWhenUsed/>
    <w:rsid w:val="00AD3054"/>
    <w:rPr>
      <w:color w:val="800080" w:themeColor="followedHyperlink"/>
      <w:u w:val="single"/>
    </w:rPr>
  </w:style>
  <w:style w:type="paragraph" w:styleId="Revision">
    <w:name w:val="Revision"/>
    <w:hidden/>
    <w:uiPriority w:val="99"/>
    <w:semiHidden/>
    <w:rsid w:val="00AD3054"/>
    <w:pPr>
      <w:spacing w:after="0" w:line="240" w:lineRule="auto"/>
    </w:pPr>
    <w:rPr>
      <w:rFonts w:ascii="Times New Roman" w:eastAsiaTheme="minorHAnsi" w:hAnsi="Times New Roman" w:cs="Times New Roman"/>
      <w:sz w:val="24"/>
    </w:rPr>
  </w:style>
  <w:style w:type="paragraph" w:customStyle="1" w:styleId="Bullet11">
    <w:name w:val="Bullet1"/>
    <w:basedOn w:val="Normal"/>
    <w:uiPriority w:val="6"/>
    <w:qFormat/>
    <w:rsid w:val="004315C6"/>
    <w:pPr>
      <w:tabs>
        <w:tab w:val="num" w:pos="340"/>
      </w:tabs>
      <w:spacing w:before="0" w:after="0" w:line="240" w:lineRule="atLeast"/>
      <w:ind w:left="340" w:hanging="340"/>
      <w:jc w:val="left"/>
    </w:pPr>
    <w:rPr>
      <w:rFonts w:ascii="Arial" w:eastAsia="Calibri" w:hAnsi="Arial"/>
      <w:sz w:val="20"/>
      <w:szCs w:val="24"/>
    </w:rPr>
  </w:style>
  <w:style w:type="paragraph" w:customStyle="1" w:styleId="Bullet21">
    <w:name w:val="Bullet2"/>
    <w:basedOn w:val="Normal"/>
    <w:uiPriority w:val="6"/>
    <w:qFormat/>
    <w:rsid w:val="004315C6"/>
    <w:pPr>
      <w:tabs>
        <w:tab w:val="num" w:pos="360"/>
        <w:tab w:val="num" w:pos="680"/>
      </w:tabs>
      <w:spacing w:before="0" w:after="0" w:line="240" w:lineRule="atLeast"/>
      <w:jc w:val="left"/>
    </w:pPr>
    <w:rPr>
      <w:rFonts w:ascii="Arial" w:eastAsia="Calibri" w:hAnsi="Arial"/>
      <w:sz w:val="20"/>
      <w:szCs w:val="24"/>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5"/>
      </w:numPr>
    </w:pPr>
  </w:style>
  <w:style w:type="paragraph" w:customStyle="1" w:styleId="Tiret1">
    <w:name w:val="Tiret 1"/>
    <w:basedOn w:val="Point1"/>
    <w:rsid w:val="007D53B6"/>
    <w:pPr>
      <w:numPr>
        <w:numId w:val="36"/>
      </w:numPr>
    </w:pPr>
  </w:style>
  <w:style w:type="paragraph" w:customStyle="1" w:styleId="Tiret2">
    <w:name w:val="Tiret 2"/>
    <w:basedOn w:val="Point2"/>
    <w:rsid w:val="007D53B6"/>
    <w:pPr>
      <w:numPr>
        <w:numId w:val="37"/>
      </w:numPr>
    </w:pPr>
  </w:style>
  <w:style w:type="paragraph" w:customStyle="1" w:styleId="Tiret3">
    <w:name w:val="Tiret 3"/>
    <w:basedOn w:val="Point3"/>
    <w:rsid w:val="007D53B6"/>
    <w:pPr>
      <w:numPr>
        <w:numId w:val="38"/>
      </w:numPr>
    </w:pPr>
  </w:style>
  <w:style w:type="paragraph" w:customStyle="1" w:styleId="Tiret4">
    <w:name w:val="Tiret 4"/>
    <w:basedOn w:val="Point4"/>
    <w:rsid w:val="007D53B6"/>
    <w:pPr>
      <w:numPr>
        <w:numId w:val="3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0"/>
      </w:numPr>
    </w:pPr>
  </w:style>
  <w:style w:type="paragraph" w:customStyle="1" w:styleId="NumPar2">
    <w:name w:val="NumPar 2"/>
    <w:basedOn w:val="Normal"/>
    <w:next w:val="Text1"/>
    <w:rsid w:val="007D53B6"/>
    <w:pPr>
      <w:numPr>
        <w:ilvl w:val="1"/>
        <w:numId w:val="40"/>
      </w:numPr>
    </w:pPr>
  </w:style>
  <w:style w:type="paragraph" w:customStyle="1" w:styleId="NumPar3">
    <w:name w:val="NumPar 3"/>
    <w:basedOn w:val="Normal"/>
    <w:next w:val="Text1"/>
    <w:rsid w:val="007D53B6"/>
    <w:pPr>
      <w:numPr>
        <w:ilvl w:val="2"/>
        <w:numId w:val="40"/>
      </w:numPr>
    </w:pPr>
  </w:style>
  <w:style w:type="paragraph" w:customStyle="1" w:styleId="NumPar4">
    <w:name w:val="NumPar 4"/>
    <w:basedOn w:val="Normal"/>
    <w:next w:val="Text1"/>
    <w:rsid w:val="007D53B6"/>
    <w:pPr>
      <w:numPr>
        <w:ilvl w:val="3"/>
        <w:numId w:val="4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2"/>
      </w:numPr>
    </w:pPr>
  </w:style>
  <w:style w:type="paragraph" w:customStyle="1" w:styleId="Point1number">
    <w:name w:val="Point 1 (number)"/>
    <w:basedOn w:val="Normal"/>
    <w:rsid w:val="007D53B6"/>
    <w:pPr>
      <w:numPr>
        <w:ilvl w:val="2"/>
        <w:numId w:val="42"/>
      </w:numPr>
    </w:pPr>
  </w:style>
  <w:style w:type="paragraph" w:customStyle="1" w:styleId="Point2number">
    <w:name w:val="Point 2 (number)"/>
    <w:basedOn w:val="Normal"/>
    <w:rsid w:val="007D53B6"/>
    <w:pPr>
      <w:numPr>
        <w:ilvl w:val="4"/>
        <w:numId w:val="42"/>
      </w:numPr>
    </w:pPr>
  </w:style>
  <w:style w:type="paragraph" w:customStyle="1" w:styleId="Point3number">
    <w:name w:val="Point 3 (number)"/>
    <w:basedOn w:val="Normal"/>
    <w:rsid w:val="007D53B6"/>
    <w:pPr>
      <w:numPr>
        <w:ilvl w:val="6"/>
        <w:numId w:val="42"/>
      </w:numPr>
    </w:pPr>
  </w:style>
  <w:style w:type="paragraph" w:customStyle="1" w:styleId="Point0letter">
    <w:name w:val="Point 0 (letter)"/>
    <w:basedOn w:val="Normal"/>
    <w:rsid w:val="007D53B6"/>
    <w:pPr>
      <w:numPr>
        <w:ilvl w:val="1"/>
        <w:numId w:val="42"/>
      </w:numPr>
    </w:pPr>
  </w:style>
  <w:style w:type="paragraph" w:customStyle="1" w:styleId="Point1letter">
    <w:name w:val="Point 1 (letter)"/>
    <w:basedOn w:val="Normal"/>
    <w:rsid w:val="007D53B6"/>
    <w:pPr>
      <w:numPr>
        <w:ilvl w:val="3"/>
        <w:numId w:val="42"/>
      </w:numPr>
    </w:pPr>
  </w:style>
  <w:style w:type="paragraph" w:customStyle="1" w:styleId="Point2letter">
    <w:name w:val="Point 2 (letter)"/>
    <w:basedOn w:val="Normal"/>
    <w:rsid w:val="007D53B6"/>
    <w:pPr>
      <w:numPr>
        <w:ilvl w:val="5"/>
        <w:numId w:val="42"/>
      </w:numPr>
    </w:pPr>
  </w:style>
  <w:style w:type="paragraph" w:customStyle="1" w:styleId="Point3letter">
    <w:name w:val="Point 3 (letter)"/>
    <w:basedOn w:val="Normal"/>
    <w:rsid w:val="007D53B6"/>
    <w:pPr>
      <w:numPr>
        <w:ilvl w:val="7"/>
        <w:numId w:val="42"/>
      </w:numPr>
    </w:pPr>
  </w:style>
  <w:style w:type="paragraph" w:customStyle="1" w:styleId="Point4letter">
    <w:name w:val="Point 4 (letter)"/>
    <w:basedOn w:val="Normal"/>
    <w:rsid w:val="007D53B6"/>
    <w:pPr>
      <w:numPr>
        <w:ilvl w:val="8"/>
        <w:numId w:val="42"/>
      </w:numPr>
    </w:pPr>
  </w:style>
  <w:style w:type="paragraph" w:customStyle="1" w:styleId="Bullet0">
    <w:name w:val="Bullet 0"/>
    <w:basedOn w:val="Normal"/>
    <w:rsid w:val="007D53B6"/>
    <w:pPr>
      <w:numPr>
        <w:numId w:val="43"/>
      </w:numPr>
    </w:pPr>
  </w:style>
  <w:style w:type="paragraph" w:customStyle="1" w:styleId="Bullet1">
    <w:name w:val="Bullet 1"/>
    <w:basedOn w:val="Normal"/>
    <w:rsid w:val="007D53B6"/>
    <w:pPr>
      <w:numPr>
        <w:numId w:val="44"/>
      </w:numPr>
    </w:pPr>
  </w:style>
  <w:style w:type="paragraph" w:customStyle="1" w:styleId="Bullet2">
    <w:name w:val="Bullet 2"/>
    <w:basedOn w:val="Normal"/>
    <w:rsid w:val="007D53B6"/>
    <w:pPr>
      <w:numPr>
        <w:numId w:val="45"/>
      </w:numPr>
    </w:pPr>
  </w:style>
  <w:style w:type="paragraph" w:customStyle="1" w:styleId="Bullet3">
    <w:name w:val="Bullet 3"/>
    <w:basedOn w:val="Normal"/>
    <w:rsid w:val="007D53B6"/>
    <w:pPr>
      <w:numPr>
        <w:numId w:val="46"/>
      </w:numPr>
    </w:pPr>
  </w:style>
  <w:style w:type="paragraph" w:customStyle="1" w:styleId="Bullet4">
    <w:name w:val="Bullet 4"/>
    <w:basedOn w:val="Normal"/>
    <w:rsid w:val="007D53B6"/>
    <w:pPr>
      <w:numPr>
        <w:numId w:val="4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A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E7"/>
    <w:rPr>
      <w:rFonts w:ascii="Tahoma" w:hAnsi="Tahoma" w:cs="Tahoma"/>
      <w:sz w:val="16"/>
      <w:szCs w:val="16"/>
      <w:lang w:val="lv-LV"/>
    </w:rPr>
  </w:style>
  <w:style w:type="paragraph" w:styleId="ListBullet2">
    <w:name w:val="List Bullet 2"/>
    <w:basedOn w:val="Normal"/>
    <w:rsid w:val="00D104F1"/>
    <w:pPr>
      <w:numPr>
        <w:numId w:val="3"/>
      </w:numPr>
    </w:pPr>
    <w:rPr>
      <w:rFonts w:eastAsia="Times New Roman"/>
    </w:rPr>
  </w:style>
  <w:style w:type="paragraph" w:styleId="ListNumber">
    <w:name w:val="List Number"/>
    <w:basedOn w:val="Normal"/>
    <w:rsid w:val="00E92573"/>
    <w:pPr>
      <w:numPr>
        <w:numId w:val="6"/>
      </w:numPr>
    </w:pPr>
    <w:rPr>
      <w:rFonts w:eastAsia="Times New Roman"/>
    </w:rPr>
  </w:style>
  <w:style w:type="paragraph" w:customStyle="1" w:styleId="ListNumberLevel2">
    <w:name w:val="List Number (Level 2)"/>
    <w:basedOn w:val="Normal"/>
    <w:rsid w:val="00E92573"/>
    <w:pPr>
      <w:numPr>
        <w:ilvl w:val="1"/>
        <w:numId w:val="6"/>
      </w:numPr>
    </w:pPr>
    <w:rPr>
      <w:rFonts w:eastAsia="Times New Roman"/>
    </w:rPr>
  </w:style>
  <w:style w:type="paragraph" w:customStyle="1" w:styleId="ListNumberLevel3">
    <w:name w:val="List Number (Level 3)"/>
    <w:basedOn w:val="Normal"/>
    <w:rsid w:val="00E92573"/>
    <w:pPr>
      <w:numPr>
        <w:ilvl w:val="2"/>
        <w:numId w:val="6"/>
      </w:numPr>
    </w:pPr>
    <w:rPr>
      <w:rFonts w:eastAsia="Times New Roman"/>
    </w:rPr>
  </w:style>
  <w:style w:type="paragraph" w:customStyle="1" w:styleId="ListNumberLevel4">
    <w:name w:val="List Number (Level 4)"/>
    <w:basedOn w:val="Normal"/>
    <w:rsid w:val="00E92573"/>
    <w:pPr>
      <w:numPr>
        <w:ilvl w:val="3"/>
        <w:numId w:val="6"/>
      </w:numPr>
    </w:pPr>
    <w:rPr>
      <w:rFonts w:eastAsia="Times New Roman"/>
    </w:rPr>
  </w:style>
  <w:style w:type="character" w:styleId="Hyperlink">
    <w:name w:val="Hyperlink"/>
    <w:uiPriority w:val="99"/>
    <w:rsid w:val="00E92573"/>
    <w:rPr>
      <w:color w:val="0000FF"/>
      <w:u w:val="single"/>
    </w:rPr>
  </w:style>
  <w:style w:type="paragraph" w:styleId="ListBullet3">
    <w:name w:val="List Bullet 3"/>
    <w:basedOn w:val="Normal"/>
    <w:uiPriority w:val="99"/>
    <w:semiHidden/>
    <w:unhideWhenUsed/>
    <w:rsid w:val="00E92573"/>
    <w:pPr>
      <w:tabs>
        <w:tab w:val="num" w:pos="360"/>
      </w:tabs>
      <w:contextualSpacing/>
    </w:pPr>
  </w:style>
  <w:style w:type="character" w:styleId="Emphasis">
    <w:name w:val="Emphasis"/>
    <w:qFormat/>
    <w:rsid w:val="00E92573"/>
    <w:rPr>
      <w:rFonts w:cs="Times New Roman"/>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E92573"/>
    <w:rPr>
      <w:rFonts w:ascii="Times New Roman" w:hAnsi="Times New Roman" w:cs="Times New Roman"/>
      <w:sz w:val="20"/>
      <w:szCs w:val="20"/>
      <w:lang w:val="lv-LV"/>
    </w:rPr>
  </w:style>
  <w:style w:type="paragraph" w:styleId="Caption">
    <w:name w:val="caption"/>
    <w:basedOn w:val="Normal"/>
    <w:next w:val="Normal"/>
    <w:uiPriority w:val="35"/>
    <w:semiHidden/>
    <w:unhideWhenUsed/>
    <w:qFormat/>
    <w:rsid w:val="00632522"/>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632522"/>
    <w:pPr>
      <w:spacing w:after="0"/>
    </w:pPr>
  </w:style>
  <w:style w:type="paragraph" w:styleId="ListBullet">
    <w:name w:val="List Bullet"/>
    <w:basedOn w:val="Normal"/>
    <w:unhideWhenUsed/>
    <w:rsid w:val="00632522"/>
    <w:pPr>
      <w:numPr>
        <w:numId w:val="1"/>
      </w:numPr>
      <w:contextualSpacing/>
    </w:pPr>
  </w:style>
  <w:style w:type="paragraph" w:styleId="ListBullet4">
    <w:name w:val="List Bullet 4"/>
    <w:basedOn w:val="Normal"/>
    <w:uiPriority w:val="99"/>
    <w:semiHidden/>
    <w:unhideWhenUsed/>
    <w:rsid w:val="00632522"/>
    <w:pPr>
      <w:numPr>
        <w:numId w:val="2"/>
      </w:numPr>
      <w:contextualSpacing/>
    </w:pPr>
  </w:style>
  <w:style w:type="paragraph" w:styleId="ListNumber2">
    <w:name w:val="List Number 2"/>
    <w:basedOn w:val="Normal"/>
    <w:uiPriority w:val="99"/>
    <w:semiHidden/>
    <w:unhideWhenUsed/>
    <w:rsid w:val="00632522"/>
    <w:pPr>
      <w:numPr>
        <w:numId w:val="7"/>
      </w:numPr>
      <w:contextualSpacing/>
    </w:pPr>
  </w:style>
  <w:style w:type="paragraph" w:styleId="ListNumber3">
    <w:name w:val="List Number 3"/>
    <w:basedOn w:val="Normal"/>
    <w:uiPriority w:val="99"/>
    <w:semiHidden/>
    <w:unhideWhenUsed/>
    <w:rsid w:val="00632522"/>
    <w:pPr>
      <w:numPr>
        <w:numId w:val="8"/>
      </w:numPr>
      <w:contextualSpacing/>
    </w:pPr>
  </w:style>
  <w:style w:type="paragraph" w:styleId="ListNumber4">
    <w:name w:val="List Number 4"/>
    <w:basedOn w:val="Normal"/>
    <w:uiPriority w:val="99"/>
    <w:semiHidden/>
    <w:unhideWhenUsed/>
    <w:rsid w:val="00632522"/>
    <w:pPr>
      <w:numPr>
        <w:numId w:val="9"/>
      </w:numPr>
      <w:contextualSpacing/>
    </w:pPr>
  </w:style>
  <w:style w:type="paragraph" w:styleId="CommentSubject">
    <w:name w:val="annotation subject"/>
    <w:basedOn w:val="CommentText"/>
    <w:next w:val="CommentText"/>
    <w:link w:val="CommentSubjectChar"/>
    <w:uiPriority w:val="99"/>
    <w:semiHidden/>
    <w:unhideWhenUsed/>
    <w:rsid w:val="002D7419"/>
    <w:rPr>
      <w:b/>
      <w:bCs/>
    </w:rPr>
  </w:style>
  <w:style w:type="character" w:customStyle="1" w:styleId="CommentSubjectChar">
    <w:name w:val="Comment Subject Char"/>
    <w:basedOn w:val="CommentTextChar"/>
    <w:link w:val="CommentSubject"/>
    <w:uiPriority w:val="99"/>
    <w:semiHidden/>
    <w:rsid w:val="002D7419"/>
    <w:rPr>
      <w:rFonts w:ascii="Times New Roman" w:hAnsi="Times New Roman" w:cs="Times New Roman"/>
      <w:b/>
      <w:bCs/>
      <w:sz w:val="20"/>
      <w:szCs w:val="20"/>
      <w:lang w:val="lv-LV"/>
    </w:rPr>
  </w:style>
  <w:style w:type="paragraph" w:customStyle="1" w:styleId="ListNumber1">
    <w:name w:val="List Number 1"/>
    <w:basedOn w:val="Normal"/>
    <w:rsid w:val="00C602C8"/>
    <w:pPr>
      <w:numPr>
        <w:numId w:val="10"/>
      </w:numPr>
    </w:pPr>
    <w:rPr>
      <w:rFonts w:eastAsia="Times New Roman"/>
      <w:szCs w:val="20"/>
    </w:rPr>
  </w:style>
  <w:style w:type="paragraph" w:customStyle="1" w:styleId="ListNumber1Level2">
    <w:name w:val="List Number 1 (Level 2)"/>
    <w:basedOn w:val="Normal"/>
    <w:rsid w:val="00C602C8"/>
    <w:pPr>
      <w:numPr>
        <w:ilvl w:val="1"/>
        <w:numId w:val="10"/>
      </w:numPr>
    </w:pPr>
    <w:rPr>
      <w:rFonts w:eastAsia="Times New Roman"/>
      <w:szCs w:val="20"/>
    </w:rPr>
  </w:style>
  <w:style w:type="paragraph" w:customStyle="1" w:styleId="ListNumber1Level3">
    <w:name w:val="List Number 1 (Level 3)"/>
    <w:basedOn w:val="Normal"/>
    <w:rsid w:val="00C602C8"/>
    <w:pPr>
      <w:numPr>
        <w:ilvl w:val="2"/>
        <w:numId w:val="10"/>
      </w:numPr>
    </w:pPr>
    <w:rPr>
      <w:rFonts w:eastAsia="Times New Roman"/>
      <w:szCs w:val="20"/>
    </w:rPr>
  </w:style>
  <w:style w:type="paragraph" w:customStyle="1" w:styleId="ListNumber1Level4">
    <w:name w:val="List Number 1 (Level 4)"/>
    <w:basedOn w:val="Normal"/>
    <w:rsid w:val="00C602C8"/>
    <w:pPr>
      <w:numPr>
        <w:ilvl w:val="3"/>
        <w:numId w:val="10"/>
      </w:numPr>
    </w:pPr>
    <w:rPr>
      <w:rFonts w:eastAsia="Times New Roman"/>
      <w:szCs w:val="20"/>
    </w:rPr>
  </w:style>
  <w:style w:type="paragraph" w:customStyle="1" w:styleId="Annexetitreacte">
    <w:name w:val="Annexe titre (acte)"/>
    <w:basedOn w:val="Normal"/>
    <w:next w:val="Normal"/>
    <w:rsid w:val="00C602C8"/>
    <w:pPr>
      <w:jc w:val="center"/>
    </w:pPr>
    <w:rPr>
      <w:rFonts w:eastAsia="Times New Roman"/>
      <w:b/>
      <w:szCs w:val="20"/>
      <w:u w:val="single"/>
    </w:rPr>
  </w:style>
  <w:style w:type="paragraph" w:styleId="ListParagraph">
    <w:name w:val="List Paragraph"/>
    <w:basedOn w:val="Normal"/>
    <w:uiPriority w:val="34"/>
    <w:qFormat/>
    <w:rsid w:val="00F304DF"/>
    <w:pPr>
      <w:ind w:left="720"/>
      <w:contextualSpacing/>
    </w:pPr>
    <w:rPr>
      <w:rFonts w:eastAsiaTheme="minorHAnsi"/>
    </w:rPr>
  </w:style>
  <w:style w:type="paragraph" w:customStyle="1" w:styleId="Bullet10">
    <w:name w:val="Bullet 1"/>
    <w:basedOn w:val="Normal"/>
    <w:rsid w:val="007D53B6"/>
    <w:pPr>
      <w:tabs>
        <w:tab w:val="num" w:pos="1417"/>
      </w:tabs>
      <w:ind w:left="1417" w:hanging="567"/>
    </w:pPr>
  </w:style>
  <w:style w:type="paragraph" w:customStyle="1" w:styleId="Bullet20">
    <w:name w:val="Bullet 2"/>
    <w:basedOn w:val="Normal"/>
    <w:rsid w:val="007D53B6"/>
    <w:pPr>
      <w:tabs>
        <w:tab w:val="num" w:pos="1984"/>
      </w:tabs>
      <w:ind w:left="1984" w:hanging="567"/>
    </w:pPr>
  </w:style>
  <w:style w:type="paragraph" w:customStyle="1" w:styleId="ListBullet1">
    <w:name w:val="List Bullet 1"/>
    <w:basedOn w:val="Normal"/>
    <w:rsid w:val="00D07624"/>
    <w:pPr>
      <w:numPr>
        <w:numId w:val="12"/>
      </w:numPr>
    </w:pPr>
    <w:rPr>
      <w:rFonts w:eastAsia="Times New Roman"/>
    </w:rPr>
  </w:style>
  <w:style w:type="paragraph" w:customStyle="1" w:styleId="ListDash">
    <w:name w:val="List Dash"/>
    <w:basedOn w:val="Normal"/>
    <w:rsid w:val="00D07624"/>
    <w:pPr>
      <w:numPr>
        <w:numId w:val="13"/>
      </w:numPr>
    </w:pPr>
    <w:rPr>
      <w:rFonts w:eastAsia="Times New Roman"/>
    </w:rPr>
  </w:style>
  <w:style w:type="paragraph" w:customStyle="1" w:styleId="ListDash1">
    <w:name w:val="List Dash 1"/>
    <w:basedOn w:val="Normal"/>
    <w:rsid w:val="00D07624"/>
    <w:pPr>
      <w:numPr>
        <w:numId w:val="14"/>
      </w:numPr>
    </w:pPr>
    <w:rPr>
      <w:rFonts w:eastAsia="Times New Roman"/>
    </w:rPr>
  </w:style>
  <w:style w:type="paragraph" w:customStyle="1" w:styleId="ListDash2">
    <w:name w:val="List Dash 2"/>
    <w:basedOn w:val="Normal"/>
    <w:rsid w:val="00D07624"/>
    <w:pPr>
      <w:numPr>
        <w:numId w:val="15"/>
      </w:numPr>
    </w:pPr>
    <w:rPr>
      <w:rFonts w:eastAsia="Times New Roman"/>
    </w:rPr>
  </w:style>
  <w:style w:type="paragraph" w:customStyle="1" w:styleId="Normal1">
    <w:name w:val="Normal1"/>
    <w:basedOn w:val="Normal"/>
    <w:rsid w:val="00AD3054"/>
    <w:pPr>
      <w:spacing w:after="0"/>
    </w:pPr>
    <w:rPr>
      <w:rFonts w:eastAsia="Times New Roman"/>
      <w:szCs w:val="24"/>
    </w:rPr>
  </w:style>
  <w:style w:type="paragraph" w:customStyle="1" w:styleId="ListDash3">
    <w:name w:val="List Dash 3"/>
    <w:basedOn w:val="Normal"/>
    <w:rsid w:val="00AD3054"/>
    <w:pPr>
      <w:numPr>
        <w:numId w:val="17"/>
      </w:numPr>
    </w:pPr>
    <w:rPr>
      <w:rFonts w:eastAsia="Times New Roman"/>
      <w:szCs w:val="20"/>
    </w:rPr>
  </w:style>
  <w:style w:type="paragraph" w:customStyle="1" w:styleId="norm">
    <w:name w:val="norm"/>
    <w:basedOn w:val="Normal"/>
    <w:rsid w:val="00AD3054"/>
    <w:pPr>
      <w:spacing w:after="0"/>
    </w:pPr>
    <w:rPr>
      <w:rFonts w:eastAsia="Times New Roman"/>
      <w:szCs w:val="24"/>
    </w:rPr>
  </w:style>
  <w:style w:type="paragraph" w:customStyle="1" w:styleId="Norma">
    <w:name w:val="Norma"/>
    <w:basedOn w:val="Titrearticle"/>
    <w:rsid w:val="00AD3054"/>
    <w:rPr>
      <w:rFonts w:eastAsiaTheme="minorHAnsi"/>
    </w:rPr>
  </w:style>
  <w:style w:type="paragraph" w:customStyle="1" w:styleId="Style11">
    <w:name w:val="Style1.1"/>
    <w:basedOn w:val="Normal"/>
    <w:link w:val="Style11Char"/>
    <w:qFormat/>
    <w:rsid w:val="00AD3054"/>
    <w:pPr>
      <w:keepNext/>
      <w:numPr>
        <w:ilvl w:val="1"/>
        <w:numId w:val="18"/>
      </w:numPr>
      <w:outlineLvl w:val="1"/>
    </w:pPr>
    <w:rPr>
      <w:rFonts w:eastAsia="Times New Roman"/>
      <w:b/>
      <w:bCs/>
      <w:iCs/>
      <w:szCs w:val="28"/>
    </w:rPr>
  </w:style>
  <w:style w:type="paragraph" w:customStyle="1" w:styleId="Style111">
    <w:name w:val="Style1.1.1"/>
    <w:basedOn w:val="Normal"/>
    <w:qFormat/>
    <w:rsid w:val="00AD3054"/>
    <w:pPr>
      <w:keepNext/>
      <w:numPr>
        <w:ilvl w:val="2"/>
        <w:numId w:val="18"/>
      </w:numPr>
      <w:outlineLvl w:val="1"/>
    </w:pPr>
    <w:rPr>
      <w:rFonts w:eastAsia="Times New Roman"/>
      <w:bCs/>
      <w:iCs/>
      <w:szCs w:val="28"/>
      <w:u w:val="single"/>
    </w:rPr>
  </w:style>
  <w:style w:type="character" w:customStyle="1" w:styleId="Style11Char">
    <w:name w:val="Style1.1 Char"/>
    <w:link w:val="Style11"/>
    <w:rsid w:val="00AD3054"/>
    <w:rPr>
      <w:rFonts w:ascii="Times New Roman" w:eastAsia="Times New Roman" w:hAnsi="Times New Roman" w:cs="Times New Roman"/>
      <w:b/>
      <w:bCs/>
      <w:iCs/>
      <w:sz w:val="24"/>
      <w:szCs w:val="28"/>
      <w:lang w:val="en-GB"/>
    </w:rPr>
  </w:style>
  <w:style w:type="paragraph" w:customStyle="1" w:styleId="Style1">
    <w:name w:val="Style1"/>
    <w:basedOn w:val="Normal"/>
    <w:qFormat/>
    <w:rsid w:val="00AD3054"/>
    <w:pPr>
      <w:keepNext/>
      <w:numPr>
        <w:numId w:val="18"/>
      </w:numPr>
      <w:spacing w:before="360"/>
      <w:outlineLvl w:val="0"/>
    </w:pPr>
    <w:rPr>
      <w:rFonts w:eastAsia="Times New Roman"/>
      <w:b/>
      <w:bCs/>
      <w:smallCaps/>
      <w:szCs w:val="32"/>
    </w:rPr>
  </w:style>
  <w:style w:type="paragraph" w:customStyle="1" w:styleId="Style1111">
    <w:name w:val="Style1.1.1.1"/>
    <w:basedOn w:val="Normal"/>
    <w:qFormat/>
    <w:rsid w:val="00AD3054"/>
    <w:pPr>
      <w:keepNext/>
      <w:numPr>
        <w:ilvl w:val="3"/>
        <w:numId w:val="18"/>
      </w:numPr>
      <w:outlineLvl w:val="1"/>
    </w:pPr>
    <w:rPr>
      <w:rFonts w:eastAsia="Times New Roman"/>
      <w:bCs/>
      <w:i/>
      <w:iCs/>
      <w:szCs w:val="28"/>
    </w:rPr>
  </w:style>
  <w:style w:type="paragraph" w:customStyle="1" w:styleId="Bullet30">
    <w:name w:val="Bullet3"/>
    <w:basedOn w:val="Normal"/>
    <w:uiPriority w:val="6"/>
    <w:qFormat/>
    <w:rsid w:val="00AD3054"/>
    <w:pPr>
      <w:numPr>
        <w:ilvl w:val="2"/>
        <w:numId w:val="20"/>
      </w:numPr>
      <w:tabs>
        <w:tab w:val="num" w:pos="360"/>
      </w:tabs>
      <w:spacing w:before="0" w:after="0" w:line="240" w:lineRule="atLeast"/>
      <w:ind w:left="0" w:firstLine="0"/>
      <w:jc w:val="left"/>
    </w:pPr>
    <w:rPr>
      <w:rFonts w:ascii="Arial" w:eastAsia="Calibri" w:hAnsi="Arial"/>
      <w:sz w:val="20"/>
      <w:szCs w:val="24"/>
    </w:rPr>
  </w:style>
  <w:style w:type="numbering" w:customStyle="1" w:styleId="NumbLstBullet">
    <w:name w:val="NumbLstBullet"/>
    <w:uiPriority w:val="99"/>
    <w:rsid w:val="00AD3054"/>
    <w:pPr>
      <w:numPr>
        <w:numId w:val="19"/>
      </w:numPr>
    </w:pPr>
  </w:style>
  <w:style w:type="character" w:styleId="FollowedHyperlink">
    <w:name w:val="FollowedHyperlink"/>
    <w:basedOn w:val="DefaultParagraphFont"/>
    <w:uiPriority w:val="99"/>
    <w:semiHidden/>
    <w:unhideWhenUsed/>
    <w:rsid w:val="00AD3054"/>
    <w:rPr>
      <w:color w:val="800080" w:themeColor="followedHyperlink"/>
      <w:u w:val="single"/>
    </w:rPr>
  </w:style>
  <w:style w:type="paragraph" w:styleId="Revision">
    <w:name w:val="Revision"/>
    <w:hidden/>
    <w:uiPriority w:val="99"/>
    <w:semiHidden/>
    <w:rsid w:val="00AD3054"/>
    <w:pPr>
      <w:spacing w:after="0" w:line="240" w:lineRule="auto"/>
    </w:pPr>
    <w:rPr>
      <w:rFonts w:ascii="Times New Roman" w:eastAsiaTheme="minorHAnsi" w:hAnsi="Times New Roman" w:cs="Times New Roman"/>
      <w:sz w:val="24"/>
    </w:rPr>
  </w:style>
  <w:style w:type="paragraph" w:customStyle="1" w:styleId="Bullet11">
    <w:name w:val="Bullet1"/>
    <w:basedOn w:val="Normal"/>
    <w:uiPriority w:val="6"/>
    <w:qFormat/>
    <w:rsid w:val="004315C6"/>
    <w:pPr>
      <w:tabs>
        <w:tab w:val="num" w:pos="340"/>
      </w:tabs>
      <w:spacing w:before="0" w:after="0" w:line="240" w:lineRule="atLeast"/>
      <w:ind w:left="340" w:hanging="340"/>
      <w:jc w:val="left"/>
    </w:pPr>
    <w:rPr>
      <w:rFonts w:ascii="Arial" w:eastAsia="Calibri" w:hAnsi="Arial"/>
      <w:sz w:val="20"/>
      <w:szCs w:val="24"/>
    </w:rPr>
  </w:style>
  <w:style w:type="paragraph" w:customStyle="1" w:styleId="Bullet21">
    <w:name w:val="Bullet2"/>
    <w:basedOn w:val="Normal"/>
    <w:uiPriority w:val="6"/>
    <w:qFormat/>
    <w:rsid w:val="004315C6"/>
    <w:pPr>
      <w:tabs>
        <w:tab w:val="num" w:pos="360"/>
        <w:tab w:val="num" w:pos="680"/>
      </w:tabs>
      <w:spacing w:before="0" w:after="0" w:line="240" w:lineRule="atLeast"/>
      <w:jc w:val="left"/>
    </w:pPr>
    <w:rPr>
      <w:rFonts w:ascii="Arial" w:eastAsia="Calibri" w:hAnsi="Arial"/>
      <w:sz w:val="20"/>
      <w:szCs w:val="24"/>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5"/>
      </w:numPr>
    </w:pPr>
  </w:style>
  <w:style w:type="paragraph" w:customStyle="1" w:styleId="Tiret1">
    <w:name w:val="Tiret 1"/>
    <w:basedOn w:val="Point1"/>
    <w:rsid w:val="007D53B6"/>
    <w:pPr>
      <w:numPr>
        <w:numId w:val="36"/>
      </w:numPr>
    </w:pPr>
  </w:style>
  <w:style w:type="paragraph" w:customStyle="1" w:styleId="Tiret2">
    <w:name w:val="Tiret 2"/>
    <w:basedOn w:val="Point2"/>
    <w:rsid w:val="007D53B6"/>
    <w:pPr>
      <w:numPr>
        <w:numId w:val="37"/>
      </w:numPr>
    </w:pPr>
  </w:style>
  <w:style w:type="paragraph" w:customStyle="1" w:styleId="Tiret3">
    <w:name w:val="Tiret 3"/>
    <w:basedOn w:val="Point3"/>
    <w:rsid w:val="007D53B6"/>
    <w:pPr>
      <w:numPr>
        <w:numId w:val="38"/>
      </w:numPr>
    </w:pPr>
  </w:style>
  <w:style w:type="paragraph" w:customStyle="1" w:styleId="Tiret4">
    <w:name w:val="Tiret 4"/>
    <w:basedOn w:val="Point4"/>
    <w:rsid w:val="007D53B6"/>
    <w:pPr>
      <w:numPr>
        <w:numId w:val="3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40"/>
      </w:numPr>
    </w:pPr>
  </w:style>
  <w:style w:type="paragraph" w:customStyle="1" w:styleId="NumPar2">
    <w:name w:val="NumPar 2"/>
    <w:basedOn w:val="Normal"/>
    <w:next w:val="Text1"/>
    <w:rsid w:val="007D53B6"/>
    <w:pPr>
      <w:numPr>
        <w:ilvl w:val="1"/>
        <w:numId w:val="40"/>
      </w:numPr>
    </w:pPr>
  </w:style>
  <w:style w:type="paragraph" w:customStyle="1" w:styleId="NumPar3">
    <w:name w:val="NumPar 3"/>
    <w:basedOn w:val="Normal"/>
    <w:next w:val="Text1"/>
    <w:rsid w:val="007D53B6"/>
    <w:pPr>
      <w:numPr>
        <w:ilvl w:val="2"/>
        <w:numId w:val="40"/>
      </w:numPr>
    </w:pPr>
  </w:style>
  <w:style w:type="paragraph" w:customStyle="1" w:styleId="NumPar4">
    <w:name w:val="NumPar 4"/>
    <w:basedOn w:val="Normal"/>
    <w:next w:val="Text1"/>
    <w:rsid w:val="007D53B6"/>
    <w:pPr>
      <w:numPr>
        <w:ilvl w:val="3"/>
        <w:numId w:val="4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42"/>
      </w:numPr>
    </w:pPr>
  </w:style>
  <w:style w:type="paragraph" w:customStyle="1" w:styleId="Point1number">
    <w:name w:val="Point 1 (number)"/>
    <w:basedOn w:val="Normal"/>
    <w:rsid w:val="007D53B6"/>
    <w:pPr>
      <w:numPr>
        <w:ilvl w:val="2"/>
        <w:numId w:val="42"/>
      </w:numPr>
    </w:pPr>
  </w:style>
  <w:style w:type="paragraph" w:customStyle="1" w:styleId="Point2number">
    <w:name w:val="Point 2 (number)"/>
    <w:basedOn w:val="Normal"/>
    <w:rsid w:val="007D53B6"/>
    <w:pPr>
      <w:numPr>
        <w:ilvl w:val="4"/>
        <w:numId w:val="42"/>
      </w:numPr>
    </w:pPr>
  </w:style>
  <w:style w:type="paragraph" w:customStyle="1" w:styleId="Point3number">
    <w:name w:val="Point 3 (number)"/>
    <w:basedOn w:val="Normal"/>
    <w:rsid w:val="007D53B6"/>
    <w:pPr>
      <w:numPr>
        <w:ilvl w:val="6"/>
        <w:numId w:val="42"/>
      </w:numPr>
    </w:pPr>
  </w:style>
  <w:style w:type="paragraph" w:customStyle="1" w:styleId="Point0letter">
    <w:name w:val="Point 0 (letter)"/>
    <w:basedOn w:val="Normal"/>
    <w:rsid w:val="007D53B6"/>
    <w:pPr>
      <w:numPr>
        <w:ilvl w:val="1"/>
        <w:numId w:val="42"/>
      </w:numPr>
    </w:pPr>
  </w:style>
  <w:style w:type="paragraph" w:customStyle="1" w:styleId="Point1letter">
    <w:name w:val="Point 1 (letter)"/>
    <w:basedOn w:val="Normal"/>
    <w:rsid w:val="007D53B6"/>
    <w:pPr>
      <w:numPr>
        <w:ilvl w:val="3"/>
        <w:numId w:val="42"/>
      </w:numPr>
    </w:pPr>
  </w:style>
  <w:style w:type="paragraph" w:customStyle="1" w:styleId="Point2letter">
    <w:name w:val="Point 2 (letter)"/>
    <w:basedOn w:val="Normal"/>
    <w:rsid w:val="007D53B6"/>
    <w:pPr>
      <w:numPr>
        <w:ilvl w:val="5"/>
        <w:numId w:val="42"/>
      </w:numPr>
    </w:pPr>
  </w:style>
  <w:style w:type="paragraph" w:customStyle="1" w:styleId="Point3letter">
    <w:name w:val="Point 3 (letter)"/>
    <w:basedOn w:val="Normal"/>
    <w:rsid w:val="007D53B6"/>
    <w:pPr>
      <w:numPr>
        <w:ilvl w:val="7"/>
        <w:numId w:val="42"/>
      </w:numPr>
    </w:pPr>
  </w:style>
  <w:style w:type="paragraph" w:customStyle="1" w:styleId="Point4letter">
    <w:name w:val="Point 4 (letter)"/>
    <w:basedOn w:val="Normal"/>
    <w:rsid w:val="007D53B6"/>
    <w:pPr>
      <w:numPr>
        <w:ilvl w:val="8"/>
        <w:numId w:val="42"/>
      </w:numPr>
    </w:pPr>
  </w:style>
  <w:style w:type="paragraph" w:customStyle="1" w:styleId="Bullet0">
    <w:name w:val="Bullet 0"/>
    <w:basedOn w:val="Normal"/>
    <w:rsid w:val="007D53B6"/>
    <w:pPr>
      <w:numPr>
        <w:numId w:val="43"/>
      </w:numPr>
    </w:pPr>
  </w:style>
  <w:style w:type="paragraph" w:customStyle="1" w:styleId="Bullet1">
    <w:name w:val="Bullet 1"/>
    <w:basedOn w:val="Normal"/>
    <w:rsid w:val="007D53B6"/>
    <w:pPr>
      <w:numPr>
        <w:numId w:val="44"/>
      </w:numPr>
    </w:pPr>
  </w:style>
  <w:style w:type="paragraph" w:customStyle="1" w:styleId="Bullet2">
    <w:name w:val="Bullet 2"/>
    <w:basedOn w:val="Normal"/>
    <w:rsid w:val="007D53B6"/>
    <w:pPr>
      <w:numPr>
        <w:numId w:val="45"/>
      </w:numPr>
    </w:pPr>
  </w:style>
  <w:style w:type="paragraph" w:customStyle="1" w:styleId="Bullet3">
    <w:name w:val="Bullet 3"/>
    <w:basedOn w:val="Normal"/>
    <w:rsid w:val="007D53B6"/>
    <w:pPr>
      <w:numPr>
        <w:numId w:val="46"/>
      </w:numPr>
    </w:pPr>
  </w:style>
  <w:style w:type="paragraph" w:customStyle="1" w:styleId="Bullet4">
    <w:name w:val="Bullet 4"/>
    <w:basedOn w:val="Normal"/>
    <w:rsid w:val="007D53B6"/>
    <w:pPr>
      <w:numPr>
        <w:numId w:val="4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9676">
      <w:bodyDiv w:val="1"/>
      <w:marLeft w:val="0"/>
      <w:marRight w:val="0"/>
      <w:marTop w:val="0"/>
      <w:marBottom w:val="0"/>
      <w:divBdr>
        <w:top w:val="none" w:sz="0" w:space="0" w:color="auto"/>
        <w:left w:val="none" w:sz="0" w:space="0" w:color="auto"/>
        <w:bottom w:val="none" w:sz="0" w:space="0" w:color="auto"/>
        <w:right w:val="none" w:sz="0" w:space="0" w:color="auto"/>
      </w:divBdr>
    </w:div>
    <w:div w:id="832792715">
      <w:bodyDiv w:val="1"/>
      <w:marLeft w:val="0"/>
      <w:marRight w:val="0"/>
      <w:marTop w:val="0"/>
      <w:marBottom w:val="0"/>
      <w:divBdr>
        <w:top w:val="none" w:sz="0" w:space="0" w:color="auto"/>
        <w:left w:val="none" w:sz="0" w:space="0" w:color="auto"/>
        <w:bottom w:val="none" w:sz="0" w:space="0" w:color="auto"/>
        <w:right w:val="none" w:sz="0" w:space="0" w:color="auto"/>
      </w:divBdr>
    </w:div>
    <w:div w:id="1289047131">
      <w:bodyDiv w:val="1"/>
      <w:marLeft w:val="0"/>
      <w:marRight w:val="0"/>
      <w:marTop w:val="0"/>
      <w:marBottom w:val="0"/>
      <w:divBdr>
        <w:top w:val="none" w:sz="0" w:space="0" w:color="auto"/>
        <w:left w:val="none" w:sz="0" w:space="0" w:color="auto"/>
        <w:bottom w:val="none" w:sz="0" w:space="0" w:color="auto"/>
        <w:right w:val="none" w:sz="0" w:space="0" w:color="auto"/>
      </w:divBdr>
    </w:div>
    <w:div w:id="1745107200">
      <w:bodyDiv w:val="1"/>
      <w:marLeft w:val="0"/>
      <w:marRight w:val="0"/>
      <w:marTop w:val="0"/>
      <w:marBottom w:val="0"/>
      <w:divBdr>
        <w:top w:val="none" w:sz="0" w:space="0" w:color="auto"/>
        <w:left w:val="none" w:sz="0" w:space="0" w:color="auto"/>
        <w:bottom w:val="none" w:sz="0" w:space="0" w:color="auto"/>
        <w:right w:val="none" w:sz="0" w:space="0" w:color="auto"/>
      </w:divBdr>
    </w:div>
    <w:div w:id="1863779318">
      <w:bodyDiv w:val="1"/>
      <w:marLeft w:val="0"/>
      <w:marRight w:val="0"/>
      <w:marTop w:val="0"/>
      <w:marBottom w:val="0"/>
      <w:divBdr>
        <w:top w:val="none" w:sz="0" w:space="0" w:color="auto"/>
        <w:left w:val="none" w:sz="0" w:space="0" w:color="auto"/>
        <w:bottom w:val="none" w:sz="0" w:space="0" w:color="auto"/>
        <w:right w:val="none" w:sz="0" w:space="0" w:color="auto"/>
      </w:divBdr>
    </w:div>
    <w:div w:id="19710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ec.europa.eu/clima/policies/ets/cap/leakage/documentation_en.ht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clima/policies/ets/cap/leakage/docs/cl_evidence_factsheets_en.pdf" TargetMode="External"/><Relationship Id="rId2" Type="http://schemas.openxmlformats.org/officeDocument/2006/relationships/hyperlink" Target="http://ec.europa.eu/clima/policies/ets/cap/leakage/documentation_en.htm" TargetMode="External"/><Relationship Id="rId1" Type="http://schemas.openxmlformats.org/officeDocument/2006/relationships/hyperlink" Target="http://ec.europa.eu/clima/consultations/articles/0023_en.htm"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7F8B-E940-4812-9702-BB4B0BCA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40</Pages>
  <Words>12122</Words>
  <Characters>80240</Characters>
  <Application>Microsoft Office Word</Application>
  <DocSecurity>0</DocSecurity>
  <Lines>1893</Lines>
  <Paragraphs>778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2015-08-27T11:31:00Z</dcterms:created>
  <dcterms:modified xsi:type="dcterms:W3CDTF">2015-08-27T11:32:00Z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