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D6" w:rsidRDefault="00923100" w:rsidP="00923100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030F9697338D421ABF070E98E55D598B" style="width:450pt;height:408pt">
            <v:imagedata r:id="rId8" o:title=""/>
          </v:shape>
        </w:pict>
      </w:r>
    </w:p>
    <w:bookmarkEnd w:id="0"/>
    <w:p w:rsidR="00E02AD6" w:rsidRDefault="00E02AD6">
      <w:pPr>
        <w:rPr>
          <w:noProof/>
        </w:rPr>
        <w:sectPr w:rsidR="00E02AD6" w:rsidSect="009231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02AD6" w:rsidRDefault="00923100">
      <w:pPr>
        <w:jc w:val="center"/>
        <w:rPr>
          <w:b/>
          <w:noProof/>
          <w:sz w:val="24"/>
          <w:szCs w:val="24"/>
          <w:u w:val="single"/>
          <w:lang w:eastAsia="zh-CN"/>
        </w:rPr>
      </w:pPr>
      <w:bookmarkStart w:id="1" w:name="_GoBack"/>
      <w:bookmarkEnd w:id="1"/>
      <w:r>
        <w:rPr>
          <w:b/>
          <w:noProof/>
          <w:sz w:val="24"/>
          <w:szCs w:val="24"/>
          <w:u w:val="single"/>
          <w:lang w:eastAsia="zh-CN"/>
        </w:rPr>
        <w:lastRenderedPageBreak/>
        <w:t xml:space="preserve">ANNEX </w:t>
      </w:r>
    </w:p>
    <w:p w:rsidR="00E02AD6" w:rsidRDefault="00923100">
      <w:pPr>
        <w:jc w:val="center"/>
        <w:rPr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lang w:eastAsia="zh-CN"/>
        </w:rPr>
        <w:t>EU common list of safe countries of origin referred to in Article 2</w:t>
      </w:r>
    </w:p>
    <w:p w:rsidR="00E02AD6" w:rsidRDefault="009231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Albania, </w:t>
      </w:r>
    </w:p>
    <w:p w:rsidR="00E02AD6" w:rsidRDefault="009231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Bosnia and Herzegovina, </w:t>
      </w:r>
    </w:p>
    <w:p w:rsidR="00E02AD6" w:rsidRDefault="009231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former Yugoslav Republic of Macedonia, </w:t>
      </w:r>
    </w:p>
    <w:p w:rsidR="00E02AD6" w:rsidRDefault="009231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Kosovo*</w:t>
      </w:r>
      <w:r>
        <w:rPr>
          <w:rStyle w:val="FootnoteReference"/>
          <w:noProof/>
          <w:sz w:val="24"/>
          <w:szCs w:val="24"/>
        </w:rPr>
        <w:footnoteReference w:id="1"/>
      </w:r>
      <w:r>
        <w:rPr>
          <w:noProof/>
          <w:sz w:val="24"/>
          <w:szCs w:val="24"/>
        </w:rPr>
        <w:t xml:space="preserve">, </w:t>
      </w:r>
    </w:p>
    <w:p w:rsidR="00E02AD6" w:rsidRDefault="009231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Montenegro, </w:t>
      </w:r>
    </w:p>
    <w:p w:rsidR="00E02AD6" w:rsidRDefault="009231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Serbia,</w:t>
      </w:r>
    </w:p>
    <w:p w:rsidR="00E02AD6" w:rsidRDefault="009231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Turkey.  </w:t>
      </w:r>
    </w:p>
    <w:sectPr w:rsidR="00E02A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D6" w:rsidRDefault="00923100">
      <w:pPr>
        <w:spacing w:after="0" w:line="240" w:lineRule="auto"/>
      </w:pPr>
      <w:r>
        <w:separator/>
      </w:r>
    </w:p>
  </w:endnote>
  <w:endnote w:type="continuationSeparator" w:id="0">
    <w:p w:rsidR="00E02AD6" w:rsidRDefault="0092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00" w:rsidRPr="00923100" w:rsidRDefault="00923100" w:rsidP="00923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00" w:rsidRPr="00923100" w:rsidRDefault="00923100" w:rsidP="00923100">
    <w:pPr>
      <w:pStyle w:val="FooterCoverPage"/>
      <w:rPr>
        <w:rFonts w:ascii="Arial" w:hAnsi="Arial" w:cs="Arial"/>
        <w:b/>
        <w:sz w:val="48"/>
      </w:rPr>
    </w:pPr>
    <w:r w:rsidRPr="00923100">
      <w:rPr>
        <w:rFonts w:ascii="Arial" w:hAnsi="Arial" w:cs="Arial"/>
        <w:b/>
        <w:sz w:val="48"/>
      </w:rPr>
      <w:t>EN</w:t>
    </w:r>
    <w:r w:rsidRPr="00923100">
      <w:rPr>
        <w:rFonts w:ascii="Arial" w:hAnsi="Arial" w:cs="Arial"/>
        <w:b/>
        <w:sz w:val="48"/>
      </w:rPr>
      <w:tab/>
    </w:r>
    <w:r w:rsidRPr="00923100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923100">
      <w:tab/>
    </w:r>
    <w:proofErr w:type="spellStart"/>
    <w:r w:rsidRPr="00923100">
      <w:rPr>
        <w:rFonts w:ascii="Arial" w:hAnsi="Arial" w:cs="Arial"/>
        <w:b/>
        <w:sz w:val="48"/>
      </w:rPr>
      <w:t>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00" w:rsidRPr="00923100" w:rsidRDefault="00923100" w:rsidP="00923100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D6" w:rsidRDefault="00E02AD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D6" w:rsidRDefault="00E02AD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D6" w:rsidRDefault="00E02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D6" w:rsidRDefault="00923100">
      <w:pPr>
        <w:spacing w:after="0" w:line="240" w:lineRule="auto"/>
      </w:pPr>
      <w:r>
        <w:separator/>
      </w:r>
    </w:p>
  </w:footnote>
  <w:footnote w:type="continuationSeparator" w:id="0">
    <w:p w:rsidR="00E02AD6" w:rsidRDefault="00923100">
      <w:pPr>
        <w:spacing w:after="0" w:line="240" w:lineRule="auto"/>
      </w:pPr>
      <w:r>
        <w:continuationSeparator/>
      </w:r>
    </w:p>
  </w:footnote>
  <w:footnote w:id="1">
    <w:p w:rsidR="00E02AD6" w:rsidRDefault="00923100">
      <w:pPr>
        <w:pStyle w:val="FootnoteText"/>
      </w:pPr>
      <w:r>
        <w:rPr>
          <w:rStyle w:val="FootnoteReference"/>
        </w:rPr>
        <w:footnoteRef/>
      </w:r>
      <w:r>
        <w:t xml:space="preserve">  * This designation is without prejudice to positions on status, and is in line with UNSCR 1244/99 and the ICJ Opinion on the Kosovo declaration of independence.</w:t>
      </w:r>
    </w:p>
    <w:p w:rsidR="00E02AD6" w:rsidRDefault="00E02AD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00" w:rsidRPr="00923100" w:rsidRDefault="00923100" w:rsidP="00923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00" w:rsidRPr="00923100" w:rsidRDefault="00923100" w:rsidP="00923100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00" w:rsidRPr="00923100" w:rsidRDefault="00923100" w:rsidP="00923100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D6" w:rsidRDefault="00E02AD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D6" w:rsidRDefault="00E02AD6"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D6" w:rsidRDefault="00E02AD6">
    <w:pPr>
      <w:pStyle w:val="HeaderCover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o the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030F9697338D421ABF070E98E55D598B"/>
    <w:docVar w:name="LW_CROSSREFERENCE" w:val="&lt;UNUSED&gt;"/>
    <w:docVar w:name="LW_DocType" w:val="NORMAL"/>
    <w:docVar w:name="LW_EMISSION" w:val="9.9.2015"/>
    <w:docVar w:name="LW_EMISSION_ISODATE" w:val="2015-09-09"/>
    <w:docVar w:name="LW_EMISSION_LOCATION" w:val="BRX"/>
    <w:docVar w:name="LW_EMISSION_PREFIX" w:val="Brussels, "/>
    <w:docVar w:name="LW_EMISSION_SUFFIX" w:val=" "/>
    <w:docVar w:name="LW_ID_DOCTYPE_NONLW" w:val="CP-036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.CP" w:val="Proposal for a_x000b_REGULATION OF THE EUROPEAN PARLIAMENT AND OF THE COUNCIL_x000b_establishing an EU common list of safe countries of origin for the purposes of Directive 2013/32/EU of the European Parliament and of the Council on common procedures for granting and withdrawing international protection, and amending Directive 2013/32/EU  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5) 452"/>
    <w:docVar w:name="LW_REF.INTERNE" w:val="&lt;UNUSED&gt;"/>
    <w:docVar w:name="LW_SUPERTITRE" w:val="&lt;UNUSED&gt;"/>
    <w:docVar w:name="LW_TITRE.OBJ.CP" w:val="&lt;UNUSED&gt;"/>
    <w:docVar w:name="LW_TYPE.DOC.CP" w:val="ANNEX_x000b_"/>
    <w:docVar w:name="LW_TYPEACTEPRINCIPAL.CP" w:val="&lt;UNUSED&gt;"/>
  </w:docVars>
  <w:rsids>
    <w:rsidRoot w:val="00E02AD6"/>
    <w:rsid w:val="00923100"/>
    <w:rsid w:val="00E0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eastAsiaTheme="minorHAns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en-GB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GB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sz w:val="24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sz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  <w:ind w:left="720" w:hanging="720"/>
      <w:jc w:val="both"/>
    </w:pPr>
    <w:rPr>
      <w:rFonts w:eastAsiaTheme="minorHAnsi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eastAsiaTheme="minorHAnsi"/>
      <w:i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eastAsiaTheme="minorHAns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eastAsia="en-GB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GB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sz w:val="24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sz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  <w:ind w:left="720" w:hanging="720"/>
      <w:jc w:val="both"/>
    </w:pPr>
    <w:rPr>
      <w:rFonts w:eastAsiaTheme="minorHAnsi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eastAsiaTheme="minorHAnsi"/>
      <w:i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9BE9-5950-4C14-B53B-8710C67B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169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CHUDZINSKA Katarzyna (HOME)</dc:creator>
  <cp:lastModifiedBy>KUDRYK Katarzyna (SG)</cp:lastModifiedBy>
  <cp:revision>10</cp:revision>
  <cp:lastPrinted>2015-09-07T14:07:00Z</cp:lastPrinted>
  <dcterms:created xsi:type="dcterms:W3CDTF">2015-09-07T06:53:00Z</dcterms:created>
  <dcterms:modified xsi:type="dcterms:W3CDTF">2015-09-09T08:10:00Z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