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EFBD1633D1B24CE0811914D0F0AEFF8B" style="width:450.75pt;height:422.2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b/>
          <w:noProof/>
          <w:sz w:val="24"/>
          <w:szCs w:val="24"/>
          <w:u w:val="single"/>
        </w:rPr>
      </w:pPr>
      <w:bookmarkStart w:id="1" w:name="_GoBack"/>
      <w:bookmarkEnd w:id="1"/>
      <w:r>
        <w:rPr>
          <w:b/>
          <w:noProof/>
          <w:sz w:val="24"/>
          <w:u w:val="single"/>
        </w:rPr>
        <w:lastRenderedPageBreak/>
        <w:t xml:space="preserve">ANEXO </w:t>
      </w:r>
    </w:p>
    <w:p>
      <w:pPr>
        <w:jc w:val="center"/>
        <w:rPr>
          <w:noProof/>
          <w:sz w:val="24"/>
          <w:szCs w:val="24"/>
        </w:rPr>
      </w:pPr>
      <w:r>
        <w:rPr>
          <w:noProof/>
          <w:sz w:val="24"/>
        </w:rPr>
        <w:t>Lista comum da UE de países de origem seguros a que se refere o artigo 2.º</w:t>
      </w:r>
    </w:p>
    <w:p>
      <w:pPr>
        <w:rPr>
          <w:noProof/>
          <w:sz w:val="24"/>
          <w:szCs w:val="24"/>
        </w:rPr>
      </w:pPr>
      <w:r>
        <w:rPr>
          <w:noProof/>
          <w:sz w:val="24"/>
        </w:rPr>
        <w:t xml:space="preserve">Albânia, </w:t>
      </w:r>
    </w:p>
    <w:p>
      <w:pPr>
        <w:rPr>
          <w:noProof/>
          <w:sz w:val="24"/>
          <w:szCs w:val="24"/>
        </w:rPr>
      </w:pPr>
      <w:r>
        <w:rPr>
          <w:noProof/>
          <w:sz w:val="24"/>
        </w:rPr>
        <w:t xml:space="preserve">Bósnia-Herzegovina, </w:t>
      </w:r>
    </w:p>
    <w:p>
      <w:pPr>
        <w:rPr>
          <w:noProof/>
          <w:sz w:val="24"/>
          <w:szCs w:val="24"/>
        </w:rPr>
      </w:pPr>
      <w:r>
        <w:rPr>
          <w:noProof/>
          <w:sz w:val="24"/>
        </w:rPr>
        <w:t xml:space="preserve">Antiga República jugoslava da Macedónia, </w:t>
      </w:r>
    </w:p>
    <w:p>
      <w:pPr>
        <w:rPr>
          <w:noProof/>
          <w:sz w:val="24"/>
          <w:szCs w:val="24"/>
        </w:rPr>
      </w:pPr>
      <w:r>
        <w:rPr>
          <w:noProof/>
          <w:sz w:val="24"/>
        </w:rPr>
        <w:t>Kosovo*</w:t>
      </w:r>
      <w:r>
        <w:rPr>
          <w:rStyle w:val="FootnoteReference"/>
          <w:noProof/>
          <w:sz w:val="24"/>
        </w:rPr>
        <w:footnoteReference w:id="1"/>
      </w:r>
      <w:r>
        <w:rPr>
          <w:noProof/>
          <w:sz w:val="24"/>
        </w:rPr>
        <w:t xml:space="preserve">, </w:t>
      </w:r>
    </w:p>
    <w:p>
      <w:pPr>
        <w:rPr>
          <w:noProof/>
          <w:sz w:val="24"/>
          <w:szCs w:val="24"/>
        </w:rPr>
      </w:pPr>
      <w:r>
        <w:rPr>
          <w:noProof/>
          <w:sz w:val="24"/>
        </w:rPr>
        <w:t xml:space="preserve">Montenegro, </w:t>
      </w:r>
    </w:p>
    <w:p>
      <w:pPr>
        <w:rPr>
          <w:noProof/>
          <w:sz w:val="24"/>
          <w:szCs w:val="24"/>
        </w:rPr>
      </w:pPr>
      <w:r>
        <w:rPr>
          <w:noProof/>
          <w:sz w:val="24"/>
        </w:rPr>
        <w:t>Sérvia,</w:t>
      </w:r>
    </w:p>
    <w:p>
      <w:pPr>
        <w:rPr>
          <w:noProof/>
          <w:sz w:val="24"/>
          <w:szCs w:val="24"/>
        </w:rPr>
      </w:pPr>
      <w:r>
        <w:rPr>
          <w:noProof/>
          <w:sz w:val="24"/>
        </w:rPr>
        <w:t xml:space="preserve">Turquia.  </w:t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 *Esta designação não prejudica as posições relativas ao estatuto e está conforme com a Resolução 1244/1999 do CSNU e com o parecer do TIJ sobre a declaração de independência do Kosovo.</w:t>
      </w:r>
    </w:p>
    <w:p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da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EFBD1633D1B24CE0811914D0F0AEFF8B"/>
    <w:docVar w:name="LW_CROSSREFERENCE" w:val="&lt;UNUSED&gt;"/>
    <w:docVar w:name="LW_DocType" w:val="NORMAL"/>
    <w:docVar w:name="LW_EMISSION" w:val="9.9.2015"/>
    <w:docVar w:name="LW_EMISSION_ISODATE" w:val="2015-09-09"/>
    <w:docVar w:name="LW_EMISSION_LOCATION" w:val="BRX"/>
    <w:docVar w:name="LW_EMISSION_PREFIX" w:val="Bruxelas, "/>
    <w:docVar w:name="LW_EMISSION_SUFFIX" w:val=" "/>
    <w:docVar w:name="LW_ID_DOCTYPE_NONLW" w:val="CP-036"/>
    <w:docVar w:name="LW_LANGUE" w:val="PT"/>
    <w:docVar w:name="LW_MARKING" w:val="&lt;UNUSED&gt;"/>
    <w:docVar w:name="LW_NOM.INST" w:val="COMISSÃO EUROPEIA"/>
    <w:docVar w:name="LW_NOM.INST_JOINTDOC" w:val="&lt;EMPTY&gt;"/>
    <w:docVar w:name="LW_OBJETACTEPRINCIPAL.CP" w:val="Proposta de_x000b_REGULAMENTO DO PARLAMENTO EUROPEU E DO CONSELHO_x000b_que estabelece uma lista comum da UE de países de origem seguros para efeitos da Diretiva 2013/32/UE do Parlamento Europeu e do Conselho relativa a procedimentos comuns de concessão e retirada do estatuto de proteção internacional, e que altera a Diretiva 2013/32/UE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5) 452"/>
    <w:docVar w:name="LW_REF.INTERNE" w:val="&lt;UNUSED&gt;"/>
    <w:docVar w:name="LW_SUPERTITRE" w:val="&lt;UNUSED&gt;"/>
    <w:docVar w:name="LW_TITRE.OBJ.CP" w:val="&lt;UNUSED&gt;"/>
    <w:docVar w:name="LW_TYPE.DOC.CP" w:val="ANEXO_x000b_"/>
    <w:docVar w:name="LW_TYPEACTEPRINCIPAL.CP" w:val="&lt;UNUSED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pt-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eastAsiaTheme="minorHAns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eastAsia="pt-PT"/>
    </w:rPr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eastAsia="pt-P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sz w:val="24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  <w:ind w:left="720" w:hanging="720"/>
      <w:jc w:val="both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eastAsiaTheme="minorHAnsi"/>
      <w:i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pt-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eastAsiaTheme="minorHAns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eastAsia="pt-PT"/>
    </w:rPr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eastAsia="pt-P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sz w:val="24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  <w:ind w:left="720" w:hanging="720"/>
      <w:jc w:val="both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eastAsiaTheme="minorHAnsi"/>
      <w:i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08F8-8ED0-4F43-ADB2-FD226623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</Words>
  <Characters>171</Characters>
  <Application>Microsoft Office Word</Application>
  <DocSecurity>0</DocSecurity>
  <Lines>12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CHUDZINSKA Katarzyna (HOME)</dc:creator>
  <cp:lastModifiedBy>DIGIT/A3</cp:lastModifiedBy>
  <cp:revision>8</cp:revision>
  <dcterms:created xsi:type="dcterms:W3CDTF">2015-09-04T13:13:00Z</dcterms:created>
  <dcterms:modified xsi:type="dcterms:W3CDTF">2015-09-12T19:41:00Z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