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11" w:rsidRDefault="001F028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C5549D105C5449CBBFF7245AF06E7C1" style="width:450.75pt;height:420pt">
            <v:imagedata r:id="rId9" o:title=""/>
          </v:shape>
        </w:pict>
      </w:r>
    </w:p>
    <w:p w:rsidR="00DE4D11" w:rsidRDefault="00DE4D11">
      <w:pPr>
        <w:pStyle w:val="Pagedecouverture"/>
        <w:rPr>
          <w:noProof/>
        </w:rPr>
        <w:sectPr w:rsidR="00DE4D11">
          <w:footerReference w:type="default" r:id="rId10"/>
          <w:pgSz w:w="11907" w:h="16839"/>
          <w:pgMar w:top="1134" w:right="1417" w:bottom="1134" w:left="1417" w:header="709" w:footer="709" w:gutter="0"/>
          <w:pgNumType w:start="1"/>
          <w:cols w:space="720"/>
          <w:docGrid w:linePitch="360"/>
        </w:sectPr>
      </w:pPr>
    </w:p>
    <w:p w:rsidR="00DE4D11" w:rsidRDefault="00EB4F41">
      <w:pPr>
        <w:pStyle w:val="Exposdesmotifstitre"/>
        <w:rPr>
          <w:noProof/>
        </w:rPr>
      </w:pPr>
      <w:r>
        <w:rPr>
          <w:noProof/>
        </w:rPr>
        <w:lastRenderedPageBreak/>
        <w:t>ΑΙΤΙΟΛΟΓΙΚΗ ΕΚΘΕΣΗ</w:t>
      </w:r>
    </w:p>
    <w:p w:rsidR="00DE4D11" w:rsidRDefault="00EB4F41">
      <w:pPr>
        <w:pStyle w:val="ManualHeading1"/>
        <w:rPr>
          <w:noProof/>
        </w:rPr>
      </w:pPr>
      <w:r>
        <w:rPr>
          <w:noProof/>
        </w:rPr>
        <w:t>1.</w:t>
      </w:r>
      <w:r>
        <w:rPr>
          <w:noProof/>
        </w:rPr>
        <w:tab/>
        <w:t>ΠΛΑΙΣΙΟ ΤΗΣ ΠΡΟΤΑΣΗΣ</w:t>
      </w:r>
    </w:p>
    <w:p w:rsidR="00DE4D11" w:rsidRDefault="00EB4F41">
      <w:pPr>
        <w:pStyle w:val="ManualHeading2"/>
        <w:rPr>
          <w:rFonts w:eastAsia="Arial Unicode MS"/>
          <w:noProof/>
        </w:rPr>
      </w:pPr>
      <w:r>
        <w:rPr>
          <w:noProof/>
          <w:color w:val="000000"/>
          <w:bdr w:val="none" w:sz="0" w:space="0" w:color="auto" w:frame="1"/>
        </w:rPr>
        <w:t>•</w:t>
      </w:r>
      <w:r>
        <w:rPr>
          <w:noProof/>
        </w:rPr>
        <w:tab/>
        <w:t>Αιτιολόγηση και στόχοι της πρότασης</w:t>
      </w:r>
    </w:p>
    <w:p w:rsidR="00DE4D11" w:rsidRDefault="00EB4F41">
      <w:pPr>
        <w:spacing w:before="0" w:after="240"/>
        <w:rPr>
          <w:rFonts w:eastAsia="Calibri"/>
          <w:noProof/>
        </w:rPr>
      </w:pPr>
      <w:r>
        <w:rPr>
          <w:noProof/>
        </w:rPr>
        <w:t>Το ευρωπαϊκό πρόγραμμα δράσης για τη μετανάστευση που εγκρίθηκε από την Ευρωπαϊκή Επιτροπή στις 13 Μαΐου 2015</w:t>
      </w:r>
      <w:r>
        <w:rPr>
          <w:rStyle w:val="FootnoteReference"/>
          <w:noProof/>
        </w:rPr>
        <w:footnoteReference w:id="1"/>
      </w:r>
      <w:r>
        <w:rPr>
          <w:noProof/>
        </w:rPr>
        <w:t xml:space="preserve"> περιγράφει άμεσα μέτρα που απαιτούνται για την αντιμετώπιση των τρεχουσών επειγουσών και πολύπλοκων προκλήσεων στον τομέα της μετανάστευσης, καθώς και μεσοπρόθεσμες και μακροπρόθεσμες πρωτοβουλίες που πρέπει να αναληφθούν για την εξεύρεση διαρθρωτικών λύσεων με σκοπό την καλύτερη διαχείριση της μετανάστευσης σε όλες της τις πτυχές.</w:t>
      </w:r>
    </w:p>
    <w:p w:rsidR="00DE4D11" w:rsidRDefault="00EB4F41">
      <w:pPr>
        <w:autoSpaceDE w:val="0"/>
        <w:autoSpaceDN w:val="0"/>
        <w:adjustRightInd w:val="0"/>
        <w:spacing w:before="0" w:after="240"/>
        <w:rPr>
          <w:rFonts w:eastAsia="Arial Unicode MS"/>
          <w:noProof/>
        </w:rPr>
      </w:pPr>
      <w:r>
        <w:rPr>
          <w:noProof/>
        </w:rPr>
        <w:t>Ως μέρος των άμεσων μέτρων, στις 27 Μαΐου 2015, η Ευρωπαϊκή Επιτροπή ενέκρινε πρόταση απόφασης του Συμβουλίου για τη θέσπιση προσωρινών μέτρων στον τομέα της διεθνούς προστασίας υπέρ της Ιταλίας και της Ελλάδας</w:t>
      </w:r>
      <w:r>
        <w:rPr>
          <w:rStyle w:val="FootnoteReference"/>
          <w:noProof/>
        </w:rPr>
        <w:footnoteReference w:id="2"/>
      </w:r>
      <w:r>
        <w:rPr>
          <w:noProof/>
        </w:rPr>
        <w:t>, με την οποία ενεργοποίησε το σύστημα αντιμετώπισης επείγουσας ανάγκης που προβλέπεται στο άρθρο 78 παράγραφος 3 της Συνθήκης για τη λειτουργία της Ευρωπαϊκής Ένωσης (ΣΛΕΕ). Στις 20 Ιουλίου 2015, το Συμβούλιο κατέληξε σε γενική προσέγγιση σχετικά με την εν λόγω απόφαση</w:t>
      </w:r>
      <w:r>
        <w:rPr>
          <w:rStyle w:val="FootnoteReference"/>
          <w:noProof/>
        </w:rPr>
        <w:footnoteReference w:id="3"/>
      </w:r>
      <w:r>
        <w:rPr>
          <w:noProof/>
        </w:rPr>
        <w:t xml:space="preserve"> η οποία θεσπίζει προσωρινό και έκτακτο μηχανισμό μετεγκατάστασης ατόμων που χρήζουν σαφώς προστασίας, εντός περιόδου δύο ετών, από την Ιταλία και την Ελλάδα σε άλλα κράτη μέλη. Το Συμβούλιο αναμένεται να εκδώσει επισήμως την απόφαση μετά τη γνωμοδότηση του Ευρωπαϊκού Κοινοβουλίου, η οποία αναμένεται τον Σεπτέμβριο του 2015. </w:t>
      </w:r>
    </w:p>
    <w:p w:rsidR="00DE4D11" w:rsidRDefault="00EB4F41">
      <w:pPr>
        <w:autoSpaceDE w:val="0"/>
        <w:autoSpaceDN w:val="0"/>
        <w:adjustRightInd w:val="0"/>
        <w:spacing w:before="0" w:after="240"/>
        <w:rPr>
          <w:rFonts w:eastAsia="Calibri"/>
          <w:noProof/>
        </w:rPr>
      </w:pPr>
      <w:r>
        <w:rPr>
          <w:noProof/>
        </w:rPr>
        <w:t xml:space="preserve">Λόγω των πρωτοφανών ροών μεταναστών που συνέχισαν να αυξάνουν στην Ιταλία και την Ελλάδα και της μετατόπισης των μεταναστευτικών ροών από την Κεντρική προς την Ανατολική Μεσόγειο και προς τη διαδρομή των Δυτικών Βαλκανίων προς την Ουγγαρία, η Επιτροπή ενέκρινε [στις 9 Σεπτεμβρίου 2015] άλλη μια πρόταση βάσει του άρθρου 78 παράγραφος 3 της ΣΛΕΕ η οποία περιλαμβάνει περαιτέρω προσωρινά μέτρα για την ανακούφιση της Ιταλίας και της Ελλάδας από τις πιέσεις που δέχονται για την χορήγηση ασύλου, καθώς και ένα νέο μέτρο υπέρ της Ουγγαρίας. </w:t>
      </w:r>
    </w:p>
    <w:p w:rsidR="00DE4D11" w:rsidRDefault="00EB4F41">
      <w:pPr>
        <w:spacing w:before="0" w:after="240"/>
        <w:rPr>
          <w:noProof/>
        </w:rPr>
      </w:pPr>
      <w:r>
        <w:rPr>
          <w:noProof/>
        </w:rPr>
        <w:t xml:space="preserve">Η Επιτροπή εξήγγειλε επίσης ότι θα προτείνει η ενεργοποίηση του συστήματος αντιμετώπισης επείγουσας κατάστασης σύμφωνα με το άρθρο 78 παράγραφος 3 της Συνθήκης για τη λειτουργία της Ευρωπαϊκής Ένωσης (ΣΛΕΕ) να αποτελέσει το πρώτο στάδιο προς μια διαρκή λύση. Στο πλαίσιο αυτό, ανακοίνωσε ότι πρόκειται να υποβάλει έως το τέλος του 2015 νομοθετική πρόταση για ένα μόνιμο σύστημα μετεγκατάστασης το οποίο θα πρέπει να ενεργοποιείται σε καταστάσεις κρίσης. </w:t>
      </w:r>
    </w:p>
    <w:p w:rsidR="00DE4D11" w:rsidRDefault="00EB4F41">
      <w:pPr>
        <w:spacing w:before="0" w:after="240"/>
        <w:rPr>
          <w:noProof/>
        </w:rPr>
      </w:pPr>
      <w:r>
        <w:rPr>
          <w:noProof/>
        </w:rPr>
        <w:t xml:space="preserve">Ο γενικός στόχος της παρούσας νομοθετικής πρότασης είναι να εξασφαλιστεί ότι η Ένωση θα έχει στη διάθεσή της ένα ισχυρό μηχανισμό μετεγκατάστασης λόγω κρίσης για τη δομημένη και αποτελεσματική αντιμετώπιση καταστάσεων κρίσης. Ο εν λόγω μηχανισμός θα πρέπει να ενεργοποιείται ταχέως για κάθε κράτος μέλος το οποίο αντιμετωπίζει καταστάσεις κρίσης που είναι τέτοιου μεγέθους ώστε να θέτουν υπό σημαντική πίεση ακόμη και καλά προετοιμασμένα και λειτουργούντα συστήματα ασύλου, λαμβάνοντας επίσης υπόψη το μέγεθος του οικείου κράτους μέλους. Ο προτεινόμενος μηχανισμός μετεγκατάστασης </w:t>
      </w:r>
      <w:r>
        <w:rPr>
          <w:noProof/>
        </w:rPr>
        <w:lastRenderedPageBreak/>
        <w:t xml:space="preserve">αποσκοπεί, αφενός, στο να εξασφαλίζει, σε καταστάσεις κρίσης, τη δίκαιη κατανομή των ευθυνών μεταξύ των κρατών μελών για μεγάλο αριθμό αιτούντων που έχουν σαφή ανάγκη διεθνούς προστασίας και, αφετέρου, την ορθή εφαρμογή του συστήματος του Δουβλίνου, μεταξύ άλλων την πλήρη προστασία των δικαιωμάτων των αιτούντων διεθνή προστασία. Παρόλο που η πρόταση έχει ως στόχο να εισαγάγει στον κανονισμό (ΕΕ) αριθ. 604/2013 ένα μηχανισμό μετεγκατάστασης λόγω κρίσης ως μόνιμο πλαίσιο για την εφαρμογή των μέτρων μετεγκατάστασης, τα μέτρα αυτά θα εφαρμόζονται σε ειδικές καταστάσεις κρίσης σε ένα δεδομένο κράτος μέλος και, εξ ορισμού, θα παραμείνουν προσωρινά. </w:t>
      </w:r>
    </w:p>
    <w:p w:rsidR="00DE4D11" w:rsidRDefault="00EB4F41">
      <w:pPr>
        <w:pStyle w:val="ManualHeading2"/>
        <w:rPr>
          <w:rFonts w:eastAsia="Arial Unicode MS"/>
          <w:noProof/>
        </w:rPr>
      </w:pPr>
      <w:r>
        <w:rPr>
          <w:noProof/>
          <w:color w:val="000000"/>
          <w:bdr w:val="none" w:sz="0" w:space="0" w:color="auto" w:frame="1"/>
        </w:rPr>
        <w:t>•</w:t>
      </w:r>
      <w:r>
        <w:rPr>
          <w:noProof/>
        </w:rPr>
        <w:tab/>
        <w:t>Συνοχή με τις υφιστάμενες διατάξεις στον τομέα πολιτικής</w:t>
      </w:r>
    </w:p>
    <w:p w:rsidR="00DE4D11" w:rsidRDefault="00EB4F41">
      <w:pPr>
        <w:spacing w:before="0" w:after="240"/>
        <w:rPr>
          <w:rFonts w:eastAsia="Arial Unicode MS"/>
          <w:i/>
          <w:noProof/>
        </w:rPr>
      </w:pPr>
      <w:r>
        <w:rPr>
          <w:i/>
          <w:noProof/>
        </w:rPr>
        <w:t>Μια συνολική προσέγγιση για τη μετανάστευση</w:t>
      </w:r>
    </w:p>
    <w:p w:rsidR="00DE4D11" w:rsidRDefault="00EB4F41">
      <w:pPr>
        <w:rPr>
          <w:rFonts w:eastAsia="Arial Unicode MS"/>
          <w:noProof/>
        </w:rPr>
      </w:pPr>
      <w:r>
        <w:rPr>
          <w:noProof/>
        </w:rPr>
        <w:t xml:space="preserve">Η παρούσα πρόταση αποτελεί τμήμα μιας συνολικής και συστημικής προσέγγισης του θέματος της μετανάστευσης την οποία ζήτησαν όλα τα θεσμικά όργανα της Ένωσης και την οποία η Επιτροπή άρχισε να εφαρμόζει αμέσως μετά την έκδοση του ευρωπαϊκού προγράμματος δράσης για τη μετανάστευση.  Καθοριστικής σημασίας για τη διασφάλιση της αποτελεσματικότητας της εν λόγω συνολικής προσέγγισης θα είναι να ληφθεί μέριμνα ώστε οι πολιτικές να εφαρμόζονται επιτοπίως με συνεκτικό και συμπληρωματικό τρόπο. Ως εκ τούτου, όπου χρειάζεται λόγω της ιδιαίτερης κατάστασης ενός κράτους μέλους, ο μηχανισμός μετεγκατάστασης λόγω κρίσης πρέπει να συμπληρώνεται με πρόσθετα μέτρα επιτόπου τα οποία πρέπει να λαμβάνονται από το εν λόγω κράτος μέλος, από την άφιξη των υπηκόων τρίτων χωρών στο έδαφός του μέχρι την ολοκλήρωση όλων των εφαρμοστέων διαδικασιών. Στο πλαίσιο της προσέγγισης βάσει «κομβικών σημείων» που προτείνει η Επιτροπή, οι οργανισμοί της ΕΕ θα παρέχουν συνολική και στοχοθετημένη στήριξη στα κράτη μέλη που αντιμετωπίζουν δυσανάλογη μεταναστευτική πίεση στα εξωτερικά σύνορα. Η επιχειρησιακή υποστήριξη που μπορεί να παρασχεθεί με βάση την προσέγγιση αυτή περιλαμβάνει καταγραφή και έλεγχο των παράτυπων μεταναστών, πραγματοποίηση συνεντεύξεων με τους παράτυπους μετανάστες, παροχή υποστήριξης με την παραπομπή των ατόμων που ζητούν διεθνή προστασία στην κατάλληλη διαδικασία ασύλου και παροχή βοήθειας κατά την καταχώριση των αιτήσεων χορήγησης διεθνούς προστασίας, καθώς και την κατάρτιση των φακέλων υποθέσεων, την εντατικοποίηση της ανταλλαγής πληροφοριών και της συνεργασίας για τους σκοπούς των ερευνών σχετικά με εγκληματικά δίκτυα που διευκολύνουν την παράνομη μετανάστευση στην ΕΕ και τις δευτερογενείς μετακινήσεις εντός της ΕΕ, καθώς και τον συντονισμό των επιχειρήσεων επιστροφής. </w:t>
      </w:r>
    </w:p>
    <w:p w:rsidR="00DE4D11" w:rsidRDefault="00EB4F41">
      <w:pPr>
        <w:rPr>
          <w:rFonts w:eastAsia="Arial Unicode MS"/>
          <w:noProof/>
        </w:rPr>
      </w:pPr>
      <w:r>
        <w:rPr>
          <w:noProof/>
        </w:rPr>
        <w:t>Μια τέτοια συντονισμένη προσπάθεια θα επιτρέψει στα κράτη μέλη να αντιμετωπίσουν τις μεταναστευτικές πιέσεις ταχύτερα και πιο αποτελεσματικά με πλήρη σεβασμό των θεμελιωδών δικαιωμάτων και να ενισχύσουν τις ικανότητές τους για την αντιμετώπιση των προκλήσεων στον τομέα της μετανάστευσης, του ασύλου και της εσωτερικής ασφάλειας.</w:t>
      </w:r>
    </w:p>
    <w:p w:rsidR="00DE4D11" w:rsidRDefault="00EB4F41">
      <w:pPr>
        <w:spacing w:before="0" w:after="240"/>
        <w:rPr>
          <w:rFonts w:eastAsia="Arial Unicode MS"/>
          <w:i/>
          <w:noProof/>
        </w:rPr>
      </w:pPr>
      <w:r>
        <w:rPr>
          <w:i/>
          <w:noProof/>
        </w:rPr>
        <w:t>Αλληλεπιδράσεις με άλλα συστήματα επείγουσας μετεγκατάστασης με βάση το άρθρο 78 παράγραφος 3 της ΣΛΕΕ</w:t>
      </w:r>
    </w:p>
    <w:p w:rsidR="00DE4D11" w:rsidRDefault="00EB4F41">
      <w:pPr>
        <w:spacing w:before="0" w:after="240"/>
        <w:rPr>
          <w:rFonts w:eastAsia="Arial Unicode MS"/>
          <w:noProof/>
        </w:rPr>
      </w:pPr>
      <w:r>
        <w:rPr>
          <w:noProof/>
        </w:rPr>
        <w:t xml:space="preserve">Η πρόταση για τη θέσπιση μηχανισμού μετεγκατάστασης λόγω κρίσης πρέπει να διακρίνεται από τις προτάσεις που ενέκρινε η Επιτροπή βάσει του άρθρου 78 παράγραφος 3 της ΣΛΕΕ υπέρ ορισμένων κρατών μελών που αντιμετωπίζουν αιφνίδια εισροή υπηκόων τρίτων χωρών στο έδαφός τους. </w:t>
      </w:r>
    </w:p>
    <w:p w:rsidR="00DE4D11" w:rsidRDefault="00EB4F41">
      <w:pPr>
        <w:spacing w:before="0" w:after="240"/>
        <w:rPr>
          <w:rFonts w:eastAsia="Arial Unicode MS"/>
          <w:noProof/>
        </w:rPr>
      </w:pPr>
      <w:r>
        <w:rPr>
          <w:noProof/>
        </w:rPr>
        <w:t xml:space="preserve">Παρόλο που τα μέτρα που προτείνονται από την Επιτροπή βάσει του άρθρου 78 παράγραφος 3 της ΣΛΕΕ είναι προσωρινά, η πρόταση για τη θέσπιση μηχανισμού μετεγκατάστασης λόγω κρίσης εισάγει μια μέθοδο για τον καθορισμό, για μια προσωρινή περίοδο σε καταστάσεις </w:t>
      </w:r>
      <w:r>
        <w:rPr>
          <w:noProof/>
        </w:rPr>
        <w:lastRenderedPageBreak/>
        <w:t xml:space="preserve">κρίσης, του κράτους μέλους που είναι υπεύθυνο για την εξέταση αιτήσεων παροχής διεθνούς προστασίας που έχουν υποβληθεί σε κράτος μέλος το οποίο αντιμετωπίζει κατάσταση κρίσης, με σκοπό να εξασφαλίζεται μια δικαιότερη κατανομή των αιτούντων μεταξύ των κρατών μελών σε τέτοιες καταστάσεις και έτσι να διευκολύνεται η λειτουργία του συστήματος του Δουβλίνου ακόμη και σε περιόδους κρίσης. </w:t>
      </w:r>
    </w:p>
    <w:p w:rsidR="00DE4D11" w:rsidRDefault="00EB4F41">
      <w:pPr>
        <w:spacing w:before="0" w:after="240"/>
        <w:rPr>
          <w:rFonts w:eastAsia="Calibri"/>
          <w:noProof/>
        </w:rPr>
      </w:pPr>
      <w:r>
        <w:rPr>
          <w:noProof/>
        </w:rPr>
        <w:t xml:space="preserve">Η παρούσα πρόταση θέτει αυστηρούς όρους για την ενεργοποίηση του μηχανισμού μετεγκατάστασης λόγω κρίσης σε σχέση με ένα δεδομένο κράτος μέλος, ιδίως το γεγονός ότι το κράτος μέλος βρίσκεται αντιμέτωπο με κατάσταση κρίσης που θέτει σε κίνδυνο την εφαρμογή του κανονισμού του Δουβλίνου λόγω υπερβολικής πίεσης που χαρακτηρίζεται από μαζική και δυσανάλογη εισροή υπηκόων τρίτων χωρών ή απάτριδων, η οποία δημιουργεί σημαντικές απαιτήσεις από το σύστημα ασύλου του. </w:t>
      </w:r>
    </w:p>
    <w:p w:rsidR="00DE4D11" w:rsidRDefault="00EB4F41">
      <w:pPr>
        <w:spacing w:before="0" w:after="240"/>
        <w:rPr>
          <w:rFonts w:eastAsia="Arial Unicode MS"/>
          <w:noProof/>
        </w:rPr>
      </w:pPr>
      <w:r>
        <w:rPr>
          <w:noProof/>
        </w:rPr>
        <w:t>Η θέσπιση μηχανισμού μετεγκατάστασης λόγω κρίσης δεν θίγει τη δυνατότητα του Συμβουλίου να εκδίδει, μετά από πρόταση της Επιτροπής, προσωρινά μέτρα υπέρ κράτους μέλους που αντιμετωπίζει κατάσταση έκτακτης ανάγκης όπως ορίζεται στο άρθρο 78 παράγραφος 3 της ΣΛΕΕ. Η θέσπιση μέτρων έκτακτης ανάγκης βάσει του άρθρου 78 παράγραφος 3 της ΣΛΕΕ θα ακολουθείται σε εξαιρετικές περιπτώσεις όπου απαιτείται η αντιμετώπιση κατάστασης έκτακτης ανάγκης, ενδεχομένως καλύπτοντας ένα ευρύτερο φάσμα μέτρων στήριξης στον τομέα της μετανάστευσης, σε περίπτωση που δεν πληρούνται οι προϋποθέσεις για τη χρήση του μηχανισμού μετεγκατάστασης λόγω κρίσης.</w:t>
      </w:r>
    </w:p>
    <w:p w:rsidR="00DE4D11" w:rsidRDefault="00EB4F41">
      <w:pPr>
        <w:spacing w:before="0" w:after="240"/>
        <w:rPr>
          <w:rFonts w:eastAsia="Times New Roman"/>
          <w:i/>
          <w:noProof/>
          <w:szCs w:val="20"/>
        </w:rPr>
      </w:pPr>
      <w:r>
        <w:rPr>
          <w:i/>
          <w:noProof/>
        </w:rPr>
        <w:t>Πιθανές μελλοντικές τροποποιήσεις του κανονισμού (ΕΕ) αριθ. 604/2013</w:t>
      </w:r>
    </w:p>
    <w:p w:rsidR="0047533B" w:rsidRDefault="00EB4F41">
      <w:pPr>
        <w:pStyle w:val="ManualHeading1"/>
        <w:rPr>
          <w:noProof/>
          <w:lang w:val="fr-BE"/>
        </w:rPr>
      </w:pPr>
      <w:r>
        <w:rPr>
          <w:noProof/>
        </w:rPr>
        <w:t>Όπως ανακοινώθηκε στο ευρωπαϊκό πρόγραμμα δράσης για τη μετανάστευση και σύμφωνα με τις υποχρεώσεις που απορρέουν από τον κανονισμό (ΕΕ) αριθ. 604/2013, η Επιτροπή διεξάγει επί του παρόντος ένα συνολικό «έλεγχο καταλληλότητας» του συστήματος του Δουβλίνου, με τη διενέργεια επανεξέτασης βάσει αποδεικτικών στοιχείων η οποία καλύπτει τα νομικά, οικονομικά και κοινωνικά αποτελέσματα του συστήματος, συμπεριλαμβανομένων των αποτελεσμάτων του όσον αφορά τα θεμελιώδη δικαιώματα. Το έργο αυτό θα αποτελέσει τη βάση για πιθανή περαιτέρω αναθεώρηση του συστήματος του Δουβλίνου, ιδίως με σκοπό την επίτευξη δικαιότερης κατανομής των αιτούντων διεθνή προστασία στην Ευρώπη σε όλες τις περιστάσεις και όχι μόνο σε καταστάσεις κρίσης.</w:t>
      </w:r>
    </w:p>
    <w:p w:rsidR="00DE4D11" w:rsidRDefault="00EB4F41">
      <w:pPr>
        <w:pStyle w:val="ManualHeading1"/>
        <w:rPr>
          <w:rFonts w:eastAsia="Calibri"/>
          <w:noProof/>
        </w:rPr>
      </w:pPr>
      <w:r>
        <w:rPr>
          <w:noProof/>
        </w:rPr>
        <w:t xml:space="preserve"> 2.</w:t>
      </w:r>
      <w:r>
        <w:rPr>
          <w:noProof/>
        </w:rPr>
        <w:tab/>
        <w:t>ΝΟΜΙΚΗ ΒΑΣΗ, ΕΠΙΚΟΥΡΙΚΟΤΗΤΑ, ΑΝΑΛΟΓΙΚΟΤΗΤΑ, ΘΕΜΕΛΙΩΔΗ ΔΙΚΑΙΩΜΑΤΑ</w:t>
      </w:r>
    </w:p>
    <w:p w:rsidR="00DE4D11" w:rsidRDefault="00EB4F41">
      <w:pPr>
        <w:pStyle w:val="ManualHeading2"/>
        <w:rPr>
          <w:rFonts w:eastAsia="Arial Unicode MS"/>
          <w:noProof/>
          <w:bdr w:val="none" w:sz="0" w:space="0" w:color="auto" w:frame="1"/>
        </w:rPr>
      </w:pPr>
      <w:r>
        <w:rPr>
          <w:noProof/>
        </w:rPr>
        <w:t>•</w:t>
      </w:r>
      <w:r>
        <w:rPr>
          <w:noProof/>
        </w:rPr>
        <w:tab/>
        <w:t>Νομική βάση</w:t>
      </w:r>
    </w:p>
    <w:p w:rsidR="00DE4D11" w:rsidRDefault="00EB4F41">
      <w:pPr>
        <w:rPr>
          <w:rFonts w:eastAsia="Times New Roman"/>
          <w:noProof/>
          <w:szCs w:val="20"/>
        </w:rPr>
      </w:pPr>
      <w:r>
        <w:rPr>
          <w:noProof/>
        </w:rPr>
        <w:t xml:space="preserve">Η παρούσα πρόταση τροποποιεί τον κανονισμό (ΕΕ) αριθ. 604/2013 και συνεπώς θα πρέπει να εγκριθεί με την ίδια νομική βάση, δηλαδή το άρθρο 78 παράγραφος 2 στοιχείο ε) της ΣΛΕΕ, σύμφωνα με τη συνήθη νομοθετική διαδικασία. </w:t>
      </w:r>
    </w:p>
    <w:p w:rsidR="00DE4D11" w:rsidRDefault="00EB4F41">
      <w:pPr>
        <w:rPr>
          <w:rFonts w:eastAsia="Times New Roman"/>
          <w:noProof/>
          <w:szCs w:val="20"/>
        </w:rPr>
      </w:pPr>
      <w:r>
        <w:rPr>
          <w:noProof/>
        </w:rPr>
        <w:t xml:space="preserve">Ο μηχανισμός μετεγκατάστασης λόγω κρίσης που προβλέπεται στην παρούσα πρόταση συνεπάγεται μόνιμες παρεκκλίσεις, οι οποίες θα ενεργοποιούνται σε ειδικές καταστάσεις κρίσης υπέρ συγκεκριμένων κρατών μελών, ιδίως παρεκκλίσεις από την αρχή που προβλέπεται στο άρθρο 3 παράγραφος 1 του κανονισμού (ΕΕ) αριθ. 604/2013, σύμφωνα με την οποία η αίτηση παροχής διεθνούς προστασίας εξετάζεται από το κράτος μέλος το οποίο είναι το οριζόμενο ως υπεύθυνο σύμφωνα με τα κριτήρια που αναφέρονται στο κεφάλαιο III. </w:t>
      </w:r>
      <w:r>
        <w:rPr>
          <w:noProof/>
        </w:rPr>
        <w:lastRenderedPageBreak/>
        <w:t xml:space="preserve">Αντί αυτής της αρχής, η πρόταση θεσπίζει, για σαφώς καθορισμένες περιστάσεις κρίσης, μια υποχρεωτική κλείδα κατανομής για τον προσδιορισμό της ευθύνης όσον αφορά την εξέταση των αιτήσεων. </w:t>
      </w:r>
    </w:p>
    <w:p w:rsidR="00DE4D11" w:rsidRDefault="00EB4F41">
      <w:pPr>
        <w:pStyle w:val="ManualHeading2"/>
        <w:rPr>
          <w:rFonts w:eastAsia="Arial Unicode MS"/>
          <w:noProof/>
          <w:bdr w:val="none" w:sz="0" w:space="0" w:color="auto" w:frame="1"/>
        </w:rPr>
      </w:pPr>
      <w:r>
        <w:rPr>
          <w:noProof/>
        </w:rPr>
        <w:t>•</w:t>
      </w:r>
      <w:r>
        <w:rPr>
          <w:noProof/>
        </w:rPr>
        <w:tab/>
        <w:t>Μεταβλητή γεωμετρία</w:t>
      </w:r>
    </w:p>
    <w:p w:rsidR="00DE4D11" w:rsidRDefault="00EB4F41">
      <w:pPr>
        <w:rPr>
          <w:noProof/>
          <w:szCs w:val="20"/>
        </w:rPr>
      </w:pPr>
      <w:r>
        <w:rPr>
          <w:noProof/>
        </w:rPr>
        <w:t>Σύμφωνα με το Πρωτόκολλο για τη θέση του Ηνωμένου Βασιλείου και της Ιρλανδίας όσον αφορά τον χώρο ελευθερίας, ασφάλειας και δικαιοσύνης, το οποίο προσαρτάται στη ΣΕΕ και στη ΣΛΕΕ, το Ηνωμένο Βασίλειο και η Ιρλανδία ενδέχεται να αποφασίσουν να συμμετάσχουν στην έγκριση της παρούσας πρότασης. Επίσης, διατηρούν αυτή τη δυνατότητα επιλογής μετά την έγκριση της πρότασης.</w:t>
      </w:r>
    </w:p>
    <w:p w:rsidR="00DE4D11" w:rsidRDefault="00EB4F41">
      <w:pPr>
        <w:rPr>
          <w:rFonts w:eastAsia="Times New Roman"/>
          <w:noProof/>
          <w:szCs w:val="20"/>
        </w:rPr>
      </w:pPr>
      <w:r>
        <w:rPr>
          <w:noProof/>
        </w:rPr>
        <w:t>Το Ηνωμένο Βασίλειο και η Ιρλανδία δεσμεύονται από τον κανονισμό αριθ. 604/2013, μετά τη γνωστοποίηση της βούλησής τους να συμμετάσχουν στην έκδοση και την εφαρμογή του εν λόγω κανονισμού με βάση το προαναφερθέν πρωτόκολλο. Η θέση αυτών των κρατών μελών όσον αφορά τον κανονισμό 604/2013 δεν επηρεάζει τη θέση τους ως προς την πιθανή τους συμμετοχή στον παρόντα κανονισμό</w:t>
      </w:r>
      <w:r>
        <w:rPr>
          <w:rStyle w:val="FootnoteReference"/>
          <w:noProof/>
        </w:rPr>
        <w:footnoteReference w:id="4"/>
      </w:r>
      <w:r>
        <w:rPr>
          <w:noProof/>
        </w:rPr>
        <w:t>.</w:t>
      </w:r>
    </w:p>
    <w:p w:rsidR="00DE4D11" w:rsidRDefault="00EB4F41">
      <w:pPr>
        <w:rPr>
          <w:rFonts w:eastAsia="Times New Roman"/>
          <w:noProof/>
          <w:szCs w:val="20"/>
        </w:rPr>
      </w:pPr>
      <w:r>
        <w:rPr>
          <w:noProof/>
        </w:rPr>
        <w:t>Σύμφωνα με το πρωτόκολλο για τη θέση της Δανίας, που έχει προσαρτηθεί στη ΣΕΕ και στη ΣΛΕΕ, η Δανία δεν συμμετέχει στη θέσπιση από το Συμβούλιο μέτρων σύμφωνα με τον Τίτλο V της ΣΛΕΕ (εξαιρουμένων των «μέτρων περί καθορισμού των τρίτων χωρών των οποίων οι υπήκοοι πρέπει να διαθέτουν θεώρηση για τη διέλευση των εξωτερικών συνόρων των κρατών μελών ή μέτρων που αφορούν τη θεώρηση ενιαίου τύπου).</w:t>
      </w:r>
      <w:r>
        <w:rPr>
          <w:rFonts w:ascii="TimesNewRoman" w:hAnsi="TimesNewRoman"/>
          <w:noProof/>
        </w:rPr>
        <w:t xml:space="preserve"> </w:t>
      </w:r>
      <w:r>
        <w:rPr>
          <w:noProof/>
        </w:rPr>
        <w:t>Ωστόσο, δεδομένου ότι εφαρμόζει τον υφιστάμενο κανονισμό του Δουβλίνου, βάσει της διεθνούς συμφωνίας που συνήψε με την ΕΚ το 2006</w:t>
      </w:r>
      <w:r>
        <w:rPr>
          <w:rStyle w:val="FootnoteReference"/>
          <w:noProof/>
        </w:rPr>
        <w:footnoteReference w:id="5"/>
      </w:r>
      <w:r>
        <w:rPr>
          <w:noProof/>
        </w:rPr>
        <w:t>, η Δανία κοινοποιεί στην Επιτροπή την απόφασή της εάν θα εφαρμόσει ή όχι το περιεχόμενο του τροποποιημένου κανονισμού, δυνάμει του άρθρου 3 της εν λόγω συμφωνίας.</w:t>
      </w:r>
    </w:p>
    <w:p w:rsidR="00DE4D11" w:rsidRDefault="00EB4F41">
      <w:pPr>
        <w:pStyle w:val="ManualHeading2"/>
        <w:rPr>
          <w:rFonts w:eastAsia="Arial Unicode MS"/>
          <w:noProof/>
          <w:bdr w:val="none" w:sz="0" w:space="0" w:color="auto" w:frame="1"/>
        </w:rPr>
      </w:pPr>
      <w:r>
        <w:rPr>
          <w:noProof/>
        </w:rPr>
        <w:t>•</w:t>
      </w:r>
      <w:r>
        <w:rPr>
          <w:noProof/>
        </w:rPr>
        <w:tab/>
        <w:t>Συνέπειες της πρότασης στις τρίτες χώρες που συνδέονται με το σύστημα του Δουβλίνου</w:t>
      </w:r>
    </w:p>
    <w:p w:rsidR="00DE4D11" w:rsidRDefault="00EB4F41">
      <w:pPr>
        <w:rPr>
          <w:rFonts w:eastAsia="Times New Roman"/>
          <w:noProof/>
          <w:szCs w:val="20"/>
        </w:rPr>
      </w:pPr>
      <w:r>
        <w:rPr>
          <w:noProof/>
        </w:rPr>
        <w:t>Παράλληλα με τη σύνδεση διαφόρων χωρών που δεν αποτελούν μέλη της ΕΕ με το κεκτημένο Σένγκεν, η Ένωση συνήψε ορισμένες συμφωνίες για τη σύνδεση των χωρών αυτών επίσης με το κεκτημένο του Δουβλίνου/Eurodac:</w:t>
      </w:r>
    </w:p>
    <w:p w:rsidR="00DE4D11" w:rsidRDefault="00EB4F41">
      <w:pPr>
        <w:pStyle w:val="Tiret0"/>
        <w:numPr>
          <w:ilvl w:val="0"/>
          <w:numId w:val="14"/>
        </w:numPr>
        <w:rPr>
          <w:noProof/>
        </w:rPr>
      </w:pPr>
      <w:r>
        <w:rPr>
          <w:noProof/>
        </w:rPr>
        <w:t>τη συμφωνία για τη σύνδεση της Ισλανδίας και της Νορβηγίας, η οποία συνήφθη το 2001</w:t>
      </w:r>
      <w:r>
        <w:rPr>
          <w:rStyle w:val="FootnoteReference"/>
          <w:noProof/>
        </w:rPr>
        <w:footnoteReference w:id="6"/>
      </w:r>
      <w:r>
        <w:rPr>
          <w:noProof/>
        </w:rPr>
        <w:t>·</w:t>
      </w:r>
    </w:p>
    <w:p w:rsidR="00DE4D11" w:rsidRDefault="00EB4F41">
      <w:pPr>
        <w:pStyle w:val="Tiret0"/>
        <w:rPr>
          <w:noProof/>
        </w:rPr>
      </w:pPr>
      <w:r>
        <w:rPr>
          <w:noProof/>
        </w:rPr>
        <w:t>τη συμφωνία για τη σύνδεση της Ελβετίας, που συνήφθη στις 28 Φεβρουαρίου 2008</w:t>
      </w:r>
      <w:r>
        <w:rPr>
          <w:rStyle w:val="FootnoteReference"/>
          <w:noProof/>
        </w:rPr>
        <w:footnoteReference w:id="7"/>
      </w:r>
      <w:r>
        <w:rPr>
          <w:noProof/>
        </w:rPr>
        <w:t>·</w:t>
      </w:r>
    </w:p>
    <w:p w:rsidR="00DE4D11" w:rsidRDefault="00EB4F41">
      <w:pPr>
        <w:pStyle w:val="Tiret0"/>
        <w:rPr>
          <w:noProof/>
        </w:rPr>
      </w:pPr>
      <w:r>
        <w:rPr>
          <w:noProof/>
        </w:rPr>
        <w:lastRenderedPageBreak/>
        <w:t>το πρωτόκολλο για τη σύνδεση του Λιχτενστάιν, που συνήφθη στις 7 Μαρτίου 2011</w:t>
      </w:r>
      <w:r>
        <w:rPr>
          <w:rStyle w:val="FootnoteReference"/>
          <w:noProof/>
        </w:rPr>
        <w:footnoteReference w:id="8"/>
      </w:r>
      <w:r>
        <w:rPr>
          <w:noProof/>
        </w:rPr>
        <w:t>.</w:t>
      </w:r>
    </w:p>
    <w:p w:rsidR="00DE4D11" w:rsidRDefault="00EB4F41">
      <w:pPr>
        <w:rPr>
          <w:rFonts w:eastAsia="Times New Roman"/>
          <w:noProof/>
          <w:szCs w:val="20"/>
        </w:rPr>
      </w:pPr>
      <w:r>
        <w:rPr>
          <w:noProof/>
        </w:rPr>
        <w:t>Με σκοπό τη δημιουργία δικαιωμάτων και υποχρεώσεων μεταξύ της Δανίας – η οποία, όπως εξηγείται παραπάνω, έχει συνδεθεί με το κεκτημένο του Δουβλίνου/Eurodac μέσω διεθνούς συμφωνίας – και των προαναφερθεισών συνδεδεμένων χωρών, έχουν επίσης συναφθεί δύο άλλες πράξεις μεταξύ της Ένωσης και των συνδεδεμένων χωρών</w:t>
      </w:r>
      <w:r>
        <w:rPr>
          <w:rStyle w:val="FootnoteReference"/>
          <w:noProof/>
        </w:rPr>
        <w:footnoteReference w:id="9"/>
      </w:r>
      <w:r>
        <w:rPr>
          <w:noProof/>
        </w:rPr>
        <w:t>.</w:t>
      </w:r>
    </w:p>
    <w:p w:rsidR="0047533B" w:rsidRDefault="00EB4F41">
      <w:pPr>
        <w:pStyle w:val="ManualHeading2"/>
        <w:rPr>
          <w:noProof/>
          <w:lang w:val="fr-BE"/>
        </w:rPr>
      </w:pPr>
      <w:r>
        <w:rPr>
          <w:noProof/>
        </w:rPr>
        <w:t>Σύμφωνα με τις τρεις προαναφερθείσες συμφωνίες, οι συνδεδεμένες χώρες αποδέχονται το κεκτημένο του Δουβλίνου/Eurodac και την ανάπτυξή του χωρίς καμία εξαίρεση. Παρότι δεν συμμετέχουν στην έκδοση πράξεων που τροποποιούν το κεκτημένο του Δουβλίνου ή βασίζονται σε αυτό (επομένως ούτε και της παρούσας πρότασης), οφείλουν να κοινοποιούν στην Επιτροπή εντός συγκεκριμένου χρονικού διαστήματος την απόφασή τους εάν θα αποδεχθούν ή όχι το περιεχόμενο της εν λόγω πράξης, μόλις αυτή εγκριθεί από το Συμβούλιο και το Ευρωπαϊκό Κοινοβούλιο. Σε περίπτωση που η Νορβηγία, η Ισλανδία, η Ελβετία ή το Λιχτενστάιν δεν δέχονται πράξη που τροποποιεί το κεκτημένο του Δουβλίνου/Eurodac ή βασίζεται σε αυτό, οι οικείες συμφωνίες παύουν να ισχύουν, εκτός αν ληφθεί διαφορετική ομόφωνη απόφαση από την κοινή/μεικτή επιτροπή της οποίας τη σύσταση προβλέπουν οι συμφωνίες.</w:t>
      </w:r>
    </w:p>
    <w:p w:rsidR="00DE4D11" w:rsidRDefault="00EB4F41">
      <w:pPr>
        <w:pStyle w:val="ManualHeading2"/>
        <w:rPr>
          <w:rFonts w:eastAsia="Arial Unicode MS"/>
          <w:noProof/>
          <w:bdr w:val="none" w:sz="0" w:space="0" w:color="auto" w:frame="1"/>
        </w:rPr>
      </w:pPr>
      <w:r>
        <w:rPr>
          <w:noProof/>
        </w:rPr>
        <w:t>•</w:t>
      </w:r>
      <w:r>
        <w:rPr>
          <w:noProof/>
        </w:rPr>
        <w:tab/>
        <w:t xml:space="preserve">Επικουρικότητα (για μη αποκλειστική αρμοδιότητα) </w:t>
      </w:r>
    </w:p>
    <w:p w:rsidR="00DE4D11" w:rsidRDefault="00EB4F41">
      <w:pPr>
        <w:rPr>
          <w:rFonts w:eastAsia="Calibri"/>
          <w:noProof/>
        </w:rPr>
      </w:pPr>
      <w:r>
        <w:rPr>
          <w:noProof/>
        </w:rPr>
        <w:t>Ο τίτλος V της ΣΛΕΕ για τον χώρο ελευθερίας, ασφάλειας και δικαιοσύνης αναθέτει ορισμένες αρμοδιότητες σχετικά με τα θέματα αυτά στην Ευρωπαϊκή Ένωση. Οι αρμοδιότητες αυτές πρέπει να ασκούνται σύμφωνα με το άρθρο 5 της Συνθήκης για την Ευρωπαϊκή Ένωση, ήτοι εάν και στον βαθμό που οι στόχοι της προτεινόμενης δράσης δεν μπορούν να επιτευχθούν επαρκώς από τα κράτη μέλη και μπορούν, συνεπώς, λόγω της κλίμακας ή των αποτελεσμάτων της προτεινόμενης δράσης, να επιτευχθούν καλύτερα από την Ευρωπαϊκή Ένωση.</w:t>
      </w:r>
    </w:p>
    <w:p w:rsidR="00DE4D11" w:rsidRDefault="00EB4F41">
      <w:pPr>
        <w:rPr>
          <w:noProof/>
        </w:rPr>
      </w:pPr>
      <w:r>
        <w:rPr>
          <w:noProof/>
        </w:rPr>
        <w:t xml:space="preserve">Η πρόταση αφορά τη θέσπιση μηχανισμού μετεγκατάστασης με σκοπό, αφενός, τη διαρθρωτική αντιμετώπιση, σε οποιοδήποτε κράτος μέλος, κρίσεων που προκαλούνται από μαζική και δυσανάλογη εισροή προσώπων και, αφετέρου, την επίτευξη δίκαιου επιμερισμού των ευθυνών μεταξύ των κρατών μελών σε περιόδους κρίσης, με μια παρέκκλιση από τα κριτήρια κατανομής της ευθύνης που προβλέπονται στον κανονισμό του Δουβλίνου. Εξ ορισμού, η ΕΕ θα αναλαμβάνει δράση σε περίπτωση που ένα κράτος μέλος δεν είναι σε θέση να αντεπεξέλθει μόνο του στην κατάσταση. Επιπλέον, η πρόταση έχει σκοπό να διασφαλίσει την ορθή εφαρμογή του συστήματος του Δουβλίνου σε περιόδους κρίσης και να αντιμετωπίσει το ζήτημα των δευτερογενών μετακινήσεων υπηκόων τρίτων χωρών μεταξύ </w:t>
      </w:r>
      <w:r>
        <w:rPr>
          <w:noProof/>
        </w:rPr>
        <w:lastRenderedPageBreak/>
        <w:t xml:space="preserve">κρατών μελών, πρόβλημα που έχει διακρατικό χαρακτήρα. Είναι σαφές ότι οι ενέργειες των μεμονωμένων κρατών μελών δεν είναι δυνατόν να δώσουν ικανοποιητική απάντηση στις κοινές προκλήσεις που όλα τα κράτη μέλη αντιμετωπίζουν στον τομέα αυτόν. Οι αρχές της αλληλεγγύης και της από κοινού ανάληψης της ευθύνης καθιστούν ζωτικής σημασίας τη δράση της ΕΕ σε αυτόν τον τομέα. </w:t>
      </w:r>
    </w:p>
    <w:p w:rsidR="00DE4D11" w:rsidRDefault="00EB4F41">
      <w:pPr>
        <w:pStyle w:val="ManualHeading2"/>
        <w:rPr>
          <w:rFonts w:eastAsia="Arial Unicode MS"/>
          <w:noProof/>
          <w:bdr w:val="none" w:sz="0" w:space="0" w:color="auto" w:frame="1"/>
        </w:rPr>
      </w:pPr>
      <w:r>
        <w:rPr>
          <w:noProof/>
        </w:rPr>
        <w:t>•</w:t>
      </w:r>
      <w:r>
        <w:rPr>
          <w:noProof/>
        </w:rPr>
        <w:tab/>
        <w:t>Αναλογικότητα</w:t>
      </w:r>
    </w:p>
    <w:p w:rsidR="00DE4D11" w:rsidRDefault="00EB4F41">
      <w:pPr>
        <w:spacing w:before="0" w:after="240"/>
        <w:rPr>
          <w:rFonts w:eastAsia="Calibri"/>
          <w:noProof/>
        </w:rPr>
      </w:pPr>
      <w:r>
        <w:rPr>
          <w:noProof/>
        </w:rPr>
        <w:t>Ο κανονισμός (ΕΕ) αριθ. 604/2013, υπό την παρούσα μορφή του, δεν παρέχει εργαλεία που να καθιστούν δυνατή την επαρκή αντιμετώπιση καταστάσεων ακραίας πίεσης στα συστήματα ασύλου των κρατών μελών. Τα διάφορα οικονομικά και επιχειρησιακά μέτρα που έχουν στη διάθεσή τους η Ευρωπαϊκή Επιτροπή και η ΕΥΥΑ για να στηρίζουν τα συστήματα παροχής ασύλου πολλών κρατών μελών έχουν αποδειχθεί ανεπαρκή για την αντιμετώπιση των καταστάσεων κρίσης μεμονωμένα. Προκειμένου να υπάρχει το κατάλληλο πλαίσιο για επείγουσες και σοβαρές καταστάσεις στον τομέα του ασύλου, η επιλογή για την ανάληψη περαιτέρω δράσης από την ΕΕ στο θέμα αυτό δεν υπερβαίνει το μέτρο που είναι αναγκαίο για την επίτευξη του στόχου της αποτελεσματικής αντιμετώπισης της κατάστασης.</w:t>
      </w:r>
    </w:p>
    <w:p w:rsidR="00DE4D11" w:rsidRDefault="00EB4F41">
      <w:pPr>
        <w:pStyle w:val="ManualHeading2"/>
        <w:rPr>
          <w:rFonts w:eastAsia="Arial Unicode MS"/>
          <w:noProof/>
          <w:bdr w:val="none" w:sz="0" w:space="0" w:color="auto" w:frame="1"/>
        </w:rPr>
      </w:pPr>
      <w:r>
        <w:rPr>
          <w:noProof/>
        </w:rPr>
        <w:t>•</w:t>
      </w:r>
      <w:r>
        <w:rPr>
          <w:noProof/>
        </w:rPr>
        <w:tab/>
        <w:t>Θεμελιώδη δικαιώματα</w:t>
      </w:r>
    </w:p>
    <w:p w:rsidR="00DE4D11" w:rsidRDefault="00EB4F41">
      <w:pPr>
        <w:rPr>
          <w:rFonts w:eastAsia="Calibri"/>
          <w:noProof/>
        </w:rPr>
      </w:pPr>
      <w:r>
        <w:rPr>
          <w:noProof/>
        </w:rPr>
        <w:t xml:space="preserve">Η θέσπιση του μηχανισμού μετεγκατάστασης λόγω κρίσης θα έχει ως αποτέλεσμα τη διαφύλαξη των θεμελιωδών δικαιωμάτων των αιτούντων οι οποίοι έχουν σαφή ανάγκη διεθνούς προστασίας, όπως προβλέπεται στον Χάρτη Θεμελιωδών Δικαιωμάτων της ΕΕ («ο Χάρτης»). </w:t>
      </w:r>
    </w:p>
    <w:p w:rsidR="00DE4D11" w:rsidRDefault="00EB4F41">
      <w:pPr>
        <w:rPr>
          <w:noProof/>
        </w:rPr>
      </w:pPr>
      <w:r>
        <w:rPr>
          <w:noProof/>
        </w:rPr>
        <w:t>Με τη διασφάλιση της ταχείας πρόσβασης των ενδιαφερομένων σε κατάλληλες διαδικασίες για τη χορήγηση διεθνούς προστασίας, η παρούσα πρόταση επιδιώκει ειδικότερα την προστασία του δικαιώματος ασύλου και την κατοχύρωση της προστασίας έναντι της επαναπροώθησης (</w:t>
      </w:r>
      <w:r>
        <w:rPr>
          <w:i/>
          <w:noProof/>
        </w:rPr>
        <w:t>non-refoulement</w:t>
      </w:r>
      <w:r>
        <w:rPr>
          <w:noProof/>
        </w:rPr>
        <w:t>), όπως προβλέπεται στα άρθρα 18 και 19 του Χάρτη. Επιπλέον, μεριμνώντας για τη μεταφορά των ενδιαφερόμενων προσώπων σε ένα κράτος μέλος που είναι σε θέση να τους προσφέρει κατάλληλες συνθήκες υποδοχής και προοπτικές ένταξης, η παρούσα πρόταση θέτει ως στόχο να διασφαλιστούν ο πλήρης σεβασμός του δικαιώματος στην αξιοπρέπεια και η προστασία από τα βασανιστήρια και την απάνθρωπη ή εξευτελιστική μεταχείριση ή τιμωρία, όπως προβλέπεται στα άρθρα 1 και 4 του Χάρτη. Η παρούσα απόφαση αποσκοπεί επίσης στην προστασία των δικαιωμάτων του παιδιού, σύμφωνα με το άρθρο 24 του Χάρτη και του δικαιώματος οικογενειακής ενότητας, σύμφωνα με το άρθρο 7 του Χάρτη.</w:t>
      </w:r>
    </w:p>
    <w:p w:rsidR="00DE4D11" w:rsidRDefault="00EB4F41">
      <w:pPr>
        <w:pStyle w:val="ManualHeading1"/>
        <w:rPr>
          <w:noProof/>
        </w:rPr>
      </w:pPr>
      <w:r>
        <w:rPr>
          <w:noProof/>
        </w:rPr>
        <w:t>3.</w:t>
      </w:r>
      <w:r>
        <w:rPr>
          <w:noProof/>
        </w:rPr>
        <w:tab/>
        <w:t>ΔΙΑΒΟΥΛΕΥΣΗ ΜΕ ΤΑ ΕΝΔΙΑΦΕΡΟΜΕΝΑ ΜΕΡΗ</w:t>
      </w:r>
    </w:p>
    <w:p w:rsidR="00DE4D11" w:rsidRDefault="00EB4F41">
      <w:pPr>
        <w:rPr>
          <w:noProof/>
        </w:rPr>
      </w:pPr>
      <w:r>
        <w:rPr>
          <w:noProof/>
        </w:rPr>
        <w:t>Η πρόταση για θέσπιση μηχανισμού με σκοπό τη διαρθρωτική αντιμετώπιση καταστάσεων κρίσης στον τομέα του ασύλου υποβάλλεται ως αποτέλεσμα της υφιστάμενης κρίσης στον τομέα του ασύλου σε αρκετά κράτη μέλη, η οποία καταδεικνύει την επείγουσα ανάγκη για ένα περισσότερο διαρθρωμένο σύστημα ταχείας ανάληψης δράσης από την Ένωση. Η πρόταση αποτελεί συνέχεια του ευρωπαϊκού προγράμματος δράσης για τη μετανάστευση, το οποίο αποτέλεσε αντικείμενο ευρείας διαβούλευσης με όλα τα ενδιαφερόμενα μέρη.</w:t>
      </w:r>
    </w:p>
    <w:p w:rsidR="00DE4D11" w:rsidRDefault="00EB4F41">
      <w:pPr>
        <w:rPr>
          <w:noProof/>
        </w:rPr>
      </w:pPr>
      <w:r>
        <w:rPr>
          <w:noProof/>
        </w:rPr>
        <w:t>Άλλα θεσμικά όργανα της ΕΕ και βασικοί παράγοντες έχουν ήδη διατυπώσει τις ευρύτερες απόψεις τους σχετικά με το θέμα αυτό. Σε δήλωση που εξέδωσε στις 23 Απριλίου 2015, το Ευρωπαϊκό Συμβούλιο δεσμεύτηκε να εξετάσει τις δυνατότητες για τη διοργάνωση της επείγουσας μετεγκατάστασης μεταξύ όλων των κρατών μελών σε εθελοντική βάση.</w:t>
      </w:r>
      <w:r>
        <w:rPr>
          <w:noProof/>
          <w:color w:val="1F497D"/>
        </w:rPr>
        <w:t xml:space="preserve"> </w:t>
      </w:r>
      <w:r>
        <w:rPr>
          <w:noProof/>
        </w:rPr>
        <w:t xml:space="preserve">Στο πλαίσιο των συζητήσεων σχετικά με το πρόγραμμα δράσης για τη μετανάστευση, το Ευρωπαϊκό Κοινοβούλιο (σύνοδος ολομέλειας της 19ης Μαΐου 2015) και το Συμβούλιο (15 </w:t>
      </w:r>
      <w:r>
        <w:rPr>
          <w:noProof/>
        </w:rPr>
        <w:lastRenderedPageBreak/>
        <w:t>Ιουνίου 2015) αντάλλαξαν επίσης απόψεις σχετικά με τον μηχανισμό μετεγκατάστασης.  Στην έκθεσή της, η Επιτροπή Πολιτικών Ελευθεριών, Δικαιοσύνης και Εσωτερικών Υποθέσεων (LIBE) του Ευρωπαϊκού Κοινοβουλίου κάλεσε την Επιτροπή να υποβάλει πρόταση για ένα μόνιμο πρόγραμμα μετεγκατάστασης, η οποία θα εγκριθεί σύμφωνα με τη συνήθη νομοθετική διαδικασία</w:t>
      </w:r>
      <w:r>
        <w:rPr>
          <w:rStyle w:val="FootnoteReference"/>
          <w:noProof/>
        </w:rPr>
        <w:footnoteReference w:id="10"/>
      </w:r>
      <w:r>
        <w:rPr>
          <w:noProof/>
        </w:rPr>
        <w:t xml:space="preserve">. </w:t>
      </w:r>
    </w:p>
    <w:p w:rsidR="00DE4D11" w:rsidRDefault="00EB4F41">
      <w:pPr>
        <w:rPr>
          <w:noProof/>
        </w:rPr>
      </w:pPr>
      <w:r>
        <w:rPr>
          <w:noProof/>
        </w:rPr>
        <w:t>Η Ύπατη Αρμοστεία των Ηνωμένων Εθνών για τους Πρόσφυγες (UNHCR) και η κοινωνία των πολιτών κάλεσαν την ΕΕ να αναλάβει τη δέσμευση ότι θα χρησιμοποιηθούν περισσότερα εργαλεία αλληλεγγύης στο επίπεδο εντός της ΕΕ και ότι θα διασφαλιστεί ένα δικαιότερο σύστημα κατανομής των αιτούντων διεθνή προστασία.</w:t>
      </w:r>
    </w:p>
    <w:p w:rsidR="00DE4D11" w:rsidRDefault="00EB4F41">
      <w:pPr>
        <w:pStyle w:val="ManualHeading1"/>
        <w:rPr>
          <w:noProof/>
        </w:rPr>
      </w:pPr>
      <w:r>
        <w:rPr>
          <w:noProof/>
        </w:rPr>
        <w:t>4.</w:t>
      </w:r>
      <w:r>
        <w:rPr>
          <w:noProof/>
        </w:rPr>
        <w:tab/>
        <w:t xml:space="preserve">ΔΗΜΟΣΙΟΝΟΜΙΚΕΣ ΕΠΙΠΤΩΣΕΙΣ </w:t>
      </w:r>
    </w:p>
    <w:p w:rsidR="00DE4D11" w:rsidRDefault="00EB4F41">
      <w:pPr>
        <w:rPr>
          <w:noProof/>
        </w:rPr>
      </w:pPr>
      <w:r>
        <w:rPr>
          <w:noProof/>
        </w:rPr>
        <w:t xml:space="preserve">Η θέσπιση μόνιμου πλαισίου για ένα μηχανισμό μετεγκατάστασης λόγω κρίσης δεν έχει επιπτώσεις για τον προϋπολογισμό της ΕΕ. Οι δημοσιονομικές επιπτώσεις από την ενεργοποίηση του πλαισίου θα πρέπει να αξιολογούνται σε σχέση με τις ειδικές περιστάσεις συγκεκριμένων κρατών μελών. </w:t>
      </w:r>
    </w:p>
    <w:p w:rsidR="00DE4D11" w:rsidRDefault="00EB4F41">
      <w:pPr>
        <w:pStyle w:val="ManualHeading1"/>
        <w:rPr>
          <w:rFonts w:eastAsia="Arial Unicode MS"/>
          <w:noProof/>
          <w:bdr w:val="none" w:sz="0" w:space="0" w:color="auto" w:frame="1"/>
        </w:rPr>
      </w:pPr>
      <w:r>
        <w:rPr>
          <w:noProof/>
        </w:rPr>
        <w:t>5.</w:t>
      </w:r>
      <w:r>
        <w:rPr>
          <w:noProof/>
        </w:rPr>
        <w:tab/>
        <w:t>Αναλυτική επεξήγηση των επιμέρους διατάξεων της πρότασης</w:t>
      </w:r>
    </w:p>
    <w:p w:rsidR="00DE4D11" w:rsidRDefault="00EB4F41">
      <w:pPr>
        <w:rPr>
          <w:rFonts w:eastAsia="Calibri"/>
          <w:noProof/>
        </w:rPr>
      </w:pPr>
      <w:r>
        <w:rPr>
          <w:noProof/>
        </w:rPr>
        <w:t xml:space="preserve">Η πρόταση τροποποιεί τον κανονισμό (ΕΕ) αριθ. 604/2013 θεσπίζοντας μηχανισμό μετεγκατάστασης λόγω κρίσης και αναθέτοντας στην Επιτροπή την εξουσία να εκδίδει πράξεις σύμφωνα με το άρθρο 290 της ΣΛΕΕ όσον αφορά την ενεργοποίηση της εφαρμογής του μηχανισμού, καθώς και την αναστολή του για ένα συγκεκριμένο κράτος μέλος, υπό σαφώς καθορισμένες συνθήκες. </w:t>
      </w:r>
    </w:p>
    <w:p w:rsidR="00DE4D11" w:rsidRDefault="00EB4F41">
      <w:pPr>
        <w:pStyle w:val="Text1"/>
        <w:ind w:left="0"/>
        <w:rPr>
          <w:noProof/>
        </w:rPr>
      </w:pPr>
      <w:r>
        <w:rPr>
          <w:noProof/>
        </w:rPr>
        <w:t>Προβλέπονται τα ακόλουθα βασικά στοιχεία:</w:t>
      </w:r>
    </w:p>
    <w:p w:rsidR="00DE4D11" w:rsidRDefault="00EB4F41">
      <w:pPr>
        <w:pStyle w:val="Bullet1"/>
        <w:numPr>
          <w:ilvl w:val="0"/>
          <w:numId w:val="15"/>
        </w:numPr>
        <w:tabs>
          <w:tab w:val="clear" w:pos="1417"/>
          <w:tab w:val="num" w:pos="720"/>
        </w:tabs>
        <w:ind w:left="720" w:hanging="360"/>
        <w:rPr>
          <w:b/>
          <w:noProof/>
        </w:rPr>
      </w:pPr>
      <w:r>
        <w:rPr>
          <w:b/>
          <w:noProof/>
        </w:rPr>
        <w:t>Προϋποθέσεις για την εφαρμογή του μηχανισμού μετεγκατάστασης λόγω κρίσης σε ένα κράτος μέλος</w:t>
      </w:r>
    </w:p>
    <w:p w:rsidR="00DE4D11" w:rsidRDefault="00EB4F41">
      <w:pPr>
        <w:pStyle w:val="Text1"/>
        <w:ind w:left="0"/>
        <w:rPr>
          <w:noProof/>
        </w:rPr>
      </w:pPr>
      <w:r>
        <w:rPr>
          <w:noProof/>
        </w:rPr>
        <w:t>Για την ενεργοποίηση του μηχανισμού μετεγκατάστασης λόγω κρίσης η Επιτροπή πρέπει να διαπιστώσει, βάσει τεκμηριωμένων πληροφοριών, ιδίως πληροφοριών που συλλέγονται από την ΕΥΥΑ και τον Frontex, ότι ένα κράτος μέλος βρίσκεται αντιμέτωπο με κατάσταση κρίσης που θέτει σε κίνδυνο την εφαρμογή του κανονισμού (ΕΕ) αριθ. 604/2013 λόγω υπερβολικής πίεσης που χαρακτηρίζεται από μαζική και δυσανάλογη εισροή υπηκόων τρίτων χωρών ή απάτριδων η οποία δημιουργεί σημαντικές απαιτήσεις από το σύστημα ασύλου του. Η κατάσταση κρίσης θα πρέπει να είναι τέτοιου μεγέθους ώστε να θέτει υπό ακραία πίεση ακόμη και καλά προετοιμασμένα και λειτουργούντα συστήματα ασύλου, λαμβάνοντας συγχρόνως υπόψη το μέγεθος του σχετικού κράτους μέλους.</w:t>
      </w:r>
    </w:p>
    <w:p w:rsidR="00DE4D11" w:rsidRDefault="00EB4F41">
      <w:pPr>
        <w:pStyle w:val="Point123"/>
        <w:spacing w:line="240" w:lineRule="auto"/>
        <w:jc w:val="both"/>
        <w:rPr>
          <w:rFonts w:eastAsia="Calibri"/>
          <w:noProof/>
          <w:szCs w:val="22"/>
        </w:rPr>
      </w:pPr>
      <w:r>
        <w:rPr>
          <w:noProof/>
        </w:rPr>
        <w:t xml:space="preserve">Η πρόταση προβλέπει σαφείς δείκτες τους οποίους, μεταξύ άλλων, η Επιτροπή θα πρέπει να λαμβάνει υπόψη κατά την εκτίμηση αυτή: ο συνολικός αριθμός των αιτούντων διεθνή προστασία και των παράτυπων εισόδων υπηκόων τρίτων χωρών και απάτριδων κατά τους τελευταίους έξι μήνες πριν από την έκδοση της κατ’ εξουσιοδότηση πράξης, η αύξηση του αριθμού αυτού σε σύγκριση με την ίδια περίοδο του προηγούμενου έτους, καθώς και ο </w:t>
      </w:r>
      <w:r>
        <w:rPr>
          <w:noProof/>
        </w:rPr>
        <w:lastRenderedPageBreak/>
        <w:t>αριθμός των αιτήσεων ανά κάτοικο στο κράτος μέλος που επωφελείται από τη μετεγκατάσταση κατά τους τελευταίους 18 μήνες σε σύγκριση με τον μέσο όρο της Ένωσης.</w:t>
      </w:r>
    </w:p>
    <w:p w:rsidR="00DE4D11" w:rsidRDefault="00EB4F41">
      <w:pPr>
        <w:pStyle w:val="Bullet1"/>
        <w:tabs>
          <w:tab w:val="clear" w:pos="1417"/>
          <w:tab w:val="num" w:pos="720"/>
        </w:tabs>
        <w:ind w:left="720" w:hanging="360"/>
        <w:rPr>
          <w:b/>
          <w:noProof/>
        </w:rPr>
      </w:pPr>
      <w:r>
        <w:rPr>
          <w:b/>
          <w:noProof/>
        </w:rPr>
        <w:t>Κατηγορίες ατόμων που αιτούνται μετεγκατάσταση</w:t>
      </w:r>
    </w:p>
    <w:p w:rsidR="00DE4D11" w:rsidRDefault="00EB4F41">
      <w:pPr>
        <w:rPr>
          <w:rFonts w:eastAsia="Calibri"/>
          <w:noProof/>
        </w:rPr>
      </w:pPr>
      <w:r>
        <w:rPr>
          <w:noProof/>
        </w:rPr>
        <w:t>Προτείνεται να ενεργοποιείται ο μηχανισμός μετεγκατάστασης λόγω κρίσης μόνο για αιτούντες οι οποίοι, εκ πρώτης όψεως, έχουν σαφή ανάγκη διεθνούς προστασίας και για τους οποίους θα είχε, υπό άλλες συνθήκες, την ευθύνη το κράτος μέλος που βρίσκεται σε κατάσταση κρίσης, σύμφωνα με τα κριτήρια που προβλέπονται στο κεφάλαιο ΙΙΙ του κανονισμού (ΕΕ) αριθ. 604/2013. Η πρόταση ορίζει τους εν λόγω αιτούντες ως εκείνους που ανήκουν σε εθνικότητες για τις οποίες, με βάση τα πλέον πρόσφατα διαθέσιμα επικαιροποιημένα στοιχεία της Eurostat για τον μέσο όρο σε επίπεδο ΕΕ, το ποσοστό αναγνώρισης είναι ίσο ή υψηλότερο από 75%.</w:t>
      </w:r>
    </w:p>
    <w:p w:rsidR="00DE4D11" w:rsidRDefault="00EB4F41">
      <w:pPr>
        <w:pStyle w:val="Bullet1"/>
        <w:tabs>
          <w:tab w:val="clear" w:pos="1417"/>
          <w:tab w:val="num" w:pos="720"/>
        </w:tabs>
        <w:ind w:left="720" w:hanging="360"/>
        <w:rPr>
          <w:b/>
          <w:noProof/>
        </w:rPr>
      </w:pPr>
      <w:r>
        <w:rPr>
          <w:b/>
          <w:noProof/>
        </w:rPr>
        <w:t>Περιγραφή του μηχανισμού μετεγκατάστασης λόγω κρίσης</w:t>
      </w:r>
    </w:p>
    <w:p w:rsidR="00DE4D11" w:rsidRDefault="00EB4F41">
      <w:pPr>
        <w:pStyle w:val="Point123"/>
        <w:spacing w:line="240" w:lineRule="auto"/>
        <w:jc w:val="both"/>
        <w:rPr>
          <w:rFonts w:eastAsia="Calibri"/>
          <w:noProof/>
          <w:szCs w:val="22"/>
        </w:rPr>
      </w:pPr>
      <w:r>
        <w:rPr>
          <w:noProof/>
        </w:rPr>
        <w:t xml:space="preserve">Στο πλαίσιο του μηχανισμού μετεγκατάστασης λόγω κρίσης, οι αιτήσεις των εν λόγω προσώπων εξετάζονται από άλλο κράτος μέλος (το κράτος μέλος μετεγκατάστασης). Στην περίπτωση αυτή, η διαδικασία μετεγκατάστασης όπως ορίζεται στο παράρτημα IV εφαρμόζεται κατά παρέκκλιση των άρθρων 21, 22 και 29 του κανονισμού (ΕΕ) αριθ. 604/2013. </w:t>
      </w:r>
    </w:p>
    <w:p w:rsidR="00DE4D11" w:rsidRDefault="00EB4F41">
      <w:pPr>
        <w:rPr>
          <w:rFonts w:eastAsia="Calibri"/>
          <w:noProof/>
        </w:rPr>
      </w:pPr>
      <w:r>
        <w:rPr>
          <w:noProof/>
        </w:rPr>
        <w:t xml:space="preserve">Στην πρόταση καθορίζεται μια απλή διαδικασία μετεγκατάστασης, για να διασφαλίζεται η ταχεία μεταφορά των ενδιαφερόμενων προσώπων στο κράτος μέλος της μετεγκατάστασης. Κάθε κράτος μέλος ορίζει ένα εθνικό σημείο επαφής και το ανακοινώνει στα άλλα κράτη μέλη και στην Ευρωπαϊκή Υπηρεσία Υποστήριξης για το Άσυλο (ΕΥΥΑ). </w:t>
      </w:r>
    </w:p>
    <w:p w:rsidR="00DE4D11" w:rsidRDefault="00EB4F41">
      <w:pPr>
        <w:rPr>
          <w:noProof/>
        </w:rPr>
      </w:pPr>
      <w:r>
        <w:rPr>
          <w:noProof/>
        </w:rPr>
        <w:t xml:space="preserve">Κατά τακτά χρονικά διαστήματα, το αργότερο δε κάθε τρεις μήνες, τα κράτη μέλη αναφέρουν τον αριθμό των αιτούντων που μπορούν να μεταφερθούν ταχέως στην επικράτειά τους, καθώς και οποιαδήποτε άλλη σχετική πληροφορία. Τα κράτη μέλη που επωφελούνται από τη μετεγκατάσταση, με τη συνδρομή της ΕΥΥΑ και, κατά περίπτωση, των άλλων αξιωματούχων συνδέσμων των κρατών μελών, ταυτοποιούν ακολούθως τους επιμέρους αιτούντες οι οποίοι θα μπορούσαν να μετεγκατασταθούν και προτείνουν στα άλλα κράτη μέλη να μετεγκατασταθούν οι εν λόγω αιτούντες στην επικράτειά τους. Κατά τις ενέργειες αυτές, πρέπει να δίνεται προτεραιότητα σε ευάλωτους αιτούντες. Κατόπιν έγκρισης του κράτους μέλους της μετεγκατάστασης, το κράτος μέλος που επωφελείται από τη μετεγκατάσταση πρέπει ακολούθως να λάβει επίσημη απόφαση για τη μετεγκατάσταση ενός αιτούντα και να την κοινοποιεί στον αιτούντα. Η πρόταση ορίζει ότι οι αιτούντες, τα δακτυλικά αποτυπώματα των οποίων απαιτείται να ληφθούν σύμφωνα με τις υποχρεώσεις που ορίζονται στο άρθρο 9 του κανονισμού (ΕΕ) αριθ. 603/2013, επιτρέπεται να μετεγκατασταθούν μόνον εφόσον έχουν ληφθεί τα δακτυλικά τους αποτυπώματα. Η πρόταση ορίζει επίσης ότι τα κράτη μέλη διατηρούν το δικαίωμα να αρνηθούν μετεγκατάσταση αιτούντα μόνο για λόγους εθνικής ασφάλειας ή δημόσιας τάξης ή βάσει των εξαιρέσεων που προβλέπονται στα άρθρα 12 και 17 της οδηγίας 2011/95/ΕΕ. Η πρόταση προβλέπει ότι όλα τα διαδικαστικά στάδια πρέπει να διεκπεραιώνονται το συντομότερο δυνατόν, και το αργότερο δύο μήνες αφότου το κράτος μέλος της μετεγκατάστασης κοινοποιήσει τον αριθμό των αιτούντων που θα μπορούσαν να μετεγκατασταθούν γρήγορα. Σε περίπτωση δικαιολογημένων πρακτικών εμποδίων, προβλέπονται περαιτέρω περιορισμένες παρεκκλίσεις. </w:t>
      </w:r>
    </w:p>
    <w:p w:rsidR="00DE4D11" w:rsidRDefault="00EB4F41">
      <w:pPr>
        <w:rPr>
          <w:noProof/>
        </w:rPr>
      </w:pPr>
      <w:r>
        <w:rPr>
          <w:noProof/>
        </w:rPr>
        <w:t xml:space="preserve">Η πρόταση περιλαμβάνει ειδικές εγγυήσεις για τους αιτούντες που υπόκεινται σε μετεγκατάσταση σε άλλο κράτος μέλος. Στην πρόταση προσδιορίζεται το δικαίωμα να λαμβάνουν πληροφορίες σχετικά με τη διαδικασία μετεγκατάστασης, το δικαίωμα να τους κοινοποιείται η απόφαση μετεγκατάστασης στην οποία πρέπει να προσδιορίζεται το ακριβές </w:t>
      </w:r>
      <w:r>
        <w:rPr>
          <w:noProof/>
        </w:rPr>
        <w:lastRenderedPageBreak/>
        <w:t>κράτος της μετεγκατάστασης και το δικαίωμα της μετεγκατάστασης με τα μέλη της οικογένειας στο ίδιο κράτος μέλος μετεγκατάστασης. Η υποχρέωση να λαμβάνεται πρωτίστως υπόψη το μείζον συμφέρον του παιδιού, όπως προβλέπεται στον κανονισμό (ΕΕ) αριθ. 604/2013 εξακολουθεί να ισχύει κατά τη λήψη της απόφασης σχετικά με το κράτος μέλος της μετεγκατάστασης. Αυτό συνεπάγεται, μεταξύ άλλων, την υποχρέωση του κράτους μέλους που επωφελείται από τη μετεγκατάσταση να αναφέρει στα άλλα κράτη μέλη το γεγονός ότι ο αιτών που πρέπει να μεταφερθεί είναι ασυνόδευτος ανήλικος και, από κοινού με το κράτος μέλος το οποίο έχει εκδηλώσει ενδιαφέρον για τη μετεγκατάσταση του συγκεκριμένου ανήλικου, να διασφαλίζουν ότι, προτού πραγματοποιηθεί η μετεγκατάσταση, διενεργείται αξιολόγηση σχετικά με το μείζον συμφέρον του παιδιού, σύμφωνα με το Γενικό Σχόλιο αριθ. 14 (2013) της Επιτροπής των Ηνωμένων Εθνών για το δικαίωμα του παιδιού να λαμβάνεται πρωτίστως υπόψη το μείζον συμφέρον του</w:t>
      </w:r>
      <w:r>
        <w:rPr>
          <w:rStyle w:val="FootnoteReference"/>
          <w:noProof/>
        </w:rPr>
        <w:footnoteReference w:id="11"/>
      </w:r>
      <w:r>
        <w:rPr>
          <w:noProof/>
        </w:rPr>
        <w:t xml:space="preserve">. </w:t>
      </w:r>
    </w:p>
    <w:p w:rsidR="00DE4D11" w:rsidRDefault="00EB4F41">
      <w:pPr>
        <w:pStyle w:val="Bullet1"/>
        <w:tabs>
          <w:tab w:val="clear" w:pos="1417"/>
          <w:tab w:val="num" w:pos="720"/>
        </w:tabs>
        <w:ind w:left="720" w:hanging="360"/>
        <w:rPr>
          <w:b/>
          <w:noProof/>
        </w:rPr>
      </w:pPr>
      <w:r>
        <w:rPr>
          <w:b/>
          <w:noProof/>
        </w:rPr>
        <w:t>Ενεργοποίηση του μηχανισμού μετεγκατάστασης λόγω κρίσης</w:t>
      </w:r>
    </w:p>
    <w:p w:rsidR="00DE4D11" w:rsidRDefault="00EB4F41">
      <w:pPr>
        <w:pStyle w:val="Point123"/>
        <w:spacing w:line="240" w:lineRule="auto"/>
        <w:jc w:val="both"/>
        <w:rPr>
          <w:rFonts w:eastAsia="Calibri"/>
          <w:noProof/>
          <w:szCs w:val="22"/>
        </w:rPr>
      </w:pPr>
      <w:r>
        <w:rPr>
          <w:noProof/>
        </w:rPr>
        <w:t>Όταν η Επιτροπή διαπιστώσει ότι πληρούνται οι προϋποθέσεις για τη μετεγκατάσταση για ένα συγκεκριμένο κράτος μέλος, εκδίδει κατ’ εξουσιοδότηση πράξη για την ενεργοποίηση της εφαρμογής του μηχανισμού μετεγκατάστασης. Η εν λόγω κατ’ εξουσιοδότηση πράξη α) διαπιστώνει ότι συντρέχει κατάσταση κρίσης στο κράτος μέλος που επωφελείται από τη μετεγκατάσταση· β) προσδιορίζει τον αριθμό των προσώπων που πρέπει να μετεγκατασταθούν από το εν λόγω κράτος μέλος· γ) προσδιορίζει την κατανομή των εν λόγω προσώπων μεταξύ των κρατών μελών βάσει του μαθηματικού τύπου με την κλείδα κατανομής· και δ) προσδιορίζει την περίοδο εφαρμογής του μηχανισμού μετεγκατάστασης λόγω κρίσης. Η κατ’ εξουσιοδότηση πράξη τίθεται σε ισχύ μόνον εφόσον δεν έχει διατυπωθεί αντίρρηση είτε από το Ευρωπαϊκό Κοινοβούλιο είτε από το Συμβούλιο, εντός μέγιστης περιόδου ενός μηνός από την κοινοποίησή της από την Επιτροπή. Η κατ’ εξουσιοδότηση πράξη μπορεί να ισχύει επί μέγιστο χρονικό διάστημα δύο ετών.</w:t>
      </w:r>
    </w:p>
    <w:p w:rsidR="00DE4D11" w:rsidRDefault="00EB4F41">
      <w:pPr>
        <w:pStyle w:val="Bullet1"/>
        <w:tabs>
          <w:tab w:val="clear" w:pos="1417"/>
          <w:tab w:val="num" w:pos="720"/>
        </w:tabs>
        <w:ind w:left="720" w:hanging="360"/>
        <w:rPr>
          <w:b/>
          <w:noProof/>
        </w:rPr>
      </w:pPr>
      <w:r>
        <w:rPr>
          <w:b/>
          <w:noProof/>
        </w:rPr>
        <w:t>Μέθοδος για τον καθορισμό του αριθμού των προσώπων προς μετεγκατάσταση</w:t>
      </w:r>
    </w:p>
    <w:p w:rsidR="00DE4D11" w:rsidRDefault="00EB4F41">
      <w:pPr>
        <w:pStyle w:val="Text1"/>
        <w:ind w:left="0"/>
        <w:rPr>
          <w:noProof/>
        </w:rPr>
      </w:pPr>
      <w:r>
        <w:rPr>
          <w:noProof/>
        </w:rPr>
        <w:t>Η πρόταση προβλέπει αντικειμενικούς και επαληθεύσιμους δείκτες που πρέπει να λαμβάνονται υπόψη από την Επιτροπή κατά τον προσδιορισμό, στο πλαίσιο της έγκρισης κατ’ εξουσιοδότηση πράξης για την ενεργοποίηση του μηχανισμού μετεγκατάστασης λόγω κρίσης για ένα συγκεκριμένο κράτος μέλος, του αριθμού των ατόμων που πρόκειται να μετεγκατασταθούν από το εν λόγω κράτος μέλος, και ιδίως: τον αριθμό των αιτούντων κατά κεφαλή στο κράτος μέλος που επωφελείται από τη μετεγκατάσταση, κατά τους 18 μήνες, και ιδίως κατά τους έξι μήνες που προηγούνται της έκδοσης της κατ’ εξουσιοδότηση πράξης σε σύγκριση με τον μέσο όρο της Ένωσης· τις δυνατότητες του συστήματος ασύλου του εν λόγω κράτους μέλους· και τη συμμετοχή του κράτους μέλους σε προηγούμενες πρωτοβουλίες αλληλεγγύης, καθώς και τον βαθμό στον οποίο το κράτος μέλος έχει επωφεληθεί από προηγούμενα μέτρα αλληλεγγύης της ΕΕ.</w:t>
      </w:r>
    </w:p>
    <w:p w:rsidR="00DE4D11" w:rsidRDefault="00EB4F41">
      <w:pPr>
        <w:pStyle w:val="Point1232"/>
        <w:numPr>
          <w:ilvl w:val="0"/>
          <w:numId w:val="0"/>
        </w:numPr>
        <w:tabs>
          <w:tab w:val="left" w:pos="720"/>
        </w:tabs>
        <w:spacing w:line="240" w:lineRule="auto"/>
        <w:jc w:val="both"/>
        <w:rPr>
          <w:rFonts w:eastAsia="Calibri"/>
          <w:noProof/>
          <w:szCs w:val="22"/>
        </w:rPr>
      </w:pPr>
      <w:r>
        <w:rPr>
          <w:noProof/>
        </w:rPr>
        <w:t>Επιπλέον, καθορίζεται ανώτατο όριο για τα πρόσωπα που πρόκειται να μετεγκατασταθούν, και συγκεκριμένα το 40% του αριθμού των αιτήσεων που υποβλήθηκαν στο εν λόγω κράτος μέλος κατά τους έξι μήνες που προηγούνται της έκδοσης της κατ’ εξουσιοδότηση πράξης.</w:t>
      </w:r>
    </w:p>
    <w:p w:rsidR="00DE4D11" w:rsidRDefault="00EB4F41">
      <w:pPr>
        <w:pStyle w:val="Bullet1"/>
        <w:tabs>
          <w:tab w:val="clear" w:pos="1417"/>
          <w:tab w:val="num" w:pos="720"/>
        </w:tabs>
        <w:ind w:left="720" w:hanging="360"/>
        <w:rPr>
          <w:b/>
          <w:noProof/>
        </w:rPr>
      </w:pPr>
      <w:r>
        <w:rPr>
          <w:b/>
          <w:noProof/>
        </w:rPr>
        <w:t>Ειδικοί κανόνες σε περίπτωση που ένα κράτος μέλος δεν είναι προσωρινά σε θέση να συμμετάσχει στη μετεγκατάσταση αιτούντων</w:t>
      </w:r>
    </w:p>
    <w:p w:rsidR="00DE4D11" w:rsidRDefault="00EB4F41">
      <w:pPr>
        <w:rPr>
          <w:noProof/>
        </w:rPr>
      </w:pPr>
      <w:r>
        <w:rPr>
          <w:noProof/>
        </w:rPr>
        <w:lastRenderedPageBreak/>
        <w:t>Δεδομένου ότι δεν μπορεί να αποκλειστεί το ενδεχόμενο εξαιρετικών περιστάσεων, η πρόταση προβλέπει ότι ένα κράτος μέλος μπορεί, εντός ενός μηνός από την έναρξη ισχύος της κατ’ εξουσιοδότηση πράξης που ενεργοποιεί την εφαρμογή του μηχανισμού μετεγκατάστασης, να γνωστοποιήσει στην Επιτροπή, παρέχοντας δεόντως αιτιολογημένους λόγους που συνάδουν με τις θεμελιώδεις αξίες της Ένωσης, όπως κατοχυρώνονται στο άρθρο 2 της Συνθήκης για την Ευρωπαϊκή Ένωση, ότι δεν είναι προσωρινά σε θέση να συμμετάσχει, πλήρως ή εν μέρει, στη μετεγκατάσταση των αιτούντων, για περίοδο ενός έτους. Αντ’ αυτού, το κράτος μέλος θα πρέπει να καταβάλει χρηματοδοτική συνεισφορά στον προϋπολογισμό της ΕΕ ύψους 0,002% του ΑΕΠ για την κάλυψη της συνδρομής προς στήριξη των προσπαθειών που έχουν αναλάβει όλα τα άλλα κράτη μέλη για να αντιμετωπίσουν την κατάσταση κρίσης και τις συνέπειες της μη συμμετοχής του εν λόγω κράτους μέλους στην μετεγκατάσταση. Σε περίπτωση μερικής συμμετοχής του στη μετεγκατάσταση, το ποσό αυτό μειώνεται αναλόγως. Αυτό το ποσό πρέπει να διατεθεί στο Ταμείο Ασύλου, Μετανάστευσης και Ένταξης ως έσοδα για ειδικό προορισμό.</w:t>
      </w:r>
    </w:p>
    <w:p w:rsidR="00DE4D11" w:rsidRDefault="00EB4F41">
      <w:pPr>
        <w:pStyle w:val="Text1"/>
        <w:ind w:left="0"/>
        <w:rPr>
          <w:noProof/>
        </w:rPr>
      </w:pPr>
      <w:r>
        <w:rPr>
          <w:noProof/>
        </w:rPr>
        <w:t>Πρέπει να διασφαλιστεί ότι θα παραμείνει αμετάβλητο το επίπεδο της αλληλεγγύης με το κράτος μέλος που αντιμετωπίζει κατάσταση κρίσης, ως προς τον αριθμό των ατόμων που πρέπει να μετεγκατασταθούν. Ως εκ τούτου, τα κονδύλια βάσει της κλείδας κατανομής που προβλέφθηκαν για ένα κράτος μέλος που έχει προβεί σε κοινοποίηση η οποία έγινε δεκτή από την Επιτροπή, θα πρέπει να ανακατανεμηθούν στα υπόλοιπα κράτη μέλη.</w:t>
      </w:r>
    </w:p>
    <w:p w:rsidR="00DE4D11" w:rsidRDefault="00EB4F41">
      <w:pPr>
        <w:pStyle w:val="Text1"/>
        <w:ind w:left="0"/>
        <w:rPr>
          <w:noProof/>
        </w:rPr>
      </w:pPr>
      <w:r>
        <w:rPr>
          <w:noProof/>
        </w:rPr>
        <w:t xml:space="preserve">Η πρόταση προβλέπει ότι στην περίπτωση αυτή η κατ’ εξουσιοδότηση πράξη που ενεργοποιεί την εφαρμογή του μηχανισμού μετεγκατάστασης τροποποιείται. </w:t>
      </w:r>
    </w:p>
    <w:p w:rsidR="00DE4D11" w:rsidRDefault="00EB4F41">
      <w:pPr>
        <w:pStyle w:val="Bullet1"/>
        <w:tabs>
          <w:tab w:val="clear" w:pos="1417"/>
          <w:tab w:val="num" w:pos="720"/>
        </w:tabs>
        <w:ind w:left="720" w:hanging="360"/>
        <w:rPr>
          <w:b/>
          <w:noProof/>
        </w:rPr>
      </w:pPr>
      <w:r>
        <w:rPr>
          <w:b/>
          <w:noProof/>
        </w:rPr>
        <w:t>Συμπληρωματικά μέτρα που πρέπει να λαμβάνονται από το κράτος μέλος που επωφελείται από τη μετεγκατάσταση,</w:t>
      </w:r>
    </w:p>
    <w:p w:rsidR="00DE4D11" w:rsidRDefault="00EB4F41">
      <w:pPr>
        <w:rPr>
          <w:noProof/>
        </w:rPr>
      </w:pPr>
      <w:r>
        <w:rPr>
          <w:noProof/>
        </w:rPr>
        <w:t>Λαμβάνοντας υπόψη τις διττές αρχές της αλληλεγγύης και της ευθύνης, η πρόταση προβλέπει την υποχρέωση του κράτους μέλους που επωφελείται από τη μετεγκατάσταση να υποβάλει στην Επιτροπή, κατά την ημερομηνία έναρξης ισχύος της κατ’ εξουσιοδότηση πράξης, οδικό χάρτη με μέτρα που διασφαλίζουν την κατάλληλη εφαρμογή του μηχανισμού μετεγκατάστασης λόγω κρίσης. Όταν ένα κράτος μέλος έχει κληθεί από την Επιτροπή να καταρτίσει σχέδιο δράσης για τη διαχείριση κρίσης σύμφωνα με το άρθρο 33 παράγραφος 3 του κανονισμού (ΕΕ) αριθ. 604/2013, τα μέτρα που αποσκοπούν στην εξασφάλιση της ορθής εφαρμογής του μηχανισμού μετεγκατάστασης πρέπει να υποβληθούν ως μέρος του σχεδίου δράσης, το οποίο πρέπει να περιλαμβάνει ευρύτερα μέτρα που αφορούν το άσυλο με στόχο, μεταξύ άλλων, την ενίσχυση των ικανοτήτων του συστήματος ασύλου. Επιπλέον, η πρόταση καθορίζει τις προϋποθέσεις υπό τις οποίες η Επιτροπή μπορεί να αποφασίσει να αναστείλει την εφαρμογή του μηχανισμού μετεγκατάστασης προς όφελος ενός κράτους μέλους σε περίπτωση που αυτό δεν εκπληρώσει τις υποχρεώσεις του.</w:t>
      </w:r>
    </w:p>
    <w:p w:rsidR="00DE4D11" w:rsidRDefault="00EB4F41">
      <w:pPr>
        <w:rPr>
          <w:noProof/>
        </w:rPr>
      </w:pPr>
      <w:r>
        <w:rPr>
          <w:noProof/>
        </w:rPr>
        <w:t>Τέλος, η πρόταση υπενθυμίζει τους κανόνες που εφαρμόζονται για την πρόληψη και την αντιμετώπιση καταστάσεων δευτερογενών μετακινήσεων αιτούντων άσυλο και δικαιούχων διεθνούς προστασίας και προβλέπει νέους κανόνες στην περίπτωση δευτερογενών μετακινήσεων δικαιούχων διεθνούς προστασίας, οι οποίοι, μετά τη μετεγκατάστασή τους, εισήλθαν και διέμειναν παρατύπως στο έδαφος άλλου κράτους μέλους. Συγκεκριμένα, προβλέπεται ότι το κράτος μέλος της μετεγκατάστασης πρέπει να δεχθεί και πάλι έναν δικαιούχο διεθνούς προστασίας ο οποίος, μετά τη μετεγκατάστασή του, υπέβαλε αίτηση σε κράτος μέλος διαφορετικό από το κράτος μέλος της μετεγκατάστασης ή ο οποίος ευρίσκεται στο έδαφος κράτους μέλους διαφορετικού από το κράτος μέλος της μετεγκατάστασης χωρίς τίτλο διαμονής.</w:t>
      </w:r>
    </w:p>
    <w:p w:rsidR="00DE4D11" w:rsidRDefault="00EB4F41">
      <w:pPr>
        <w:pStyle w:val="Bullet1"/>
        <w:tabs>
          <w:tab w:val="clear" w:pos="1417"/>
          <w:tab w:val="num" w:pos="720"/>
        </w:tabs>
        <w:ind w:left="720" w:hanging="360"/>
        <w:rPr>
          <w:b/>
          <w:noProof/>
        </w:rPr>
      </w:pPr>
      <w:r>
        <w:rPr>
          <w:b/>
          <w:noProof/>
        </w:rPr>
        <w:t>Υπολογισμός της κλείδας κατανομής</w:t>
      </w:r>
    </w:p>
    <w:p w:rsidR="00DE4D11" w:rsidRDefault="00DE4D11">
      <w:pPr>
        <w:pStyle w:val="Text1"/>
        <w:ind w:left="720"/>
        <w:rPr>
          <w:b/>
          <w:noProof/>
        </w:rPr>
      </w:pPr>
    </w:p>
    <w:p w:rsidR="00DE4D11" w:rsidRDefault="00EB4F41">
      <w:pPr>
        <w:pStyle w:val="ManualNumPar1"/>
        <w:rPr>
          <w:noProof/>
        </w:rPr>
      </w:pPr>
      <w:r>
        <w:rPr>
          <w:noProof/>
        </w:rPr>
        <w:t>1.</w:t>
      </w:r>
      <w:r>
        <w:rPr>
          <w:noProof/>
        </w:rPr>
        <w:tab/>
        <w:t>Κλείδα κατανομής</w:t>
      </w:r>
    </w:p>
    <w:p w:rsidR="00DE4D11" w:rsidRDefault="00DE4D11">
      <w:pPr>
        <w:spacing w:before="0" w:after="200" w:line="276" w:lineRule="auto"/>
        <w:ind w:left="720"/>
        <w:contextualSpacing/>
        <w:jc w:val="left"/>
        <w:rPr>
          <w:b/>
          <w:noProof/>
          <w:szCs w:val="24"/>
        </w:rPr>
      </w:pPr>
    </w:p>
    <w:p w:rsidR="00DE4D11" w:rsidRDefault="00EB4F41">
      <w:pPr>
        <w:spacing w:before="0" w:after="200" w:line="276" w:lineRule="auto"/>
        <w:jc w:val="left"/>
        <w:rPr>
          <w:noProof/>
        </w:rPr>
      </w:pPr>
      <w:r>
        <w:rPr>
          <w:noProof/>
        </w:rPr>
        <w:t>α) Πληθυσμός - στάθμιση 40%</w:t>
      </w:r>
      <w:r>
        <w:rPr>
          <w:noProof/>
        </w:rPr>
        <w:tab/>
      </w:r>
    </w:p>
    <w:p w:rsidR="00DE4D11" w:rsidRDefault="00EB4F41">
      <w:pPr>
        <w:spacing w:before="0" w:after="200" w:line="276" w:lineRule="auto"/>
        <w:jc w:val="left"/>
        <w:rPr>
          <w:noProof/>
        </w:rPr>
      </w:pPr>
      <w:r>
        <w:rPr>
          <w:noProof/>
        </w:rPr>
        <w:t>β) Συνολικό ΑΕΠ - στάθμιση 40%</w:t>
      </w:r>
      <w:r>
        <w:rPr>
          <w:noProof/>
        </w:rPr>
        <w:tab/>
      </w:r>
    </w:p>
    <w:p w:rsidR="00DE4D11" w:rsidRDefault="00EB4F41">
      <w:pPr>
        <w:spacing w:before="0" w:after="200" w:line="276" w:lineRule="auto"/>
        <w:jc w:val="left"/>
        <w:rPr>
          <w:noProof/>
        </w:rPr>
      </w:pPr>
      <w:r>
        <w:rPr>
          <w:noProof/>
        </w:rPr>
        <w:t>γ) Μέσος αριθμός αιτήσεων χορήγησης ασύλου κατά τα 5 προηγούμενα έτη ανά εκατομμύριο κατοίκων, με ανώτατο όριο το 30% του πληθυσμού και του ΑΕΠ - στάθμιση 10%</w:t>
      </w:r>
    </w:p>
    <w:p w:rsidR="00DE4D11" w:rsidRDefault="00EB4F41">
      <w:pPr>
        <w:spacing w:before="0" w:after="200" w:line="276" w:lineRule="auto"/>
        <w:jc w:val="left"/>
        <w:rPr>
          <w:noProof/>
        </w:rPr>
      </w:pPr>
      <w:r>
        <w:rPr>
          <w:noProof/>
        </w:rPr>
        <w:t>δ) Ποσοστό ανεργίας με ανώτατο όριο το 30% του πληθυσμού και του ΑΕΠ - στάθμιση 10%.</w:t>
      </w:r>
    </w:p>
    <w:p w:rsidR="00DE4D11" w:rsidRDefault="00DE4D11">
      <w:pPr>
        <w:spacing w:before="0" w:after="200" w:line="276" w:lineRule="auto"/>
        <w:jc w:val="left"/>
        <w:rPr>
          <w:noProof/>
          <w:szCs w:val="24"/>
        </w:rPr>
      </w:pPr>
    </w:p>
    <w:p w:rsidR="00DE4D11" w:rsidRDefault="00EB4F41">
      <w:pPr>
        <w:pStyle w:val="ManualNumPar1"/>
        <w:rPr>
          <w:noProof/>
        </w:rPr>
      </w:pPr>
      <w:r>
        <w:rPr>
          <w:noProof/>
        </w:rPr>
        <w:t>2.</w:t>
      </w:r>
      <w:r>
        <w:rPr>
          <w:noProof/>
        </w:rPr>
        <w:tab/>
        <w:t>Μαθηματικός τύπος</w:t>
      </w:r>
    </w:p>
    <w:p w:rsidR="00DE4D11" w:rsidRDefault="00EB4F41">
      <w:pPr>
        <w:spacing w:before="0" w:after="200" w:line="276" w:lineRule="auto"/>
        <w:jc w:val="left"/>
        <w:rPr>
          <w:b/>
          <w:noProof/>
        </w:rPr>
      </w:pPr>
      <w:r>
        <w:rPr>
          <w:noProof/>
          <w:lang w:val="en-GB" w:eastAsia="en-GB" w:bidi="ar-SA"/>
        </w:rPr>
        <w:drawing>
          <wp:inline distT="0" distB="0" distL="0" distR="0">
            <wp:extent cx="5760720" cy="1989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989869"/>
                    </a:xfrm>
                    <a:prstGeom prst="rect">
                      <a:avLst/>
                    </a:prstGeom>
                    <a:noFill/>
                    <a:ln>
                      <a:noFill/>
                    </a:ln>
                  </pic:spPr>
                </pic:pic>
              </a:graphicData>
            </a:graphic>
          </wp:inline>
        </w:drawing>
      </w:r>
      <w:r>
        <w:rPr>
          <w:b/>
          <w:noProof/>
        </w:rPr>
        <w:t>Υπολογισμός</w:t>
      </w:r>
    </w:p>
    <w:p w:rsidR="00DE4D11" w:rsidRDefault="00EB4F41">
      <w:pPr>
        <w:spacing w:before="0" w:after="200" w:line="276" w:lineRule="auto"/>
        <w:jc w:val="left"/>
        <w:rPr>
          <w:noProof/>
          <w:szCs w:val="24"/>
        </w:rPr>
      </w:pPr>
      <w:r>
        <w:rPr>
          <w:noProof/>
        </w:rPr>
        <w:t xml:space="preserve">Η προσομοίωση που ακολουθεί έχει ως στόχο να δείξει τον τρόπο με τον οποίο υπολογίζεται η κατανομή 120 000 αιτούντων σε χώρα X εάν συμμετέχουν όλα τα κράτη μέλη της ΕΕ και τα συνδεδεμένα κράτη (ΕΕ+). </w:t>
      </w:r>
    </w:p>
    <w:p w:rsidR="00DE4D11" w:rsidRDefault="00EB4F41">
      <w:pPr>
        <w:pStyle w:val="Point0"/>
        <w:rPr>
          <w:noProof/>
        </w:rPr>
      </w:pPr>
      <w:r>
        <w:rPr>
          <w:noProof/>
        </w:rPr>
        <w:t>α)</w:t>
      </w:r>
      <w:r>
        <w:rPr>
          <w:noProof/>
        </w:rPr>
        <w:tab/>
        <w:t>Πληθυσμός</w:t>
      </w:r>
    </w:p>
    <w:p w:rsidR="00DE4D11" w:rsidRDefault="00EB4F41">
      <w:pPr>
        <w:spacing w:before="0" w:after="200" w:line="276" w:lineRule="auto"/>
        <w:rPr>
          <w:noProof/>
          <w:szCs w:val="24"/>
        </w:rPr>
      </w:pPr>
      <w:r>
        <w:rPr>
          <w:noProof/>
        </w:rPr>
        <w:t>Για τον υπολογισμό του αποτελέσματος του κριτηρίου του πληθυσμού στην κλείδα κατανομής, ο αριθμός των κατοίκων της χώρας X διαιρείται με τον συνολικό αριθμό των κατοίκων των 28 κρατών μελών και των 4 συνδεδεμένων κρατών (ΕΕ+=32).</w:t>
      </w:r>
    </w:p>
    <w:p w:rsidR="00DE4D11" w:rsidRDefault="00EB4F41">
      <w:pPr>
        <w:spacing w:before="0" w:after="200" w:line="276" w:lineRule="auto"/>
        <w:ind w:left="360" w:firstLine="480"/>
        <w:contextualSpacing/>
        <w:jc w:val="left"/>
        <w:rPr>
          <w:noProof/>
          <w:szCs w:val="24"/>
        </w:rPr>
      </w:pPr>
      <w:r>
        <w:rPr>
          <w:b/>
          <w:noProof/>
        </w:rPr>
        <w:t>Παράδειγμα</w:t>
      </w:r>
      <w:r>
        <w:rPr>
          <w:noProof/>
        </w:rPr>
        <w:t>:</w:t>
      </w:r>
    </w:p>
    <w:p w:rsidR="00DE4D11" w:rsidRDefault="00EB4F41">
      <w:pPr>
        <w:spacing w:before="0" w:after="200" w:line="276" w:lineRule="auto"/>
        <w:ind w:left="360"/>
        <w:jc w:val="left"/>
        <w:rPr>
          <w:noProof/>
          <w:szCs w:val="24"/>
        </w:rPr>
      </w:pPr>
      <w:r>
        <w:rPr>
          <w:noProof/>
        </w:rPr>
        <w:t>Πληθυσμός της χώρας X: 4.625.885· Άθροισμα του πληθυσμού της ΕΕ+: 521.959.960.</w:t>
      </w:r>
    </w:p>
    <w:p w:rsidR="00DE4D11" w:rsidRDefault="00EB4F41">
      <w:pPr>
        <w:spacing w:before="0" w:after="200" w:line="276" w:lineRule="auto"/>
        <w:ind w:left="360"/>
        <w:jc w:val="left"/>
        <w:rPr>
          <w:rFonts w:eastAsia="+mn-ea"/>
          <w:bCs/>
          <w:iCs/>
          <w:noProof/>
          <w:color w:val="000000"/>
          <w:szCs w:val="24"/>
          <w:u w:val="single"/>
        </w:rPr>
      </w:pPr>
      <w:r>
        <w:rPr>
          <w:noProof/>
          <w:color w:val="000000"/>
        </w:rPr>
        <w:t xml:space="preserve">Αποτέλεσμα πληθυσμού </w:t>
      </w:r>
      <w:r>
        <w:rPr>
          <w:noProof/>
          <w:color w:val="000000"/>
          <w:position w:val="-6"/>
          <w:vertAlign w:val="subscript"/>
        </w:rPr>
        <w:t>x</w:t>
      </w:r>
      <w:r>
        <w:rPr>
          <w:noProof/>
          <w:color w:val="000000"/>
        </w:rPr>
        <w:t>=</w:t>
      </w:r>
      <m:oMath>
        <m:f>
          <m:fPr>
            <m:ctrlPr>
              <w:rPr>
                <w:rFonts w:ascii="Cambria Math" w:eastAsia="+mn-ea" w:hAnsi="Cambria Math" w:cs="Arial"/>
                <w:bCs/>
                <w:i/>
                <w:iCs/>
                <w:noProof/>
                <w:color w:val="000000"/>
                <w:szCs w:val="24"/>
              </w:rPr>
            </m:ctrlPr>
          </m:fPr>
          <m:num>
            <m:r>
              <m:rPr>
                <m:sty m:val="p"/>
              </m:rPr>
              <w:rPr>
                <w:rFonts w:ascii="Cambria Math" w:eastAsia="+mn-ea" w:hAnsi="Cambria Math" w:cs="Arial"/>
                <w:noProof/>
                <w:color w:val="000000"/>
                <w:szCs w:val="24"/>
              </w:rPr>
              <m:t>4. 625.885</m:t>
            </m:r>
          </m:num>
          <m:den>
            <m:r>
              <m:rPr>
                <m:sty m:val="p"/>
              </m:rPr>
              <w:rPr>
                <w:rFonts w:ascii="Cambria Math" w:eastAsia="+mn-ea" w:hAnsi="Cambria Math" w:cs="Arial"/>
                <w:noProof/>
                <w:color w:val="000000"/>
                <w:szCs w:val="24"/>
              </w:rPr>
              <m:t>521.959.960</m:t>
            </m:r>
          </m:den>
        </m:f>
      </m:oMath>
      <w:r>
        <w:rPr>
          <w:noProof/>
          <w:color w:val="000000"/>
        </w:rPr>
        <w:t xml:space="preserve"> = 0,89%</w:t>
      </w:r>
    </w:p>
    <w:p w:rsidR="00DE4D11" w:rsidRDefault="00EB4F41">
      <w:pPr>
        <w:spacing w:before="0" w:after="200" w:line="276" w:lineRule="auto"/>
        <w:jc w:val="left"/>
        <w:rPr>
          <w:rFonts w:eastAsia="Calibri"/>
          <w:noProof/>
          <w:szCs w:val="24"/>
        </w:rPr>
      </w:pPr>
      <w:r>
        <w:rPr>
          <w:noProof/>
        </w:rPr>
        <w:t xml:space="preserve">Το αποτέλεσμα του κριτηρίου του πληθυσμού στην κλείδα κατανομής για τη χώρα Χ είναι </w:t>
      </w:r>
      <w:r>
        <w:rPr>
          <w:noProof/>
          <w:u w:val="single"/>
        </w:rPr>
        <w:t>0,89%.</w:t>
      </w:r>
    </w:p>
    <w:p w:rsidR="00DE4D11" w:rsidRDefault="00EB4F41">
      <w:pPr>
        <w:pStyle w:val="Point0"/>
        <w:rPr>
          <w:noProof/>
        </w:rPr>
      </w:pPr>
      <w:r>
        <w:rPr>
          <w:noProof/>
        </w:rPr>
        <w:t>β)</w:t>
      </w:r>
      <w:r>
        <w:rPr>
          <w:noProof/>
        </w:rPr>
        <w:tab/>
        <w:t>Συνολικό ΑΕΠ</w:t>
      </w:r>
    </w:p>
    <w:p w:rsidR="00DE4D11" w:rsidRDefault="00EB4F41">
      <w:pPr>
        <w:spacing w:before="0" w:after="200" w:line="276" w:lineRule="auto"/>
        <w:rPr>
          <w:noProof/>
          <w:szCs w:val="24"/>
        </w:rPr>
      </w:pPr>
      <w:r>
        <w:rPr>
          <w:noProof/>
        </w:rPr>
        <w:lastRenderedPageBreak/>
        <w:t>Για τον υπολογισμό του αποτελέσματος του κριτηρίου του ΑΕΠ στην κλείδα κατανομής, το συνολικό ΑΕΠ της χώρας X διαιρείται με το άθροισμα του συνολικού ΑΕΠ των 28 κρατών μελών της ΕΕ και των 4 συνδεδεμένων κρατών (ΕΕ+=32).</w:t>
      </w:r>
    </w:p>
    <w:p w:rsidR="00DE4D11" w:rsidRDefault="00EB4F41">
      <w:pPr>
        <w:spacing w:before="0" w:after="200" w:line="276" w:lineRule="auto"/>
        <w:ind w:left="360" w:firstLine="480"/>
        <w:contextualSpacing/>
        <w:jc w:val="left"/>
        <w:rPr>
          <w:b/>
          <w:noProof/>
          <w:szCs w:val="24"/>
        </w:rPr>
      </w:pPr>
      <w:r>
        <w:rPr>
          <w:b/>
          <w:noProof/>
        </w:rPr>
        <w:t>Παράδειγμα:</w:t>
      </w:r>
    </w:p>
    <w:p w:rsidR="00DE4D11" w:rsidRDefault="00EB4F41">
      <w:pPr>
        <w:spacing w:before="0" w:after="200" w:line="276" w:lineRule="auto"/>
        <w:ind w:left="360"/>
        <w:jc w:val="left"/>
        <w:rPr>
          <w:noProof/>
          <w:szCs w:val="24"/>
        </w:rPr>
      </w:pPr>
      <w:r>
        <w:rPr>
          <w:noProof/>
        </w:rPr>
        <w:t>Συνολικό ΑΕΠ της χώρας X (σε εκατ. ευρώ): 185.411· Άθροισμα του συνολικού ΑΕΠ της ΕΕ+ (σε εκατ. ευρώ):  14.854.924.</w:t>
      </w:r>
    </w:p>
    <w:p w:rsidR="00DE4D11" w:rsidRDefault="00EB4F41">
      <w:pPr>
        <w:spacing w:before="0" w:after="200" w:line="276" w:lineRule="auto"/>
        <w:ind w:left="360"/>
        <w:jc w:val="left"/>
        <w:rPr>
          <w:rFonts w:eastAsia="+mn-ea"/>
          <w:bCs/>
          <w:iCs/>
          <w:noProof/>
          <w:color w:val="000000"/>
          <w:szCs w:val="24"/>
          <w:u w:val="single"/>
        </w:rPr>
      </w:pPr>
      <w:r>
        <w:rPr>
          <w:noProof/>
          <w:color w:val="000000"/>
        </w:rPr>
        <w:t xml:space="preserve">Αποτέλεσμα ΑΕΠ </w:t>
      </w:r>
      <w:r>
        <w:rPr>
          <w:noProof/>
          <w:color w:val="000000"/>
          <w:position w:val="-6"/>
          <w:vertAlign w:val="subscript"/>
        </w:rPr>
        <w:t>x</w:t>
      </w:r>
      <w:r>
        <w:rPr>
          <w:noProof/>
          <w:color w:val="000000"/>
        </w:rPr>
        <w:t>=</w:t>
      </w:r>
      <w:r>
        <w:rPr>
          <w:noProof/>
          <w:color w:val="000000"/>
          <w:position w:val="-6"/>
          <w:vertAlign w:val="subscript"/>
        </w:rPr>
        <w:t xml:space="preserve"> </w:t>
      </w:r>
      <w:r>
        <w:rPr>
          <w:rFonts w:eastAsia="+mn-ea"/>
          <w:bCs/>
          <w:noProof/>
          <w:color w:val="000000"/>
          <w:position w:val="-6"/>
          <w:szCs w:val="24"/>
          <w:vertAlign w:val="subscript"/>
        </w:rPr>
        <w:t xml:space="preserve"> </w:t>
      </w:r>
      <m:oMath>
        <m:f>
          <m:fPr>
            <m:ctrlPr>
              <w:rPr>
                <w:rFonts w:ascii="Cambria Math" w:eastAsia="+mn-ea" w:hAnsi="Cambria Math" w:cs="Arial"/>
                <w:bCs/>
                <w:i/>
                <w:iCs/>
                <w:noProof/>
                <w:color w:val="000000"/>
                <w:sz w:val="22"/>
              </w:rPr>
            </m:ctrlPr>
          </m:fPr>
          <m:num>
            <m:r>
              <w:rPr>
                <w:rFonts w:ascii="Cambria Math" w:eastAsia="+mn-ea" w:hAnsi="Cambria Math" w:cs="Arial"/>
                <w:noProof/>
                <w:color w:val="000000"/>
                <w:sz w:val="22"/>
              </w:rPr>
              <m:t>185.411,7</m:t>
            </m:r>
          </m:num>
          <m:den>
            <m:r>
              <w:rPr>
                <w:rFonts w:ascii="Cambria Math" w:eastAsia="+mn-ea" w:hAnsi="Cambria Math" w:cs="Arial"/>
                <w:noProof/>
                <w:color w:val="000000"/>
                <w:sz w:val="22"/>
              </w:rPr>
              <m:t>14.854.924</m:t>
            </m:r>
          </m:den>
        </m:f>
      </m:oMath>
      <w:r>
        <w:rPr>
          <w:rFonts w:eastAsia="+mn-ea"/>
          <w:bCs/>
          <w:iCs/>
          <w:noProof/>
          <w:color w:val="000000"/>
          <w:szCs w:val="24"/>
        </w:rPr>
        <w:t xml:space="preserve"> = 1,25%</w:t>
      </w:r>
    </w:p>
    <w:p w:rsidR="00DE4D11" w:rsidRDefault="00EB4F41">
      <w:pPr>
        <w:spacing w:before="0" w:after="200" w:line="276" w:lineRule="auto"/>
        <w:jc w:val="left"/>
        <w:rPr>
          <w:rFonts w:eastAsia="Calibri"/>
          <w:noProof/>
          <w:szCs w:val="24"/>
        </w:rPr>
      </w:pPr>
      <w:r>
        <w:rPr>
          <w:noProof/>
        </w:rPr>
        <w:t xml:space="preserve">Το αποτέλεσμα του κριτηρίου του ΑΕΠ στην κλείδα κατανομής για τη χώρα Χ είναι </w:t>
      </w:r>
      <w:r>
        <w:rPr>
          <w:noProof/>
          <w:u w:val="single"/>
        </w:rPr>
        <w:t>1,25%.</w:t>
      </w:r>
    </w:p>
    <w:p w:rsidR="00DE4D11" w:rsidRDefault="00EB4F41">
      <w:pPr>
        <w:pStyle w:val="Point0"/>
        <w:rPr>
          <w:noProof/>
        </w:rPr>
      </w:pPr>
      <w:r>
        <w:rPr>
          <w:noProof/>
        </w:rPr>
        <w:t>γ)</w:t>
      </w:r>
      <w:r>
        <w:rPr>
          <w:noProof/>
        </w:rPr>
        <w:tab/>
        <w:t xml:space="preserve">Μέσος αριθμός αιτήσεων χορήγησης ασύλου κατά τα 5 προηγούμενα έτη ανά εκατομμύριο κατοίκων, με ανώτατο όριο το 30% του αποτελέσματος του πληθυσμού και του ΑΕΠ - στάθμιση 10% </w:t>
      </w:r>
    </w:p>
    <w:p w:rsidR="00DE4D11" w:rsidRDefault="00EB4F41">
      <w:pPr>
        <w:spacing w:before="0" w:after="200" w:line="276" w:lineRule="auto"/>
        <w:ind w:left="840"/>
        <w:contextualSpacing/>
        <w:jc w:val="left"/>
        <w:rPr>
          <w:noProof/>
          <w:szCs w:val="24"/>
        </w:rPr>
      </w:pPr>
      <w:r>
        <w:rPr>
          <w:noProof/>
        </w:rPr>
        <w:t>(Αντίστροφο αποτέλεσμα)</w:t>
      </w:r>
    </w:p>
    <w:p w:rsidR="00DE4D11" w:rsidRDefault="00EB4F41">
      <w:pPr>
        <w:spacing w:before="0" w:after="200" w:line="276" w:lineRule="auto"/>
        <w:rPr>
          <w:noProof/>
          <w:szCs w:val="24"/>
        </w:rPr>
      </w:pPr>
      <w:r>
        <w:rPr>
          <w:noProof/>
        </w:rPr>
        <w:t xml:space="preserve">Το αποτέλεσμα των αιτήσεων χορήγησης ασύλου στην κλείδα κατανομής είναι αντιστρόφως ανάλογο, δηλαδή όσο υψηλότερος είναι ο αριθμός των αιτήσεων ασύλου, τόσο χαμηλότερος είναι ο συντελεστής. </w:t>
      </w:r>
    </w:p>
    <w:p w:rsidR="00DE4D11" w:rsidRDefault="00EB4F41">
      <w:pPr>
        <w:spacing w:before="0" w:after="200" w:line="276" w:lineRule="auto"/>
        <w:rPr>
          <w:noProof/>
          <w:szCs w:val="24"/>
        </w:rPr>
      </w:pPr>
      <w:r>
        <w:rPr>
          <w:noProof/>
        </w:rPr>
        <w:t xml:space="preserve">Προκειμένου το κριτήριο αυτό να μην έχει δυσανάλογο αντίκτυπο σε ολόκληρη την κλείδα, εφαρμόζεται ανώτατο όριο (cap), σύμφωνα με το οποίο η τιμή του αποτελέσματος των αιτήσεων χορήγησης ασύλου δεν μπορεί να υπερβαίνει το 30% του αθροίσματος του αποτελέσματος του πληθυσμού και του ΑΕΠ. </w:t>
      </w:r>
    </w:p>
    <w:p w:rsidR="00DE4D11" w:rsidRDefault="00EB4F41">
      <w:pPr>
        <w:spacing w:before="0" w:after="200" w:line="276" w:lineRule="auto"/>
        <w:ind w:left="360" w:firstLine="480"/>
        <w:contextualSpacing/>
        <w:jc w:val="left"/>
        <w:rPr>
          <w:b/>
          <w:noProof/>
          <w:szCs w:val="24"/>
        </w:rPr>
      </w:pPr>
      <w:r>
        <w:rPr>
          <w:b/>
          <w:noProof/>
        </w:rPr>
        <w:t>Παράδειγμα:</w:t>
      </w:r>
    </w:p>
    <w:p w:rsidR="00DE4D11" w:rsidRDefault="00EB4F41">
      <w:pPr>
        <w:spacing w:before="0" w:after="200" w:line="276" w:lineRule="auto"/>
        <w:ind w:left="360"/>
        <w:jc w:val="left"/>
        <w:rPr>
          <w:noProof/>
          <w:szCs w:val="24"/>
        </w:rPr>
      </w:pPr>
      <w:r>
        <w:rPr>
          <w:noProof/>
        </w:rPr>
        <w:t>Μέσος αριθμός αιτήσεων ασύλου επί 5 έτη ανά εκατομμύριο κατοίκων στη χώρα X: 287 για τη χώρα Χ: 287, αντίστροφη τιμή:</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1</m:t>
            </m:r>
          </m:num>
          <m:den>
            <m:r>
              <m:rPr>
                <m:sty m:val="p"/>
              </m:rPr>
              <w:rPr>
                <w:rFonts w:ascii="Cambria Math" w:eastAsia="+mn-ea" w:hAnsi="Cambria Math" w:cs="+mn-cs"/>
                <w:noProof/>
                <w:color w:val="000000"/>
                <w:szCs w:val="24"/>
              </w:rPr>
              <m:t>287</m:t>
            </m:r>
          </m:den>
        </m:f>
      </m:oMath>
      <w:r>
        <w:rPr>
          <w:noProof/>
        </w:rPr>
        <w:t xml:space="preserve"> = 0,00348.</w:t>
      </w:r>
    </w:p>
    <w:p w:rsidR="00DE4D11" w:rsidRDefault="00EB4F41">
      <w:pPr>
        <w:spacing w:before="0" w:after="200" w:line="276" w:lineRule="auto"/>
        <w:ind w:left="360"/>
        <w:jc w:val="left"/>
        <w:rPr>
          <w:noProof/>
          <w:szCs w:val="24"/>
        </w:rPr>
      </w:pPr>
      <w:r>
        <w:rPr>
          <w:noProof/>
        </w:rPr>
        <w:t>Το άθροισμα του μέσου αριθμού των αιτήσεων χορήγησης ασύλου σε διάστημα 5 ετών ανά εκατομμύριο κατοίκους για όλες τις χώρες της ΕΕ + (αντίστροφη τιμή): 0,14831</w:t>
      </w:r>
    </w:p>
    <w:p w:rsidR="00DE4D11" w:rsidRDefault="00EB4F41">
      <w:pPr>
        <w:spacing w:before="0" w:after="200" w:line="276" w:lineRule="auto"/>
        <w:ind w:firstLine="360"/>
        <w:jc w:val="left"/>
        <w:rPr>
          <w:rFonts w:eastAsia="+mn-ea"/>
          <w:bCs/>
          <w:iCs/>
          <w:noProof/>
          <w:color w:val="000000"/>
          <w:szCs w:val="24"/>
          <w:u w:val="single"/>
        </w:rPr>
      </w:pPr>
      <w:r>
        <w:rPr>
          <w:noProof/>
          <w:color w:val="000000"/>
        </w:rPr>
        <w:t xml:space="preserve">Αποτέλεσμα ασύλου </w:t>
      </w:r>
      <w:r>
        <w:rPr>
          <w:noProof/>
          <w:color w:val="000000"/>
          <w:position w:val="-6"/>
          <w:vertAlign w:val="subscript"/>
        </w:rPr>
        <w:t>x</w:t>
      </w:r>
      <w:r>
        <w:rPr>
          <w:noProof/>
          <w:color w:val="000000"/>
        </w:rPr>
        <w:t xml:space="preserve"> =</w:t>
      </w:r>
      <m:oMath>
        <m:f>
          <m:fPr>
            <m:ctrlPr>
              <w:rPr>
                <w:rFonts w:ascii="Cambria Math" w:eastAsia="+mn-ea" w:hAnsi="Cambria Math" w:cs="+mn-cs"/>
                <w:bCs/>
                <w:i/>
                <w:iCs/>
                <w:noProof/>
                <w:color w:val="000000"/>
                <w:szCs w:val="24"/>
              </w:rPr>
            </m:ctrlPr>
          </m:fPr>
          <m:num>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1</m:t>
                </m:r>
              </m:num>
              <m:den>
                <m:r>
                  <m:rPr>
                    <m:sty m:val="p"/>
                  </m:rPr>
                  <w:rPr>
                    <w:rFonts w:ascii="Cambria Math" w:eastAsia="+mn-ea" w:hAnsi="Cambria Math" w:cs="+mn-cs"/>
                    <w:noProof/>
                    <w:color w:val="000000"/>
                    <w:szCs w:val="24"/>
                  </w:rPr>
                  <m:t>287</m:t>
                </m:r>
              </m:den>
            </m:f>
          </m:num>
          <m:den>
            <m:r>
              <w:rPr>
                <w:rFonts w:ascii="Cambria Math" w:eastAsia="+mn-ea" w:hAnsi="Cambria Math" w:cs="+mn-cs"/>
                <w:noProof/>
                <w:color w:val="000000"/>
                <w:szCs w:val="24"/>
              </w:rPr>
              <m:t>0,14831</m:t>
            </m:r>
          </m:den>
        </m:f>
      </m:oMath>
      <w:r>
        <w:rPr>
          <w:noProof/>
          <w:color w:val="000000"/>
        </w:rPr>
        <w:t xml:space="preserve">= </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0,00348</m:t>
            </m:r>
          </m:num>
          <m:den>
            <m:r>
              <w:rPr>
                <w:rFonts w:ascii="Cambria Math" w:eastAsia="+mn-ea" w:hAnsi="Cambria Math" w:cs="+mn-cs"/>
                <w:noProof/>
                <w:color w:val="000000"/>
                <w:szCs w:val="24"/>
              </w:rPr>
              <m:t>0,14831</m:t>
            </m:r>
          </m:den>
        </m:f>
      </m:oMath>
      <w:r>
        <w:rPr>
          <w:noProof/>
          <w:color w:val="000000"/>
        </w:rPr>
        <w:t xml:space="preserve"> = </w:t>
      </w:r>
      <w:r>
        <w:rPr>
          <w:noProof/>
          <w:color w:val="000000"/>
          <w:u w:val="single"/>
        </w:rPr>
        <w:t>2,35%</w:t>
      </w:r>
    </w:p>
    <w:p w:rsidR="00DE4D11" w:rsidRDefault="00EB4F41">
      <w:pPr>
        <w:spacing w:before="0" w:after="200" w:line="276" w:lineRule="auto"/>
        <w:ind w:firstLine="360"/>
        <w:jc w:val="left"/>
        <w:rPr>
          <w:rFonts w:eastAsia="Calibri"/>
          <w:noProof/>
          <w:szCs w:val="24"/>
        </w:rPr>
      </w:pPr>
      <w:r>
        <w:rPr>
          <w:noProof/>
          <w:color w:val="000000"/>
        </w:rPr>
        <w:t>Cap</w:t>
      </w:r>
      <w:r>
        <w:rPr>
          <w:noProof/>
          <w:color w:val="000000"/>
          <w:position w:val="-6"/>
          <w:vertAlign w:val="subscript"/>
        </w:rPr>
        <w:t xml:space="preserve">x </w:t>
      </w:r>
      <w:r>
        <w:rPr>
          <w:noProof/>
        </w:rPr>
        <w:t xml:space="preserve">= 30% (0,89% (αποτέλεσμα πληθυσμού) + 1,25% (αποτέλεσμα ΑΕΠ)) = </w:t>
      </w:r>
      <w:r>
        <w:rPr>
          <w:noProof/>
          <w:u w:val="single"/>
        </w:rPr>
        <w:t>0,64%</w:t>
      </w:r>
    </w:p>
    <w:p w:rsidR="00DE4D11" w:rsidRDefault="00EB4F41">
      <w:pPr>
        <w:spacing w:before="0" w:after="200" w:line="276" w:lineRule="auto"/>
        <w:jc w:val="left"/>
        <w:rPr>
          <w:noProof/>
          <w:szCs w:val="24"/>
        </w:rPr>
      </w:pPr>
      <w:r>
        <w:rPr>
          <w:noProof/>
        </w:rPr>
        <w:t xml:space="preserve">Το πραγματικό αποτέλεσμα του κριτηρίου των αιτήσεων ασύλου για τη χώρα Χ είναι 2,35%, αλλά για τον υπολογισμό της κλείδας εφαρμόζεται η τιμή του ανωτάτου ορίου (0,64%). </w:t>
      </w:r>
    </w:p>
    <w:p w:rsidR="00DE4D11" w:rsidRDefault="00EB4F41">
      <w:pPr>
        <w:pStyle w:val="Point0"/>
        <w:rPr>
          <w:noProof/>
        </w:rPr>
      </w:pPr>
      <w:r>
        <w:rPr>
          <w:noProof/>
        </w:rPr>
        <w:t>δ)</w:t>
      </w:r>
      <w:r>
        <w:rPr>
          <w:noProof/>
        </w:rPr>
        <w:tab/>
        <w:t>Ποσοστό ανεργίας με ανώτατο όριο 30% του αποτελέσματος του πληθυσμού και του ΑΕΠ - στάθμιση 10%</w:t>
      </w:r>
    </w:p>
    <w:p w:rsidR="00DE4D11" w:rsidRDefault="00EB4F41">
      <w:pPr>
        <w:spacing w:before="0" w:after="200" w:line="276" w:lineRule="auto"/>
        <w:rPr>
          <w:noProof/>
          <w:szCs w:val="24"/>
        </w:rPr>
      </w:pPr>
      <w:r>
        <w:rPr>
          <w:noProof/>
        </w:rPr>
        <w:t xml:space="preserve">Όπως και στην περίπτωση του κριτηρίου των αιτήσεων ασύλου, το αποτέλεσμα του ποσοστού ανεργίας στην κλείδα είναι αντιστρόφως ανάλογο, δηλαδή όσο υψηλότερο το ποσοστό τόσο χαμηλότερος ο συντελεστής. Προκειμένου το κριτήριο αυτό να μην έχει δυσανάλογο αντίκτυπο σε ολόκληρη την κλείδα, εφαρμόζεται ανώτατο όριο (cap), σύμφωνα </w:t>
      </w:r>
      <w:r>
        <w:rPr>
          <w:noProof/>
        </w:rPr>
        <w:lastRenderedPageBreak/>
        <w:t>με το οποίο η τιμή του αποτελέσματος του ποσοστού ανεργίας δεν μπορεί να υπερβαίνει το 30% του αθροίσματος του αποτελέσματος του πληθυσμού και του ΑΕΠ.</w:t>
      </w:r>
    </w:p>
    <w:p w:rsidR="00DE4D11" w:rsidRDefault="00EB4F41">
      <w:pPr>
        <w:spacing w:before="0" w:after="200" w:line="276" w:lineRule="auto"/>
        <w:ind w:left="360" w:firstLine="480"/>
        <w:contextualSpacing/>
        <w:jc w:val="left"/>
        <w:rPr>
          <w:b/>
          <w:noProof/>
          <w:szCs w:val="24"/>
        </w:rPr>
      </w:pPr>
      <w:r>
        <w:rPr>
          <w:b/>
          <w:noProof/>
        </w:rPr>
        <w:t>Παράδειγμα:</w:t>
      </w:r>
    </w:p>
    <w:p w:rsidR="00DE4D11" w:rsidRDefault="00EB4F41">
      <w:pPr>
        <w:ind w:left="360"/>
        <w:rPr>
          <w:noProof/>
          <w:szCs w:val="24"/>
        </w:rPr>
      </w:pPr>
      <w:r>
        <w:rPr>
          <w:noProof/>
        </w:rPr>
        <w:t>Ποσοστό ανεργίας στη χώρα X: 11,3%, αντίστροφη τιμή</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1</m:t>
            </m:r>
          </m:num>
          <m:den>
            <m:r>
              <m:rPr>
                <m:sty m:val="p"/>
              </m:rPr>
              <w:rPr>
                <w:rFonts w:ascii="Cambria Math" w:eastAsia="+mn-ea" w:hAnsi="Cambria Math" w:cs="+mn-cs"/>
                <w:noProof/>
                <w:color w:val="000000"/>
                <w:szCs w:val="24"/>
              </w:rPr>
              <m:t>11,3</m:t>
            </m:r>
          </m:den>
        </m:f>
      </m:oMath>
      <w:r>
        <w:rPr>
          <w:noProof/>
          <w:szCs w:val="24"/>
        </w:rPr>
        <w:t>= 0,0884955</w:t>
      </w:r>
    </w:p>
    <w:p w:rsidR="00DE4D11" w:rsidRDefault="00EB4F41">
      <w:pPr>
        <w:spacing w:before="0" w:after="200" w:line="276" w:lineRule="auto"/>
        <w:ind w:left="360"/>
        <w:jc w:val="left"/>
        <w:rPr>
          <w:noProof/>
          <w:szCs w:val="24"/>
        </w:rPr>
      </w:pPr>
      <w:r>
        <w:rPr>
          <w:noProof/>
        </w:rPr>
        <w:t xml:space="preserve">Το άθροισμα όλων των ποσοστών ανεργίας στην ΕΕ + (αντίστροφη τιμή): 4,345698 </w:t>
      </w:r>
    </w:p>
    <w:p w:rsidR="00DE4D11" w:rsidRDefault="00EB4F41">
      <w:pPr>
        <w:spacing w:before="0" w:after="200" w:line="276" w:lineRule="auto"/>
        <w:ind w:firstLine="360"/>
        <w:jc w:val="left"/>
        <w:rPr>
          <w:rFonts w:eastAsia="+mn-ea"/>
          <w:bCs/>
          <w:iCs/>
          <w:noProof/>
          <w:color w:val="000000"/>
          <w:szCs w:val="24"/>
          <w:u w:val="single"/>
        </w:rPr>
      </w:pPr>
      <w:r>
        <w:rPr>
          <w:rFonts w:eastAsia="+mn-ea"/>
          <w:bCs/>
          <w:noProof/>
          <w:color w:val="000000"/>
          <w:szCs w:val="24"/>
        </w:rPr>
        <w:t>Αποτέλεσμα ποσοστού ανεργίας</w:t>
      </w:r>
      <w:r>
        <w:rPr>
          <w:rFonts w:eastAsia="+mn-ea"/>
          <w:bCs/>
          <w:noProof/>
          <w:color w:val="000000"/>
          <w:position w:val="-6"/>
          <w:szCs w:val="24"/>
          <w:vertAlign w:val="subscript"/>
        </w:rPr>
        <w:t xml:space="preserve">x </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 0,0884955</m:t>
            </m:r>
          </m:num>
          <m:den>
            <m:r>
              <w:rPr>
                <w:rFonts w:ascii="Cambria Math" w:eastAsia="+mn-ea" w:hAnsi="Cambria Math" w:cs="+mn-cs"/>
                <w:noProof/>
                <w:color w:val="000000"/>
                <w:szCs w:val="24"/>
              </w:rPr>
              <m:t>4,345698</m:t>
            </m:r>
          </m:den>
        </m:f>
      </m:oMath>
      <w:r>
        <w:rPr>
          <w:rFonts w:eastAsia="+mn-ea"/>
          <w:bCs/>
          <w:iCs/>
          <w:noProof/>
          <w:color w:val="000000"/>
          <w:szCs w:val="24"/>
        </w:rPr>
        <w:t xml:space="preserve"> = </w:t>
      </w:r>
      <w:r>
        <w:rPr>
          <w:rFonts w:eastAsia="+mn-ea"/>
          <w:bCs/>
          <w:iCs/>
          <w:noProof/>
          <w:color w:val="000000"/>
          <w:szCs w:val="24"/>
          <w:u w:val="single"/>
        </w:rPr>
        <w:t>2,04%</w:t>
      </w:r>
    </w:p>
    <w:p w:rsidR="00DE4D11" w:rsidRDefault="00EB4F41">
      <w:pPr>
        <w:spacing w:before="0" w:after="200" w:line="276" w:lineRule="auto"/>
        <w:ind w:firstLine="360"/>
        <w:jc w:val="left"/>
        <w:rPr>
          <w:rFonts w:eastAsia="Calibri"/>
          <w:noProof/>
          <w:szCs w:val="24"/>
        </w:rPr>
      </w:pPr>
      <w:r>
        <w:rPr>
          <w:rFonts w:eastAsia="+mn-ea"/>
          <w:bCs/>
          <w:noProof/>
          <w:color w:val="000000"/>
          <w:szCs w:val="24"/>
        </w:rPr>
        <w:t>30% Cap</w:t>
      </w:r>
      <w:r>
        <w:rPr>
          <w:rFonts w:eastAsia="+mn-ea"/>
          <w:bCs/>
          <w:noProof/>
          <w:color w:val="000000"/>
          <w:position w:val="-6"/>
          <w:szCs w:val="24"/>
          <w:vertAlign w:val="subscript"/>
        </w:rPr>
        <w:t xml:space="preserve">x </w:t>
      </w:r>
      <w:r>
        <w:rPr>
          <w:noProof/>
          <w:szCs w:val="24"/>
        </w:rPr>
        <w:t xml:space="preserve">= </w:t>
      </w:r>
      <w:r>
        <w:rPr>
          <w:noProof/>
          <w:szCs w:val="24"/>
          <w:u w:val="single"/>
        </w:rPr>
        <w:t>0,64%</w:t>
      </w:r>
    </w:p>
    <w:p w:rsidR="00DE4D11" w:rsidRDefault="00EB4F41">
      <w:pPr>
        <w:spacing w:before="0" w:after="200" w:line="276" w:lineRule="auto"/>
        <w:ind w:left="360"/>
        <w:jc w:val="left"/>
        <w:rPr>
          <w:noProof/>
          <w:szCs w:val="24"/>
        </w:rPr>
      </w:pPr>
      <w:r>
        <w:rPr>
          <w:noProof/>
        </w:rPr>
        <w:t>Το πραγματικό αποτέλεσμα του κριτηρίου του ποσοστού ανεργίας για τη χώρα Χ είναι 2,04%, αλλά για τον υπολογισμό της κλείδας εφαρμόζεται η τιμή του ανωτάτου ορίου (0,64%).</w:t>
      </w:r>
    </w:p>
    <w:p w:rsidR="00DE4D11" w:rsidRDefault="00DE4D11">
      <w:pPr>
        <w:spacing w:before="0" w:after="200" w:line="276" w:lineRule="auto"/>
        <w:jc w:val="left"/>
        <w:rPr>
          <w:noProof/>
          <w:szCs w:val="24"/>
        </w:rPr>
      </w:pPr>
    </w:p>
    <w:p w:rsidR="00DE4D11" w:rsidRDefault="00EB4F41">
      <w:pPr>
        <w:pStyle w:val="Point0"/>
        <w:rPr>
          <w:noProof/>
        </w:rPr>
      </w:pPr>
      <w:r>
        <w:rPr>
          <w:noProof/>
        </w:rPr>
        <w:t>ε)</w:t>
      </w:r>
      <w:r>
        <w:rPr>
          <w:noProof/>
        </w:rPr>
        <w:tab/>
        <w:t>Ανώτατο όριο κατανομής 120 000 αιτούντων στη χώρα X</w:t>
      </w:r>
    </w:p>
    <w:p w:rsidR="00DE4D11" w:rsidRDefault="00DE4D11">
      <w:pPr>
        <w:spacing w:before="0" w:after="200" w:line="276" w:lineRule="auto"/>
        <w:ind w:left="720"/>
        <w:contextualSpacing/>
        <w:jc w:val="left"/>
        <w:rPr>
          <w:noProof/>
          <w:szCs w:val="24"/>
        </w:rPr>
      </w:pPr>
    </w:p>
    <w:p w:rsidR="00DE4D11" w:rsidRDefault="00EB4F41">
      <w:pPr>
        <w:tabs>
          <w:tab w:val="left" w:pos="960"/>
        </w:tabs>
        <w:spacing w:before="0" w:after="200" w:line="276" w:lineRule="auto"/>
        <w:ind w:left="360" w:firstLine="480"/>
        <w:contextualSpacing/>
        <w:jc w:val="left"/>
        <w:rPr>
          <w:b/>
          <w:noProof/>
          <w:szCs w:val="24"/>
        </w:rPr>
      </w:pPr>
      <w:r>
        <w:rPr>
          <w:b/>
          <w:noProof/>
        </w:rPr>
        <w:t>Παράδειγμα:</w:t>
      </w:r>
    </w:p>
    <w:p w:rsidR="00DE4D11" w:rsidRDefault="00EB4F41">
      <w:pPr>
        <w:spacing w:before="0" w:after="200" w:line="276" w:lineRule="auto"/>
        <w:jc w:val="left"/>
        <w:rPr>
          <w:noProof/>
          <w:szCs w:val="24"/>
        </w:rPr>
      </w:pPr>
      <w:r>
        <w:rPr>
          <w:noProof/>
          <w:color w:val="000000"/>
        </w:rPr>
        <w:t>Κατανομή</w:t>
      </w:r>
      <w:r>
        <w:rPr>
          <w:noProof/>
          <w:color w:val="000000"/>
          <w:position w:val="-6"/>
          <w:vertAlign w:val="subscript"/>
        </w:rPr>
        <w:t xml:space="preserve">x </w:t>
      </w:r>
      <w:r>
        <w:rPr>
          <w:noProof/>
        </w:rPr>
        <w:t>= 120 000 * (40% αποτέλεσμα πληθυσμού (0,89%) + 40% αποτέλεσμα ΑΕΠ (1,25%) + 10% αποτέλεσμα αιτήσεων ασύλου (ανώτατο όριο) – 0,64% + 10% αποτέλεσμα ποσοστού ανεργίας (ανώτατο όριο) – 0,64%) = 1178</w:t>
      </w:r>
    </w:p>
    <w:p w:rsidR="00DE4D11" w:rsidRDefault="00EB4F41">
      <w:pPr>
        <w:spacing w:before="0" w:after="200" w:line="276" w:lineRule="auto"/>
        <w:jc w:val="left"/>
        <w:rPr>
          <w:noProof/>
          <w:szCs w:val="24"/>
          <w:u w:val="single"/>
        </w:rPr>
      </w:pPr>
      <w:r>
        <w:rPr>
          <w:noProof/>
        </w:rPr>
        <w:t xml:space="preserve">Ανώτατο όριο κατανομής για τη χώρα Χ: </w:t>
      </w:r>
      <w:r>
        <w:rPr>
          <w:noProof/>
          <w:u w:val="single"/>
        </w:rPr>
        <w:t xml:space="preserve">1178 </w:t>
      </w:r>
    </w:p>
    <w:p w:rsidR="00DE4D11" w:rsidRDefault="00EB4F41">
      <w:pPr>
        <w:pStyle w:val="Point0"/>
        <w:rPr>
          <w:noProof/>
        </w:rPr>
      </w:pPr>
      <w:r>
        <w:rPr>
          <w:noProof/>
        </w:rPr>
        <w:t>στ)</w:t>
      </w:r>
      <w:r>
        <w:rPr>
          <w:noProof/>
        </w:rPr>
        <w:tab/>
        <w:t xml:space="preserve">Κατανομή εναπομενουσών θέσεων </w:t>
      </w:r>
    </w:p>
    <w:p w:rsidR="00DE4D11" w:rsidRDefault="00EB4F41">
      <w:pPr>
        <w:spacing w:before="0" w:after="200" w:line="276" w:lineRule="auto"/>
        <w:rPr>
          <w:noProof/>
          <w:szCs w:val="24"/>
        </w:rPr>
      </w:pPr>
      <w:r>
        <w:rPr>
          <w:noProof/>
        </w:rPr>
        <w:t>Λόγω του ανωτάτου ορίου, θα υπάρξει ένας ορισμένος αριθμός εναπομενουσών θέσεων που χρήζει κατανομής. Η κατανομή αυτών των θέσεων θα βασίζεται στο αποτέλεσμα πληθυσμού και ΑΕΠ (50%-50%) για μια δεδομένη χώρα. Οι αριθμοί των εναπομενουσών θέσεων προστίθενται στη συνέχεια στην ανώτατη κατανομή.</w:t>
      </w:r>
    </w:p>
    <w:p w:rsidR="00DE4D11" w:rsidRDefault="00EB4F41">
      <w:pPr>
        <w:spacing w:before="0" w:after="200" w:line="276" w:lineRule="auto"/>
        <w:ind w:left="360" w:firstLine="480"/>
        <w:contextualSpacing/>
        <w:jc w:val="left"/>
        <w:rPr>
          <w:b/>
          <w:noProof/>
          <w:szCs w:val="24"/>
        </w:rPr>
      </w:pPr>
      <w:r>
        <w:rPr>
          <w:b/>
          <w:noProof/>
        </w:rPr>
        <w:t>Παράδειγμα:</w:t>
      </w:r>
    </w:p>
    <w:p w:rsidR="00DE4D11" w:rsidRDefault="00EB4F41">
      <w:pPr>
        <w:spacing w:before="0" w:after="200" w:line="276" w:lineRule="auto"/>
        <w:jc w:val="left"/>
        <w:rPr>
          <w:noProof/>
          <w:szCs w:val="24"/>
        </w:rPr>
      </w:pPr>
      <w:r>
        <w:rPr>
          <w:noProof/>
        </w:rPr>
        <w:t xml:space="preserve">Ανώτατο όριο κατανομής για τη χώρα Χ: 1178· </w:t>
      </w:r>
    </w:p>
    <w:p w:rsidR="00DE4D11" w:rsidRDefault="00EB4F41">
      <w:pPr>
        <w:spacing w:before="0" w:after="200" w:line="276" w:lineRule="auto"/>
        <w:jc w:val="left"/>
        <w:rPr>
          <w:noProof/>
          <w:szCs w:val="24"/>
        </w:rPr>
      </w:pPr>
      <w:r>
        <w:rPr>
          <w:noProof/>
        </w:rPr>
        <w:t xml:space="preserve">Το άθροισμα των ανωτάτων ορίων κατανομής για όλες τις χώρες της ΕΕ +: 102.801· </w:t>
      </w:r>
    </w:p>
    <w:p w:rsidR="00DE4D11" w:rsidRDefault="00EB4F41">
      <w:pPr>
        <w:spacing w:before="0" w:after="200" w:line="276" w:lineRule="auto"/>
        <w:jc w:val="left"/>
        <w:rPr>
          <w:noProof/>
          <w:szCs w:val="24"/>
        </w:rPr>
      </w:pPr>
      <w:r>
        <w:rPr>
          <w:noProof/>
        </w:rPr>
        <w:t>Εναπομένουσες θέσεις που μένει ακόμα να κατανεμηθούν: 17.199</w:t>
      </w:r>
    </w:p>
    <w:p w:rsidR="00DE4D11" w:rsidRDefault="00EB4F41">
      <w:pPr>
        <w:spacing w:before="0" w:after="200" w:line="276" w:lineRule="auto"/>
        <w:jc w:val="left"/>
        <w:rPr>
          <w:noProof/>
          <w:szCs w:val="24"/>
          <w:u w:val="single"/>
        </w:rPr>
      </w:pPr>
      <w:r>
        <w:rPr>
          <w:noProof/>
          <w:color w:val="000000"/>
        </w:rPr>
        <w:t>Υπολειπόμενες θέσεις</w:t>
      </w:r>
      <w:r>
        <w:rPr>
          <w:noProof/>
          <w:color w:val="000000"/>
          <w:position w:val="-6"/>
          <w:vertAlign w:val="subscript"/>
        </w:rPr>
        <w:t>x</w:t>
      </w:r>
      <w:r>
        <w:rPr>
          <w:noProof/>
        </w:rPr>
        <w:t xml:space="preserve"> = 17.199 * (50% αποτέλεσμα πληθυσμού + 50% αποτέλεσμα ΑΕΠ) = 17.199* 1,07% = </w:t>
      </w:r>
      <w:r>
        <w:rPr>
          <w:noProof/>
          <w:u w:val="single"/>
        </w:rPr>
        <w:t xml:space="preserve">184 </w:t>
      </w:r>
    </w:p>
    <w:p w:rsidR="00DE4D11" w:rsidRDefault="00EB4F41">
      <w:pPr>
        <w:spacing w:before="0" w:after="200" w:line="276" w:lineRule="auto"/>
        <w:jc w:val="left"/>
        <w:rPr>
          <w:noProof/>
          <w:szCs w:val="24"/>
        </w:rPr>
      </w:pPr>
      <w:r>
        <w:rPr>
          <w:b/>
          <w:noProof/>
        </w:rPr>
        <w:t>Η τελική κατανομή των αιτούντων για τη χώρα Χ είναι 1362, και η κλείδα είναι</w:t>
      </w:r>
      <w:r>
        <w:rPr>
          <w:noProof/>
        </w:rPr>
        <w:t xml:space="preserve"> </w:t>
      </w:r>
      <w:r>
        <w:rPr>
          <w:b/>
          <w:noProof/>
        </w:rPr>
        <w:t>1,13%.</w:t>
      </w:r>
      <w:r>
        <w:rPr>
          <w:b/>
          <w:noProof/>
          <w:u w:val="single"/>
        </w:rPr>
        <w:t xml:space="preserve"> </w:t>
      </w:r>
    </w:p>
    <w:p w:rsidR="00DE4D11" w:rsidRDefault="00EB4F41">
      <w:pPr>
        <w:rPr>
          <w:noProof/>
        </w:rPr>
      </w:pPr>
      <w:r>
        <w:rPr>
          <w:noProof/>
        </w:rPr>
        <w:br w:type="page"/>
      </w:r>
    </w:p>
    <w:p w:rsidR="00F0144D" w:rsidRPr="000B789B" w:rsidRDefault="00F0144D" w:rsidP="00F0144D">
      <w:pPr>
        <w:spacing w:before="360" w:after="0"/>
        <w:ind w:left="5040" w:firstLine="720"/>
        <w:jc w:val="center"/>
        <w:rPr>
          <w:rFonts w:eastAsia="Calibri"/>
          <w:bCs/>
          <w:noProof/>
        </w:rPr>
      </w:pPr>
      <w:r w:rsidRPr="000B789B">
        <w:rPr>
          <w:rFonts w:eastAsia="Calibri"/>
          <w:bCs/>
          <w:noProof/>
        </w:rPr>
        <w:lastRenderedPageBreak/>
        <w:t>2015/0208 (COD)</w:t>
      </w:r>
    </w:p>
    <w:p w:rsidR="00F0144D" w:rsidRPr="00F0144D" w:rsidRDefault="00F0144D">
      <w:pPr>
        <w:spacing w:before="360" w:after="0"/>
        <w:jc w:val="center"/>
        <w:rPr>
          <w:b/>
          <w:noProof/>
        </w:rPr>
      </w:pPr>
    </w:p>
    <w:p w:rsidR="00DE4D11" w:rsidRDefault="00EB4F41">
      <w:pPr>
        <w:spacing w:before="360" w:after="0"/>
        <w:jc w:val="center"/>
        <w:rPr>
          <w:rFonts w:eastAsia="Calibri"/>
          <w:b/>
          <w:bCs/>
          <w:noProof/>
        </w:rPr>
      </w:pPr>
      <w:r>
        <w:rPr>
          <w:b/>
          <w:noProof/>
        </w:rPr>
        <w:t xml:space="preserve">Πρόταση </w:t>
      </w:r>
    </w:p>
    <w:p w:rsidR="00DE4D11" w:rsidRDefault="00EB4F41">
      <w:pPr>
        <w:spacing w:before="360" w:after="0"/>
        <w:jc w:val="center"/>
        <w:rPr>
          <w:rFonts w:eastAsia="Calibri"/>
          <w:b/>
          <w:bCs/>
          <w:noProof/>
        </w:rPr>
      </w:pPr>
      <w:r>
        <w:rPr>
          <w:b/>
          <w:noProof/>
        </w:rPr>
        <w:t>ΚΑΝΟΝΙΣΜΟΣ ΤΟΥ ΕΥΡΩΠΑΪΚΟΥ ΚΟΙΝΟΒΟΥΛΙΟΥ ΚΑΙ ΤΟΥ ΣΥΜΒΟΥΛΙΟΥ</w:t>
      </w:r>
    </w:p>
    <w:p w:rsidR="00DE4D11" w:rsidRDefault="00EB4F41">
      <w:pPr>
        <w:spacing w:before="360" w:after="360"/>
        <w:jc w:val="center"/>
        <w:rPr>
          <w:rFonts w:eastAsia="Calibri"/>
          <w:b/>
          <w:bCs/>
          <w:noProof/>
        </w:rPr>
      </w:pPr>
      <w:r>
        <w:rPr>
          <w:b/>
          <w:noProof/>
        </w:rPr>
        <w:t>για τη θέσπιση μηχανισμού μετεγκατάστασης λόγω κρίσης και</w:t>
      </w:r>
      <w:r>
        <w:rPr>
          <w:b/>
          <w:noProof/>
          <w:color w:val="1F497D"/>
        </w:rPr>
        <w:t xml:space="preserve"> </w:t>
      </w:r>
      <w:r>
        <w:rPr>
          <w:b/>
          <w:noProof/>
        </w:rPr>
        <w:t>την τροποποίηση του κανονισμού (ΕΕ) αριθ. 604/2013 του Ευρωπαϊκού Κοινοβουλίου και του Συμβουλίου, της 26ης Ιουνίου 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w:t>
      </w:r>
    </w:p>
    <w:p w:rsidR="00DE4D11" w:rsidRDefault="00DE4D11">
      <w:pPr>
        <w:spacing w:before="360" w:after="360"/>
        <w:jc w:val="center"/>
        <w:rPr>
          <w:rFonts w:eastAsia="Calibri"/>
          <w:b/>
          <w:bCs/>
          <w:noProof/>
        </w:rPr>
      </w:pPr>
    </w:p>
    <w:p w:rsidR="00DE4D11" w:rsidRDefault="00EB4F41">
      <w:pPr>
        <w:rPr>
          <w:b/>
          <w:noProof/>
        </w:rPr>
      </w:pPr>
      <w:r>
        <w:rPr>
          <w:b/>
          <w:noProof/>
        </w:rPr>
        <w:t>ΤΟ ΕΥΡΩΠΑΪΚΟ ΚΟΙΝΟΒΟΥΛΙΟ ΚΑΙ ΤΟ ΣΥΜΒΟΥΛΙΟ ΤΗΣ ΕΥΡΩΠΑΪΚΗΣ ΕΝΩΣΗΣ,</w:t>
      </w:r>
    </w:p>
    <w:p w:rsidR="00DE4D11" w:rsidRDefault="00EB4F41">
      <w:pPr>
        <w:rPr>
          <w:noProof/>
        </w:rPr>
      </w:pPr>
      <w:r>
        <w:rPr>
          <w:noProof/>
        </w:rPr>
        <w:t>Έχοντας υπόψη τη Συνθήκη για τη λειτουργία της Ευρωπαϊκής Ένωσης, και ιδίως το άρθρο 78 παράγραφος 2 στοιχείο ε),</w:t>
      </w:r>
    </w:p>
    <w:p w:rsidR="00DE4D11" w:rsidRDefault="00EB4F41">
      <w:pPr>
        <w:rPr>
          <w:noProof/>
        </w:rPr>
      </w:pPr>
      <w:r>
        <w:rPr>
          <w:noProof/>
        </w:rPr>
        <w:t>Έχοντας υπόψη την πρόταση της Ευρωπαϊκής Επιτροπής,</w:t>
      </w:r>
    </w:p>
    <w:p w:rsidR="00DE4D11" w:rsidRDefault="00EB4F41">
      <w:pPr>
        <w:rPr>
          <w:noProof/>
        </w:rPr>
      </w:pPr>
      <w:r>
        <w:rPr>
          <w:noProof/>
        </w:rPr>
        <w:t>Κατόπιν διαβίβασης του σχεδίου νομοθετικής πράξης στα εθνικά κοινοβούλια,</w:t>
      </w:r>
    </w:p>
    <w:p w:rsidR="00DE4D11" w:rsidRDefault="00EB4F41">
      <w:pPr>
        <w:rPr>
          <w:noProof/>
        </w:rPr>
      </w:pPr>
      <w:r>
        <w:rPr>
          <w:noProof/>
        </w:rPr>
        <w:t>Έχοντας υπόψη τη γνώμη της Οικονομικής και Κοινωνικής Επιτροπής,</w:t>
      </w:r>
    </w:p>
    <w:p w:rsidR="00DE4D11" w:rsidRDefault="00EB4F41">
      <w:pPr>
        <w:rPr>
          <w:noProof/>
        </w:rPr>
      </w:pPr>
      <w:r>
        <w:rPr>
          <w:noProof/>
        </w:rPr>
        <w:t>Έχοντας υπόψη τη γνώμη της Επιτροπής των Περιφερειών,</w:t>
      </w:r>
    </w:p>
    <w:p w:rsidR="00DE4D11" w:rsidRDefault="00EB4F41">
      <w:pPr>
        <w:rPr>
          <w:noProof/>
        </w:rPr>
      </w:pPr>
      <w:r>
        <w:rPr>
          <w:noProof/>
        </w:rPr>
        <w:t>Αποφασίζοντας σύμφωνα με τη συνήθη νομοθετική διαδικασία,</w:t>
      </w:r>
    </w:p>
    <w:p w:rsidR="00DE4D11" w:rsidRDefault="00EB4F41">
      <w:pPr>
        <w:rPr>
          <w:noProof/>
        </w:rPr>
      </w:pPr>
      <w:r>
        <w:rPr>
          <w:noProof/>
        </w:rPr>
        <w:t>Εκτιμώντας τα ακόλουθα:</w:t>
      </w:r>
    </w:p>
    <w:p w:rsidR="00DE4D11" w:rsidRDefault="00EB4F41">
      <w:pPr>
        <w:pStyle w:val="Point0number"/>
        <w:numPr>
          <w:ilvl w:val="0"/>
          <w:numId w:val="17"/>
        </w:numPr>
        <w:rPr>
          <w:noProof/>
        </w:rPr>
      </w:pPr>
      <w:r>
        <w:rPr>
          <w:noProof/>
        </w:rPr>
        <w:t>Ο κανονισμός (ΕΕ) αριθ. 604/2013 του Ευρωπαϊκού Κοινοβουλίου και του Συμβουλίου θεσπίζει μηχανισμούς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βάσει αντικειμενικών κριτηρίων που ορίζονται στο κεφάλαιο ΙΙΙ</w:t>
      </w:r>
      <w:r>
        <w:rPr>
          <w:b/>
          <w:noProof/>
        </w:rPr>
        <w:t>.</w:t>
      </w:r>
    </w:p>
    <w:p w:rsidR="00DE4D11" w:rsidRDefault="00EB4F41">
      <w:pPr>
        <w:pStyle w:val="Point0number"/>
        <w:numPr>
          <w:ilvl w:val="0"/>
          <w:numId w:val="3"/>
        </w:numPr>
        <w:rPr>
          <w:noProof/>
        </w:rPr>
      </w:pPr>
      <w:r>
        <w:rPr>
          <w:noProof/>
        </w:rPr>
        <w:t>Σύμφωνα με το άρθρο 80 της Συνθήκης, οι πολιτικές της Ένωσης στον τομέα των συνοριακών ελέγχων, του ασύλου και της μετανάστευσης και η εφαρμογή τους πρέπει να διέπονται από τις αρχές της αλληλεγγύης και της δίκαιης κατανομής ευθυνών μεταξύ των κρατών μελών, ενώ οι πράξεις της Ένωσης που θεσπίζονται στον τομέα αυτό πρέπει να περιέχουν κατάλληλα μέτρα για την εφαρμογή της εν λόγω αρχής.</w:t>
      </w:r>
    </w:p>
    <w:p w:rsidR="00DE4D11" w:rsidRDefault="00EB4F41">
      <w:pPr>
        <w:pStyle w:val="Point0number"/>
        <w:numPr>
          <w:ilvl w:val="0"/>
          <w:numId w:val="3"/>
        </w:numPr>
        <w:rPr>
          <w:noProof/>
        </w:rPr>
      </w:pPr>
      <w:r>
        <w:rPr>
          <w:noProof/>
        </w:rPr>
        <w:t xml:space="preserve">Καταστάσεις εξαιρετικής πίεσης στο σύστημα ασύλου του κράτους μέλους μπορεί να θέσουν σε κίνδυνο την εφαρμογή του κανονισμού (ΕΕ) αριθ. 604/2013. Ενώ ο εν λόγω κανονισμός προβλέπει διαδικασία έγκαιρης προειδοποίησης, ετοιμότητας και διαχείρισης των κρίσεων ασύλου, δεν επιτρέπει σε τέτοιες καταστάσεις παρεκκλίσεις από τα τεθέντα κριτήρια περί ευθύνης. Για την προώθηση της εξισορρόπησης των </w:t>
      </w:r>
      <w:r>
        <w:rPr>
          <w:noProof/>
        </w:rPr>
        <w:lastRenderedPageBreak/>
        <w:t xml:space="preserve">βαρών μεταξύ κρατών μελών όσον αφορά την αντιμετώπιση των εν λόγω καταστάσεων κρίσης και για να διασφαλιστεί η ταχεία πρόσβαση στις διαδικασίες χορήγησης διεθνούς προστασίας, θα πρέπει συνεπώς να τεθεί σε εφαρμογή ένας μηχανισμός αντιμετώπισης κρίσεων για τη μετεγκατάσταση αιτούντων που χρήζουν σαφώς διεθνούς προστασίας. Η εφαρμογή των μέτρων μετεγκατάστασης για ένα συγκεκριμένο κράτος μέλος δεν θα πρέπει να θίγει τη δυνατότητα να εφαρμόζεται παράλληλα το άρθρο 33 παράγραφος 3 του κανονισμού (ΕΕ) αριθ. 604/2013 στα ίδια κράτη μέλη. Το άρθρο 33 παράγραφος 3 του κανονισμού δεν αποτελεί προϋπόθεση για την εφαρμογή των μέτρων μετεγκατάστασης.  </w:t>
      </w:r>
    </w:p>
    <w:p w:rsidR="00DE4D11" w:rsidRDefault="00EB4F41">
      <w:pPr>
        <w:pStyle w:val="Point0number"/>
        <w:numPr>
          <w:ilvl w:val="0"/>
          <w:numId w:val="3"/>
        </w:numPr>
        <w:rPr>
          <w:noProof/>
        </w:rPr>
      </w:pPr>
      <w:r>
        <w:rPr>
          <w:noProof/>
        </w:rPr>
        <w:t>Η εφαρμογή των μέτρων μετεγκατάστασης για ένα συγκεκριμένο κράτος μέλος δεν θα πρέπει να θίγει τη δυνατότητα του Συμβουλίου να θεσπίζει προσωρινά μέτρα μετά από πρόταση της Επιτροπής, σύμφωνα με το άρθρο 78 παράγραφος 3, σε περίπτωση κατάστασης έκτακτης ανάγκης σε ένα κράτος μέλος λόγω αιφνίδιας εισροής υπηκόων τρίτων χωρών.</w:t>
      </w:r>
    </w:p>
    <w:p w:rsidR="00DE4D11" w:rsidRDefault="00EB4F41">
      <w:pPr>
        <w:pStyle w:val="Point0number"/>
        <w:numPr>
          <w:ilvl w:val="0"/>
          <w:numId w:val="3"/>
        </w:numPr>
        <w:rPr>
          <w:noProof/>
        </w:rPr>
      </w:pPr>
      <w:r>
        <w:rPr>
          <w:noProof/>
        </w:rPr>
        <w:t xml:space="preserve">Ο μηχανισμός μετεγκατάστασης λόγω κρίσης πρέπει να εξεταστεί στο πλαίσιο μιας ευρύτερης δέσμης μέτρων που τα κράτη μέλη ενδέχεται να χρειαστεί να λάβουν για τη διασφάλιση αποτελεσματικών μεταναστευτικών πολιτικών, μεταξύ άλλων και στον τομέα πρώτης υποδοχής και επιστροφής υπηκόων τρίτων χωρών που δεν έχουν το δικαίωμα παραμονής στο έδαφος των κρατών μελών, σύμφωνα με τις διατάξεις της οδηγίας 2008/115/ΕΚ («hotspots»). </w:t>
      </w:r>
    </w:p>
    <w:p w:rsidR="00DE4D11" w:rsidRDefault="00EB4F41">
      <w:pPr>
        <w:pStyle w:val="Point0number"/>
        <w:numPr>
          <w:ilvl w:val="0"/>
          <w:numId w:val="3"/>
        </w:numPr>
        <w:rPr>
          <w:noProof/>
        </w:rPr>
      </w:pPr>
      <w:r>
        <w:rPr>
          <w:noProof/>
        </w:rPr>
        <w:t xml:space="preserve">Η Επιτροπή διεξάγει επί του παρόντος συνολική αξιολόγηση του κανονισμού του Δουβλίνου, η οποία θα μπορούσε να οδηγήσει σε μια ευρύτερη αναθεώρηση του συστήματος του Δουβλίνου. </w:t>
      </w:r>
    </w:p>
    <w:p w:rsidR="00DE4D11" w:rsidRDefault="00EB4F41">
      <w:pPr>
        <w:pStyle w:val="Point0number"/>
        <w:numPr>
          <w:ilvl w:val="0"/>
          <w:numId w:val="3"/>
        </w:numPr>
        <w:rPr>
          <w:noProof/>
        </w:rPr>
      </w:pPr>
      <w:r>
        <w:rPr>
          <w:noProof/>
        </w:rPr>
        <w:t>Προβλέπεται ένα σαφές και πρακτικά εφαρμόσιμο σύστημα μετεγκατάστασης με βάση το κατώτατο όριο του μέσου ποσοστού των αποφάσεων για χορήγηση διεθνούς προστασίας στις πρωτοβάθμιες διαδικασίες στο επίπεδο της Ένωσης, όπως ορίζονται από την Eurostat, επί του συνολικού αριθμού των αποφάσεων επί των αιτήσεων παροχής ασύλου για λόγους διεθνούς προστασίας που εκδίδονται στο επίπεδο της Ένωσης σε πρώτο βαθμό, με βάση τα τελευταία διαθέσιμα στατιστικά στοιχεία. Το εν λόγω κατώτατο όριο θα πρέπει αφενός να εξασφαλίζει, στον μέγιστο δυνατό βαθμό, ότι όλοι οι αιτούντες οι οποίοι χρήζουν σαφώς διεθνούς προστασίας θα είναι σε θέση να απολαύουν πλήρως και ταχέως των δικαιωμάτων προστασίας τους στο κράτος μέλος της μετεγκατάστασης. Από την άλλη πλευρά θα αποτρέψει, στον μέγιστο δυνατό βαθμό, τους αιτούντες για τους οποίους είναι πιθανόν να ληφθεί αρνητική απόφαση αναφορικά με την αίτησή τους, από το να μετεγκατασταθούν σε άλλο κράτος μέλος με αποτέλεσμα, επομένως, την αδικαιολόγητη παράταση της παραμονής τους στην Ένωση. Θα πρέπει να χρησιμοποιηθεί κατώτατο όριο 75%, με βάση τα πλέον πρόσφατα επικαιροποιημένα τριμηνιαία στοιχεία της Eurostat για τις πρωτοβάθμιες αποφάσεις.</w:t>
      </w:r>
    </w:p>
    <w:p w:rsidR="00DE4D11" w:rsidRDefault="00EB4F41">
      <w:pPr>
        <w:pStyle w:val="Point0number"/>
        <w:numPr>
          <w:ilvl w:val="0"/>
          <w:numId w:val="3"/>
        </w:numPr>
        <w:rPr>
          <w:noProof/>
        </w:rPr>
      </w:pPr>
      <w:r>
        <w:rPr>
          <w:noProof/>
        </w:rPr>
        <w:t xml:space="preserve">Η μετεγκατάσταση αιτούντων που χρήζουν σαφώς διεθνούς προστασίας θα πρέπει να λαμβάνει χώρα βάσει του μαθηματικού τύπου περί της κλείδας κατανομής που παρατίθεται στο παράρτημα ΙΙΙ. Η κλείδα κατανομής θα πρέπει να βασίζεται α) στο μέγεθος του πληθυσμού (στάθμιση 40%), β) στο σύνολο του ΑΕΠ (στάθμιση 40%), γ) στον μέσο αριθμό αιτήσεων ασύλου ανά εκατομμύριο κατοίκων κατά την περίοδο 2010-2014 (στάθμιση 10%, με ανώτατο όριο 30% του αποτελέσματος του πληθυσμού και του ΑΕΠ στην κλείδα, ώστε να αποφευχθούν δυσανάλογα αποτελέσματα του εν λόγω κριτηρίου επί της συνολικής κατανομής) και δ) το </w:t>
      </w:r>
      <w:r>
        <w:rPr>
          <w:noProof/>
        </w:rPr>
        <w:lastRenderedPageBreak/>
        <w:t>ποσοστό ανεργίας (στάθμιση 10%, με ανώτατο όριο 30% του αποτελέσματος του πληθυσμού και του ΑΕΠ στην κλείδα, ώστε να αποφευχθούν δυσανάλογα αποτελέσματα του εν λόγω κριτηρίου επί της συνολικής κατανομής).</w:t>
      </w:r>
    </w:p>
    <w:p w:rsidR="00DE4D11" w:rsidRDefault="00EB4F41">
      <w:pPr>
        <w:pStyle w:val="Point0number"/>
        <w:numPr>
          <w:ilvl w:val="0"/>
          <w:numId w:val="3"/>
        </w:numPr>
        <w:rPr>
          <w:noProof/>
        </w:rPr>
      </w:pPr>
      <w:r>
        <w:rPr>
          <w:noProof/>
        </w:rPr>
        <w:t>Όταν, σε εξαιρετικές περιστάσεις, ένα κράτος μέλος γνωστοποιεί στην Επιτροπή, παρέχοντας δεόντως αιτιολογημένους λόγους που συνάδουν με τις θεμελιώδεις αξίες της Ένωσης, όπως κατοχυρώνονται στο άρθρο 2 της Συνθήκης για την Ευρωπαϊκή Ένωση, ότι δεν είναι προσωρινά σε θέση να συμμετάσχει, πλήρως ή εν μέρει, στη μετεγκατάσταση των αιτούντων, για περίοδο ενός έτους, θα πρέπει να καταβάλλει αντ’ αυτού χρηματοδοτική συνεισφορά στον προϋπολογισμό της ΕΕ ύψους 0,002% του ΑΕΠ για την κάλυψη της συνδρομής προς στήριξη των προσπαθειών που έχουν αναλάβει όλα τα άλλα κράτη μέλη για να αντιμετωπίσουν την κατάσταση κρίσης και τις συνέπειες της μη συμμετοχής του εν λόγω κράτους μέλους στην μετεγκατάσταση. Σε περίπτωση μερικής συμμετοχής στη μετεγκατάσταση, το ποσό αυτό θα πρέπει να μειώνεται ανάλογα. Αυτό το ποσό θα πρέπει να διατίθεται στο Ταμείο Ασύλου, Μετανάστευσης και Ένταξης ως έσοδα για ειδικό προορισμό.</w:t>
      </w:r>
    </w:p>
    <w:p w:rsidR="00DE4D11" w:rsidRDefault="00EB4F41">
      <w:pPr>
        <w:pStyle w:val="Point0number"/>
        <w:numPr>
          <w:ilvl w:val="0"/>
          <w:numId w:val="3"/>
        </w:numPr>
        <w:rPr>
          <w:noProof/>
        </w:rPr>
      </w:pPr>
      <w:r>
        <w:rPr>
          <w:noProof/>
        </w:rPr>
        <w:t>Πρέπει να διασφαλιστεί ότι θα παραμένει αμετάβλητο το επίπεδο της αλληλεγγύης με το κράτος μέλος που αντιμετωπίζει κατάσταση κρίσης ως προς τον αριθμό των ατόμων που πρέπει να μετεγκατασταθούν. Ως εκ τούτου, τα κονδύλια βάσει της κλείδας κατανομής που προβλέφθηκαν για ένα κράτος μέλος που έχει προβεί σε κοινοποίηση η οποία έγινε δεκτή από την Επιτροπή, θα πρέπει να ανακατανεμηθούν στα υπόλοιπα κράτη μέλη.</w:t>
      </w:r>
    </w:p>
    <w:p w:rsidR="00DE4D11" w:rsidRDefault="00EB4F41">
      <w:pPr>
        <w:pStyle w:val="Point0number"/>
        <w:numPr>
          <w:ilvl w:val="0"/>
          <w:numId w:val="3"/>
        </w:numPr>
        <w:rPr>
          <w:noProof/>
        </w:rPr>
      </w:pPr>
      <w:r>
        <w:rPr>
          <w:noProof/>
        </w:rPr>
        <w:t xml:space="preserve">Είναι αναγκαίο να εξασφαλισθεί η θέσπιση ταχύρρυθμης διαδικασίας μετεγκατάστασης και να συνοδευθεί η εφαρμογή της διαδικασίας μετεγκατάστασης από στενή διοικητική συνεργασία μεταξύ των κρατών μελών και από επιχειρησιακή υποστήριξη που θα παρέχει η ΕΥΥΑ. </w:t>
      </w:r>
    </w:p>
    <w:p w:rsidR="00DE4D11" w:rsidRDefault="00EB4F41">
      <w:pPr>
        <w:pStyle w:val="Point0number"/>
        <w:numPr>
          <w:ilvl w:val="0"/>
          <w:numId w:val="3"/>
        </w:numPr>
        <w:rPr>
          <w:noProof/>
        </w:rPr>
      </w:pPr>
      <w:r>
        <w:rPr>
          <w:noProof/>
        </w:rPr>
        <w:t xml:space="preserve">Η εθνική ασφάλεια και η δημόσια τάξη πρέπει να λαμβάνονται υπόψη καθ’ όλη τη διάρκεια της διαδικασίας μετεγκατάστασης, έως ότου εκτελεσθεί η μεταφορά του αιτούντος. Με πλήρη σεβασμό προς τα θεμελιώδη δικαιώματα του αιτούντος, συμπεριλαμβανομένων των σχετικών κανόνων για την προστασία των δεδομένων, όταν ένα κράτος μέλος δύναται ευλόγως να θεωρήσει ότι ο αιτών συνιστά κίνδυνο για την εθνική ασφάλεια ή τη δημόσια τάξη του, οφείλει να ενημερώνει σχετικά τα άλλα κράτη μέλη. </w:t>
      </w:r>
    </w:p>
    <w:p w:rsidR="00DE4D11" w:rsidRDefault="00EB4F41">
      <w:pPr>
        <w:pStyle w:val="Point0number"/>
        <w:numPr>
          <w:ilvl w:val="0"/>
          <w:numId w:val="3"/>
        </w:numPr>
        <w:rPr>
          <w:noProof/>
        </w:rPr>
      </w:pPr>
      <w:r>
        <w:rPr>
          <w:noProof/>
        </w:rPr>
        <w:t>Όταν αποφασίζεται ποιοι αιτούντες με σαφή ανάγκη διεθνούς προστασίας θα πρέπει να μετεγκατασταθούν από το κράτος μέλος που επωφελείται από την μετεγκατάσταση, πρέπει να δίνεται προτεραιότητα στους ευάλωτους αιτούντες κατά την έννοια των άρθρων 21 και 22 της οδηγίας 2013/33/ΕΕ του Ευρωπαϊκού Κοινοβουλίου και του Συμβουλίου</w:t>
      </w:r>
      <w:r>
        <w:rPr>
          <w:rStyle w:val="FootnoteReference"/>
          <w:noProof/>
        </w:rPr>
        <w:footnoteReference w:id="12"/>
      </w:r>
      <w:r>
        <w:rPr>
          <w:noProof/>
        </w:rPr>
        <w:t xml:space="preserve">. Από την άποψη αυτή, πρωταρχικό μέλημα πρέπει να αποτελούν οι ειδικές ανάγκες των αιτούντων, στις οποίες συγκαταλέγεται μεταξύ άλλων και η υγεία. Πρέπει πάντα να δίνεται πρωταρχική σημασία στο μείζον συμφέρον του παιδιού. </w:t>
      </w:r>
    </w:p>
    <w:p w:rsidR="00DE4D11" w:rsidRDefault="00EB4F41">
      <w:pPr>
        <w:pStyle w:val="Point0number"/>
        <w:numPr>
          <w:ilvl w:val="0"/>
          <w:numId w:val="3"/>
        </w:numPr>
        <w:rPr>
          <w:noProof/>
        </w:rPr>
      </w:pPr>
      <w:r>
        <w:rPr>
          <w:noProof/>
        </w:rPr>
        <w:t xml:space="preserve">Η ένταξη των αιτούντων που έχουν σαφή ανάγκη διεθνούς προστασίας στην κοινωνία υποδοχής αποτελεί τον ακρογωνιαίο λίθο ενός εύρυθμα λειτουργούντος Κοινού Ευρωπαϊκού Συστήματος Ασύλου. Επομένως, προκειμένου να αποφασιστεί ποιο συγκεκριμένο κράτος μέλος θα πρέπει να είναι το κράτος μέλος της </w:t>
      </w:r>
      <w:r>
        <w:rPr>
          <w:noProof/>
        </w:rPr>
        <w:lastRenderedPageBreak/>
        <w:t>μετεγκατάστασης, θα πρέπει να λαμβάνονται ιδιαίτερα υπόψη τα ειδικά προσόντα και χαρακτηριστικά των αιτούντων, όπως οι γλωσσικές τους δεξιότητες και άλλες ατομικές ενδείξεις βάσει αποδεδειγμένων οικογενειακών, πολιτιστικών ή κοινωνικών δεσμών που θα μπορούσαν να διευκολύνουν την ένταξή τους στο κράτος μέλος της μετεγκατάστασης. Στην περίπτωση των ιδιαίτερα ευάλωτων αιτούντων, θα πρέπει να δίνεται προσοχή στην ικανότητα του κράτους μέλους της μετεγκατάστασης να παρέχει επαρκή υποστήριξη σε αυτούς τους αιτούντες και στην ανάγκη δίκαιης κατανομής των εν λόγω αιτούντων μεταξύ των κρατών μελών. Με τη δέουσα τήρηση της αρχής της απαγόρευσης των διακρίσεων, τα κράτη μέλη μετεγκατάστασης μπορούν να δηλώνουν τις προτιμήσεις τους σχετικά με αιτούντες με βάση τις ανωτέρω πληροφορίες. Κατ’ αυτόν τον τρόπο, το κράτος μέλος που επωφελείται από τη μετεγκατάσταση, σε συνεννόηση με την ΕΥΥΑ και, ανάλογα με την περίπτωση, με αξιωματούχους συνδέσμους μπορούν να καταρτίζουν καταλόγους πιθανών υποψηφίων που έχουν ταυτοποιηθεί για μετεγκατάσταση στο εν λόγω κράτος μέλος.</w:t>
      </w:r>
    </w:p>
    <w:p w:rsidR="00DE4D11" w:rsidRDefault="00EB4F41">
      <w:pPr>
        <w:pStyle w:val="Point0number"/>
        <w:numPr>
          <w:ilvl w:val="0"/>
          <w:numId w:val="3"/>
        </w:numPr>
        <w:rPr>
          <w:noProof/>
        </w:rPr>
      </w:pPr>
      <w:r>
        <w:rPr>
          <w:noProof/>
        </w:rPr>
        <w:t>Ο διορισμός από τα κράτη μέλη αξιωματούχων συνδέσμων στα κράτη μέλη που επωφελούνται από μετεγκατάσταση αναμένεται να διευκολύνει την αποτελεσματική εφαρμογή της διαδικασίας μετεγκατάστασης, μεταξύ άλλων με την κατάλληλη ταυτοποίηση των αιτούντων που θα μπορούσαν να μετεγκατασταθούν, λαμβάνοντας ιδίως υπόψη το πόσο ευάλωτοι είναι και τα προσόντα τους. Όσον αφορά τόσο τον διορισμό αξιωματούχων συνδέσμων στα κράτη μέλη που επωφελούνται από τη μετεγκατάσταση όσο και την εκπλήρωση των καθηκόντων τους, το κράτος μέλος της μετεγκατάστασης και το κράτος μέλος που επωφελείται από αυτήν, θα πρέπει να ανταλλάσσουν όλες τις σχετικές πληροφορίες και να συνεχίσουν να συνεργάζονται στενά καθ’ όλη τη διαδικασία μετεγκατάστασης.</w:t>
      </w:r>
    </w:p>
    <w:p w:rsidR="00DE4D11" w:rsidRDefault="00EB4F41">
      <w:pPr>
        <w:pStyle w:val="Point0number"/>
        <w:numPr>
          <w:ilvl w:val="0"/>
          <w:numId w:val="3"/>
        </w:numPr>
        <w:rPr>
          <w:noProof/>
        </w:rPr>
      </w:pPr>
      <w:r>
        <w:rPr>
          <w:noProof/>
        </w:rPr>
        <w:t xml:space="preserve">Θα πρέπει να ληφθούν μέτρα προκειμένου να αποφεύγονται οι δευτερογενείς μετακινήσεις των μετεγκατεστημένων προσώπων από το κράτος μέλος της μετεγκατάστασης σε άλλα κράτη μέλη. Οι αιτούντες θα πρέπει ειδικότερα να ενημερώνονται για τις συνέπειες τυχόν περαιτέρω παράτυπης μετακίνησης εντός των κρατών μελών καθώς και για το γεγονός ότι, εάν το υπεύθυνο κράτος μέλος τους παρέχει διεθνή προστασία διαθέτουν, κατ’ αρχήν, μόνο τα δικαιώματα που συνδέονται με τη διεθνή προστασία στο εν λόγω κράτος μέλος. </w:t>
      </w:r>
    </w:p>
    <w:p w:rsidR="00DE4D11" w:rsidRDefault="00EB4F41">
      <w:pPr>
        <w:pStyle w:val="Point0number"/>
        <w:numPr>
          <w:ilvl w:val="0"/>
          <w:numId w:val="3"/>
        </w:numPr>
        <w:rPr>
          <w:noProof/>
        </w:rPr>
      </w:pPr>
      <w:r>
        <w:rPr>
          <w:noProof/>
        </w:rPr>
        <w:t xml:space="preserve">Προς αποφυγή δευτερογενών μετακινήσεων των δικαιούχων διεθνούς προστασίας, τα κράτη μέλη θα πρέπει επίσης να ενημερώνουν τους δικαιούχους σχετικά με τις προϋποθέσεις υπό τις οποίες μπορούν να εισέρχονται και να διαμένουν νομίμως σε άλλο κράτος μέλος και θα μπορούσαν να επιβάλουν υποχρεώσεις αναφοράς. Επιπλέον, προκειμένου να εξασφαλιστεί ότι επιστρέφουν στο κράτος μέλος της μετεγκατάστασης οι δικαιούχοι διεθνούς προστασίας που έχουν εισέλθει στο έδαφος άλλου κράτους μέλους, διαφορετικού από το κράτος μέλος της μετεγκατάστασης, χωρίς να πληρούν τις προϋποθέσεις διαμονής στο εν λόγω άλλο κράτος μέλος, είναι αναγκαίο να περιληφθούν στο πεδίο εφαρμογής του κανονισμού (ΕΕ) αριθ. 604/2013 οι δικαιούχοι διεθνούς προστασίας που έχουν μετεγκατασταθεί. </w:t>
      </w:r>
    </w:p>
    <w:p w:rsidR="00DE4D11" w:rsidRDefault="00EB4F41">
      <w:pPr>
        <w:pStyle w:val="Point0number"/>
        <w:numPr>
          <w:ilvl w:val="0"/>
          <w:numId w:val="3"/>
        </w:numPr>
        <w:rPr>
          <w:noProof/>
        </w:rPr>
      </w:pPr>
      <w:r>
        <w:rPr>
          <w:noProof/>
        </w:rPr>
        <w:t xml:space="preserve">Επιπλέον, σύμφωνα με τους στόχους που ορίζονται στην οδηγία 2013/33/ΕΕ, η εναρμόνιση των συνθηκών υποδοχής μεταξύ των κρατών μελών θα πρέπει να συμβάλει στον περιορισμό των δευτερογενών μετακινήσεων των αιτούντων διεθνή προστασία, οι οποίες επηρεάζονται από την ανομοιογένεια των συνθηκών υποδοχής τους. Με σκοπό την επίτευξη του ίδιου στόχου, τα κράτη μέλη θα πρέπει να εξετάσουν το ενδεχόμενο επιβολής υποχρεώσεων αναφοράς και εξασφάλισης στους </w:t>
      </w:r>
      <w:r>
        <w:rPr>
          <w:noProof/>
        </w:rPr>
        <w:lastRenderedPageBreak/>
        <w:t>αιτούντες διεθνή προστασία ουσιαστικών συνθηκών υποδοχής που περιλαμβάνουν την παροχή στέγης, τροφής και ρουχισμού μόνο σε είδος καθώς και, κατά περίπτωση, τη διασφάλιση ότι οι αιτούντες άσυλο μεταφέρονται απευθείας στο κράτος μέλος της μετεγκατάστασης. Ομοίως, κατά τη διάρκεια της εξέτασης αιτήσεων διεθνούς προστασίας, όπως προβλέπεται στο κεκτημένο περί του ασύλου και του Σένγκεν, εκτός από την περίπτωση σοβαρών ανθρωπιστικών λόγων, τα κράτη μέλη δεν θα πρέπει να χορηγούν στους αιτούντες εθνικά ταξιδιωτικά έγγραφα, ούτε να τους παρέχουν άλλα κίνητρα, όπως οικονομικά, τα οποία θα μπορούσαν να διευκολύνουν τις παράτυπες μετακινήσεις τους σε άλλα κράτη μέλη. Σε περίπτωση παράτυπων μετακινήσεων σε άλλα κράτη μέλη, οι αιτούντες θα πρέπει να στέλνονται πίσω στο κράτος μέλος της μετεγκατάστασης.</w:t>
      </w:r>
    </w:p>
    <w:p w:rsidR="00DE4D11" w:rsidRDefault="00EB4F41">
      <w:pPr>
        <w:pStyle w:val="Point0number"/>
        <w:numPr>
          <w:ilvl w:val="0"/>
          <w:numId w:val="3"/>
        </w:numPr>
        <w:rPr>
          <w:noProof/>
        </w:rPr>
      </w:pPr>
      <w:r>
        <w:rPr>
          <w:noProof/>
        </w:rPr>
        <w:t xml:space="preserve">Για τον ταχύ χειρισμό των καταστάσεων κρίσης λόγω ακραίων μεταναστευτικών πιέσεων στο σύστημα ασύλου σε συγκεκριμένα κράτη μέλη, η εξουσία έκδοσης πράξεων σύμφωνα με το άρθρο 290 ΣΛΕΕ θα πρέπει να ανατεθεί στην Επιτροπή όσον αφορά επίσης τη θέσπιση και την εφαρμογή των μέτρων μετεγκατάστασης σε σχέση με συγκεκριμένο κράτος μέλος, καθώς και για την αναστολή της εφαρμογής των εν λόγω μέτρων. </w:t>
      </w:r>
    </w:p>
    <w:p w:rsidR="00DE4D11" w:rsidRDefault="00EB4F41">
      <w:pPr>
        <w:pStyle w:val="Point0number"/>
        <w:numPr>
          <w:ilvl w:val="0"/>
          <w:numId w:val="3"/>
        </w:numPr>
        <w:rPr>
          <w:noProof/>
        </w:rPr>
      </w:pPr>
      <w:r>
        <w:rPr>
          <w:noProof/>
        </w:rPr>
        <w:t xml:space="preserve">Κατά την άσκηση των εξουσιών έκδοσης κατ’ εξουσιοδότηση πράξεων, η Επιτροπή δεν θα πρέπει να υπερβαίνει το πεδίο διαπίστωσης της εκπλήρωσης των προϋποθέσεων μετεγκατάστασης καθώς και των λοιπών στοιχείων που προβλέπεται στο άρθρο 33α παράγραφος 4 και στο άρθρο 33δ παράγραφος 2 του κανονισμού (ΕΕ) αριθ. 604/2013. Είναι ιδιαίτερα σημαντικό να διεξαγάγει η Επιτροπή τις κατάλληλες διαβουλεύσεις, και σε επίπεδο εμπειρογνωμόνων, κατά τις προπαρασκευαστικές εργασίες της. Κατά την επεξεργασία και κατάρτιση κατ’ εξουσιοδότηση πράξεων, η Επιτροπή θα πρέπει να διασφαλίζει την ταυτόχρονη, έγκαιρη και προσήκουσα διαβίβαση των σχετικών εγγράφων στο Ευρωπαϊκό Κοινοβούλιο και στο Συμβούλιο. </w:t>
      </w:r>
    </w:p>
    <w:p w:rsidR="00DE4D11" w:rsidRDefault="00EB4F41">
      <w:pPr>
        <w:pStyle w:val="Point0number"/>
        <w:numPr>
          <w:ilvl w:val="0"/>
          <w:numId w:val="3"/>
        </w:numPr>
        <w:rPr>
          <w:i/>
          <w:noProof/>
        </w:rPr>
      </w:pPr>
      <w:r>
        <w:rPr>
          <w:i/>
          <w:noProof/>
        </w:rPr>
        <w:t xml:space="preserve">[Σύμφωνα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τα εν λόγω κράτη μέλη έχουν γνωστοποιήσει την επιθυμία τους να συμμετάσχουν στην έκδοση και εφαρμογή του παρόντος κανονισμού.] </w:t>
      </w:r>
    </w:p>
    <w:p w:rsidR="00DE4D11" w:rsidRDefault="00EB4F41">
      <w:pPr>
        <w:pStyle w:val="Text1"/>
        <w:rPr>
          <w:noProof/>
        </w:rPr>
      </w:pPr>
      <w:r>
        <w:rPr>
          <w:noProof/>
        </w:rPr>
        <w:t xml:space="preserve">Ή </w:t>
      </w:r>
    </w:p>
    <w:p w:rsidR="00DE4D11" w:rsidRDefault="00EB4F41">
      <w:pPr>
        <w:pStyle w:val="Point0number"/>
        <w:numPr>
          <w:ilvl w:val="0"/>
          <w:numId w:val="2"/>
        </w:numPr>
        <w:rPr>
          <w:i/>
          <w:noProof/>
        </w:rPr>
      </w:pPr>
      <w:r>
        <w:rPr>
          <w:i/>
          <w:noProof/>
        </w:rPr>
        <w:t xml:space="preserve">[Σύμφωνα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εν λόγω Πρωτοκόλλου, τα εν λόγω κράτη μέλη δεν συμμετέχουν στην θέσπιση του παρόντος κανονισμού και δεν δεσμεύονται από αυτόν, ούτε υπόκεινται στην εφαρμογή του.] </w:t>
      </w:r>
    </w:p>
    <w:p w:rsidR="00DE4D11" w:rsidRDefault="00EB4F41">
      <w:pPr>
        <w:pStyle w:val="Text1"/>
        <w:rPr>
          <w:noProof/>
        </w:rPr>
      </w:pPr>
      <w:r>
        <w:rPr>
          <w:noProof/>
        </w:rPr>
        <w:t xml:space="preserve">Ή </w:t>
      </w:r>
    </w:p>
    <w:p w:rsidR="00DE4D11" w:rsidRDefault="00EB4F41">
      <w:pPr>
        <w:pStyle w:val="Point0number"/>
        <w:numPr>
          <w:ilvl w:val="0"/>
          <w:numId w:val="2"/>
        </w:numPr>
        <w:rPr>
          <w:i/>
          <w:noProof/>
        </w:rPr>
      </w:pPr>
      <w:r>
        <w:rPr>
          <w:i/>
          <w:noProof/>
        </w:rPr>
        <w:t xml:space="preserve">[Σύμφωνα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που προσαρτάται στη Συνθήκη για την Ευρωπαϊκή Ένωση και στη Συνθήκη για τη λειτουργία της Ευρωπαϊκής Ένωσης, και με την επιφύλαξη του άρθρου </w:t>
      </w:r>
      <w:r>
        <w:rPr>
          <w:i/>
          <w:noProof/>
        </w:rPr>
        <w:lastRenderedPageBreak/>
        <w:t xml:space="preserve">4 του εν λόγω πρωτοκόλλου, το Ηνωμένο Βασίλειο δεν συμμετέχει στη θέσπιση του παρόντος κανονισμού και δεν δεσμεύεται από αυτόν ούτε υπόκειται στην εφαρμογή του. </w:t>
      </w:r>
    </w:p>
    <w:p w:rsidR="00DE4D11" w:rsidRDefault="00EB4F41">
      <w:pPr>
        <w:pStyle w:val="Point0number"/>
        <w:numPr>
          <w:ilvl w:val="0"/>
          <w:numId w:val="3"/>
        </w:numPr>
        <w:rPr>
          <w:i/>
          <w:noProof/>
        </w:rPr>
      </w:pPr>
      <w:r>
        <w:rPr>
          <w:i/>
          <w:noProof/>
        </w:rPr>
        <w:t xml:space="preserve">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που προσαρτάται στη Συνθήκη για την Ευρωπαϊκή Ένωση και στη Συνθήκη για τη λειτουργία της Ευρωπαϊκής Ένωσης, η Ιρλανδία γνωστοποίησε, (με επιστολή της ....,) τη βούλησή της να συμμετάσχει στη θέσπιση και εφαρμογή του παρόντος κανονισμού.] </w:t>
      </w:r>
    </w:p>
    <w:p w:rsidR="00DE4D11" w:rsidRDefault="00EB4F41">
      <w:pPr>
        <w:pStyle w:val="Text1"/>
        <w:rPr>
          <w:noProof/>
        </w:rPr>
      </w:pPr>
      <w:r>
        <w:rPr>
          <w:noProof/>
        </w:rPr>
        <w:t xml:space="preserve">Ή </w:t>
      </w:r>
    </w:p>
    <w:p w:rsidR="00DE4D11" w:rsidRDefault="00EB4F41">
      <w:pPr>
        <w:pStyle w:val="Point0number"/>
        <w:numPr>
          <w:ilvl w:val="0"/>
          <w:numId w:val="2"/>
        </w:numPr>
        <w:rPr>
          <w:i/>
          <w:noProof/>
        </w:rPr>
      </w:pPr>
      <w:r>
        <w:rPr>
          <w:i/>
          <w:noProof/>
        </w:rPr>
        <w:t xml:space="preserve">[Σύμφωνα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που προσαρτάται στη Συνθήκη για την Ευρωπαϊκή Ένωση και στη Συνθήκη για τη λειτουργία της Ευρωπαϊκής Ένωσης, το Ηνωμένο Βασίλειο γνωστοποίησε, (με επιστολή της ....,) τη βούλησή του να συμμετάσχει στη θέσπιση και εφαρμογή του παρόντος κανονισμού. </w:t>
      </w:r>
    </w:p>
    <w:p w:rsidR="00DE4D11" w:rsidRDefault="00EB4F41">
      <w:pPr>
        <w:pStyle w:val="Point0number"/>
        <w:numPr>
          <w:ilvl w:val="0"/>
          <w:numId w:val="3"/>
        </w:numPr>
        <w:rPr>
          <w:i/>
          <w:noProof/>
        </w:rPr>
      </w:pPr>
      <w:r>
        <w:rPr>
          <w:i/>
          <w:noProof/>
        </w:rPr>
        <w:t xml:space="preserve">Δυνάμει των άρθρων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ανωτέρω πρωτοκόλλου, η Ιρλανδία δεν συμμετέχει στη θέσπιση του παρόντος κανονισμού και δεν δεσμεύεται από αυτόν ούτε υπόκειται στην εφαρμογή του.] </w:t>
      </w:r>
    </w:p>
    <w:p w:rsidR="00DE4D11" w:rsidRDefault="00EB4F41">
      <w:pPr>
        <w:pStyle w:val="Point0number"/>
        <w:numPr>
          <w:ilvl w:val="0"/>
          <w:numId w:val="4"/>
        </w:numPr>
        <w:rPr>
          <w:noProof/>
        </w:rPr>
      </w:pPr>
      <w:r>
        <w:rPr>
          <w:noProof/>
        </w:rPr>
        <w:t>Σύμφωνα με τα άρθρα 1 και 2 του πρωτοκόλλου αριθ. 22 σχετικά με τη θέση της Δανίας, το οποίο προσαρτάται στη Συνθήκη για την Ευρωπαϊκή Ένωση και στη Συνθήκη για τη λειτουργία της Ευρωπαϊκής Ένωσης, η Δανία δεν συμμετέχει στη θέσπιση του παρόντος κανονισμού και δεν δεσμεύεται από αυτόν ούτε υπόκειται στην εφαρμογή του.</w:t>
      </w:r>
    </w:p>
    <w:p w:rsidR="00DE4D11" w:rsidRDefault="00EB4F41">
      <w:pPr>
        <w:pStyle w:val="Point0number"/>
        <w:numPr>
          <w:ilvl w:val="0"/>
          <w:numId w:val="3"/>
        </w:numPr>
        <w:rPr>
          <w:noProof/>
        </w:rPr>
      </w:pPr>
      <w:r>
        <w:rPr>
          <w:noProof/>
        </w:rPr>
        <w:t>Ο κανονισμός (ΕΕ) αριθ. 604/2013 θα πρέπει κατά συνέπεια να τροποποιηθεί αναλόγως,</w:t>
      </w:r>
    </w:p>
    <w:p w:rsidR="00DE4D11" w:rsidRDefault="00EB4F41">
      <w:pPr>
        <w:rPr>
          <w:noProof/>
        </w:rPr>
      </w:pPr>
      <w:r>
        <w:rPr>
          <w:noProof/>
        </w:rPr>
        <w:t xml:space="preserve">ΕΞΕΔΩΣΑΝ ΤΟΝ ΠΑΡΟΝΤΑ ΚΑΝΟΝΙΣΜΟ: </w:t>
      </w:r>
    </w:p>
    <w:p w:rsidR="00DE4D11" w:rsidRDefault="00EB4F41">
      <w:pPr>
        <w:pStyle w:val="Titreobjet"/>
        <w:rPr>
          <w:noProof/>
        </w:rPr>
      </w:pPr>
      <w:bookmarkStart w:id="0" w:name="_GoBack"/>
      <w:bookmarkEnd w:id="0"/>
      <w:r>
        <w:rPr>
          <w:noProof/>
        </w:rPr>
        <w:br/>
      </w:r>
    </w:p>
    <w:p w:rsidR="00DE4D11" w:rsidRDefault="00EB4F41">
      <w:pPr>
        <w:pStyle w:val="Titrearticle"/>
        <w:rPr>
          <w:noProof/>
        </w:rPr>
      </w:pPr>
      <w:r>
        <w:rPr>
          <w:noProof/>
        </w:rPr>
        <w:t>Άρθρο 1</w:t>
      </w:r>
    </w:p>
    <w:p w:rsidR="00DE4D11" w:rsidRDefault="00EB4F41">
      <w:pPr>
        <w:rPr>
          <w:noProof/>
        </w:rPr>
      </w:pPr>
      <w:r>
        <w:rPr>
          <w:noProof/>
        </w:rPr>
        <w:t>Ο κανονισμός (ΕΕ) αριθ. 604/2013 τροποποιείται ως εξής:</w:t>
      </w:r>
    </w:p>
    <w:p w:rsidR="00DE4D11" w:rsidRDefault="00EB4F41">
      <w:pPr>
        <w:pStyle w:val="Point0number"/>
        <w:numPr>
          <w:ilvl w:val="0"/>
          <w:numId w:val="5"/>
        </w:numPr>
        <w:rPr>
          <w:noProof/>
        </w:rPr>
      </w:pPr>
      <w:r>
        <w:rPr>
          <w:noProof/>
        </w:rPr>
        <w:t>Στο άρθρο 2 προστίθενται τα ακόλουθα στοιχεία:</w:t>
      </w:r>
    </w:p>
    <w:p w:rsidR="00DE4D11" w:rsidRDefault="00EB4F41">
      <w:pPr>
        <w:pStyle w:val="Text1"/>
        <w:rPr>
          <w:noProof/>
        </w:rPr>
      </w:pPr>
      <w:r>
        <w:rPr>
          <w:noProof/>
        </w:rPr>
        <w:t>"ιε) «μετεγκατάσταση»: η μεταφορά αιτούντος/αιτούσης από το έδαφος του κράτους μέλους, το οποίο τα κριτήρια που καθορίζονται στο κεφάλαιο ΙΙΙ του παρόντος κανονισμού υποδεικνύουν ως υπεύθυνο για την εξέταση της αίτησής του/της για διεθνή προστασία (κράτος μέλος που επωφελείται από την μετεγκατάσταση»), στο έδαφος του κράτους μέλους της μετεγκατάστασης·</w:t>
      </w:r>
    </w:p>
    <w:p w:rsidR="00DE4D11" w:rsidRDefault="00EB4F41">
      <w:pPr>
        <w:pStyle w:val="Text1"/>
        <w:rPr>
          <w:noProof/>
        </w:rPr>
      </w:pPr>
      <w:r>
        <w:rPr>
          <w:noProof/>
        </w:rPr>
        <w:t xml:space="preserve">ιστ) «κράτος μέλος της μετεγκατάστασης»: τα κράτη μέλη τα οποία καθίστανται υπεύθυνα για την εξέταση της αίτησης διεθνούς προστασίας δυνάμει του παρόντος </w:t>
      </w:r>
      <w:r>
        <w:rPr>
          <w:noProof/>
        </w:rPr>
        <w:lastRenderedPageBreak/>
        <w:t>κανονισμού αιτούντος/αιτούσης μετά τη μετεγκατάστασή του/της στο έδαφος του εν λόγω κράτους μέλους."</w:t>
      </w:r>
    </w:p>
    <w:p w:rsidR="00DE4D11" w:rsidRDefault="00EB4F41">
      <w:pPr>
        <w:pStyle w:val="Point0number"/>
        <w:numPr>
          <w:ilvl w:val="0"/>
          <w:numId w:val="5"/>
        </w:numPr>
        <w:rPr>
          <w:noProof/>
        </w:rPr>
      </w:pPr>
      <w:r>
        <w:rPr>
          <w:noProof/>
        </w:rPr>
        <w:t>Στο άρθρο 4 παράγραφος 1, προστίθεται το ακόλουθο στοιχείο:</w:t>
      </w:r>
      <w:r>
        <w:rPr>
          <w:noProof/>
        </w:rPr>
        <w:tab/>
      </w:r>
      <w:r>
        <w:rPr>
          <w:noProof/>
        </w:rPr>
        <w:tab/>
      </w:r>
      <w:r>
        <w:rPr>
          <w:noProof/>
        </w:rPr>
        <w:tab/>
      </w:r>
    </w:p>
    <w:p w:rsidR="00DE4D11" w:rsidRDefault="00EB4F41">
      <w:pPr>
        <w:ind w:left="720"/>
        <w:rPr>
          <w:noProof/>
        </w:rPr>
      </w:pPr>
      <w:r>
        <w:rPr>
          <w:noProof/>
        </w:rPr>
        <w:t>«ζ) κατά περίπτωση, τη διαδικασία μετεγκατάστασης που ορίζεται στο τμήμα VII του κεφαλαίου VI.»</w:t>
      </w:r>
    </w:p>
    <w:p w:rsidR="00DE4D11" w:rsidRDefault="00EB4F41">
      <w:pPr>
        <w:pStyle w:val="Point0number"/>
        <w:numPr>
          <w:ilvl w:val="0"/>
          <w:numId w:val="5"/>
        </w:numPr>
        <w:rPr>
          <w:noProof/>
        </w:rPr>
      </w:pPr>
      <w:r>
        <w:rPr>
          <w:noProof/>
        </w:rPr>
        <w:t>Στο άρθρο 18 παράγραφος 1, προστίθεται το ακόλουθο στοιχείο:</w:t>
      </w:r>
    </w:p>
    <w:p w:rsidR="00DE4D11" w:rsidRDefault="00EB4F41">
      <w:pPr>
        <w:ind w:left="720"/>
        <w:rPr>
          <w:noProof/>
        </w:rPr>
      </w:pPr>
      <w:r>
        <w:rPr>
          <w:noProof/>
        </w:rPr>
        <w:t>«ε) να αναλαμβάνει εκ νέου, υπό τους όρους που προβλέπονται στα άρθρα 23, 24, 25 και 29, δικαιούχο διεθνούς προστασίας ο οποίος, μετά τη μετεγκατάστασή του, υπέβαλε αίτηση σε κράτος μέλος διαφορετικό από το κράτος μέλος της μετεγκατάστασης ή ο οποίος ευρίσκεται στο έδαφος κράτους μέλους διαφορετικού από το κράτος μέλος της μετεγκατάστασης χωρίς τίτλο διαμονής.»</w:t>
      </w:r>
    </w:p>
    <w:p w:rsidR="00DE4D11" w:rsidRDefault="00EB4F41">
      <w:pPr>
        <w:pStyle w:val="Point0number"/>
        <w:numPr>
          <w:ilvl w:val="0"/>
          <w:numId w:val="5"/>
        </w:numPr>
        <w:rPr>
          <w:noProof/>
        </w:rPr>
      </w:pPr>
      <w:r>
        <w:rPr>
          <w:noProof/>
        </w:rPr>
        <w:t>Στο κεφάλαιο VI, προστίθεται το ακόλουθο τμήμα VII:</w:t>
      </w:r>
    </w:p>
    <w:p w:rsidR="00DE4D11" w:rsidRDefault="00EB4F41">
      <w:pPr>
        <w:pStyle w:val="Point123"/>
        <w:jc w:val="center"/>
        <w:rPr>
          <w:rFonts w:eastAsia="Calibri"/>
          <w:b/>
          <w:noProof/>
          <w:szCs w:val="22"/>
        </w:rPr>
      </w:pPr>
      <w:r>
        <w:rPr>
          <w:b/>
          <w:noProof/>
        </w:rPr>
        <w:t>«ΤΜΗΜΑ VII</w:t>
      </w:r>
    </w:p>
    <w:p w:rsidR="00DE4D11" w:rsidRDefault="00EB4F41">
      <w:pPr>
        <w:pStyle w:val="Point123"/>
        <w:jc w:val="center"/>
        <w:rPr>
          <w:rFonts w:eastAsia="Calibri"/>
          <w:b/>
          <w:i/>
          <w:noProof/>
          <w:szCs w:val="22"/>
        </w:rPr>
      </w:pPr>
      <w:r>
        <w:rPr>
          <w:b/>
          <w:i/>
          <w:noProof/>
        </w:rPr>
        <w:t>Μηχανισμός μετεγκατάστασης λόγω κρίσης</w:t>
      </w:r>
    </w:p>
    <w:p w:rsidR="00DE4D11" w:rsidRDefault="00EB4F41">
      <w:pPr>
        <w:ind w:left="720" w:hanging="720"/>
        <w:rPr>
          <w:b/>
          <w:noProof/>
        </w:rPr>
      </w:pPr>
      <w:r>
        <w:rPr>
          <w:b/>
          <w:noProof/>
        </w:rPr>
        <w:t>Άρθρο 33α</w:t>
      </w:r>
    </w:p>
    <w:p w:rsidR="00DE4D11" w:rsidRDefault="00EB4F41">
      <w:pPr>
        <w:ind w:left="720" w:hanging="720"/>
        <w:rPr>
          <w:b/>
          <w:noProof/>
        </w:rPr>
      </w:pPr>
      <w:r>
        <w:rPr>
          <w:b/>
          <w:noProof/>
        </w:rPr>
        <w:t>Μηχανισμός μετεγκατάστασης λόγω κρίσης</w:t>
      </w:r>
    </w:p>
    <w:p w:rsidR="00DE4D11" w:rsidRDefault="00EB4F41">
      <w:pPr>
        <w:rPr>
          <w:noProof/>
        </w:rPr>
      </w:pPr>
      <w:r>
        <w:rPr>
          <w:noProof/>
        </w:rPr>
        <w:t>1. Σε περίπτωση που, με βάση τεκμηριωμένα στοιχεία, ιδίως πληροφορίες που συνέλεξαν η EASO, σύμφωνα με τον κανονισμό (ΕΕ) αριθ. 439/2010, και ο Ευρωπαϊκός Οργανισμός για τη Διαχείριση της Επιχειρησιακής Συνεργασίας στα Εξωτερικά Σύνορα των Κρατών Μελών, που συστάθηκε με τον κανονισμό (ΕΚ) αριθ. 2007/2004 του Συμβουλίου*, η Επιτροπή διαπιστώσει ότι κράτος μέλος αντιμετωπίζει κατάσταση κρίσης που θα έθετε σε κίνδυνο την εφαρμογή του παρόντος κανονισμού λόγω υπερβολικής πίεσης από μεγάλη και δυσανάλογη εισροή υπηκόων τρίτων χωρών ή απάτριδων με αποτέλεσμα να δημιουργούνται μεγάλες ανάγκες στο πλαίσιο του εθνικού συστήματος ασύλου, εφαρμόζεται υπέρ του εν λόγω κράτους μέλους ο μηχανισμός μετεγκατάστασης που αναφέρεται στην παράγραφο 2.</w:t>
      </w:r>
    </w:p>
    <w:p w:rsidR="00DE4D11" w:rsidRDefault="00EB4F41">
      <w:pPr>
        <w:rPr>
          <w:noProof/>
        </w:rPr>
      </w:pPr>
      <w:r>
        <w:rPr>
          <w:noProof/>
        </w:rPr>
        <w:t>2. Στο πλαίσιο του μηχανισμού μετεγκατάστασης λόγω κρίσης, ορισμένες αιτήσεις παροχής διεθνούς προστασίας εξετάζονται από το κράτος μέλος της μετεγκατάστασης, κατά παρέκκλιση από την αρχή που διατυπώνεται στο άρθρο 3 παράγραφος 1, σύμφωνα με την οποία μια αίτηση εξετάζεται από το κράτος μέλος το οποίο αναφέρεται ως υπεύθυνο σύμφωνα με τα κριτήρια που ορίζονται στο κεφάλαιο ΙΙΙ. Επιπλέον, εφαρμόζονται οι λεπτομερείς διαδικαστικοί κανόνες που ορίζονται στο παράρτημα IV, κατά παρέκκλιση των άρθρων 21, 22 και 29.</w:t>
      </w:r>
    </w:p>
    <w:p w:rsidR="00DE4D11" w:rsidRDefault="00EB4F41">
      <w:pPr>
        <w:rPr>
          <w:noProof/>
        </w:rPr>
      </w:pPr>
      <w:r>
        <w:rPr>
          <w:noProof/>
        </w:rPr>
        <w:t>3. Η Επιτροπή εξουσιοδοτείται να εκδίδει κατ’ εξουσιοδότηση πράξεις σύμφωνα με το άρθρο 45 σχετικά με την εφαρμογή του μηχανισμού μετεγκατάστασης λόγω κρίσης προς όφελος ενός κράτους μέλους.</w:t>
      </w:r>
    </w:p>
    <w:p w:rsidR="00DE4D11" w:rsidRDefault="00EB4F41">
      <w:pPr>
        <w:rPr>
          <w:noProof/>
        </w:rPr>
      </w:pPr>
      <w:r>
        <w:rPr>
          <w:noProof/>
        </w:rPr>
        <w:t>4. Στις κατ’ εξουσιοδότηση πράξεις που αναφέρονται στην παράγραφο 3, η Επιτροπή:</w:t>
      </w:r>
    </w:p>
    <w:p w:rsidR="00DE4D11" w:rsidRDefault="00EB4F41">
      <w:pPr>
        <w:pStyle w:val="Point1"/>
        <w:rPr>
          <w:noProof/>
        </w:rPr>
      </w:pPr>
      <w:r>
        <w:rPr>
          <w:noProof/>
        </w:rPr>
        <w:t>α)</w:t>
      </w:r>
      <w:r>
        <w:rPr>
          <w:noProof/>
        </w:rPr>
        <w:tab/>
        <w:t xml:space="preserve"> εξακριβώνει ότι υπάρχει κατάσταση κρίσης, όπως αναφέρεται στην παράγραφο 1, στο κράτος μέλος που επωφελείται από τη μετεγκατάσταση, </w:t>
      </w:r>
    </w:p>
    <w:p w:rsidR="00DE4D11" w:rsidRDefault="00EB4F41">
      <w:pPr>
        <w:pStyle w:val="Point1"/>
        <w:rPr>
          <w:noProof/>
        </w:rPr>
      </w:pPr>
      <w:r>
        <w:rPr>
          <w:noProof/>
        </w:rPr>
        <w:t>β)</w:t>
      </w:r>
      <w:r>
        <w:rPr>
          <w:noProof/>
        </w:rPr>
        <w:tab/>
        <w:t xml:space="preserve"> καθορίζει τον αριθμό των προσώπων που πρέπει να μετεγκατασταθούν από το εν λόγω κράτος μέλος, </w:t>
      </w:r>
    </w:p>
    <w:p w:rsidR="00DE4D11" w:rsidRDefault="00EB4F41">
      <w:pPr>
        <w:pStyle w:val="Point1"/>
        <w:rPr>
          <w:noProof/>
        </w:rPr>
      </w:pPr>
      <w:r>
        <w:rPr>
          <w:noProof/>
        </w:rPr>
        <w:lastRenderedPageBreak/>
        <w:t>γ)</w:t>
      </w:r>
      <w:r>
        <w:rPr>
          <w:noProof/>
        </w:rPr>
        <w:tab/>
        <w:t xml:space="preserve"> καθορίζει την κατανομή των εν λόγω προσώπων μεταξύ των κρατών μελών με την εφαρμογή του μαθηματικού τύπου για την κλείδα κατανομής που αναφέρεται στο άρθρο 33β, και</w:t>
      </w:r>
    </w:p>
    <w:p w:rsidR="00DE4D11" w:rsidRDefault="00EB4F41">
      <w:pPr>
        <w:pStyle w:val="Point1"/>
        <w:rPr>
          <w:noProof/>
        </w:rPr>
      </w:pPr>
      <w:r>
        <w:rPr>
          <w:noProof/>
        </w:rPr>
        <w:t>δ)</w:t>
      </w:r>
      <w:r>
        <w:rPr>
          <w:noProof/>
        </w:rPr>
        <w:tab/>
        <w:t xml:space="preserve"> προσδιορίζει την περίοδο εφαρμογής του μηχανισμού μετεγκατάστασης λόγω κρίσης.</w:t>
      </w:r>
    </w:p>
    <w:p w:rsidR="00DE4D11" w:rsidRDefault="00EB4F41">
      <w:pPr>
        <w:rPr>
          <w:noProof/>
        </w:rPr>
      </w:pPr>
      <w:r>
        <w:rPr>
          <w:noProof/>
        </w:rPr>
        <w:t>5. Κατά την εξακρίβωση του κατά πόσο υπάρχει κατάσταση κρίσης που αναφέρεται στο στοιχείο α) της παραγράφου 4, η Επιτροπή αποφαίνεται ότι η κρίση είναι τέτοιου μεγέθους ώστε να συνεπάγεται ακραίες πιέσεις σε ένα καλά προετοιμασμένο σύστημα ασύλου το οποίο λειτουργεί σύμφωνα με όλες τις σχετικές πτυχές του κεκτημένου της ΕΕ στον τομέα του ασύλου, λαμβάνοντας επίσης υπόψη το μέγεθος του οικείου κράτους μέλους.</w:t>
      </w:r>
    </w:p>
    <w:p w:rsidR="00DE4D11" w:rsidRDefault="00EB4F41">
      <w:pPr>
        <w:rPr>
          <w:noProof/>
        </w:rPr>
      </w:pPr>
      <w:r>
        <w:rPr>
          <w:noProof/>
        </w:rPr>
        <w:t>Κατά τη διενέργεια της εν λόγω αξιολόγησης η Επιτροπή, μεταξύ άλλων, λαμβάνει υπόψη τον συνολικό αριθμό των αιτούντων διεθνή προστασία και των παράτυπων εισόδων υπηκόων τρίτων χωρών και απάτριδων κατά τους τελευταίους έξι μήνες πριν από την έκδοση της κατ’ εξουσιοδότηση πράξης, την αύξηση στους αριθμούς αυτούς σε σύγκριση με την ίδια περίοδο του προηγούμενου έτους, καθώς και τον αριθμό των αιτήσεων ανά κάτοικο στο κράτος μέλος που επωφελείται από τη μετεγκατάσταση κατά τους τελευταίους 18 μήνες σε σύγκριση με τον μέσο όρο της Ένωσης.</w:t>
      </w:r>
    </w:p>
    <w:p w:rsidR="00DE4D11" w:rsidRDefault="00EB4F41">
      <w:pPr>
        <w:rPr>
          <w:noProof/>
        </w:rPr>
      </w:pPr>
      <w:r>
        <w:rPr>
          <w:noProof/>
        </w:rPr>
        <w:t>6. Για τον καθορισμό του αριθμού των προσώπων προς μετεγκατάσταση που αναφέρονται στο στοιχείο β) της παραγράφου 4, η Επιτροπή λαμβάνει υπόψη, ιδίως, τα εξής:</w:t>
      </w:r>
    </w:p>
    <w:p w:rsidR="00DE4D11" w:rsidRDefault="00EB4F41">
      <w:pPr>
        <w:pStyle w:val="Point1"/>
        <w:rPr>
          <w:noProof/>
        </w:rPr>
      </w:pPr>
      <w:r>
        <w:rPr>
          <w:noProof/>
        </w:rPr>
        <w:t>α)</w:t>
      </w:r>
      <w:r>
        <w:rPr>
          <w:noProof/>
        </w:rPr>
        <w:tab/>
        <w:t>τον αριθμό των αιτούντων διεθνούς προστασίας κατά κεφαλή στο κράτος μέλος που επωφελείται από τη μετεγκατάσταση, κατά τους 18 μήνες, και ιδίως κατά τους έξι μήνες, που προηγούνται της έκδοσης της κατ’ εξουσιοδότηση πράξης, σε σύγκριση με τον μέσο όρο της Ένωσης·</w:t>
      </w:r>
    </w:p>
    <w:p w:rsidR="00DE4D11" w:rsidRDefault="00EB4F41">
      <w:pPr>
        <w:pStyle w:val="Point1"/>
        <w:rPr>
          <w:noProof/>
        </w:rPr>
      </w:pPr>
      <w:r>
        <w:rPr>
          <w:noProof/>
        </w:rPr>
        <w:t>β)</w:t>
      </w:r>
      <w:r>
        <w:rPr>
          <w:noProof/>
        </w:rPr>
        <w:tab/>
        <w:t>τις δυνατότητες του συστήματος ασύλου του εν λόγω κράτους μέλους· και</w:t>
      </w:r>
    </w:p>
    <w:p w:rsidR="00DE4D11" w:rsidRDefault="00EB4F41">
      <w:pPr>
        <w:pStyle w:val="Point1"/>
        <w:rPr>
          <w:noProof/>
        </w:rPr>
      </w:pPr>
      <w:r>
        <w:rPr>
          <w:noProof/>
        </w:rPr>
        <w:t>γ)</w:t>
      </w:r>
      <w:r>
        <w:rPr>
          <w:noProof/>
        </w:rPr>
        <w:tab/>
        <w:t xml:space="preserve">τη συμμετοχή του κράτους μέλους σε προηγούμενες πρωτοβουλίες αλληλεγγύης, καθώς και τον βαθμό στον οποίο το κράτος μέλος έχει επωφεληθεί από προηγούμενα μέτρα αλληλεγγύης της ΕΕ. </w:t>
      </w:r>
    </w:p>
    <w:p w:rsidR="00DE4D11" w:rsidRDefault="00EB4F41">
      <w:pPr>
        <w:rPr>
          <w:noProof/>
        </w:rPr>
      </w:pPr>
      <w:r>
        <w:rPr>
          <w:noProof/>
        </w:rPr>
        <w:t>Ο αριθμός των ατόμων που πρόκειται να μετεγκατασταθούν δεν υπερβαίνει το 40% του αριθμού των αιτήσεων που υποβλήθηκαν στο εν λόγω κράτος μέλος κατά τους έξι μήνες που προηγούνται της έκδοσης της κατ’ εξουσιοδότηση πράξης.</w:t>
      </w:r>
    </w:p>
    <w:p w:rsidR="00DE4D11" w:rsidRDefault="00EB4F41">
      <w:pPr>
        <w:pStyle w:val="Point123"/>
        <w:jc w:val="both"/>
        <w:rPr>
          <w:rFonts w:eastAsia="Calibri"/>
          <w:b/>
          <w:noProof/>
          <w:szCs w:val="22"/>
        </w:rPr>
      </w:pPr>
      <w:r>
        <w:rPr>
          <w:b/>
          <w:noProof/>
        </w:rPr>
        <w:t>Άρθρο 33β</w:t>
      </w:r>
    </w:p>
    <w:p w:rsidR="00DE4D11" w:rsidRDefault="00EB4F41">
      <w:pPr>
        <w:pStyle w:val="Point123"/>
        <w:jc w:val="both"/>
        <w:rPr>
          <w:rFonts w:eastAsia="Calibri"/>
          <w:b/>
          <w:noProof/>
          <w:szCs w:val="22"/>
        </w:rPr>
      </w:pPr>
      <w:r>
        <w:rPr>
          <w:b/>
          <w:noProof/>
        </w:rPr>
        <w:t>Κλείδα κατανομής</w:t>
      </w:r>
    </w:p>
    <w:p w:rsidR="00DE4D11" w:rsidRDefault="00EB4F41">
      <w:pPr>
        <w:pStyle w:val="ManualNumPar1"/>
        <w:rPr>
          <w:noProof/>
        </w:rPr>
      </w:pPr>
      <w:r>
        <w:rPr>
          <w:noProof/>
        </w:rPr>
        <w:t>1.</w:t>
      </w:r>
      <w:r>
        <w:rPr>
          <w:noProof/>
        </w:rPr>
        <w:tab/>
        <w:t>Η μετεγκατάσταση πραγματοποιείται σύμφωνα με τον μαθηματικό τύπο για την κλείδα κατανομής, όπως ορίζεται στο παράρτημα III.</w:t>
      </w:r>
    </w:p>
    <w:p w:rsidR="00DE4D11" w:rsidRDefault="00EB4F41">
      <w:pPr>
        <w:pStyle w:val="ManualNumPar1"/>
        <w:rPr>
          <w:noProof/>
        </w:rPr>
      </w:pPr>
      <w:r>
        <w:rPr>
          <w:noProof/>
        </w:rPr>
        <w:t>2.</w:t>
      </w:r>
      <w:r>
        <w:rPr>
          <w:noProof/>
        </w:rPr>
        <w:tab/>
        <w:t xml:space="preserve">Ένα κράτος μέλος δύναται, σε εξαιρετικές περιστάσεις, εντός ενός μηνός από την έναρξη ισχύος της κατ’ εξουσιοδότηση πράξης που αναφέρεται στο άρθρο 33α παράγραφος 3, να γνωστοποιήσει στην Επιτροπή ότι δεν είναι προσωρινά σε θέση να συμμετάσχει, πλήρως ή εν μέρει, στη μετεγκατάσταση των αιτούντων από το κράτος μέλος που επωφελείται από τη μετεγκατάσταση, παρέχοντας δεόντως αιτιολογημένους λόγους συμβατούς με τις θεμελιώδεις αξίες της Ένωσης, όπως κατοχυρώνονται στο άρθρο 2 της Συνθήκης για την Ευρωπαϊκή Ένωση. Η Επιτροπή αξιολογεί τους λόγους αυτούς και απευθύνει απόφαση προς το εν λόγω κράτος μέλος. Εάν η Επιτροπή κρίνει ότι η γνωστοποίηση είναι δεόντως αιτιολογημένη, το </w:t>
      </w:r>
      <w:r>
        <w:rPr>
          <w:noProof/>
        </w:rPr>
        <w:lastRenderedPageBreak/>
        <w:t>κράτος μέλος αποδεσμεύεται, για περίοδο ενός έτους, από την υποχρέωσή του να λάβει μέρος στη μετεγκατάσταση των αιτούντων, και αντ’ αυτού καταβάλλει χρηματοδοτική συνεισφορά στον προϋπολογισμό της ΕΕ ύψους 0,002% του ΑΕΠ· σε περίπτωση μερικής συμμετοχής στη μετεγκατάσταση, το ποσό αυτό μειώνεται αναλόγως. Η συνεισφορά αυτή χρησιμοποιείται για τη χρηματοδότηση βοήθειας προς στήριξη των προσπαθειών που έχουν αναληφθεί από όλα τα άλλα κράτη μέλη για να αντιμετωπίσουν την κατάσταση κρίσης και τις συνέπειες της μη συμμετοχής του εν λόγω κράτους μέλους στη μετεγκατάσταση, σύμφωνα με τις διατάξεις του κανονισμού (ΕΕ) αριθ. 516/2014 του Ευρωπαϊκού Κοινοβουλίου και του Συμβουλίου, της 16 Απριλίου 2014, για την ίδρυση του Ταμείου Ασύλου, Μετανάστευσης και Ένταξης, για την τροποποίηση της απόφαση 2008/381/ΕΚ του Συμβουλίου και για την κατάργηση της απόφασης αριθ. 573/2007/ΕΚ και της απόφασης αριθ. 575/2007/ΕΚ του Ευρωπαϊκού Κοινοβουλίου και του Συμβουλίου και της απόφασης 2007/435/ΕΚ του Συμβουλίου</w:t>
      </w:r>
      <w:r>
        <w:rPr>
          <w:rStyle w:val="FootnoteReference"/>
          <w:noProof/>
        </w:rPr>
        <w:footnoteReference w:id="13"/>
      </w:r>
      <w:r>
        <w:rPr>
          <w:noProof/>
        </w:rPr>
        <w:t>. Η συνεισφορά συνιστά έσοδο με ειδικό προορισμό κατά την έννοια του άρθρου 21 παράγραφος 4 του κανονισμού (ΕΕ, Ευρατόμ)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w:t>
      </w:r>
      <w:r>
        <w:rPr>
          <w:rStyle w:val="FootnoteReference"/>
          <w:noProof/>
        </w:rPr>
        <w:footnoteReference w:id="14"/>
      </w:r>
      <w:r>
        <w:rPr>
          <w:noProof/>
        </w:rPr>
        <w:t>.</w:t>
      </w:r>
    </w:p>
    <w:p w:rsidR="00DE4D11" w:rsidRDefault="00EB4F41">
      <w:pPr>
        <w:pStyle w:val="Text1"/>
        <w:rPr>
          <w:noProof/>
        </w:rPr>
      </w:pPr>
      <w:r>
        <w:rPr>
          <w:noProof/>
        </w:rPr>
        <w:t xml:space="preserve">Η Επιτροπή τροποποιεί την κατ’ εξουσιοδότηση πράξη που αναφέρεται στο άρθρο 33α παράγραφος 3 με στόχο την ανακατανομή των κονδυλίων σύμφωνα με την κλείδα κατανομής που προβλέπονταν για οιοδήποτε κράτος μέλος που έχει προβεί σε γνωστοποίηση η οποία έγινε δεκτή από την Επιτροπή, σύμφωνα με την πρώτη πρόταση της παρούσης παραγράφου, στα υπόλοιπα κράτη μέλη, σύμφωνα με τον μαθηματικό τύπο για την κλείδα κατανομής που ορίζεται στο παράρτημα III. </w:t>
      </w:r>
    </w:p>
    <w:p w:rsidR="00DE4D11" w:rsidRDefault="00EB4F41">
      <w:pPr>
        <w:pStyle w:val="ManualNumPar1"/>
        <w:rPr>
          <w:noProof/>
        </w:rPr>
      </w:pPr>
      <w:r>
        <w:rPr>
          <w:noProof/>
        </w:rPr>
        <w:t>3.</w:t>
      </w:r>
      <w:r>
        <w:rPr>
          <w:noProof/>
        </w:rPr>
        <w:tab/>
        <w:t>Η συμμετοχή κράτους μέλους σε μετεγκατάσταση σύμφωνα με την κλείδα κατανομής αναστέλλεται εφόσον το εν λόγω κράτος μέλος είναι κράτος μέλος που επωφελείται από τη μετεγκατάσταση.</w:t>
      </w:r>
    </w:p>
    <w:p w:rsidR="00DE4D11" w:rsidRDefault="00EB4F41">
      <w:pPr>
        <w:pStyle w:val="Point123"/>
        <w:jc w:val="both"/>
        <w:rPr>
          <w:rFonts w:eastAsia="Calibri"/>
          <w:b/>
          <w:noProof/>
          <w:szCs w:val="22"/>
        </w:rPr>
      </w:pPr>
      <w:r>
        <w:rPr>
          <w:b/>
          <w:noProof/>
        </w:rPr>
        <w:t>Άρθρο 33γ</w:t>
      </w:r>
    </w:p>
    <w:p w:rsidR="00DE4D11" w:rsidRDefault="00EB4F41">
      <w:pPr>
        <w:pStyle w:val="Point123"/>
        <w:jc w:val="both"/>
        <w:rPr>
          <w:rFonts w:eastAsia="Calibri"/>
          <w:b/>
          <w:noProof/>
          <w:szCs w:val="22"/>
        </w:rPr>
      </w:pPr>
      <w:r>
        <w:rPr>
          <w:b/>
          <w:noProof/>
        </w:rPr>
        <w:t>Περιγραφή του μηχανισμού μετεγκατάστασης λόγω κρίσης</w:t>
      </w:r>
    </w:p>
    <w:p w:rsidR="00DE4D11" w:rsidRDefault="00EB4F41">
      <w:pPr>
        <w:pStyle w:val="ManualNumPar1"/>
        <w:rPr>
          <w:noProof/>
        </w:rPr>
      </w:pPr>
      <w:r>
        <w:rPr>
          <w:noProof/>
        </w:rPr>
        <w:t>1.</w:t>
      </w:r>
      <w:r>
        <w:rPr>
          <w:noProof/>
        </w:rPr>
        <w:tab/>
        <w:t>Η μετεγκατάσταση πραγματοποιείται μόνο για τους αιτούντες που έχουν υποβάλει αίτηση διεθνούς προστασίας σε κράτος μέλος που αντιμετωπίζει κατάσταση κρίσης όπως αναφέρεται στο άρθρο 33α παράγραφος 1 και σε περίπτωση που το εν λόγω κράτος μέλος θα ήταν διαφορετικά υπεύθυνο σύμφωνα με τα κριτήρια περί καθορισμού του υπευθύνου κράτους μέλους που προβλέπονται στο κεφάλαιο ΙΙΙ.</w:t>
      </w:r>
    </w:p>
    <w:p w:rsidR="00DE4D11" w:rsidRDefault="00EB4F41">
      <w:pPr>
        <w:pStyle w:val="ManualNumPar1"/>
        <w:rPr>
          <w:noProof/>
        </w:rPr>
      </w:pPr>
      <w:r>
        <w:rPr>
          <w:noProof/>
        </w:rPr>
        <w:t>2.</w:t>
      </w:r>
      <w:r>
        <w:rPr>
          <w:noProof/>
        </w:rPr>
        <w:tab/>
        <w:t xml:space="preserve">Η μετεγκατάσταση εφαρμόζεται μόνο για αιτούντες που ανήκουν σε εθνικότητες για τις οποίες το ποσοστό των αποφάσεων χορήγησης διεθνούς προστασίας μεταξύ των πρωτοβάθμιων αποφάσεων που εκδίδονται επί των αιτήσεων παροχής διεθνούς προστασίας, όπως αναφέρεται στο κεφάλαιο ΙΙΙ της οδηγίας 2013/32/ΕΕ, ανέρχεται σε 75% ή είναι υψηλότερο, σύμφωνα με τα τελευταία διαθέσιμα επικαιροποιημένα τριμηνιαία στοιχεία της Eurostat για τον μέσο όρο σε επίπεδο ΕΕ. Στην περίπτωση των απάτριδων, λαμβάνεται υπόψη η χώρα της προηγούμενης συνήθους διαμονής. Οι τριμηνιαίες επικαιροποιήσεις λαμβάνονται υπόψη μόνον όσον αφορά τους </w:t>
      </w:r>
      <w:r>
        <w:rPr>
          <w:noProof/>
        </w:rPr>
        <w:lastRenderedPageBreak/>
        <w:t>αιτούντες οι οποίοι δεν έχουν ήδη ταυτοποιηθεί ως αιτούντες που θα μπορούσαν να μετεγκατασταθούν σύμφωνα με το σημείο 3 του παραρτήματος IV.</w:t>
      </w:r>
    </w:p>
    <w:p w:rsidR="00DE4D11" w:rsidRDefault="00EB4F41">
      <w:pPr>
        <w:pStyle w:val="Point123"/>
        <w:jc w:val="both"/>
        <w:rPr>
          <w:rFonts w:eastAsia="Calibri"/>
          <w:b/>
          <w:noProof/>
          <w:szCs w:val="22"/>
        </w:rPr>
      </w:pPr>
      <w:r>
        <w:rPr>
          <w:b/>
          <w:noProof/>
        </w:rPr>
        <w:t>Άρθρο 33δ</w:t>
      </w:r>
    </w:p>
    <w:p w:rsidR="00DE4D11" w:rsidRDefault="00EB4F41">
      <w:pPr>
        <w:pStyle w:val="Point123"/>
        <w:jc w:val="both"/>
        <w:rPr>
          <w:rFonts w:eastAsia="Calibri"/>
          <w:b/>
          <w:noProof/>
          <w:szCs w:val="22"/>
        </w:rPr>
      </w:pPr>
      <w:r>
        <w:rPr>
          <w:b/>
          <w:noProof/>
        </w:rPr>
        <w:t>Συμπληρωματικά μέτρα που πρέπει να λαμβάνονται από το κράτος μέλος που επωφελείται από τη μετεγκατάσταση</w:t>
      </w:r>
    </w:p>
    <w:p w:rsidR="00DE4D11" w:rsidRDefault="00EB4F41">
      <w:pPr>
        <w:pStyle w:val="ManualNumPar1"/>
        <w:rPr>
          <w:noProof/>
        </w:rPr>
      </w:pPr>
      <w:r>
        <w:rPr>
          <w:noProof/>
        </w:rPr>
        <w:t>1.</w:t>
      </w:r>
      <w:r>
        <w:rPr>
          <w:noProof/>
        </w:rPr>
        <w:tab/>
        <w:t xml:space="preserve">Το κράτος μέλος που επωφελείται από τη μετεγκατάσταση, από την ημερομηνία έναρξης ισχύος της κατ’ εξουσιοδότηση πράξης που αναφέρεται στο άρθρο 33α παράγραφος 3, υποβάλλει στην Επιτροπή οδικό χάρτη με μέτρα, προκειμένου να διασφαλιστεί η ενδεδειγμένη εφαρμογή του μηχανισμού μετεγκατάστασης λόγω κρίσης. Κατά περίπτωση, τα μέτρα αυτά υποβάλλονται ως μέρος ενός σχεδίου δράσης για τη διαχείριση κρίσης σύμφωνα με το άρθρο 33 παράγραφος 3. Το κράτος μέλη που επωφελείται από τη μετεγκατάσταση εφαρμόζει πλήρως τα εν λόγω μέτρα. </w:t>
      </w:r>
    </w:p>
    <w:p w:rsidR="00DE4D11" w:rsidRDefault="00EB4F41">
      <w:pPr>
        <w:pStyle w:val="ManualNumPar1"/>
        <w:rPr>
          <w:noProof/>
        </w:rPr>
      </w:pPr>
      <w:r>
        <w:rPr>
          <w:noProof/>
        </w:rPr>
        <w:t>2.</w:t>
      </w:r>
      <w:r>
        <w:rPr>
          <w:noProof/>
        </w:rPr>
        <w:tab/>
        <w:t>Η Επιτροπή εξουσιοδοτείται να εκδίδει κατ’ εξουσιοδότηση πράξη σύμφωνα με το άρθρο 45 για την αναστολή της εφαρμογής του μηχανισμού μετεγκατάστασης λόγω κρίσης προς όφελος ενός κράτους μέλους όταν το κράτος μέλος που επωφελείται από την μετεγκατάσταση δεν συμμορφώνεται με τις υποχρεώσεις που αναφέρονται στην παράγραφο 1. Η Επιτροπή παρέχει στο ενδιαφερόμενο κράτος μέλος τη δυνατότητα να εκθέσει τις απόψεις του. Η κατά τα ανωτέρω αναστολή δεν θίγει την μεταφορά αιτούντων άσυλο που εκκρεμούν μετά την έγκριση του κράτους μέλους της μετεγκατάστασης σύμφωνα με το σημείο 4 του παραρτήματος IV.»</w:t>
      </w:r>
    </w:p>
    <w:p w:rsidR="00DE4D11" w:rsidRDefault="00EB4F41">
      <w:pPr>
        <w:pStyle w:val="Point123"/>
        <w:rPr>
          <w:rFonts w:eastAsia="Calibri"/>
          <w:noProof/>
          <w:szCs w:val="22"/>
        </w:rPr>
      </w:pPr>
      <w:r>
        <w:rPr>
          <w:noProof/>
        </w:rPr>
        <w:t>5) Στο άρθρο 45 προστίθενται οι εξής παράγραφοι:</w:t>
      </w:r>
    </w:p>
    <w:p w:rsidR="00DE4D11" w:rsidRDefault="00EB4F41">
      <w:pPr>
        <w:autoSpaceDE w:val="0"/>
        <w:autoSpaceDN w:val="0"/>
        <w:adjustRightInd w:val="0"/>
        <w:rPr>
          <w:rFonts w:eastAsia="Calibri"/>
          <w:noProof/>
        </w:rPr>
      </w:pPr>
      <w:r>
        <w:rPr>
          <w:noProof/>
        </w:rPr>
        <w:t>«6. Η εξουσία έκδοσης κατ’ εξουσιοδότηση πράξεων που αναφέρεται στο άρθρο 33α και στο άρθρο 33δ ανατίθεται στην Επιτροπή για περίοδο 5 ετών από [</w:t>
      </w:r>
      <w:r>
        <w:rPr>
          <w:i/>
          <w:noProof/>
        </w:rPr>
        <w:t>την ημερομηνία έναρξης ισχύος του παρόντος κανονισμού</w:t>
      </w:r>
      <w:r>
        <w:rPr>
          <w:noProof/>
        </w:rPr>
        <w:t xml:space="preserve"> - η ΥΕΕE θα πρέπει να την αντικαταστήσει με την ακριβή ημερομηνία]. Η Επιτροπή συντάσσει έκθεση σχετικά με την εξουσιοδότηση το αργότερο εννέα μήνες πριν από τη λήξη της πενταετούς περιόδου. Η εξουσιοδότηση παρατείνεται σιωπηρά για περιόδους ίδιας διάρκειας, εκτός αν το Ευρωπαϊκό Κοινοβούλιο ή το Συμβούλιο προβάλουν αντιρρήσεις για την εν λόγω παράταση το αργότερο εντός τριών μηνών πριν από τη λήξη της κάθε περιόδου. </w:t>
      </w:r>
    </w:p>
    <w:p w:rsidR="00DE4D11" w:rsidRDefault="00EB4F41">
      <w:pPr>
        <w:autoSpaceDE w:val="0"/>
        <w:autoSpaceDN w:val="0"/>
        <w:adjustRightInd w:val="0"/>
        <w:rPr>
          <w:noProof/>
        </w:rPr>
      </w:pPr>
      <w:r>
        <w:rPr>
          <w:noProof/>
        </w:rPr>
        <w:t>7. Η προβλεπόμενη στα άρθρα 33α και 33δ εξουσιοδότηση μπορεί να ανακληθεί ανά πάσα στιγμή από το Ευρωπαϊκό Κοινοβούλιο ή από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αυτήν. Δεν θίγει το κύρος των ήδη ισχυουσών κατ’ εξουσιοδότηση πράξεων.</w:t>
      </w:r>
    </w:p>
    <w:p w:rsidR="00DE4D11" w:rsidRDefault="00EB4F41">
      <w:pPr>
        <w:autoSpaceDE w:val="0"/>
        <w:autoSpaceDN w:val="0"/>
        <w:adjustRightInd w:val="0"/>
        <w:rPr>
          <w:noProof/>
        </w:rPr>
      </w:pPr>
      <w:r>
        <w:rPr>
          <w:noProof/>
        </w:rPr>
        <w:t>8. Κατ’ εξουσιοδότηση πράξη που εκδίδεται δυνάμει των άρθρων 33α και 33δ τίθεται σε ισχύ μόνον εφόσον δεν έχει διατυπωθεί αντίρρηση από το Ευρωπαϊκό Κοινοβούλιο ή το Συμβούλιο εντός δύο εβδομάδων από την κοινοποίηση της πράξης στο Ευρωπαϊκό Κοινοβούλιο και στο Συμβούλιο ή αν, πριν λήξει αυτή η περίοδος, το Ευρωπαϊκό Κοινοβούλιο και το Συμβούλιο έχουν ενημερώσει αμφότερα την Επιτροπή ότι δεν θα προβάλουν αντιρρήσεις. Με πρωτοβουλία του Ευρωπαϊκού Κοινοβουλίου ή του Συμβουλίου, η προθεσμία αυτή παρατείνεται κατά δύο εβδομάδες. Η κατ’ εξουσιοδότηση πράξη ισχύει επί μέγιστο χρονικό διάστημα δύο ετών.»</w:t>
      </w:r>
    </w:p>
    <w:p w:rsidR="00DE4D11" w:rsidRDefault="00EB4F41">
      <w:pPr>
        <w:pStyle w:val="Point123"/>
        <w:jc w:val="both"/>
        <w:rPr>
          <w:rFonts w:eastAsia="Calibri"/>
          <w:noProof/>
        </w:rPr>
      </w:pPr>
      <w:r>
        <w:rPr>
          <w:noProof/>
        </w:rPr>
        <w:lastRenderedPageBreak/>
        <w:t>6) Προστίθενται τα νέα παραρτήματα III και IV που παρατίθενται στο παράρτημα της παρούσας απόφασης.</w:t>
      </w:r>
    </w:p>
    <w:p w:rsidR="00DE4D11" w:rsidRDefault="00EB4F41">
      <w:pPr>
        <w:pStyle w:val="Titrearticle"/>
        <w:rPr>
          <w:noProof/>
        </w:rPr>
      </w:pPr>
      <w:r>
        <w:rPr>
          <w:noProof/>
        </w:rPr>
        <w:t>Άρθρο 2</w:t>
      </w:r>
    </w:p>
    <w:p w:rsidR="00DE4D11" w:rsidRDefault="00EB4F41">
      <w:pPr>
        <w:autoSpaceDE w:val="0"/>
        <w:autoSpaceDN w:val="0"/>
        <w:adjustRightInd w:val="0"/>
        <w:rPr>
          <w:noProof/>
        </w:rPr>
      </w:pPr>
      <w:r>
        <w:rPr>
          <w:noProof/>
        </w:rPr>
        <w:t>Ο παρών κανονισμός αρχίζει να ισχύει την εικοστή ημέρα από τη δημοσίευσή του στην Επίσημη Εφημερίδα της Ευρωπαϊκής Ένωσης.</w:t>
      </w:r>
    </w:p>
    <w:p w:rsidR="00DE4D11" w:rsidRDefault="00EB4F41">
      <w:pPr>
        <w:autoSpaceDE w:val="0"/>
        <w:autoSpaceDN w:val="0"/>
        <w:adjustRightInd w:val="0"/>
        <w:rPr>
          <w:noProof/>
        </w:rPr>
      </w:pPr>
      <w:r>
        <w:rPr>
          <w:noProof/>
        </w:rPr>
        <w:t>Ο παρών κανονισμός είναι δεσμευτικός ως προς όλα τα μέρη του και ισχύει άμεσα στα κράτη μέλη σύμφωνα με τις Συνθήκες.</w:t>
      </w:r>
    </w:p>
    <w:p w:rsidR="00DE4D11" w:rsidRDefault="00EB4F41">
      <w:pPr>
        <w:pStyle w:val="Fait"/>
        <w:rPr>
          <w:noProof/>
        </w:rPr>
      </w:pPr>
      <w:r>
        <w:rPr>
          <w:noProof/>
        </w:rPr>
        <w:t>Βρυξέλλες,</w:t>
      </w:r>
    </w:p>
    <w:p w:rsidR="00DE4D11" w:rsidRDefault="00EB4F41">
      <w:pPr>
        <w:pStyle w:val="Institutionquisigne"/>
        <w:rPr>
          <w:noProof/>
        </w:rPr>
      </w:pPr>
      <w:r>
        <w:rPr>
          <w:noProof/>
        </w:rPr>
        <w:t>Για το Ευρωπαϊκό Κοινοβούλιο</w:t>
      </w:r>
      <w:r>
        <w:rPr>
          <w:noProof/>
        </w:rPr>
        <w:tab/>
      </w:r>
      <w:r>
        <w:rPr>
          <w:noProof/>
        </w:rPr>
        <w:tab/>
      </w:r>
      <w:r>
        <w:rPr>
          <w:noProof/>
        </w:rPr>
        <w:tab/>
      </w:r>
      <w:r>
        <w:rPr>
          <w:noProof/>
        </w:rPr>
        <w:tab/>
        <w:t>Για το Συμβούλιο</w:t>
      </w:r>
    </w:p>
    <w:p w:rsidR="00DE4D11" w:rsidRDefault="00EB4F41">
      <w:pPr>
        <w:pStyle w:val="Personnequisigne"/>
        <w:rPr>
          <w:noProof/>
        </w:rPr>
      </w:pPr>
      <w:r>
        <w:rPr>
          <w:noProof/>
        </w:rPr>
        <w:t>Ο Πρόεδρος</w:t>
      </w:r>
      <w:r>
        <w:rPr>
          <w:noProof/>
        </w:rPr>
        <w:tab/>
      </w:r>
      <w:r>
        <w:rPr>
          <w:noProof/>
        </w:rPr>
        <w:tab/>
      </w:r>
      <w:r>
        <w:rPr>
          <w:noProof/>
        </w:rPr>
        <w:tab/>
      </w:r>
      <w:r>
        <w:rPr>
          <w:noProof/>
        </w:rPr>
        <w:tab/>
        <w:t>Ο Πρόεδρος</w:t>
      </w:r>
    </w:p>
    <w:sectPr w:rsidR="00DE4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85" w:rsidRDefault="001F0285">
      <w:pPr>
        <w:spacing w:before="0" w:after="0"/>
      </w:pPr>
      <w:r>
        <w:separator/>
      </w:r>
    </w:p>
  </w:endnote>
  <w:endnote w:type="continuationSeparator" w:id="0">
    <w:p w:rsidR="001F0285" w:rsidRDefault="001F02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11" w:rsidRDefault="00EB4F41">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EL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11" w:rsidRDefault="00EB4F41">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sidR="0047533B">
      <w:rPr>
        <w:noProof/>
      </w:rPr>
      <w:t>25</w:t>
    </w:r>
    <w:r>
      <w:fldChar w:fldCharType="end"/>
    </w:r>
    <w:r>
      <w:tab/>
    </w:r>
    <w:fldSimple w:instr=" DOCVARIABLE &quot;LW_Confidence&quot; \* MERGEFORMAT ">
      <w:r>
        <w:t xml:space="preserve"> </w:t>
      </w:r>
    </w:fldSimple>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11" w:rsidRDefault="00DE4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85" w:rsidRDefault="001F0285">
      <w:pPr>
        <w:spacing w:before="0" w:after="0"/>
      </w:pPr>
      <w:r>
        <w:separator/>
      </w:r>
    </w:p>
  </w:footnote>
  <w:footnote w:type="continuationSeparator" w:id="0">
    <w:p w:rsidR="001F0285" w:rsidRDefault="001F0285">
      <w:pPr>
        <w:spacing w:before="0" w:after="0"/>
      </w:pPr>
      <w:r>
        <w:continuationSeparator/>
      </w:r>
    </w:p>
  </w:footnote>
  <w:footnote w:id="1">
    <w:p w:rsidR="00DE4D11" w:rsidRDefault="00EB4F41">
      <w:pPr>
        <w:pStyle w:val="FootnoteText"/>
        <w:spacing w:before="60" w:after="60"/>
        <w:rPr>
          <w:lang w:val="pt-PT"/>
        </w:rPr>
      </w:pPr>
      <w:r>
        <w:rPr>
          <w:rStyle w:val="FootnoteReference"/>
        </w:rPr>
        <w:footnoteRef/>
      </w:r>
      <w:r>
        <w:rPr>
          <w:lang w:val="pt-PT"/>
        </w:rPr>
        <w:tab/>
        <w:t>COM(2015) 240 final.</w:t>
      </w:r>
    </w:p>
  </w:footnote>
  <w:footnote w:id="2">
    <w:p w:rsidR="00DE4D11" w:rsidRDefault="00EB4F41">
      <w:pPr>
        <w:pStyle w:val="FootnoteText"/>
        <w:rPr>
          <w:lang w:val="pt-PT"/>
        </w:rPr>
      </w:pPr>
      <w:r>
        <w:rPr>
          <w:rStyle w:val="FootnoteReference"/>
        </w:rPr>
        <w:footnoteRef/>
      </w:r>
      <w:r>
        <w:rPr>
          <w:lang w:val="pt-PT"/>
        </w:rPr>
        <w:tab/>
        <w:t>COM (2015) 286 final.</w:t>
      </w:r>
    </w:p>
  </w:footnote>
  <w:footnote w:id="3">
    <w:p w:rsidR="00DE4D11" w:rsidRDefault="00EB4F41">
      <w:pPr>
        <w:pStyle w:val="FootnoteText"/>
        <w:rPr>
          <w:lang w:val="pt-PT"/>
        </w:rPr>
      </w:pPr>
      <w:r>
        <w:rPr>
          <w:rStyle w:val="FootnoteReference"/>
        </w:rPr>
        <w:footnoteRef/>
      </w:r>
      <w:r>
        <w:rPr>
          <w:lang w:val="pt-PT"/>
        </w:rPr>
        <w:tab/>
        <w:t xml:space="preserve">11132/15, 24 </w:t>
      </w:r>
      <w:r>
        <w:t>Ιουλίου</w:t>
      </w:r>
      <w:r>
        <w:rPr>
          <w:lang w:val="pt-PT"/>
        </w:rPr>
        <w:t xml:space="preserve"> 2015.</w:t>
      </w:r>
    </w:p>
  </w:footnote>
  <w:footnote w:id="4">
    <w:p w:rsidR="00DE4D11" w:rsidRDefault="00EB4F41">
      <w:pPr>
        <w:pStyle w:val="FootnoteText"/>
      </w:pPr>
      <w:r>
        <w:rPr>
          <w:rStyle w:val="FootnoteReference"/>
        </w:rPr>
        <w:footnoteRef/>
      </w:r>
      <w:r>
        <w:tab/>
        <w:t xml:space="preserve">Για τα εν λόγω κράτη μέλη, το γεγονός ότι δεν συμμετέχουν στην τροποποίηση του κανονισμού δεν φαίνεται να καθιστά μη λειτουργική  κατά την έννοια του άρθρου 4α του πρωτοκόλλου 21 την εφαρμογή του κανονισμού του Δουβλίνου όπως τροποποιήθηκε. </w:t>
      </w:r>
    </w:p>
  </w:footnote>
  <w:footnote w:id="5">
    <w:p w:rsidR="00DE4D11" w:rsidRDefault="00EB4F41">
      <w:pPr>
        <w:autoSpaceDE w:val="0"/>
        <w:autoSpaceDN w:val="0"/>
        <w:adjustRightInd w:val="0"/>
        <w:spacing w:before="0" w:after="0"/>
      </w:pPr>
      <w:r>
        <w:rPr>
          <w:rStyle w:val="FootnoteReference"/>
        </w:rPr>
        <w:footnoteRef/>
      </w:r>
      <w:r>
        <w:tab/>
      </w:r>
      <w:r>
        <w:rPr>
          <w:sz w:val="20"/>
        </w:rPr>
        <w:t xml:space="preserve">Συμφωνία μεταξύ της Ευρωπαϊκής Κοινότητας και του Βασιλείου της Δανίας σχετικά με τα κριτήρια και τους μηχανισμούς για τον προσδιορισμό του κράτους που είναι υπεύθυνο για την εξέταση αίτησης ασύλου που υποβάλλεται στη Δανία ή σε άλλο κράτος μέλος της Ευρωπαϊκής Ένωσης, και με το </w:t>
      </w:r>
      <w:proofErr w:type="spellStart"/>
      <w:r>
        <w:rPr>
          <w:sz w:val="20"/>
        </w:rPr>
        <w:t>Eurodac</w:t>
      </w:r>
      <w:proofErr w:type="spellEnd"/>
      <w:r>
        <w:rPr>
          <w:sz w:val="20"/>
        </w:rPr>
        <w:t xml:space="preserve"> για την αντιπαραβολή δακτυλικών αποτυπωμάτων για την αποτελεσματική εφαρμογή της σύμβασης του Δουβλίνου (ΕΕ L 66 της 8.3.2006, σ. 38).</w:t>
      </w:r>
    </w:p>
  </w:footnote>
  <w:footnote w:id="6">
    <w:p w:rsidR="00DE4D11" w:rsidRDefault="00EB4F41">
      <w:pPr>
        <w:autoSpaceDE w:val="0"/>
        <w:autoSpaceDN w:val="0"/>
        <w:adjustRightInd w:val="0"/>
        <w:spacing w:before="0" w:after="0"/>
      </w:pPr>
      <w:r>
        <w:rPr>
          <w:rStyle w:val="FootnoteReference"/>
        </w:rPr>
        <w:footnoteRef/>
      </w:r>
      <w:r>
        <w:tab/>
      </w:r>
      <w:r>
        <w:rPr>
          <w:sz w:val="20"/>
        </w:rPr>
        <w:t>Συμφωνία μεταξύ της Ευρωπαϊκής Κοινότητας, της Δημοκρατίας της Ισλανδίας και του Βασιλείου της Νορβηγίας για τα κριτήρια και τους μηχανισμούς καθορισμού του κράτους που είναι αρμόδιο για την εξέταση αίτησης παροχής ασύλου που υποβάλλεται σε κράτος μέλος ή στην Ισλανδία ή τη Νορβηγία (ΕΕ L 93 της 3.4.2001, σ. 40).</w:t>
      </w:r>
    </w:p>
  </w:footnote>
  <w:footnote w:id="7">
    <w:p w:rsidR="00DE4D11" w:rsidRDefault="00EB4F41">
      <w:pPr>
        <w:autoSpaceDE w:val="0"/>
        <w:autoSpaceDN w:val="0"/>
        <w:adjustRightInd w:val="0"/>
        <w:spacing w:before="0" w:after="0"/>
      </w:pPr>
      <w:r>
        <w:rPr>
          <w:rStyle w:val="FootnoteReference"/>
        </w:rPr>
        <w:footnoteRef/>
      </w:r>
      <w:r>
        <w:tab/>
      </w:r>
      <w:r>
        <w:rPr>
          <w:sz w:val="20"/>
        </w:rPr>
        <w:t>Συμφωνία μεταξύ της Ευρωπαϊκής Κοινότητας και της Ελβετικής Συνομοσπονδίας για τα κριτήρια και τους μηχανισμούς καθορισμού του κράτους που είναι αρμόδιο για την εξέταση αίτησης παροχής ασύλου που υποβάλλεται σε κράτος μέλος ή στην Ελβετία (ΕΕ L 53 της 27.2.2008, σ. 5).</w:t>
      </w:r>
    </w:p>
  </w:footnote>
  <w:footnote w:id="8">
    <w:p w:rsidR="00DE4D11" w:rsidRDefault="00EB4F41">
      <w:pPr>
        <w:autoSpaceDE w:val="0"/>
        <w:autoSpaceDN w:val="0"/>
        <w:adjustRightInd w:val="0"/>
        <w:spacing w:before="0" w:after="0"/>
      </w:pPr>
      <w:r>
        <w:rPr>
          <w:rStyle w:val="FootnoteReference"/>
        </w:rPr>
        <w:footnoteRef/>
      </w:r>
      <w:r>
        <w:tab/>
      </w:r>
      <w:r>
        <w:rPr>
          <w:sz w:val="20"/>
        </w:rPr>
        <w:t>Πρωτόκολλο μεταξύ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Κοινότητας και της Ελβετικής Συνομοσπονδίας σχετικά με τα κριτήρια και τους μηχανισμούς για τον προσδιορισμό του κράτους που είναι υπεύθυνο για την εξέταση αίτησης ασύλου που υποβάλλεται σε κράτος μέλος ή στην Ελβετία (ΕΕ L 160 της 18.6.2011, σ. 39).</w:t>
      </w:r>
    </w:p>
  </w:footnote>
  <w:footnote w:id="9">
    <w:p w:rsidR="00DE4D11" w:rsidRDefault="00EB4F41">
      <w:pPr>
        <w:autoSpaceDE w:val="0"/>
        <w:autoSpaceDN w:val="0"/>
        <w:adjustRightInd w:val="0"/>
        <w:spacing w:before="0" w:after="0"/>
      </w:pPr>
      <w:r>
        <w:rPr>
          <w:rStyle w:val="FootnoteReference"/>
        </w:rPr>
        <w:footnoteRef/>
      </w:r>
      <w:r>
        <w:tab/>
      </w:r>
      <w:r>
        <w:rPr>
          <w:sz w:val="20"/>
        </w:rPr>
        <w:t>Πρωτόκολλο μεταξύ της Ευρωπαϊκής Κοινότητας, της Ελβετικής Συνομοσπονδίας και του Πριγκιπάτου του Λιχτενστάιν στη συμφωνία μεταξύ της Ευρωπαϊκής Κοινότητας και της Ελβετικής Συνομοσπονδίας για τα κριτήρια και τους μηχανισμούς καθορισμού του κράτους που είναι αρμόδιο για την εξέταση αίτησης παροχής ασύλου που υποβάλλεται σε κράτος μέλος, ή στην Ελβετία (</w:t>
      </w:r>
      <w:proofErr w:type="spellStart"/>
      <w:r>
        <w:rPr>
          <w:sz w:val="20"/>
        </w:rPr>
        <w:t>συνήφθη</w:t>
      </w:r>
      <w:proofErr w:type="spellEnd"/>
      <w:r>
        <w:rPr>
          <w:sz w:val="20"/>
        </w:rPr>
        <w:t xml:space="preserve"> στις 24.10.2008, ΕΕ L 161 της 24.6.2009, σ. 8) και πρωτόκολλο στη συμφωνία μεταξύ της Κοινότητας, της Δημοκρατίας της Ισλανδίας και του Βασιλείου της Νορβηγίας για τα κριτήρια και τους μηχανισμούς καθορισμού του κράτους που είναι αρμόδιο για την εξέταση αίτησης παροχής ασύλου που υποβάλλεται σε κράτος μέλος, στην Ισλανδία και τη Νορβηγία (ΕΕ L 93 της 3.4.2001).</w:t>
      </w:r>
    </w:p>
  </w:footnote>
  <w:footnote w:id="10">
    <w:p w:rsidR="00DE4D11" w:rsidRDefault="00EB4F41">
      <w:pPr>
        <w:rPr>
          <w:rFonts w:ascii="Arial" w:hAnsi="Arial"/>
          <w:sz w:val="20"/>
        </w:rPr>
      </w:pPr>
      <w:r>
        <w:rPr>
          <w:rStyle w:val="FootnoteReference"/>
        </w:rPr>
        <w:footnoteRef/>
      </w:r>
      <w:r>
        <w:tab/>
      </w:r>
      <w:r>
        <w:rPr>
          <w:sz w:val="20"/>
        </w:rPr>
        <w:t xml:space="preserve">Έκθεση σχετικά με την πρόταση απόφασης του Συμβουλίου για τη θέσπιση προσωρινών μέτρων στον τομέα της διεθνούς προστασίας υπέρ της Ιταλίας και της Ελλάδας, Επιτροπή Πολιτικών Ελευθεριών, Δικαιοσύνης και Εσωτερικών Υποθέσεων, εισηγήτρια: </w:t>
      </w:r>
      <w:proofErr w:type="spellStart"/>
      <w:r>
        <w:rPr>
          <w:sz w:val="20"/>
        </w:rPr>
        <w:t>Ska</w:t>
      </w:r>
      <w:proofErr w:type="spellEnd"/>
      <w:r>
        <w:rPr>
          <w:sz w:val="20"/>
        </w:rPr>
        <w:t xml:space="preserve"> </w:t>
      </w:r>
      <w:proofErr w:type="spellStart"/>
      <w:r>
        <w:rPr>
          <w:sz w:val="20"/>
        </w:rPr>
        <w:t>Keller</w:t>
      </w:r>
      <w:proofErr w:type="spellEnd"/>
      <w:r>
        <w:rPr>
          <w:sz w:val="20"/>
        </w:rPr>
        <w:t xml:space="preserve"> (A8-0245/2015).</w:t>
      </w:r>
    </w:p>
    <w:p w:rsidR="00DE4D11" w:rsidRDefault="00DE4D11">
      <w:pPr>
        <w:pStyle w:val="FootnoteText"/>
      </w:pPr>
    </w:p>
  </w:footnote>
  <w:footnote w:id="11">
    <w:p w:rsidR="00DE4D11" w:rsidRDefault="00EB4F41">
      <w:pPr>
        <w:spacing w:line="190" w:lineRule="exact"/>
        <w:ind w:left="720"/>
      </w:pPr>
      <w:r>
        <w:rPr>
          <w:rStyle w:val="FootnoteReference"/>
        </w:rPr>
        <w:footnoteRef/>
      </w:r>
      <w:r>
        <w:tab/>
      </w:r>
      <w:hyperlink r:id="rId1">
        <w:r>
          <w:rPr>
            <w:rStyle w:val="Hyperlink"/>
            <w:color w:val="000000"/>
          </w:rPr>
          <w:t>http://www2.ohchr.org/English/bodies/crc/docs/GC/CRC_C_GC_14_ENG.pdf</w:t>
        </w:r>
      </w:hyperlink>
      <w:r>
        <w:rPr>
          <w:color w:val="000000"/>
        </w:rPr>
        <w:t>.</w:t>
      </w:r>
    </w:p>
  </w:footnote>
  <w:footnote w:id="12">
    <w:p w:rsidR="00DE4D11" w:rsidRDefault="00EB4F41">
      <w:pPr>
        <w:pStyle w:val="FootnoteText"/>
        <w:rPr>
          <w:sz w:val="18"/>
          <w:szCs w:val="18"/>
          <w:lang w:val="sk-SK"/>
        </w:rPr>
      </w:pPr>
      <w:r>
        <w:rPr>
          <w:rStyle w:val="FootnoteReference"/>
        </w:rPr>
        <w:footnoteRef/>
      </w:r>
      <w:r>
        <w:tab/>
      </w:r>
      <w:r>
        <w:rPr>
          <w:sz w:val="18"/>
        </w:rPr>
        <w:t>Οδηγία 2013/33/ΕΕ του Ευρωπαϊκού Κοινοβουλίου και του Συμβουλίου, της 26ης Ιουνίου 2013, σχετικά με τις απαιτήσεις για την υποδοχή των αιτούντων διεθνή προστασία (ΕΕ L 180 της 29.6.2013, σ. 96).</w:t>
      </w:r>
    </w:p>
  </w:footnote>
  <w:footnote w:id="13">
    <w:p w:rsidR="00DE4D11" w:rsidRDefault="00EB4F41">
      <w:pPr>
        <w:pStyle w:val="FootnoteText"/>
      </w:pPr>
      <w:r>
        <w:rPr>
          <w:rStyle w:val="FootnoteReference"/>
        </w:rPr>
        <w:footnoteRef/>
      </w:r>
      <w:r>
        <w:tab/>
        <w:t>ΕΕ L 150 της 20.5.2014, σ. 168.</w:t>
      </w:r>
    </w:p>
  </w:footnote>
  <w:footnote w:id="14">
    <w:p w:rsidR="00DE4D11" w:rsidRDefault="00EB4F41">
      <w:pPr>
        <w:pStyle w:val="FootnoteText"/>
      </w:pPr>
      <w:r>
        <w:rPr>
          <w:rStyle w:val="FootnoteReference"/>
        </w:rPr>
        <w:footnoteRef/>
      </w:r>
      <w:r>
        <w:tab/>
        <w:t>ΕΕ L 298 της 26.10.2012,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1622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60AE9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DC5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32E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E6C3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AC62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D05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EC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19"/>
    <w:lvlOverride w:ilvl="0">
      <w:startOverride w:val="1"/>
    </w:lvlOverride>
  </w:num>
  <w:num w:numId="15">
    <w:abstractNumId w:val="17"/>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21"/>
  </w:num>
  <w:num w:numId="24">
    <w:abstractNumId w:val="11"/>
  </w:num>
  <w:num w:numId="25">
    <w:abstractNumId w:val="14"/>
  </w:num>
  <w:num w:numId="26">
    <w:abstractNumId w:val="9"/>
  </w:num>
  <w:num w:numId="27">
    <w:abstractNumId w:val="20"/>
  </w:num>
  <w:num w:numId="28">
    <w:abstractNumId w:val="8"/>
  </w:num>
  <w:num w:numId="29">
    <w:abstractNumId w:val="15"/>
  </w:num>
  <w:num w:numId="30">
    <w:abstractNumId w:val="17"/>
  </w:num>
  <w:num w:numId="31">
    <w:abstractNumId w:val="18"/>
  </w:num>
  <w:num w:numId="32">
    <w:abstractNumId w:val="10"/>
  </w:num>
  <w:num w:numId="33">
    <w:abstractNumId w:val="16"/>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3 09:05: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21"/>
    <w:docVar w:name="DQCStatus" w:val="Yellow"/>
    <w:docVar w:name="DQCVersion" w:val="3"/>
    <w:docVar w:name="DQCWithWarnings" w:val="0"/>
    <w:docVar w:name="LW_CONFIDENCE" w:val=" "/>
    <w:docVar w:name="LW_CONST_RESTREINT_UE" w:val="RESTREINT UE"/>
    <w:docVar w:name="LW_CORRIGENDUM" w:val="&lt;UNUSED&gt;"/>
    <w:docVar w:name="LW_COVERPAGE_GUID" w:val="DC5549D105C5449CBBFF7245AF06E7C1"/>
    <w:docVar w:name="LW_CROSSREFERENCE" w:val="&lt;UNUSED&gt;"/>
    <w:docVar w:name="LW_DocType" w:val="COM"/>
    <w:docVar w:name="LW_EMISSION" w:val="9.9.2015"/>
    <w:docVar w:name="LW_EMISSION_ISODATE" w:val="2015-09-09"/>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08"/>
    <w:docVar w:name="LW_REF.II.NEW.CP_YEAR" w:val="2015"/>
    <w:docVar w:name="LW_REF.INST.NEW" w:val="COM"/>
    <w:docVar w:name="LW_REF.INST.NEW_ADOPTED" w:val="final"/>
    <w:docVar w:name="LW_REF.INST.NEW_TEXT" w:val="(2015) 450"/>
    <w:docVar w:name="LW_REF.INTERNE" w:val="&lt;UNUSED&gt;"/>
    <w:docVar w:name="LW_SOUS.TITRE.OBJ.CP" w:val="&lt;UNUSED&gt;"/>
    <w:docVar w:name="LW_STATUT.CP" w:val="\u928?\u961?\u972?\u964?\u945?\u963?\u951?"/>
    <w:docVar w:name="LW_SUPERTITRE" w:val="&lt;UNUSED&gt;"/>
    <w:docVar w:name="LW_TITRE.OBJ.CP" w:val="\u947?\u953?\u945? \u964?\u951? \u952?\u941?\u963?\u960?\u953?\u963?\u951? \u956?\u951?\u967?\u945?\u957?\u953?\u963?\u956?\u959?\u973? \u956?\u949?\u964?\u949?\u947?\u954?\u945?\u964?\u940?\u963?\u964?\u945?\u963?\u951?\u962? \u955?\u972?\u947?\u969? \u954?\u961?\u943?\u963?\u951?\u962? \u954?\u945?\u953? \u964?\u951?\u957? \u964?\u961?\u959?\u960?\u959?\u960?\u959?\u943?\u951?\u963?\u951? \u964?\u959?\u965? \u954?\u945?\u957?\u959?\u957?\u953?\u963?\u956?\u959?\u973? (\u917?\u917?) \u945?\u961?\u953?\u952?. 604/2013 \u964?\u959?\u965? \u917?\u965?\u961?\u969?\u960?\u945?\u970?\u954?\u959?\u973? \u922?\u959?\u953?\u957?\u959?\u946?\u959?\u965?\u955?\u943?\u959?\u965? \u954?\u945?\u953? \u964?\u959?\u965? \u931?\u965?\u956?\u946?\u959?\u965?\u955?\u943?\u959?\u965?, \u964?\u951?\u962? 26\u951?\u962? \u921?\u959?\u965?\u957?\u943?\u959?\u965? 2013, \u947?\u953?\u945? \u964?\u951? \u952?\u941?\u963?\u960?\u953?\u963?\u951? \u964?\u969?\u957? \u954?\u961?\u953?\u964?\u951?\u961?\u943?\u969?\u957? \u954?\u945?\u953? \u956?\u951?\u967?\u945?\u957?\u953?\u963?\u956?\u974?\u957? \u947?\u953?\u945? \u964?\u959?\u957? \u960?\u961?\u959?\u963?\u948?\u953?\u959?\u961?\u953?\u963?\u956?\u972? \u964?\u959?\u965? \u954?\u961?\u940?\u964?\u959?\u965?\u962? \u956?\u941?\u955?\u959?\u965?\u962? \u960?\u959?\u965? \u949?\u943?\u957?\u945?\u953? \u965?\u960?\u949?\u973?\u952?\u965?\u957?\u959? \u947?\u953?\u945? \u964?\u951?\u957? \u949?\u958?\u941?\u964?\u945?\u963?\u951? \u945?\u943?\u964?\u951?\u963?\u951?\u962? \u948?\u953?\u949?\u952?\u957?\u959?\u973?\u962? \u960?\u961?\u959?\u963?\u964?\u945?\u963?\u943?\u945?\u962? \u960?\u959?\u965? \u965?\u960?\u959?\u946?\u940?\u955?\u955?\u949?\u964?\u945?\u953? \u963?\u949? \u954?\u961?\u940?\u964?\u959?\u962? \u956?\u941?\u955?\u959?\u962? \u945?\u960?\u972? \u965?\u960?\u942?\u954?\u959?\u959? \u964?\u961?\u943?\u964?\u951?\u962? \u967?\u974?\u961?\u945?\u962? \u942? \u945?\u960?\u972? \u945?\u960?\u940?\u964?\u961?\u953?\u948?\u945?_x000b_"/>
    <w:docVar w:name="LW_TYPE.DOC.CP" w:val="\u922?\u913?\u925?\u927?\u925?\u921?\u931?\u924?\u927?\u931? \u932?\u927?\u933? \u917?\u933?\u929?\u937?\u928?\u913?\u938?\u922?\u927?\u933? \u922?\u927?\u921?\u925?\u927?\u914?\u927?\u933?\u923?\u921?\u927?\u933? \u922?\u913?\u921? \u932?\u927?\u933? \u931?\u933?\u924?\u914?\u927?\u933?\u923?\u921?\u927?\u933?"/>
  </w:docVars>
  <w:rsids>
    <w:rsidRoot w:val="00DE4D11"/>
    <w:rsid w:val="001F0285"/>
    <w:rsid w:val="0047533B"/>
    <w:rsid w:val="00DE4D11"/>
    <w:rsid w:val="00EB4F41"/>
    <w:rsid w:val="00F0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Style1">
    <w:name w:val="Style1"/>
    <w:basedOn w:val="Point0number"/>
    <w:qFormat/>
    <w:pPr>
      <w:numPr>
        <w:numId w:val="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Style1">
    <w:name w:val="Style1"/>
    <w:basedOn w:val="Point0number"/>
    <w:qFormat/>
    <w:pPr>
      <w:numPr>
        <w:numId w:val="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175">
      <w:bodyDiv w:val="1"/>
      <w:marLeft w:val="0"/>
      <w:marRight w:val="0"/>
      <w:marTop w:val="0"/>
      <w:marBottom w:val="0"/>
      <w:divBdr>
        <w:top w:val="none" w:sz="0" w:space="0" w:color="auto"/>
        <w:left w:val="none" w:sz="0" w:space="0" w:color="auto"/>
        <w:bottom w:val="none" w:sz="0" w:space="0" w:color="auto"/>
        <w:right w:val="none" w:sz="0" w:space="0" w:color="auto"/>
      </w:divBdr>
    </w:div>
    <w:div w:id="305742865">
      <w:bodyDiv w:val="1"/>
      <w:marLeft w:val="0"/>
      <w:marRight w:val="0"/>
      <w:marTop w:val="0"/>
      <w:marBottom w:val="0"/>
      <w:divBdr>
        <w:top w:val="none" w:sz="0" w:space="0" w:color="auto"/>
        <w:left w:val="none" w:sz="0" w:space="0" w:color="auto"/>
        <w:bottom w:val="none" w:sz="0" w:space="0" w:color="auto"/>
        <w:right w:val="none" w:sz="0" w:space="0" w:color="auto"/>
      </w:divBdr>
    </w:div>
    <w:div w:id="12787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crc/docs/GC/CRC_C_GC_14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F2BA-5334-43A9-9BB3-17AEBEE0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25</Pages>
  <Words>8479</Words>
  <Characters>56816</Characters>
  <Application>Microsoft Office Word</Application>
  <DocSecurity>0</DocSecurity>
  <Lines>931</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35</cp:revision>
  <cp:lastPrinted>2015-09-07T17:41:00Z</cp:lastPrinted>
  <dcterms:created xsi:type="dcterms:W3CDTF">2015-09-12T13:09:00Z</dcterms:created>
  <dcterms:modified xsi:type="dcterms:W3CDTF">2015-09-13T11:49:00Z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