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9469ED361EC429491FADBC7EAED9B4F" style="width:450pt;height:461.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LIITE III – Jakoperustetta koskeva kaava</w:t>
      </w:r>
    </w:p>
    <w:p>
      <w:pPr>
        <w:jc w:val="center"/>
        <w:rPr>
          <w:b/>
          <w:noProof/>
        </w:rPr>
      </w:pPr>
    </w:p>
    <w:p>
      <w:pPr>
        <w:rPr>
          <w:b/>
          <w:noProof/>
        </w:rPr>
      </w:pPr>
      <w:r>
        <w:rPr>
          <w:noProof/>
          <w:lang w:val="en-US" w:eastAsia="en-US" w:bidi="ar-SA"/>
        </w:rPr>
        <w:drawing>
          <wp:inline distT="0" distB="0" distL="0" distR="0">
            <wp:extent cx="5760720" cy="2662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662151"/>
                    </a:xfrm>
                    <a:prstGeom prst="rect">
                      <a:avLst/>
                    </a:prstGeom>
                    <a:noFill/>
                    <a:ln>
                      <a:noFill/>
                    </a:ln>
                  </pic:spPr>
                </pic:pic>
              </a:graphicData>
            </a:graphic>
          </wp:inline>
        </w:drawing>
      </w:r>
    </w:p>
    <w:p>
      <w:pPr>
        <w:rPr>
          <w:noProof/>
        </w:rPr>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2"/>
          <w:cols w:space="720"/>
          <w:docGrid w:linePitch="360"/>
        </w:sectPr>
      </w:pPr>
    </w:p>
    <w:p>
      <w:pPr>
        <w:jc w:val="center"/>
        <w:rPr>
          <w:b/>
          <w:noProof/>
        </w:rPr>
      </w:pPr>
      <w:r>
        <w:rPr>
          <w:b/>
          <w:noProof/>
        </w:rPr>
        <w:t xml:space="preserve">LIITE IV </w:t>
      </w:r>
    </w:p>
    <w:p>
      <w:pPr>
        <w:jc w:val="center"/>
        <w:rPr>
          <w:b/>
          <w:noProof/>
        </w:rPr>
      </w:pPr>
      <w:r>
        <w:rPr>
          <w:b/>
          <w:noProof/>
        </w:rPr>
        <w:t>Kriisitilanteen siirtomekanismiin sovellettavat yksityiskohtaiset menettelysäännöt</w:t>
      </w:r>
    </w:p>
    <w:p>
      <w:pPr>
        <w:pStyle w:val="PointManual"/>
        <w:jc w:val="both"/>
        <w:rPr>
          <w:noProof/>
        </w:rPr>
      </w:pPr>
      <w:r>
        <w:rPr>
          <w:noProof/>
        </w:rPr>
        <w:t xml:space="preserve">1. </w:t>
      </w:r>
      <w:r>
        <w:rPr>
          <w:noProof/>
        </w:rPr>
        <w:tab/>
        <w:t>Kunkin jäsenvaltion on nimettävä kansallinen yhteyspiste ja toimitettava sen yhteystiedot muille jäsenvaltioille ja EASOlle. Jäsenvaltioiden on yhteistyössä EASOn ja muiden asiaankuuluvien virastojen kanssa toteutettava kaikki aiheelliset toimenpiteet, jotta toimivaltaiset viranomaiset voivat suoraan tehdä yhteistyötä ja vaihtaa tietoja, myös 8 kohdassa tarkoitetuista syistä.</w:t>
      </w:r>
    </w:p>
    <w:p>
      <w:pPr>
        <w:pStyle w:val="Point1232"/>
        <w:numPr>
          <w:ilvl w:val="0"/>
          <w:numId w:val="0"/>
        </w:numPr>
        <w:ind w:left="567" w:hanging="567"/>
        <w:jc w:val="both"/>
        <w:rPr>
          <w:rFonts w:eastAsia="Calibri"/>
          <w:noProof/>
        </w:rPr>
      </w:pPr>
      <w:r>
        <w:rPr>
          <w:noProof/>
        </w:rPr>
        <w:t>2.</w:t>
      </w:r>
      <w:r>
        <w:rPr>
          <w:noProof/>
        </w:rPr>
        <w:tab/>
        <w:t>Jäsenvaltioiden on säännöllisin väliajoin ja vähintään joka kolmas kuukausi ilmoitettava niiden hakijoiden määrä, jotka voidaan siirtää nopeasti niiden alueelle, sekä kaikki muut olennaiset tiedot.</w:t>
      </w:r>
    </w:p>
    <w:p>
      <w:pPr>
        <w:pStyle w:val="PointManual"/>
        <w:jc w:val="both"/>
        <w:rPr>
          <w:b/>
          <w:noProof/>
          <w:u w:val="single"/>
        </w:rPr>
      </w:pPr>
      <w:r>
        <w:rPr>
          <w:noProof/>
        </w:rPr>
        <w:t>3.</w:t>
      </w:r>
      <w:r>
        <w:rPr>
          <w:noProof/>
        </w:rPr>
        <w:tab/>
        <w:t xml:space="preserve">Siirrosta hyötyvän jäsenvaltion on 2 kohdassa tarkoitettujen tietojen perusteella yksilöitävä EASOn ja tarvittaessa 9 kohdassa tarkoitettujen jäsenvaltioiden yhteyshenkilöiden avustamana yksittäiset hakijat, jotka voitaisiin siirtää muihin jäsenvaltioihin, ja toimitettava kyseisten jäsenvaltioiden yhteyspisteille mahdollisimman pian kaikki olennaiset tiedot. Etusija on annettava direktiivin 2013/33/EU 21 ja 22 artiklassa tarkoitetuille haavoittuvassa asemassa oleville hakijoille. </w:t>
      </w:r>
    </w:p>
    <w:p>
      <w:pPr>
        <w:pStyle w:val="PointManual"/>
        <w:jc w:val="both"/>
        <w:rPr>
          <w:noProof/>
        </w:rPr>
      </w:pPr>
      <w:r>
        <w:rPr>
          <w:noProof/>
        </w:rPr>
        <w:t>4.</w:t>
      </w:r>
      <w:r>
        <w:rPr>
          <w:noProof/>
        </w:rPr>
        <w:tab/>
        <w:t>Siirron kohteena olevan jäsenvaltion annettua hyväksyntänsä siirrosta hyötyvän jäsenvaltion on tehtävä EASOa kuullen mahdollisimman pian päätös kunkin yksilöidyn hakijan siirtämisestä tiettyyn siirron kohteena olevaan jäsenvaltioon ja ilmoitettava kirjallisesti hakijalle päätöksestä siirtää hänet kyseiseen jäsenvaltioon.</w:t>
      </w:r>
    </w:p>
    <w:p>
      <w:pPr>
        <w:pStyle w:val="PointManual"/>
        <w:jc w:val="both"/>
        <w:rPr>
          <w:b/>
          <w:noProof/>
          <w:u w:val="single"/>
        </w:rPr>
      </w:pPr>
      <w:r>
        <w:rPr>
          <w:noProof/>
        </w:rPr>
        <w:t>5.</w:t>
      </w:r>
      <w:r>
        <w:rPr>
          <w:noProof/>
        </w:rPr>
        <w:tab/>
        <w:t>Jäsenvaltioiden on varmistettava, että siirron kohteena olevat perheenjäsenet siirretään saman jäsenvaltion alueelle.</w:t>
      </w:r>
    </w:p>
    <w:p>
      <w:pPr>
        <w:pStyle w:val="PointManual"/>
        <w:jc w:val="both"/>
        <w:rPr>
          <w:noProof/>
        </w:rPr>
      </w:pPr>
      <w:r>
        <w:rPr>
          <w:noProof/>
        </w:rPr>
        <w:t>6.</w:t>
      </w:r>
      <w:r>
        <w:rPr>
          <w:noProof/>
        </w:rPr>
        <w:tab/>
        <w:t>Hakijoita, joiden sormenjäljet on otettava asetuksen (EU) N:o 603/2013 9 artiklassa asetettujen velvoitteiden nojalla, voidaan ehdottaa siirrettäviksi ainoastaan siinä tapauksessa, että heidän sormenjälkensä on otettu ja toimitettu Eurodac-keskusjärjestelmään mainitun asetuksen mukaisesti.</w:t>
      </w:r>
    </w:p>
    <w:p>
      <w:pPr>
        <w:pStyle w:val="PointManual"/>
        <w:jc w:val="both"/>
        <w:rPr>
          <w:noProof/>
        </w:rPr>
      </w:pPr>
      <w:r>
        <w:rPr>
          <w:noProof/>
        </w:rPr>
        <w:t>7.</w:t>
      </w:r>
      <w:r>
        <w:rPr>
          <w:noProof/>
        </w:rPr>
        <w:tab/>
        <w:t>Hakija on siirrettävä siirron kohteena olevan jäsenvaltion alueelle mahdollisimman pian sen jälkeen, kun hänelle on annettu 33 d artiklassa tarkoitettu siirtopäätöstä koskeva ilmoitus. Siirrosta hyötyvän jäsenvaltion on ilmoitettava siirron kohteena olevalle jäsenvaltiolle siirron ajankohta sekä kaikki muut olennaiset tiedot.</w:t>
      </w:r>
    </w:p>
    <w:p>
      <w:pPr>
        <w:pStyle w:val="PointManual"/>
        <w:jc w:val="both"/>
        <w:rPr>
          <w:noProof/>
        </w:rPr>
      </w:pPr>
      <w:r>
        <w:rPr>
          <w:noProof/>
        </w:rPr>
        <w:t>8.</w:t>
      </w:r>
      <w:r>
        <w:rPr>
          <w:noProof/>
        </w:rPr>
        <w:tab/>
        <w:t>Jäsenvaltioilla on oikeus kieltäytyä hakijan siirtämisestä ainoastaan, jos on olemassa perustellut syyt katsoa hakijan olevan vaaraksi kansalliselle turvallisuudelle tai yleiselle järjestykselle tai jos on olemassa vakavat syyt soveltaa direktiivin 2011/95/EU 12 ja 17 artiklassa säädettyjä poissulkemissäännöksiä.</w:t>
      </w:r>
      <w:r>
        <w:rPr>
          <w:b/>
          <w:noProof/>
          <w:u w:val="single"/>
        </w:rPr>
        <w:t xml:space="preserve"> </w:t>
      </w:r>
    </w:p>
    <w:p>
      <w:pPr>
        <w:pStyle w:val="PointManual"/>
        <w:jc w:val="both"/>
        <w:rPr>
          <w:noProof/>
        </w:rPr>
      </w:pPr>
      <w:r>
        <w:rPr>
          <w:noProof/>
        </w:rPr>
        <w:t>9.</w:t>
      </w:r>
      <w:r>
        <w:rPr>
          <w:noProof/>
        </w:rPr>
        <w:tab/>
        <w:t xml:space="preserve">Jäsenvaltiot voivat kaikkien olennaisten tietojen vaihdon jälkeen päättää nimittää siirrosta hyötyvään jäsenvaltioon yhteyshenkilöitä kaikkien tässä liitteessä kuvattujen siirtomenettelyn osatekijöiden täytäntöönpanoa varten. </w:t>
      </w:r>
    </w:p>
    <w:p>
      <w:pPr>
        <w:pStyle w:val="PointManual"/>
        <w:jc w:val="both"/>
        <w:rPr>
          <w:noProof/>
        </w:rPr>
      </w:pPr>
      <w:r>
        <w:rPr>
          <w:noProof/>
        </w:rPr>
        <w:t>10.</w:t>
      </w:r>
      <w:r>
        <w:rPr>
          <w:noProof/>
        </w:rPr>
        <w:tab/>
        <w:t>Siirrosta hyötyvä jäsenvaltio takaa henkilöllisyyden varmentamisen, tietojen kirjaamisen ja sormenjälkien ottamisen siirtomenettelyä varten ja varaa tarvittavat tilat. Siirto evätään siirtomenettelyä vältteleviltä hakijoilta.</w:t>
      </w:r>
    </w:p>
    <w:p>
      <w:pPr>
        <w:pStyle w:val="PointManual"/>
        <w:jc w:val="both"/>
        <w:rPr>
          <w:noProof/>
        </w:rPr>
      </w:pPr>
      <w:r>
        <w:rPr>
          <w:noProof/>
        </w:rPr>
        <w:t>11.</w:t>
      </w:r>
      <w:r>
        <w:rPr>
          <w:noProof/>
        </w:rPr>
        <w:tab/>
        <w:t>Tämän liitteen mukainen siirtomenettely on saatettava päätökseen mahdollisimman nopeasti ja viimeistään kahden kuukauden kuluessa 2 kohdassa tarkoitetusta siirron kohteena olevan jäsenvaltion antamasta ilmoituksesta, jollei 4 kohdassa tarkoitettua siirron kohteena olevan jäsenvaltion hyväksyntää anneta alle kaksi viikkoa ennen kyseisen kahden kuukauden määräajan umpeutumista. Siinä tapauksessa siirtomenettelyn päätökseen saattamisen määräaikaa voidaan jatkaa enintään kahdella viikolla. Lisäksi kyseistä määräaikaa voidaan tarvittaessa jatkaa vielä neljällä viikolla, jos siirrosta hyötyvä jäsenvaltio esittää siirrolle objektiivisesti perusteltuja käytännön esteitä.</w:t>
      </w:r>
    </w:p>
    <w:p>
      <w:pPr>
        <w:pStyle w:val="PointManual"/>
        <w:ind w:firstLine="0"/>
        <w:jc w:val="both"/>
        <w:rPr>
          <w:b/>
          <w:noProof/>
          <w:u w:val="single"/>
        </w:rPr>
      </w:pPr>
      <w:r>
        <w:rPr>
          <w:noProof/>
        </w:rPr>
        <w:t>Jos siirtomenettelyä ei saada päätökseen tämän määräajan kuluessa, vastuu kansainvälistä suojelua koskevan hakemuksen käsittelystä jää siirrosta hyötyvälle jäsenvaltiolle, paitsi jos siirrosta hyötyvä jäsenvaltio sopii siirron kohteena olevan jäsenvaltion kanssa määräajan kohtuullisesta pidentämisestä.</w:t>
      </w:r>
    </w:p>
    <w:p>
      <w:pPr>
        <w:pStyle w:val="PointManual"/>
        <w:jc w:val="both"/>
        <w:rPr>
          <w:bCs/>
          <w:noProof/>
        </w:rPr>
      </w:pPr>
      <w:r>
        <w:rPr>
          <w:noProof/>
        </w:rPr>
        <w:t>12.</w:t>
      </w:r>
      <w:r>
        <w:rPr>
          <w:noProof/>
        </w:rPr>
        <w:tab/>
        <w:t xml:space="preserve">Siirron kohteena olevan jäsenvaltion on siirron jälkeen otettava hakijan sormenjäljet ja toimitettava ne Eurodac-keskusjärjestelmään asetuksen (EU) N:o 603/2013 9 artiklan mukaisesti sekä päivitettävä tiedot mainitun asetuksen 10 artiklan ja tarvittaessa 18 artiklan mukaisesti. </w:t>
      </w:r>
    </w:p>
    <w:sectPr>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485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0286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D0"/>
    <w:multiLevelType w:val="multilevel"/>
    <w:tmpl w:val="FC3ADE00"/>
    <w:lvl w:ilvl="0">
      <w:start w:val="1"/>
      <w:numFmt w:val="decimal"/>
      <w:lvlText w:val="(%1)"/>
      <w:lvlJc w:val="left"/>
      <w:pPr>
        <w:tabs>
          <w:tab w:val="num" w:pos="567"/>
        </w:tabs>
        <w:ind w:left="567" w:hanging="567"/>
      </w:pPr>
      <w:rPr>
        <w:rFonts w:hint="default"/>
        <w:b w:val="0"/>
        <w:bCs w:val="0"/>
        <w:strike w:val="0"/>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
    <w:nsid w:val="4A432656"/>
    <w:multiLevelType w:val="multilevel"/>
    <w:tmpl w:val="A7BE963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hideGrammaticalErrors/>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siakirjaan"/>
    <w:docVar w:name="LW_ANNEX_NBR_FIRST" w:val="1"/>
    <w:docVar w:name="LW_ANNEX_NBR_LAST" w:val="1"/>
    <w:docVar w:name="LW_CONFIDENCE" w:val=" "/>
    <w:docVar w:name="LW_CONST_RESTREINT_UE" w:val="RESTREINT UE"/>
    <w:docVar w:name="LW_CORRIGENDUM" w:val="&lt;UNUSED&gt;"/>
    <w:docVar w:name="LW_COVERPAGE_GUID" w:val="89469ED361EC429491FADBC7EAED9B4F"/>
    <w:docVar w:name="LW_CROSSREFERENCE" w:val="&lt;UNUSED&gt;"/>
    <w:docVar w:name="LW_DocType" w:val="NORMAL"/>
    <w:docVar w:name="LW_EMISSION" w:val="9.9.2015"/>
    <w:docVar w:name="LW_EMISSION_ISODATE" w:val="2015-09-09"/>
    <w:docVar w:name="LW_EMISSION_LOCATION" w:val="BRX"/>
    <w:docVar w:name="LW_EMISSION_PREFIX" w:val="Bryssel "/>
    <w:docVar w:name="LW_EMISSION_SUFFIX" w:val=" "/>
    <w:docVar w:name="LW_ID_DOCTYPE_NONLW" w:val="CP-036"/>
    <w:docVar w:name="LW_LANGUE" w:val="FI"/>
    <w:docVar w:name="LW_MARKING" w:val="&lt;UNUSED&gt;"/>
    <w:docVar w:name="LW_NOM.INST" w:val="EUROOPAN KOMISSIO"/>
    <w:docVar w:name="LW_NOM.INST_JOINTDOC" w:val="&lt;EMPTY&gt;"/>
    <w:docVar w:name="LW_OBJETACTEPRINCIPAL.CP" w:val="_x000b_kriisitilanteen siirtomekanismin perustamisesta sekä kolmannen maan kansalaisen tai kansalaisuudettoman henkilön johonkin jäsenvaltioon jättämän kansainvälistä suojelua koskevan hakemuksen käsittelystä vastuussa olevan jäsenvaltion määrittämisperusteiden ja -menettelyjen vahvistamisesta 26 päivänä kesäkuuta 2013 annetun Euroopan parlamentin ja neuvoston asetuksen (EU) N:o 604/2013 muuttamisesta_x000b_"/>
    <w:docVar w:name="LW_PART_NBR" w:val="1"/>
    <w:docVar w:name="LW_PART_NBR_TOTAL" w:val="1"/>
    <w:docVar w:name="LW_REF.INST.NEW" w:val="COM"/>
    <w:docVar w:name="LW_REF.INST.NEW_ADOPTED" w:val="final"/>
    <w:docVar w:name="LW_REF.INST.NEW_TEXT" w:val="(2015) 450"/>
    <w:docVar w:name="LW_REF.INTERNE" w:val="&lt;UNUSED&gt;"/>
    <w:docVar w:name="LW_SUPERTITRE" w:val="&lt;UNUSED&gt;"/>
    <w:docVar w:name="LW_TITRE.OBJ.CP" w:val="&lt;UNUSED&gt;"/>
    <w:docVar w:name="LW_TYPE.DOC.CP" w:val="LIITE_x000b_"/>
    <w:docVar w:name="LW_TYPEACTEPRINCIPAL.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eastAsiaTheme="minorHAnsi"/>
      <w:sz w:val="24"/>
      <w:szCs w:val="22"/>
    </w:rPr>
  </w:style>
  <w:style w:type="paragraph" w:styleId="Heading1">
    <w:name w:val="heading 1"/>
    <w:basedOn w:val="Normal"/>
    <w:next w:val="Normal"/>
    <w:link w:val="Heading1Char"/>
    <w:uiPriority w:val="9"/>
    <w:qFormat/>
    <w:pPr>
      <w:keepNext/>
      <w:numPr>
        <w:numId w:val="4"/>
      </w:numPr>
      <w:spacing w:before="240" w:after="240"/>
      <w:outlineLvl w:val="0"/>
    </w:pPr>
    <w:rPr>
      <w:b/>
      <w:smallCaps/>
      <w:szCs w:val="20"/>
    </w:rPr>
  </w:style>
  <w:style w:type="paragraph" w:styleId="Heading2">
    <w:name w:val="heading 2"/>
    <w:basedOn w:val="Normal"/>
    <w:next w:val="Normal"/>
    <w:link w:val="Heading2Char"/>
    <w:uiPriority w:val="9"/>
    <w:qFormat/>
    <w:pPr>
      <w:keepNext/>
      <w:numPr>
        <w:ilvl w:val="1"/>
        <w:numId w:val="4"/>
      </w:numPr>
      <w:spacing w:after="240"/>
      <w:outlineLvl w:val="1"/>
    </w:pPr>
    <w:rPr>
      <w:b/>
      <w:szCs w:val="20"/>
    </w:rPr>
  </w:style>
  <w:style w:type="paragraph" w:styleId="Heading3">
    <w:name w:val="heading 3"/>
    <w:basedOn w:val="Normal"/>
    <w:next w:val="Normal"/>
    <w:link w:val="Heading3Char"/>
    <w:uiPriority w:val="9"/>
    <w:qFormat/>
    <w:pPr>
      <w:keepNext/>
      <w:numPr>
        <w:ilvl w:val="2"/>
        <w:numId w:val="4"/>
      </w:numPr>
      <w:spacing w:after="240"/>
      <w:outlineLvl w:val="2"/>
    </w:pPr>
    <w:rPr>
      <w:i/>
      <w:szCs w:val="20"/>
    </w:rPr>
  </w:style>
  <w:style w:type="paragraph" w:styleId="Heading4">
    <w:name w:val="heading 4"/>
    <w:basedOn w:val="Normal"/>
    <w:next w:val="Normal"/>
    <w:link w:val="Heading4Char"/>
    <w:uiPriority w:val="9"/>
    <w:qFormat/>
    <w:pPr>
      <w:keepNext/>
      <w:tabs>
        <w:tab w:val="num" w:pos="2880"/>
      </w:tabs>
      <w:spacing w:after="240"/>
      <w:ind w:left="2880" w:hanging="960"/>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smallCaps/>
      <w:sz w:val="24"/>
    </w:rPr>
  </w:style>
  <w:style w:type="character" w:customStyle="1" w:styleId="Heading2Char">
    <w:name w:val="Heading 2 Char"/>
    <w:link w:val="Heading2"/>
    <w:uiPriority w:val="9"/>
    <w:rPr>
      <w:b/>
      <w:sz w:val="24"/>
    </w:rPr>
  </w:style>
  <w:style w:type="character" w:customStyle="1" w:styleId="Heading3Char">
    <w:name w:val="Heading 3 Char"/>
    <w:link w:val="Heading3"/>
    <w:uiPriority w:val="9"/>
    <w:rPr>
      <w:i/>
      <w:sz w:val="24"/>
    </w:rPr>
  </w:style>
  <w:style w:type="character" w:customStyle="1" w:styleId="Heading4Char">
    <w:name w:val="Heading 4 Char"/>
    <w:link w:val="Heading4"/>
    <w:uiPriority w:val="9"/>
    <w:rPr>
      <w:sz w:val="24"/>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hAnsi="Cambria"/>
      <w:b/>
      <w:bCs/>
      <w:kern w:val="28"/>
      <w:sz w:val="32"/>
      <w:szCs w:val="32"/>
    </w:rPr>
  </w:style>
  <w:style w:type="paragraph" w:styleId="ListParagraph">
    <w:name w:val="List Paragraph"/>
    <w:basedOn w:val="Normal"/>
    <w:uiPriority w:val="34"/>
    <w:qFormat/>
    <w:pPr>
      <w:ind w:left="720"/>
    </w:pPr>
    <w:rPr>
      <w:rFonts w:ascii="Calibri" w:hAnsi="Calibri"/>
      <w:sz w:val="22"/>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bCs/>
      <w:smallCaps w:val="0"/>
      <w:color w:val="365F91"/>
      <w:sz w:val="28"/>
      <w:szCs w:val="28"/>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eastAsiaTheme="minorHAnsi"/>
      <w:sz w:val="24"/>
      <w:szCs w:val="22"/>
    </w:rPr>
  </w:style>
  <w:style w:type="paragraph" w:customStyle="1" w:styleId="Personnequisigne">
    <w:name w:val="Personne qui signe"/>
    <w:basedOn w:val="Normal"/>
    <w:next w:val="Normal"/>
    <w:pPr>
      <w:tabs>
        <w:tab w:val="left" w:pos="4252"/>
      </w:tabs>
      <w:spacing w:before="0" w:after="0"/>
      <w:jc w:val="left"/>
    </w:pPr>
    <w:rPr>
      <w:i/>
    </w:rPr>
  </w:style>
  <w:style w:type="paragraph" w:customStyle="1" w:styleId="Pointabc">
    <w:name w:val="Point abc"/>
    <w:basedOn w:val="Normal"/>
    <w:pPr>
      <w:numPr>
        <w:ilvl w:val="1"/>
        <w:numId w:val="5"/>
      </w:numPr>
      <w:spacing w:line="360" w:lineRule="auto"/>
      <w:jc w:val="left"/>
    </w:pPr>
    <w:rPr>
      <w:rFonts w:eastAsia="Times New Roman"/>
      <w:szCs w:val="24"/>
    </w:rPr>
  </w:style>
  <w:style w:type="paragraph" w:customStyle="1" w:styleId="Pointabc1">
    <w:name w:val="Point abc (1)"/>
    <w:basedOn w:val="Normal"/>
    <w:pPr>
      <w:numPr>
        <w:ilvl w:val="3"/>
        <w:numId w:val="5"/>
      </w:numPr>
      <w:spacing w:line="360" w:lineRule="auto"/>
      <w:jc w:val="left"/>
      <w:outlineLvl w:val="0"/>
    </w:pPr>
    <w:rPr>
      <w:rFonts w:eastAsia="Times New Roman"/>
      <w:szCs w:val="24"/>
    </w:rPr>
  </w:style>
  <w:style w:type="paragraph" w:customStyle="1" w:styleId="Pointabc2">
    <w:name w:val="Point abc (2)"/>
    <w:basedOn w:val="Normal"/>
    <w:pPr>
      <w:numPr>
        <w:ilvl w:val="5"/>
        <w:numId w:val="5"/>
      </w:numPr>
      <w:spacing w:line="360" w:lineRule="auto"/>
      <w:jc w:val="left"/>
      <w:outlineLvl w:val="1"/>
    </w:pPr>
    <w:rPr>
      <w:rFonts w:eastAsia="Times New Roman"/>
      <w:szCs w:val="24"/>
    </w:rPr>
  </w:style>
  <w:style w:type="paragraph" w:customStyle="1" w:styleId="Pointabc3">
    <w:name w:val="Point abc (3)"/>
    <w:basedOn w:val="Normal"/>
    <w:pPr>
      <w:numPr>
        <w:ilvl w:val="7"/>
        <w:numId w:val="5"/>
      </w:numPr>
      <w:spacing w:line="360" w:lineRule="auto"/>
      <w:jc w:val="left"/>
      <w:outlineLvl w:val="2"/>
    </w:pPr>
    <w:rPr>
      <w:rFonts w:eastAsia="Times New Roman"/>
      <w:szCs w:val="24"/>
    </w:rPr>
  </w:style>
  <w:style w:type="paragraph" w:customStyle="1" w:styleId="Pointabc4">
    <w:name w:val="Point abc (4)"/>
    <w:basedOn w:val="Normal"/>
    <w:pPr>
      <w:numPr>
        <w:ilvl w:val="8"/>
        <w:numId w:val="5"/>
      </w:numPr>
      <w:spacing w:line="360" w:lineRule="auto"/>
      <w:jc w:val="left"/>
      <w:outlineLvl w:val="3"/>
    </w:pPr>
    <w:rPr>
      <w:rFonts w:eastAsia="Times New Roman"/>
      <w:szCs w:val="24"/>
    </w:rPr>
  </w:style>
  <w:style w:type="paragraph" w:customStyle="1" w:styleId="Point1231">
    <w:name w:val="Point 123 (1)"/>
    <w:basedOn w:val="Normal"/>
    <w:pPr>
      <w:numPr>
        <w:ilvl w:val="2"/>
        <w:numId w:val="5"/>
      </w:numPr>
      <w:spacing w:line="360" w:lineRule="auto"/>
      <w:jc w:val="left"/>
      <w:outlineLvl w:val="0"/>
    </w:pPr>
    <w:rPr>
      <w:rFonts w:eastAsia="Times New Roman"/>
      <w:szCs w:val="24"/>
    </w:rPr>
  </w:style>
  <w:style w:type="paragraph" w:customStyle="1" w:styleId="Point1232">
    <w:name w:val="Point 123 (2)"/>
    <w:basedOn w:val="Normal"/>
    <w:pPr>
      <w:numPr>
        <w:ilvl w:val="4"/>
        <w:numId w:val="5"/>
      </w:numPr>
      <w:spacing w:line="360" w:lineRule="auto"/>
      <w:jc w:val="left"/>
      <w:outlineLvl w:val="1"/>
    </w:pPr>
    <w:rPr>
      <w:rFonts w:eastAsia="Times New Roman"/>
      <w:szCs w:val="24"/>
    </w:rPr>
  </w:style>
  <w:style w:type="paragraph" w:customStyle="1" w:styleId="Point1233">
    <w:name w:val="Point 123 (3)"/>
    <w:basedOn w:val="Normal"/>
    <w:pPr>
      <w:numPr>
        <w:ilvl w:val="6"/>
        <w:numId w:val="5"/>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eastAsiaTheme="minorHAnsi"/>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eastAsiaTheme="minorHAns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eastAsiaTheme="minorHAnsi"/>
      <w:sz w:val="24"/>
      <w:szCs w:val="22"/>
    </w:rPr>
  </w:style>
  <w:style w:type="paragraph" w:styleId="Heading1">
    <w:name w:val="heading 1"/>
    <w:basedOn w:val="Normal"/>
    <w:next w:val="Normal"/>
    <w:link w:val="Heading1Char"/>
    <w:uiPriority w:val="9"/>
    <w:qFormat/>
    <w:pPr>
      <w:keepNext/>
      <w:numPr>
        <w:numId w:val="4"/>
      </w:numPr>
      <w:spacing w:before="240" w:after="240"/>
      <w:outlineLvl w:val="0"/>
    </w:pPr>
    <w:rPr>
      <w:b/>
      <w:smallCaps/>
      <w:szCs w:val="20"/>
    </w:rPr>
  </w:style>
  <w:style w:type="paragraph" w:styleId="Heading2">
    <w:name w:val="heading 2"/>
    <w:basedOn w:val="Normal"/>
    <w:next w:val="Normal"/>
    <w:link w:val="Heading2Char"/>
    <w:uiPriority w:val="9"/>
    <w:qFormat/>
    <w:pPr>
      <w:keepNext/>
      <w:numPr>
        <w:ilvl w:val="1"/>
        <w:numId w:val="4"/>
      </w:numPr>
      <w:spacing w:after="240"/>
      <w:outlineLvl w:val="1"/>
    </w:pPr>
    <w:rPr>
      <w:b/>
      <w:szCs w:val="20"/>
    </w:rPr>
  </w:style>
  <w:style w:type="paragraph" w:styleId="Heading3">
    <w:name w:val="heading 3"/>
    <w:basedOn w:val="Normal"/>
    <w:next w:val="Normal"/>
    <w:link w:val="Heading3Char"/>
    <w:uiPriority w:val="9"/>
    <w:qFormat/>
    <w:pPr>
      <w:keepNext/>
      <w:numPr>
        <w:ilvl w:val="2"/>
        <w:numId w:val="4"/>
      </w:numPr>
      <w:spacing w:after="240"/>
      <w:outlineLvl w:val="2"/>
    </w:pPr>
    <w:rPr>
      <w:i/>
      <w:szCs w:val="20"/>
    </w:rPr>
  </w:style>
  <w:style w:type="paragraph" w:styleId="Heading4">
    <w:name w:val="heading 4"/>
    <w:basedOn w:val="Normal"/>
    <w:next w:val="Normal"/>
    <w:link w:val="Heading4Char"/>
    <w:uiPriority w:val="9"/>
    <w:qFormat/>
    <w:pPr>
      <w:keepNext/>
      <w:tabs>
        <w:tab w:val="num" w:pos="2880"/>
      </w:tabs>
      <w:spacing w:after="240"/>
      <w:ind w:left="2880" w:hanging="960"/>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smallCaps/>
      <w:sz w:val="24"/>
    </w:rPr>
  </w:style>
  <w:style w:type="character" w:customStyle="1" w:styleId="Heading2Char">
    <w:name w:val="Heading 2 Char"/>
    <w:link w:val="Heading2"/>
    <w:uiPriority w:val="9"/>
    <w:rPr>
      <w:b/>
      <w:sz w:val="24"/>
    </w:rPr>
  </w:style>
  <w:style w:type="character" w:customStyle="1" w:styleId="Heading3Char">
    <w:name w:val="Heading 3 Char"/>
    <w:link w:val="Heading3"/>
    <w:uiPriority w:val="9"/>
    <w:rPr>
      <w:i/>
      <w:sz w:val="24"/>
    </w:rPr>
  </w:style>
  <w:style w:type="character" w:customStyle="1" w:styleId="Heading4Char">
    <w:name w:val="Heading 4 Char"/>
    <w:link w:val="Heading4"/>
    <w:uiPriority w:val="9"/>
    <w:rPr>
      <w:sz w:val="24"/>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hAnsi="Cambria"/>
      <w:b/>
      <w:bCs/>
      <w:kern w:val="28"/>
      <w:sz w:val="32"/>
      <w:szCs w:val="32"/>
    </w:rPr>
  </w:style>
  <w:style w:type="paragraph" w:styleId="ListParagraph">
    <w:name w:val="List Paragraph"/>
    <w:basedOn w:val="Normal"/>
    <w:uiPriority w:val="34"/>
    <w:qFormat/>
    <w:pPr>
      <w:ind w:left="720"/>
    </w:pPr>
    <w:rPr>
      <w:rFonts w:ascii="Calibri" w:hAnsi="Calibri"/>
      <w:sz w:val="22"/>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bCs/>
      <w:smallCaps w:val="0"/>
      <w:color w:val="365F91"/>
      <w:sz w:val="28"/>
      <w:szCs w:val="28"/>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eastAsiaTheme="minorHAnsi"/>
      <w:sz w:val="24"/>
      <w:szCs w:val="22"/>
    </w:rPr>
  </w:style>
  <w:style w:type="paragraph" w:customStyle="1" w:styleId="Personnequisigne">
    <w:name w:val="Personne qui signe"/>
    <w:basedOn w:val="Normal"/>
    <w:next w:val="Normal"/>
    <w:pPr>
      <w:tabs>
        <w:tab w:val="left" w:pos="4252"/>
      </w:tabs>
      <w:spacing w:before="0" w:after="0"/>
      <w:jc w:val="left"/>
    </w:pPr>
    <w:rPr>
      <w:i/>
    </w:rPr>
  </w:style>
  <w:style w:type="paragraph" w:customStyle="1" w:styleId="Pointabc">
    <w:name w:val="Point abc"/>
    <w:basedOn w:val="Normal"/>
    <w:pPr>
      <w:numPr>
        <w:ilvl w:val="1"/>
        <w:numId w:val="5"/>
      </w:numPr>
      <w:spacing w:line="360" w:lineRule="auto"/>
      <w:jc w:val="left"/>
    </w:pPr>
    <w:rPr>
      <w:rFonts w:eastAsia="Times New Roman"/>
      <w:szCs w:val="24"/>
    </w:rPr>
  </w:style>
  <w:style w:type="paragraph" w:customStyle="1" w:styleId="Pointabc1">
    <w:name w:val="Point abc (1)"/>
    <w:basedOn w:val="Normal"/>
    <w:pPr>
      <w:numPr>
        <w:ilvl w:val="3"/>
        <w:numId w:val="5"/>
      </w:numPr>
      <w:spacing w:line="360" w:lineRule="auto"/>
      <w:jc w:val="left"/>
      <w:outlineLvl w:val="0"/>
    </w:pPr>
    <w:rPr>
      <w:rFonts w:eastAsia="Times New Roman"/>
      <w:szCs w:val="24"/>
    </w:rPr>
  </w:style>
  <w:style w:type="paragraph" w:customStyle="1" w:styleId="Pointabc2">
    <w:name w:val="Point abc (2)"/>
    <w:basedOn w:val="Normal"/>
    <w:pPr>
      <w:numPr>
        <w:ilvl w:val="5"/>
        <w:numId w:val="5"/>
      </w:numPr>
      <w:spacing w:line="360" w:lineRule="auto"/>
      <w:jc w:val="left"/>
      <w:outlineLvl w:val="1"/>
    </w:pPr>
    <w:rPr>
      <w:rFonts w:eastAsia="Times New Roman"/>
      <w:szCs w:val="24"/>
    </w:rPr>
  </w:style>
  <w:style w:type="paragraph" w:customStyle="1" w:styleId="Pointabc3">
    <w:name w:val="Point abc (3)"/>
    <w:basedOn w:val="Normal"/>
    <w:pPr>
      <w:numPr>
        <w:ilvl w:val="7"/>
        <w:numId w:val="5"/>
      </w:numPr>
      <w:spacing w:line="360" w:lineRule="auto"/>
      <w:jc w:val="left"/>
      <w:outlineLvl w:val="2"/>
    </w:pPr>
    <w:rPr>
      <w:rFonts w:eastAsia="Times New Roman"/>
      <w:szCs w:val="24"/>
    </w:rPr>
  </w:style>
  <w:style w:type="paragraph" w:customStyle="1" w:styleId="Pointabc4">
    <w:name w:val="Point abc (4)"/>
    <w:basedOn w:val="Normal"/>
    <w:pPr>
      <w:numPr>
        <w:ilvl w:val="8"/>
        <w:numId w:val="5"/>
      </w:numPr>
      <w:spacing w:line="360" w:lineRule="auto"/>
      <w:jc w:val="left"/>
      <w:outlineLvl w:val="3"/>
    </w:pPr>
    <w:rPr>
      <w:rFonts w:eastAsia="Times New Roman"/>
      <w:szCs w:val="24"/>
    </w:rPr>
  </w:style>
  <w:style w:type="paragraph" w:customStyle="1" w:styleId="Point1231">
    <w:name w:val="Point 123 (1)"/>
    <w:basedOn w:val="Normal"/>
    <w:pPr>
      <w:numPr>
        <w:ilvl w:val="2"/>
        <w:numId w:val="5"/>
      </w:numPr>
      <w:spacing w:line="360" w:lineRule="auto"/>
      <w:jc w:val="left"/>
      <w:outlineLvl w:val="0"/>
    </w:pPr>
    <w:rPr>
      <w:rFonts w:eastAsia="Times New Roman"/>
      <w:szCs w:val="24"/>
    </w:rPr>
  </w:style>
  <w:style w:type="paragraph" w:customStyle="1" w:styleId="Point1232">
    <w:name w:val="Point 123 (2)"/>
    <w:basedOn w:val="Normal"/>
    <w:pPr>
      <w:numPr>
        <w:ilvl w:val="4"/>
        <w:numId w:val="5"/>
      </w:numPr>
      <w:spacing w:line="360" w:lineRule="auto"/>
      <w:jc w:val="left"/>
      <w:outlineLvl w:val="1"/>
    </w:pPr>
    <w:rPr>
      <w:rFonts w:eastAsia="Times New Roman"/>
      <w:szCs w:val="24"/>
    </w:rPr>
  </w:style>
  <w:style w:type="paragraph" w:customStyle="1" w:styleId="Point1233">
    <w:name w:val="Point 123 (3)"/>
    <w:basedOn w:val="Normal"/>
    <w:pPr>
      <w:numPr>
        <w:ilvl w:val="6"/>
        <w:numId w:val="5"/>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eastAsiaTheme="minorHAnsi"/>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eastAsiaTheme="minorHAns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A85F-FF0C-42B5-AF8E-2580A8A3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473</Words>
  <Characters>3856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IORI Andrea (JUST)</dc:creator>
  <cp:lastModifiedBy>DIGIT/A3</cp:lastModifiedBy>
  <cp:revision>18</cp:revision>
  <cp:lastPrinted>2015-09-11T15:33:00Z</cp:lastPrinted>
  <dcterms:created xsi:type="dcterms:W3CDTF">2015-09-07T15:15:00Z</dcterms:created>
  <dcterms:modified xsi:type="dcterms:W3CDTF">2015-09-12T19:35:00Z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