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958C214BFD143C68DFFC6157F1E22E6" style="width:450.8pt;height:420.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b/>
          <w:noProof/>
        </w:rPr>
      </w:pPr>
      <w:bookmarkStart w:id="1" w:name="_GoBack"/>
      <w:bookmarkEnd w:id="1"/>
      <w:r>
        <w:rPr>
          <w:b/>
          <w:noProof/>
        </w:rPr>
        <w:lastRenderedPageBreak/>
        <w:t>PRÍLOHA III – Vzorec pre distribučný kľúč</w:t>
      </w:r>
    </w:p>
    <w:p>
      <w:pPr>
        <w:jc w:val="center"/>
        <w:rPr>
          <w:b/>
          <w:noProof/>
        </w:rPr>
      </w:pPr>
    </w:p>
    <w:p>
      <w:pPr>
        <w:rPr>
          <w:b/>
          <w:noProof/>
        </w:rPr>
      </w:pPr>
      <w:r>
        <w:rPr>
          <w:noProof/>
          <w:lang w:val="en-US" w:eastAsia="en-US" w:bidi="ar-SA"/>
        </w:rPr>
        <w:drawing>
          <wp:inline distT="0" distB="0" distL="0" distR="0">
            <wp:extent cx="6457950" cy="3204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60956" cy="3206331"/>
                    </a:xfrm>
                    <a:prstGeom prst="rect">
                      <a:avLst/>
                    </a:prstGeom>
                    <a:noFill/>
                    <a:ln>
                      <a:noFill/>
                    </a:ln>
                  </pic:spPr>
                </pic:pic>
              </a:graphicData>
            </a:graphic>
          </wp:inline>
        </w:drawing>
      </w:r>
    </w:p>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2"/>
          <w:cols w:space="720"/>
          <w:docGrid w:linePitch="360"/>
        </w:sectPr>
      </w:pPr>
    </w:p>
    <w:p>
      <w:pPr>
        <w:jc w:val="center"/>
        <w:rPr>
          <w:b/>
          <w:noProof/>
        </w:rPr>
      </w:pPr>
      <w:r>
        <w:rPr>
          <w:b/>
          <w:noProof/>
        </w:rPr>
        <w:t>PRÍLOHA IV</w:t>
      </w:r>
    </w:p>
    <w:p>
      <w:pPr>
        <w:jc w:val="center"/>
        <w:rPr>
          <w:b/>
          <w:noProof/>
        </w:rPr>
      </w:pPr>
      <w:r>
        <w:rPr>
          <w:b/>
          <w:noProof/>
        </w:rPr>
        <w:t>Podrobné procesné pravidlá, ktoré sa majú uplatniť na krízový mechanizmus premiestnenia</w:t>
      </w:r>
    </w:p>
    <w:p>
      <w:pPr>
        <w:pStyle w:val="PointManual"/>
        <w:jc w:val="both"/>
        <w:rPr>
          <w:noProof/>
        </w:rPr>
      </w:pPr>
      <w:r>
        <w:rPr>
          <w:noProof/>
        </w:rPr>
        <w:t xml:space="preserve">1. </w:t>
      </w:r>
      <w:r>
        <w:rPr>
          <w:noProof/>
        </w:rPr>
        <w:tab/>
        <w:t>Každý členský štát určí národné kontaktné miesto, ktorého adresu oznámi ostatným členským štátom a úradu EASO. Členské štáty v spolupráci s úradom EASO a inými príslušnými agentúrami prijmú všetky potrebné opatrenia na vytvorenie priamej spolupráce a výmeny informácií medzi príslušnými orgánmi, a to aj pokiaľ ide o dôvody uvedené v odseku 8.</w:t>
      </w:r>
    </w:p>
    <w:p>
      <w:pPr>
        <w:pStyle w:val="Point1232"/>
        <w:numPr>
          <w:ilvl w:val="0"/>
          <w:numId w:val="0"/>
        </w:numPr>
        <w:ind w:left="567" w:hanging="567"/>
        <w:jc w:val="both"/>
        <w:rPr>
          <w:rFonts w:eastAsia="Calibri"/>
          <w:noProof/>
        </w:rPr>
      </w:pPr>
      <w:r>
        <w:rPr>
          <w:noProof/>
        </w:rPr>
        <w:t>2.</w:t>
      </w:r>
      <w:r>
        <w:rPr>
          <w:noProof/>
        </w:rPr>
        <w:tab/>
        <w:t>Členské štáty oznámia v pravidelných intervaloch a najneskôr každé tri mesiace počet žiadateľov, ktorých možno rýchlo presunúť na ich územie, a všetky ostatné relevantné informácie.</w:t>
      </w:r>
    </w:p>
    <w:p>
      <w:pPr>
        <w:pStyle w:val="PointManual"/>
        <w:jc w:val="both"/>
        <w:rPr>
          <w:noProof/>
        </w:rPr>
      </w:pPr>
      <w:r>
        <w:rPr>
          <w:noProof/>
        </w:rPr>
        <w:t>3.</w:t>
      </w:r>
      <w:r>
        <w:rPr>
          <w:noProof/>
        </w:rPr>
        <w:tab/>
        <w:t>Na základe informácií uvedených v odseku 2 členský štát využívajúci premiestnenie, s pomocou úradu EASO a v prípade potreby so styčnými úradníkmi členských štátov uvedenými v odseku 9, následne určí jednotlivých žiadateľov, ktorí by mohli byť premiestnení do iných členských štátov a čo najskôr kontaktným miestam daných členských štátov predloží všetky relevantné informácie. Na tento účel sa uprednostnia zraniteľní žiadatelia v zmysle článkov 21 a 22 smernice 2013/33/EÚ.</w:t>
      </w:r>
    </w:p>
    <w:p>
      <w:pPr>
        <w:pStyle w:val="PointManual"/>
        <w:jc w:val="both"/>
        <w:rPr>
          <w:noProof/>
        </w:rPr>
      </w:pPr>
      <w:r>
        <w:rPr>
          <w:noProof/>
        </w:rPr>
        <w:t>4.</w:t>
      </w:r>
      <w:r>
        <w:rPr>
          <w:noProof/>
        </w:rPr>
        <w:tab/>
        <w:t>Po schválení členským štátom premiestnenia členský štát využívajúci premiestnenie prijme čo najskôr v spolupráci s úradom EASO rozhodnutie o premiestnení každého z identifikovaných žiadateľov do konkrétneho členského štátu premiestnenia a písomne žiadateľovi oznámi rozhodnutie o jeho premiestnení do konkrétneho členského štátu premiestnenia.</w:t>
      </w:r>
    </w:p>
    <w:p>
      <w:pPr>
        <w:pStyle w:val="PointManual"/>
        <w:jc w:val="both"/>
        <w:rPr>
          <w:b/>
          <w:noProof/>
          <w:u w:val="single"/>
        </w:rPr>
      </w:pPr>
      <w:r>
        <w:rPr>
          <w:noProof/>
        </w:rPr>
        <w:t>5.</w:t>
      </w:r>
      <w:r>
        <w:rPr>
          <w:noProof/>
        </w:rPr>
        <w:tab/>
        <w:t>Členské štáty zabezpečia, aby aj rodinní príslušníci, na ktorých sa vzťahuje premiestnenie, boli premiestnení na územie toho istého členského štátu.</w:t>
      </w:r>
    </w:p>
    <w:p>
      <w:pPr>
        <w:pStyle w:val="PointManual"/>
        <w:jc w:val="both"/>
        <w:rPr>
          <w:noProof/>
        </w:rPr>
      </w:pPr>
      <w:r>
        <w:rPr>
          <w:noProof/>
        </w:rPr>
        <w:t>6.</w:t>
      </w:r>
      <w:r>
        <w:rPr>
          <w:noProof/>
        </w:rPr>
        <w:tab/>
        <w:t>Žiadatelia, ktorým v súlade s povinnosťami stanovenými v článku 9 nariadenia (EÚ) č. 603/2013 musia byť odobraté odtlačky prstov, môžu byť navrhnutí na premiestnenie len vtedy, ak ich odtlačky prstov boli odobraté a odoslané do centrálneho systému Eurodac podľa tohto nariadenia.</w:t>
      </w:r>
    </w:p>
    <w:p>
      <w:pPr>
        <w:pStyle w:val="PointManual"/>
        <w:jc w:val="both"/>
        <w:rPr>
          <w:noProof/>
        </w:rPr>
      </w:pPr>
      <w:r>
        <w:rPr>
          <w:noProof/>
        </w:rPr>
        <w:t>7.</w:t>
      </w:r>
      <w:r>
        <w:rPr>
          <w:noProof/>
        </w:rPr>
        <w:tab/>
        <w:t>Premiestnenie žiadateľa na územie členského štátu premiestnenia sa uskutoční čo najskôr po dátume oznámenia rozhodnutia o premiestnení, uvedeného v článku 33d, dotknutej osobe. Členský štát využívajúci premiestnenie zašle členskému štátu premiestnenia dátum a čas premiestnenia, ako aj akékoľvek iné relevantné informácie.</w:t>
      </w:r>
    </w:p>
    <w:p>
      <w:pPr>
        <w:pStyle w:val="PointManual"/>
        <w:jc w:val="both"/>
        <w:rPr>
          <w:noProof/>
        </w:rPr>
      </w:pPr>
      <w:r>
        <w:rPr>
          <w:noProof/>
        </w:rPr>
        <w:t>8.</w:t>
      </w:r>
      <w:r>
        <w:rPr>
          <w:noProof/>
        </w:rPr>
        <w:tab/>
        <w:t>Členské štáty majú právo odmietnuť premiestniť žiadateľa, len ak existujú opodstatnené dôvody na to, aby bol považovaný za nebezpečného pre ich národnú bezpečnosť alebo verejný poriadok, alebo ak existujú vážne dôvody na uplatnenie ustanovení o vylúčení uvedených v článku 12 a 17 smernice 2011/95/EÚ.</w:t>
      </w:r>
    </w:p>
    <w:p>
      <w:pPr>
        <w:pStyle w:val="PointManual"/>
        <w:jc w:val="both"/>
        <w:rPr>
          <w:noProof/>
        </w:rPr>
      </w:pPr>
      <w:r>
        <w:rPr>
          <w:noProof/>
        </w:rPr>
        <w:t>9.</w:t>
      </w:r>
      <w:r>
        <w:rPr>
          <w:noProof/>
        </w:rPr>
        <w:tab/>
        <w:t>Na účely vykonávania všetkých aspektov postupu premiestnenia opísaných v tomto článku môžu členské štáty rozhodnúť o tom, že v členských štátoch využívajúcich premiestnenie vymenujú styčných úradníkov, potom, ako si vymenia všetky relevantné informácie.</w:t>
      </w:r>
    </w:p>
    <w:p>
      <w:pPr>
        <w:pStyle w:val="PointManual"/>
        <w:jc w:val="both"/>
        <w:rPr>
          <w:noProof/>
        </w:rPr>
      </w:pPr>
      <w:r>
        <w:rPr>
          <w:noProof/>
        </w:rPr>
        <w:t>10.</w:t>
      </w:r>
      <w:r>
        <w:rPr>
          <w:noProof/>
        </w:rPr>
        <w:tab/>
        <w:t>Členské štáty využívajúce premiestnenie zaručia identifikáciu, registráciu a odber odtlačkov prstov a zavedú potrebné vybavenie. Žiadatelia, ktorí sa vyhýbajú postupu premiestnenia, sa z premiestnenia vylúčia.</w:t>
      </w:r>
    </w:p>
    <w:p>
      <w:pPr>
        <w:pStyle w:val="PointManual"/>
        <w:jc w:val="both"/>
        <w:rPr>
          <w:noProof/>
        </w:rPr>
      </w:pPr>
      <w:r>
        <w:rPr>
          <w:noProof/>
        </w:rPr>
        <w:t>11.</w:t>
      </w:r>
      <w:r>
        <w:rPr>
          <w:noProof/>
        </w:rPr>
        <w:tab/>
        <w:t>Postup premiestnenia stanovený v tejto prílohe sa dokončí čo najrýchlejšie a najneskôr do dvoch mesiacov odvtedy, ako členský štát premiestnenia poskytne informácie podľa odseku 2, s výnimkou prípadu, keď členský štát premiestnenia vydá schválenie uvedené v odseku 4 v čase kratšom ako 2 týždne pred uplynutím tejto dvojmesačnej lehoty. V takom prípade sa lehota na dokončenie postupu premiestnenia môže predĺžiť o obdobie nepresahujúce ďalšie dva týždne. Táto lehota sa okrem toho prípadne môže predĺžiť o ďalšie štvortýždňové obdobie aj vtedy, ak podľa odôvodnení členského štátu využívajúceho premiestnenie bránia uskutočneniu presunu objektívne praktické prekážky.</w:t>
      </w:r>
    </w:p>
    <w:p>
      <w:pPr>
        <w:pStyle w:val="PointManual"/>
        <w:ind w:firstLine="0"/>
        <w:jc w:val="both"/>
        <w:rPr>
          <w:b/>
          <w:noProof/>
          <w:u w:val="single"/>
        </w:rPr>
      </w:pPr>
      <w:r>
        <w:rPr>
          <w:noProof/>
        </w:rPr>
        <w:t>Ak sa postup premiestnenia nedokončí v tejto lehote a pokiaľ sa členský štát využívajúci premiestnenie s členským štátom premiestnenia nedohodnú na rozumnom predĺžení tejto lehoty, členský štát využívajúci premiestnenie zostane zodpovedný za posúdenie žiadosti o medzinárodnú ochranu.</w:t>
      </w:r>
    </w:p>
    <w:p>
      <w:pPr>
        <w:pStyle w:val="PointManual"/>
        <w:jc w:val="both"/>
        <w:rPr>
          <w:bCs/>
          <w:noProof/>
        </w:rPr>
      </w:pPr>
      <w:r>
        <w:rPr>
          <w:noProof/>
        </w:rPr>
        <w:t>12.</w:t>
      </w:r>
      <w:r>
        <w:rPr>
          <w:noProof/>
        </w:rPr>
        <w:tab/>
        <w:t>Po premiestnení žiadateľa členský štát premiestnenia odoberie odtlačky prstov žiadateľa a odošle ich do centrálneho systému Eurodac v súlade s článkom 9 nariadenia (EÚ) č. 603/2013 a aktualizuje súbory údajov v súlade s článkom 10 a prípadne s článkom 18 uvedeného nariadenia.</w:t>
      </w: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485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0286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C3ADE00"/>
    <w:lvl w:ilvl="0">
      <w:start w:val="1"/>
      <w:numFmt w:val="decimal"/>
      <w:lvlText w:val="(%1)"/>
      <w:lvlJc w:val="left"/>
      <w:pPr>
        <w:tabs>
          <w:tab w:val="num" w:pos="567"/>
        </w:tabs>
        <w:ind w:left="567" w:hanging="567"/>
      </w:pPr>
      <w:rPr>
        <w:rFonts w:hint="default"/>
        <w:b w:val="0"/>
        <w:bCs w:val="0"/>
        <w:strike w:val="0"/>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A432656"/>
    <w:multiLevelType w:val="multilevel"/>
    <w:tmpl w:val="A7BE963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k"/>
    <w:docVar w:name="LW_ANNEX_NBR_FIRST" w:val="1"/>
    <w:docVar w:name="LW_ANNEX_NBR_LAST" w:val="1"/>
    <w:docVar w:name="LW_CONFIDENCE" w:val=" "/>
    <w:docVar w:name="LW_CONST_RESTREINT_UE" w:val="RESTREINT UE"/>
    <w:docVar w:name="LW_CORRIGENDUM" w:val="&lt;UNUSED&gt;"/>
    <w:docVar w:name="LW_COVERPAGE_GUID" w:val="8958C214BFD143C68DFFC6157F1E22E6"/>
    <w:docVar w:name="LW_CROSSREFERENCE" w:val="&lt;UNUSED&gt;"/>
    <w:docVar w:name="LW_DocType" w:val="NORMAL"/>
    <w:docVar w:name="LW_EMISSION" w:val="9. 9. 2015"/>
    <w:docVar w:name="LW_EMISSION_ISODATE" w:val="2015-09-09"/>
    <w:docVar w:name="LW_EMISSION_LOCATION" w:val="BRX"/>
    <w:docVar w:name="LW_EMISSION_PREFIX" w:val="V Bruseli"/>
    <w:docVar w:name="LW_EMISSION_SUFFIX" w:val=" "/>
    <w:docVar w:name="LW_ID_DOCTYPE_NONLW" w:val="CP-036"/>
    <w:docVar w:name="LW_LANGUE" w:val="SK"/>
    <w:docVar w:name="LW_MARKING" w:val="&lt;UNUSED&gt;"/>
    <w:docVar w:name="LW_NOM.INST" w:val="EURÓPSKA KOMISIA"/>
    <w:docVar w:name="LW_NOM.INST_JOINTDOC" w:val="&lt;EMPTY&gt;"/>
    <w:docVar w:name="LW_OBJETACTEPRINCIPAL.CP" w:val="ktorým sa stanovuje krízový mechanizmus premiestnenia a mení nariadenie Európskeho parlamentu a Rady (EÚ) \u269?. 604/2013 z 26. júna 2013, ktorým sa stanovujú kritériá a mechanizmy na ur\u269?enie \u269?lenského \u353?tátu zodpovedného za posúdenie \u382?iadosti o medzinárodnú ochranu podanej \u353?tátnym príslu\u353?níkom tretej krajiny alebo osobou bez \u353?tátnej príslu\u353?nosti v jednom z \u269?lenských \u353?tátov"/>
    <w:docVar w:name="LW_PART_NBR" w:val="1"/>
    <w:docVar w:name="LW_PART_NBR_TOTAL" w:val="1"/>
    <w:docVar w:name="LW_REF.INST.NEW" w:val="COM"/>
    <w:docVar w:name="LW_REF.INST.NEW_ADOPTED" w:val="final"/>
    <w:docVar w:name="LW_REF.INST.NEW_TEXT" w:val="(2015) 450"/>
    <w:docVar w:name="LW_REF.INTERNE" w:val="&lt;UNUSED&gt;"/>
    <w:docVar w:name="LW_SUPERTITRE" w:val="&lt;UNUSED&gt;"/>
    <w:docVar w:name="LW_TITRE.OBJ.CP" w:val="&lt;UNUSED&gt;"/>
    <w:docVar w:name="LW_TYPE.DOC.CP" w:val="PRÍLOHA_x000b_"/>
    <w:docVar w:name="LW_TYPEACTEPRINCIPAL.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HAn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eastAsiaTheme="minorHAnsi"/>
      <w:sz w:val="24"/>
      <w:szCs w:val="22"/>
    </w:rPr>
  </w:style>
  <w:style w:type="paragraph" w:styleId="Heading1">
    <w:name w:val="heading 1"/>
    <w:basedOn w:val="Normal"/>
    <w:next w:val="Normal"/>
    <w:link w:val="Heading1Char"/>
    <w:uiPriority w:val="9"/>
    <w:qFormat/>
    <w:pPr>
      <w:keepNext/>
      <w:numPr>
        <w:numId w:val="4"/>
      </w:numPr>
      <w:spacing w:before="240" w:after="240"/>
      <w:outlineLvl w:val="0"/>
    </w:pPr>
    <w:rPr>
      <w:b/>
      <w:smallCaps/>
      <w:szCs w:val="20"/>
    </w:rPr>
  </w:style>
  <w:style w:type="paragraph" w:styleId="Heading2">
    <w:name w:val="heading 2"/>
    <w:basedOn w:val="Normal"/>
    <w:next w:val="Normal"/>
    <w:link w:val="Heading2Char"/>
    <w:uiPriority w:val="9"/>
    <w:qFormat/>
    <w:pPr>
      <w:keepNext/>
      <w:numPr>
        <w:ilvl w:val="1"/>
        <w:numId w:val="4"/>
      </w:numPr>
      <w:spacing w:after="240"/>
      <w:outlineLvl w:val="1"/>
    </w:pPr>
    <w:rPr>
      <w:b/>
      <w:szCs w:val="20"/>
    </w:rPr>
  </w:style>
  <w:style w:type="paragraph" w:styleId="Heading3">
    <w:name w:val="heading 3"/>
    <w:basedOn w:val="Normal"/>
    <w:next w:val="Normal"/>
    <w:link w:val="Heading3Char"/>
    <w:uiPriority w:val="9"/>
    <w:qFormat/>
    <w:pPr>
      <w:keepNext/>
      <w:numPr>
        <w:ilvl w:val="2"/>
        <w:numId w:val="4"/>
      </w:numPr>
      <w:spacing w:after="240"/>
      <w:outlineLvl w:val="2"/>
    </w:pPr>
    <w:rPr>
      <w:i/>
      <w:szCs w:val="20"/>
    </w:rPr>
  </w:style>
  <w:style w:type="paragraph" w:styleId="Heading4">
    <w:name w:val="heading 4"/>
    <w:basedOn w:val="Normal"/>
    <w:next w:val="Normal"/>
    <w:link w:val="Heading4Char"/>
    <w:uiPriority w:val="9"/>
    <w:qFormat/>
    <w:pPr>
      <w:keepNext/>
      <w:tabs>
        <w:tab w:val="num" w:pos="2880"/>
      </w:tabs>
      <w:spacing w:after="240"/>
      <w:ind w:left="2880" w:hanging="960"/>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smallCaps/>
      <w:sz w:val="24"/>
    </w:rPr>
  </w:style>
  <w:style w:type="character" w:customStyle="1" w:styleId="Heading2Char">
    <w:name w:val="Heading 2 Char"/>
    <w:link w:val="Heading2"/>
    <w:uiPriority w:val="9"/>
    <w:rPr>
      <w:b/>
      <w:sz w:val="24"/>
    </w:rPr>
  </w:style>
  <w:style w:type="character" w:customStyle="1" w:styleId="Heading3Char">
    <w:name w:val="Heading 3 Char"/>
    <w:link w:val="Heading3"/>
    <w:uiPriority w:val="9"/>
    <w:rPr>
      <w:i/>
      <w:sz w:val="24"/>
    </w:rPr>
  </w:style>
  <w:style w:type="character" w:customStyle="1" w:styleId="Heading4Char">
    <w:name w:val="Heading 4 Char"/>
    <w:link w:val="Heading4"/>
    <w:uiPriority w:val="9"/>
    <w:rPr>
      <w:sz w:val="24"/>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hAnsi="Cambria"/>
      <w:b/>
      <w:bCs/>
      <w:kern w:val="28"/>
      <w:sz w:val="32"/>
      <w:szCs w:val="32"/>
    </w:rPr>
  </w:style>
  <w:style w:type="paragraph" w:styleId="ListParagraph">
    <w:name w:val="List Paragraph"/>
    <w:basedOn w:val="Normal"/>
    <w:uiPriority w:val="34"/>
    <w:qFormat/>
    <w:pPr>
      <w:ind w:left="720"/>
    </w:pPr>
    <w:rPr>
      <w:rFonts w:ascii="Calibri" w:hAnsi="Calibri"/>
      <w:sz w:val="22"/>
    </w:rPr>
  </w:style>
  <w:style w:type="paragraph" w:styleId="TOCHeading">
    <w:name w:val="TOC Heading"/>
    <w:basedOn w:val="Heading1"/>
    <w:next w:val="Normal"/>
    <w:uiPriority w:val="39"/>
    <w:semiHidden/>
    <w:unhideWhenUsed/>
    <w:qFormat/>
    <w:pPr>
      <w:keepLines/>
      <w:numPr>
        <w:numId w:val="0"/>
      </w:numPr>
      <w:spacing w:before="480" w:after="0" w:line="276" w:lineRule="auto"/>
      <w:jc w:val="left"/>
      <w:outlineLvl w:val="9"/>
    </w:pPr>
    <w:rPr>
      <w:rFonts w:ascii="Cambria" w:eastAsia="MS Gothic" w:hAnsi="Cambria"/>
      <w:bCs/>
      <w:smallCaps w:val="0"/>
      <w:color w:val="365F91"/>
      <w:sz w:val="28"/>
      <w:szCs w:val="28"/>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eastAsiaTheme="minorHAnsi"/>
      <w:sz w:val="24"/>
      <w:szCs w:val="22"/>
    </w:rPr>
  </w:style>
  <w:style w:type="paragraph" w:customStyle="1" w:styleId="Personnequisigne">
    <w:name w:val="Personne qui signe"/>
    <w:basedOn w:val="Normal"/>
    <w:next w:val="Normal"/>
    <w:pPr>
      <w:tabs>
        <w:tab w:val="left" w:pos="4252"/>
      </w:tabs>
      <w:spacing w:before="0" w:after="0"/>
      <w:jc w:val="left"/>
    </w:pPr>
    <w:rPr>
      <w:i/>
    </w:rPr>
  </w:style>
  <w:style w:type="paragraph" w:customStyle="1" w:styleId="Pointabc">
    <w:name w:val="Point abc"/>
    <w:basedOn w:val="Normal"/>
    <w:pPr>
      <w:numPr>
        <w:ilvl w:val="1"/>
        <w:numId w:val="5"/>
      </w:numPr>
      <w:spacing w:line="360" w:lineRule="auto"/>
      <w:jc w:val="left"/>
    </w:pPr>
    <w:rPr>
      <w:rFonts w:eastAsia="Times New Roman"/>
      <w:szCs w:val="24"/>
    </w:rPr>
  </w:style>
  <w:style w:type="paragraph" w:customStyle="1" w:styleId="Pointabc1">
    <w:name w:val="Point abc (1)"/>
    <w:basedOn w:val="Normal"/>
    <w:pPr>
      <w:numPr>
        <w:ilvl w:val="3"/>
        <w:numId w:val="5"/>
      </w:numPr>
      <w:spacing w:line="360" w:lineRule="auto"/>
      <w:jc w:val="left"/>
      <w:outlineLvl w:val="0"/>
    </w:pPr>
    <w:rPr>
      <w:rFonts w:eastAsia="Times New Roman"/>
      <w:szCs w:val="24"/>
    </w:rPr>
  </w:style>
  <w:style w:type="paragraph" w:customStyle="1" w:styleId="Pointabc2">
    <w:name w:val="Point abc (2)"/>
    <w:basedOn w:val="Normal"/>
    <w:pPr>
      <w:numPr>
        <w:ilvl w:val="5"/>
        <w:numId w:val="5"/>
      </w:numPr>
      <w:spacing w:line="360" w:lineRule="auto"/>
      <w:jc w:val="left"/>
      <w:outlineLvl w:val="1"/>
    </w:pPr>
    <w:rPr>
      <w:rFonts w:eastAsia="Times New Roman"/>
      <w:szCs w:val="24"/>
    </w:rPr>
  </w:style>
  <w:style w:type="paragraph" w:customStyle="1" w:styleId="Pointabc3">
    <w:name w:val="Point abc (3)"/>
    <w:basedOn w:val="Normal"/>
    <w:pPr>
      <w:numPr>
        <w:ilvl w:val="7"/>
        <w:numId w:val="5"/>
      </w:numPr>
      <w:spacing w:line="360" w:lineRule="auto"/>
      <w:jc w:val="left"/>
      <w:outlineLvl w:val="2"/>
    </w:pPr>
    <w:rPr>
      <w:rFonts w:eastAsia="Times New Roman"/>
      <w:szCs w:val="24"/>
    </w:rPr>
  </w:style>
  <w:style w:type="paragraph" w:customStyle="1" w:styleId="Pointabc4">
    <w:name w:val="Point abc (4)"/>
    <w:basedOn w:val="Normal"/>
    <w:pPr>
      <w:numPr>
        <w:ilvl w:val="8"/>
        <w:numId w:val="5"/>
      </w:numPr>
      <w:spacing w:line="360" w:lineRule="auto"/>
      <w:jc w:val="left"/>
      <w:outlineLvl w:val="3"/>
    </w:pPr>
    <w:rPr>
      <w:rFonts w:eastAsia="Times New Roman"/>
      <w:szCs w:val="24"/>
    </w:rPr>
  </w:style>
  <w:style w:type="paragraph" w:customStyle="1" w:styleId="Point1231">
    <w:name w:val="Point 123 (1)"/>
    <w:basedOn w:val="Normal"/>
    <w:pPr>
      <w:numPr>
        <w:ilvl w:val="2"/>
        <w:numId w:val="5"/>
      </w:numPr>
      <w:spacing w:line="360" w:lineRule="auto"/>
      <w:jc w:val="left"/>
      <w:outlineLvl w:val="0"/>
    </w:pPr>
    <w:rPr>
      <w:rFonts w:eastAsia="Times New Roman"/>
      <w:szCs w:val="24"/>
    </w:rPr>
  </w:style>
  <w:style w:type="paragraph" w:customStyle="1" w:styleId="Point1232">
    <w:name w:val="Point 123 (2)"/>
    <w:basedOn w:val="Normal"/>
    <w:pPr>
      <w:numPr>
        <w:ilvl w:val="4"/>
        <w:numId w:val="5"/>
      </w:numPr>
      <w:spacing w:line="360" w:lineRule="auto"/>
      <w:jc w:val="left"/>
      <w:outlineLvl w:val="1"/>
    </w:pPr>
    <w:rPr>
      <w:rFonts w:eastAsia="Times New Roman"/>
      <w:szCs w:val="24"/>
    </w:rPr>
  </w:style>
  <w:style w:type="paragraph" w:customStyle="1" w:styleId="Point1233">
    <w:name w:val="Point 123 (3)"/>
    <w:basedOn w:val="Normal"/>
    <w:pPr>
      <w:numPr>
        <w:ilvl w:val="6"/>
        <w:numId w:val="5"/>
      </w:numPr>
      <w:spacing w:line="360" w:lineRule="auto"/>
      <w:jc w:val="left"/>
      <w:outlineLvl w:val="2"/>
    </w:pPr>
    <w:rPr>
      <w:rFonts w:eastAsia="Times New Roman"/>
      <w:szCs w:val="24"/>
    </w:rPr>
  </w:style>
  <w:style w:type="paragraph" w:customStyle="1" w:styleId="PointManual">
    <w:name w:val="Point Manual"/>
    <w:basedOn w:val="Normal"/>
    <w:pPr>
      <w:spacing w:line="360" w:lineRule="auto"/>
      <w:ind w:left="567" w:hanging="567"/>
      <w:jc w:val="left"/>
    </w:pPr>
    <w:rPr>
      <w:rFonts w:eastAsia="Times New Roman"/>
      <w:szCs w:val="24"/>
    </w:rPr>
  </w:style>
  <w:style w:type="character" w:customStyle="1" w:styleId="Marker">
    <w:name w:val="Marker"/>
    <w:basedOn w:val="DefaultParagraphFont"/>
    <w:rPr>
      <w:color w:val="0000FF"/>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customStyle="1" w:styleId="Pagedecouverture">
    <w:name w:val="Page de couverture"/>
    <w:basedOn w:val="Normal"/>
    <w:next w:val="Normal"/>
    <w:pPr>
      <w:spacing w:before="0" w:after="0"/>
    </w:pPr>
  </w:style>
  <w:style w:type="paragraph" w:styleId="Header">
    <w:name w:val="header"/>
    <w:basedOn w:val="Normal"/>
    <w:link w:val="HeaderChar"/>
    <w:uiPriority w:val="99"/>
    <w:unhideWhenUsed/>
    <w:pPr>
      <w:tabs>
        <w:tab w:val="center" w:pos="4536"/>
        <w:tab w:val="right" w:pos="9072"/>
      </w:tabs>
      <w:spacing w:before="0" w:after="0"/>
    </w:pPr>
  </w:style>
  <w:style w:type="character" w:customStyle="1" w:styleId="HeaderChar">
    <w:name w:val="Header Char"/>
    <w:basedOn w:val="DefaultParagraphFont"/>
    <w:link w:val="Header"/>
    <w:uiPriority w:val="99"/>
    <w:rPr>
      <w:rFonts w:eastAsiaTheme="minorHAns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eastAsiaTheme="minorHAnsi"/>
      <w:sz w:val="24"/>
      <w:szCs w:val="2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rFonts w:eastAsiaTheme="minorHAnsi"/>
      <w:sz w:val="24"/>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HAn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4C42-9ADC-4D0F-9F39-D6C8BEA8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595</Words>
  <Characters>3687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IORI Andrea (JUST)</dc:creator>
  <cp:lastModifiedBy>DIGIT/A3</cp:lastModifiedBy>
  <cp:revision>11</cp:revision>
  <cp:lastPrinted>2015-09-07T15:18:00Z</cp:lastPrinted>
  <dcterms:created xsi:type="dcterms:W3CDTF">2015-09-07T15:15:00Z</dcterms:created>
  <dcterms:modified xsi:type="dcterms:W3CDTF">2015-09-13T10:50:00Z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