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A5639328D3754F2CBC6BF858EDAC54AA" style="width:450.75pt;height:366pt">
            <v:imagedata r:id="rId8" o:title=""/>
          </v:shape>
        </w:pict>
      </w:r>
    </w:p>
    <w:p>
      <w:pPr>
        <w:rPr>
          <w:noProof/>
        </w:rPr>
        <w:sectPr>
          <w:footerReference w:type="default" r:id="rId9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IL-KUNTEST TAL-PROPOSTA</w:t>
      </w:r>
    </w:p>
    <w:p>
      <w:pPr>
        <w:widowControl w:val="0"/>
        <w:autoSpaceDE w:val="0"/>
        <w:autoSpaceDN w:val="0"/>
        <w:adjustRightInd w:val="0"/>
        <w:rPr>
          <w:rFonts w:eastAsia="Calibri"/>
          <w:noProof/>
        </w:rPr>
      </w:pPr>
      <w:r>
        <w:rPr>
          <w:noProof/>
        </w:rPr>
        <w:t>Ir-Regolament tal-Kunsill (KE) Nru 539/2001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jelenka l-pajjiżi terzi li ċ-ċittadini tagħhom għandhom ikollhom viżas fil-pussess tagħhom meta jaqsmu l-fruntieri esterni tal-Istati Membri u dawk iċ-ċittadini li huma eżentati minn dak ir-rekwiżit. Ir-Regolament (KE) Nru 539/2001 huwa applikat mill-Istati Membri kollha, bl-eċċezzjoni tal-Irlanda u r-Renju Unit. </w:t>
      </w:r>
    </w:p>
    <w:p>
      <w:pPr>
        <w:widowControl w:val="0"/>
        <w:autoSpaceDE w:val="0"/>
        <w:autoSpaceDN w:val="0"/>
        <w:adjustRightInd w:val="0"/>
        <w:rPr>
          <w:rFonts w:eastAsia="Calibri"/>
          <w:noProof/>
        </w:rPr>
      </w:pPr>
      <w:r>
        <w:rPr>
          <w:noProof/>
        </w:rPr>
        <w:t>Ir-Regolament (UE) Nru 509/2014 tal-Parlament Ewropew u tal-Kunsill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emenda r-Regolament (KE) Nru 539/2001 billi jittrasferixxi 19-il pajjiż għall-Anness II, li jelenka l-pajjiżi terzi li ċ-ċittadini tagħhom huma eżentati mill-ħtieġa ta’ viża. Dawn id-19-il pajjiżi huma: Il-Kolombja, Dominika, Grenada, Kiribati, il-Gżejjer Marshall, il-Mikroneżja, Nauru, il-Palaw, il-Perù, Santa Luċija, Saint Vincent u l-Grenadini, Samoa, il-Gżejjer Solomon, Timor-Leste, Tonga, Trinidad u Tobago, Tuvalu, l-Emirati Għarab Magħquda u l-Vanwatu. Ir-referenza għal kull wieħed minn dawn il-pajjiżi fl-Anness II hija akkumpanjata b'nota f'qiegħ il-paġna li tispeċifika li "l-eżenzjoni mill-ħtieġa ta' viża għandha tapplika mid-data tad-dħul fis-seħħ ta’ ftehim dwar l-eżenzjoni mill-viża li għandu jiġi konkluż mal-Unjoni Ewropea". </w:t>
      </w:r>
    </w:p>
    <w:p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>Ir-Regolment (UE) Nru 509/2014 ġie adottat fl-20 ta’ Mejju 2014 u daħal fis-seħħ fid-9 ta’ Ġunju 2014. F'Lulju 2014, il-Kummissjoni ppreżentat Rakkomandazzjoni lill-Kunsill biex jawtorizzaha biex tibda negozjati dwar ftehimiet ta’ eżenzjoni mill-viża ma’ kull wieħed mis-17-il pajjiż li ġejjin: Dominika, Grenada, Kiribati, il-Gżejjer Marshall, il-Mikroneżja, Nauru, il-Palaw, Santa Luċija, Saint Vincent u l-Grenadini, Samoa, il-Gżejjer Solomon, Timor-Leste, Tonga, Trinidad u Tobago, Tuvalu, l-Emirati Għarab Magħquda u l-Vanwatu</w:t>
      </w:r>
      <w:r>
        <w:rPr>
          <w:rStyle w:val="FootnoteReference"/>
          <w:noProof/>
        </w:rPr>
        <w:footnoteReference w:id="3"/>
      </w:r>
      <w:r>
        <w:rPr>
          <w:noProof/>
        </w:rPr>
        <w:t>. Fid-9 ta’ Ottubru 2014, il-Kunsill ħareġ direttivi ta’ negozjati lill-Kummissjoni.</w:t>
      </w:r>
    </w:p>
    <w:p>
      <w:pPr>
        <w:widowControl w:val="0"/>
        <w:autoSpaceDE w:val="0"/>
        <w:autoSpaceDN w:val="0"/>
        <w:adjustRightInd w:val="0"/>
        <w:rPr>
          <w:rFonts w:eastAsia="Calibri"/>
          <w:noProof/>
        </w:rPr>
      </w:pPr>
      <w:r>
        <w:rPr>
          <w:noProof/>
        </w:rPr>
        <w:t xml:space="preserve">L-ewwel serje ta’ ftehimiet ta’ eżenzjoni mill-viża kienu ffirmati fis-6 ta’ Mejju 2015 (l-Emirati Għarab Magħquda), fis-26 ta’ Mejju 2015 (Timor-Leste) u fit-28 ta’ Mejju 2015 (Dominika, Grenada, Santa Luċija, Saint Vincent u l-Grenadini, Samoa, Trinidad u Tobago u l-Vanwatu) u japplikaw b’mod provviżorju mid-data tal-iffirmar sakemm jidħlu fis-seħħ. </w:t>
      </w:r>
    </w:p>
    <w:p>
      <w:pPr>
        <w:widowControl w:val="0"/>
        <w:autoSpaceDE w:val="0"/>
        <w:autoSpaceDN w:val="0"/>
        <w:adjustRightInd w:val="0"/>
        <w:rPr>
          <w:rFonts w:eastAsia="Calibri"/>
          <w:noProof/>
        </w:rPr>
      </w:pPr>
      <w:r>
        <w:rPr>
          <w:noProof/>
        </w:rPr>
        <w:t>In-negozjati dwar il-ftehim tal-eżenzjoni mill-viża ma’ Tonga bdew fid-19 ta’ Novembru 2014 fi Brussell. Matul din il-laqgħa, l-abbozz tat-test kollu seta’ jiġi rivedut u ntlaħaq qbil dwar l-aspetti kollha tiegħu. Wara numru ta’ skambji informali sussegwenti, il-ftehim ġie inizjalat permezz ta' skambju ta' ittri bejn in-negozjaturi ewlenin fid-29 ta' Mejju 2015 (Tonga) u fl-10 ta' Ġunju 2015 (Union). L-Istati Membri ġew mgħarrfa waqt il-laqgħa tal-Grupp ta’ Ħidma dwar il-Viża tal-Kunsill li saret fil-15 ta' Ġunju 2015.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IL-BAŻI ĠURIDIKA</w:t>
      </w:r>
    </w:p>
    <w:p>
      <w:pPr>
        <w:rPr>
          <w:rFonts w:eastAsia="Calibri"/>
          <w:noProof/>
        </w:rPr>
      </w:pPr>
      <w:r>
        <w:rPr>
          <w:noProof/>
        </w:rPr>
        <w:t>Min-naħa tal-Unjoni, il-bażi ġuridika għall-Ftehim hu l-punt (a) tal-Artikolu 77(2) tat-Trattat dwar il-Funzjonament tal-Unjoni Ewropea (TFUE), flimkien mal-Artikolu 218 tiegħu.</w:t>
      </w:r>
    </w:p>
    <w:p>
      <w:pPr>
        <w:autoSpaceDE w:val="0"/>
        <w:autoSpaceDN w:val="0"/>
        <w:adjustRightInd w:val="0"/>
        <w:rPr>
          <w:rFonts w:eastAsia="Calibri"/>
          <w:noProof/>
        </w:rPr>
      </w:pPr>
      <w:r>
        <w:rPr>
          <w:noProof/>
        </w:rPr>
        <w:t xml:space="preserve">Il-proposta mehmuża tikkostitwixxi l-istrument legali għall-iffirmar tal-ftehim. Il-Kunsill jiddeċiedi b’maġġoranza kwalifikata. </w:t>
      </w:r>
    </w:p>
    <w:p>
      <w:pPr>
        <w:autoSpaceDE w:val="0"/>
        <w:autoSpaceDN w:val="0"/>
        <w:adjustRightInd w:val="0"/>
        <w:rPr>
          <w:rFonts w:eastAsia="Calibri"/>
          <w:noProof/>
        </w:rPr>
      </w:pPr>
      <w:r>
        <w:rPr>
          <w:noProof/>
        </w:rPr>
        <w:t>Filwaqt li jitqies il-fatt li Tonga se tkun tista' tikkompleta l-proċedura ta’ ratifika interna tagħha malajr u l-perjodu twil ta’ żmien li għadda mindu l-Kummissjoni pproponiet għall-ewwel darba li teżenta liċ-ċittadini ta' Tonga mill-ħtieġa tal-viża (Novembru 2012), id-deċiżjoni proposta dwar l-iffirmar tistabbilixxi l-applikazzjoni proviżorja tal-ftehim mid-data tal-iffirmar tagħha skont l-Artikolu 218(5) TFUE. Filwaqt li tqis il-ħtieġa għall-kunsens tal-Parlament Ewropew qabel jiġi konkluż il-ftehim, il-Kummissjoni se tinforma lill-Parlament Ewropew dwar l-applikazzjoni proviżorja tal-ftehim.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IR-RIŻULTAT TAN-NEGOZJATI</w:t>
      </w:r>
    </w:p>
    <w:p>
      <w:pPr>
        <w:autoSpaceDE w:val="0"/>
        <w:autoSpaceDN w:val="0"/>
        <w:adjustRightInd w:val="0"/>
        <w:rPr>
          <w:noProof/>
        </w:rPr>
      </w:pPr>
      <w:r>
        <w:rPr>
          <w:noProof/>
        </w:rPr>
        <w:t>Il-Kummissjoni tikkunsidra li nkisbu l-objettivi stabbiliti mill-Kunsill fid-direttivi ta’ negozjati tiegħu u li l-abbozz ta’ ftehim għall-eżenzjoni mill-viża hu aċċettabbli għall-Unjoni.</w:t>
      </w:r>
    </w:p>
    <w:p>
      <w:pPr>
        <w:autoSpaceDE w:val="0"/>
        <w:autoSpaceDN w:val="0"/>
        <w:adjustRightInd w:val="0"/>
        <w:rPr>
          <w:noProof/>
        </w:rPr>
      </w:pPr>
      <w:r>
        <w:rPr>
          <w:noProof/>
        </w:rPr>
        <w:t>Il-kontenut finali tiegħu jista’ jitqassar kif ġej:</w:t>
      </w:r>
    </w:p>
    <w:p>
      <w:pPr>
        <w:rPr>
          <w:noProof/>
        </w:rPr>
      </w:pPr>
      <w:r>
        <w:rPr>
          <w:noProof/>
          <w:u w:val="single"/>
        </w:rPr>
        <w:t>Għan</w:t>
      </w:r>
    </w:p>
    <w:p>
      <w:pPr>
        <w:rPr>
          <w:noProof/>
        </w:rPr>
      </w:pPr>
      <w:r>
        <w:rPr>
          <w:noProof/>
        </w:rPr>
        <w:t xml:space="preserve">Il-ftehim jipprovdi għal vjaġġar mingħajr il-viża għaċ-ċittadini tal-Unjoni Ewropea u għaċ-ċittadini ta' Tonga meta jivvjaġġaw lejn it-territorju tal-Parti Kontraenti l-oħra għall-perjodu massimu ta' 90 jum fi kwalunkwe perjodu ta’ 180 jum. </w:t>
      </w:r>
    </w:p>
    <w:p>
      <w:pPr>
        <w:rPr>
          <w:noProof/>
        </w:rPr>
      </w:pPr>
      <w:r>
        <w:rPr>
          <w:noProof/>
        </w:rPr>
        <w:t>Sabiex jitħares it-trattament ugwali taċ-ċittadini kollha tal-UE, ġiet inkluża dispożizzjoni fil-ftehim li tiddikjara li Tonga tista’ tissospendi jew tittermina l-ftehim fir-rigward biss tal-Istati Membri kollha tal-Unjoni Ewropea u li l-Unjoni tistà wkoll tissospendi jew tittermina l-ftehim fir-rigward tal-Istati Membri tagħha kollha.</w:t>
      </w:r>
    </w:p>
    <w:p>
      <w:p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Is-sitwazzjoni speċifika tar-Renju Unit u tal-Irlanda hija riflessa fil-preambolu. </w:t>
      </w:r>
    </w:p>
    <w:p>
      <w:pPr>
        <w:rPr>
          <w:noProof/>
        </w:rPr>
      </w:pPr>
      <w:r>
        <w:rPr>
          <w:noProof/>
          <w:u w:val="single"/>
        </w:rPr>
        <w:t>Kamp ta' applikazzjoni</w:t>
      </w:r>
    </w:p>
    <w:p>
      <w:pPr>
        <w:rPr>
          <w:noProof/>
        </w:rPr>
      </w:pPr>
      <w:r>
        <w:rPr>
          <w:noProof/>
        </w:rPr>
        <w:t>L-eżenzjoni mill-viża tkopri l-kategoriji kollha ta’ persuni (dawk li għandhom passaport ordinarju, diplomatiku, tas-servizz/uffiċjali jew speċjali) li jivvjaġġaw għal għanijiet differenti, bl-eċċezzjoni tal-għan tat-twettiq ta attività bi ħlas. Għal din il-kategorija tal-aħħar, kull Stat Membru u wkoll Tonga jibqgħu ħielsa milli jimponu l-ħtieġa tal-viża fuq iċ-ċittadini tal-Parti l-oħra skont il-liġi tal-Unjoni jew nazzjonali applikabbli. Sabiex tkun żgurata implimentazzjoni armonizzata, dikjarazzjoni konġunta hi mehmuża mal-Ftehim dwar l-interpretazzjoni tal-kategorija ta' persuni li jivvjaġġaw għall-għan ta’ attivitajiet bi ħlas.</w:t>
      </w:r>
    </w:p>
    <w:p>
      <w:pPr>
        <w:rPr>
          <w:noProof/>
        </w:rPr>
      </w:pPr>
      <w:r>
        <w:rPr>
          <w:noProof/>
          <w:u w:val="single"/>
        </w:rPr>
        <w:t>Tul ta' żmien tas-soġġorn</w:t>
      </w:r>
    </w:p>
    <w:p>
      <w:pPr>
        <w:rPr>
          <w:noProof/>
        </w:rPr>
      </w:pPr>
      <w:r>
        <w:rPr>
          <w:noProof/>
        </w:rPr>
        <w:t xml:space="preserve">Il-ftehim jipprovdi għal vjaġġar mingħajr il-viża għaċ-ċittadini tal-Unjoni Ewropea u għaċ-ċittadini ta' Tonga meta jivvjaġġaw lejn it-territorju tal-Parti Kontraenti l-oħra għall-perjodu massimu ta' 90 jum fi kwalunkwe perjodu ta’ 180 jum. Dikjarazzjoni konġunta dwar l-interpretazzjoni ta’ dan il-perjodu ta’ 90 jum f'kwalunkwe perjodu ta' 180 jum hi mehmuża ma’ dan il-ftehim. </w:t>
      </w:r>
    </w:p>
    <w:p>
      <w:pPr>
        <w:rPr>
          <w:noProof/>
        </w:rPr>
      </w:pPr>
      <w:r>
        <w:rPr>
          <w:noProof/>
        </w:rPr>
        <w:t>Il-ftehim jikkunsidra s-sitwazzjoni tal-Istati Membri li għadhom ma applikawx l-acquis ta' Schengen b’mod sħiħ. Sakemm ma jkunux  parti miż-żona Schengen mingħajr fruntieri interni, l-eżenzjoni mill-viża tagħti dritt liċ-ċittadini ta' Tonga biex jibqgħu għall-perjodu massimu ta' 90 jum fi kwalunkwe perjodu ta’ 180 jum fit-territorju ta’ kull wieħed minn dawk l-Istati Membri (attwalment il-Bulgarija, il-Kroazja, Ċipru u r-Rumanija), irrispettivament mill-perjodu kkalkulat għaż-żona Schengen kollha.</w:t>
      </w:r>
    </w:p>
    <w:p>
      <w:pPr>
        <w:rPr>
          <w:noProof/>
        </w:rPr>
      </w:pPr>
      <w:r>
        <w:rPr>
          <w:noProof/>
          <w:u w:val="single"/>
        </w:rPr>
        <w:t>Applikazzjoni territorjali</w:t>
      </w:r>
    </w:p>
    <w:p>
      <w:pPr>
        <w:rPr>
          <w:noProof/>
        </w:rPr>
      </w:pPr>
      <w:r>
        <w:rPr>
          <w:noProof/>
        </w:rPr>
        <w:t>Il-ftehim għandu dispożizzjonijiet relatati mal-applikazzjoni territorrjali tiegħu: fil-każ ta’ Franza u n-Netherlands, l-eżenzjoni mill-viża tintitola liċ-ċittadini ta' Tonga biex jibqgħu biss f’dawk it-territorji Ewropej tal-Istati Membri.</w:t>
      </w:r>
    </w:p>
    <w:p>
      <w:pPr>
        <w:autoSpaceDE w:val="0"/>
        <w:autoSpaceDN w:val="0"/>
        <w:adjustRightInd w:val="0"/>
        <w:rPr>
          <w:noProof/>
          <w:u w:val="single"/>
        </w:rPr>
      </w:pPr>
      <w:r>
        <w:rPr>
          <w:noProof/>
          <w:u w:val="single"/>
        </w:rPr>
        <w:t>Dikjarazzjonijiet</w:t>
      </w:r>
    </w:p>
    <w:p>
      <w:pPr>
        <w:autoSpaceDE w:val="0"/>
        <w:autoSpaceDN w:val="0"/>
        <w:adjustRightInd w:val="0"/>
        <w:rPr>
          <w:noProof/>
        </w:rPr>
      </w:pPr>
      <w:r>
        <w:rPr>
          <w:noProof/>
        </w:rPr>
        <w:t>Barra minn hekk għad-dikjarazzjonijiet konġunti msemmija hawn fuq, żewġ dikjarazzjonijiet konġunti oħra huma mehmuża mal-ftehim:</w:t>
      </w:r>
    </w:p>
    <w:p>
      <w:pPr>
        <w:pStyle w:val="ListDash"/>
        <w:rPr>
          <w:noProof/>
        </w:rPr>
      </w:pPr>
      <w:r>
        <w:rPr>
          <w:noProof/>
        </w:rPr>
        <w:t>dwar l-assoċjazzjoni tan-Norveġja, l-Islanda, l-Isvizzera u l-Liechtenstein mal-implimentazzjoni, l-applikazzjoni u l-iżvilupp tal-acquis ta’ Schengen.</w:t>
      </w:r>
    </w:p>
    <w:p>
      <w:pPr>
        <w:pStyle w:val="ListDash"/>
        <w:rPr>
          <w:noProof/>
        </w:rPr>
      </w:pPr>
      <w:r>
        <w:rPr>
          <w:noProof/>
        </w:rPr>
        <w:t>dwar it-tixrid totali tal-informazzjoni dwar il-kontenut u l-konsegwenzi tal-ftehim dwar l-eżenzjoni mill-viża u kwistjonijiet relatati, bħal-kundizzjonijiet tad-dħul fit-territorju.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KONKLUŻJONI</w:t>
      </w:r>
    </w:p>
    <w:p>
      <w:pPr>
        <w:autoSpaceDE w:val="0"/>
        <w:autoSpaceDN w:val="0"/>
        <w:adjustRightInd w:val="0"/>
        <w:rPr>
          <w:noProof/>
        </w:rPr>
      </w:pPr>
      <w:r>
        <w:rPr>
          <w:noProof/>
        </w:rPr>
        <w:t>Fid-dawl tar-riżultati msemmija hawn fuq, il-Kummissjoni tipproponi li l-Kunsill</w:t>
      </w:r>
    </w:p>
    <w:p>
      <w:pPr>
        <w:pStyle w:val="ListDash"/>
        <w:rPr>
          <w:noProof/>
        </w:rPr>
      </w:pPr>
      <w:r>
        <w:rPr>
          <w:noProof/>
        </w:rPr>
        <w:t>jiddeċiedi li l-ftehim jiġi ffirmat f’isem l-Unjoni u jawtorizza lill-President tal-Kunsill biex jaħtar lill-persuna/i bis-setgħa li tiffirma/jiffirmaw f’isem l-Unjoni;</w:t>
      </w:r>
    </w:p>
    <w:p>
      <w:pPr>
        <w:pStyle w:val="ListDash"/>
        <w:rPr>
          <w:noProof/>
        </w:rPr>
      </w:pPr>
      <w:r>
        <w:rPr>
          <w:noProof/>
        </w:rPr>
        <w:t>japprova l-applikazzjoni proviżorja tal-ftehim sakemm dan jidħol fis-seħħ;</w:t>
      </w:r>
    </w:p>
    <w:p>
      <w:pPr>
        <w:rPr>
          <w:noProof/>
        </w:rPr>
        <w:sectPr>
          <w:footerReference w:type="default" r:id="rId10"/>
          <w:footerReference w:type="first" r:id="rId11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2015/0195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l-iffirmar, f'isem l-Unjoni Ewropea, u l-applikazzjoni proviżorja tal-Ftehim bejn l-Unjoni Ewropea u r-Renju ta' Tonga dwar l-eżenzjoni mill-viża għal soġġorn għal perijodu qasir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b'mod partikolari l-punt (a) tal-Artikolu 77(2) flimkien mal-Artikolu 218(5)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Ir-Regolament (UE) Nru 509/2014 tal-Parlament Ewropew u tal-Kunsill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trasferixxa r-referenza għal Tonga mill-Anness I għall-Anness II tar-Regolament tal-Kunsill (KE) Nru 539/2001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Ir-referenza għal dak il-pajjiż hija akkumpanjata b'nota f'qiegħ il-paġna li tispeċifika li l-eżenzjoni mill-ħtieġa ta' viża tapplika mid-data tad-dħul fis-seħħ ta’ ftehim dwar l-eżenzjoni mill-viża li għandu jiġi konkluż mal-Unjoni Ewropea.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Bid-deċiżjoni tiegħu tad-9 ta’ Ottubru 2014, il-Kunsill awtorizza lill-Kummissjoni biex tinnegozja ftehim bejn l-Unjoni Ewropea u Samoa dwar il-viża għal perjodu qasir. In-negozjati dwar il-ftehim inbdew fid-19 ta' Novembru 2014.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Il-Ftehim inizjalat permezz ta’ skambju ta’ ittri fid-29 ta' Mejju 2015 (Tonga) u fl-10 ta' Ġunju 2015 għandu jiġi ffirmat u d-dikjarazzjonijiet mehmuża jiġu approvati. Il-Ftehim għandu jiġi applikat fuq bażi proviżorja, sakemm jintemmu l-proċeduri għall-konklużjoni formali tiegħu.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B'mod konformi mal-Protokoll dwar il-pożizzjoni tar-Renju Unit u l-Irlanda fir-rigward tal-ispazju ta’ libertà, sigurtà u ġustizzja u l-Protokoll dwar l-acquis ta’ Schengen integrat fil-qafas tal-Unjoni Ewropea, anness mat-Trattat dwar l-Unjoni Ewropea u t-Trattat dwar il-Funzjonament tal-Unjoni Ewropea u filwaqt li jikkonfermaw li d-dispożizzjonijiet tal-Ftehim ma japplikawx għar-Renju Unit u l-Irlanda,</w:t>
      </w:r>
    </w:p>
    <w:p>
      <w:pPr>
        <w:pStyle w:val="Formuledadoption"/>
        <w:rPr>
          <w:noProof/>
        </w:rPr>
      </w:pPr>
      <w:r>
        <w:rPr>
          <w:noProof/>
        </w:rPr>
        <w:t xml:space="preserve">ADOTTA DIN ID-DEĊIŻJONI: 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>L-iffirmar tal-Ftehim bejn l-Unjoni Ewropea u r-Renju ta' Tonga dwar l-eżenzjoni mill-viża għal perjodu qasir (minn hawn 'il quddiem imsejjaħ il-Ftehim) huwa b'dan approvat f'isem l-Unjoni, suġġett għall-konklużjoni tiegħu.</w:t>
      </w:r>
    </w:p>
    <w:p>
      <w:pPr>
        <w:rPr>
          <w:noProof/>
        </w:rPr>
      </w:pPr>
      <w:r>
        <w:rPr>
          <w:noProof/>
        </w:rPr>
        <w:t>It-test tal-Ftehim jinsab mehmuż ma' din id-Deċiżjoni.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>Id-dikjarazzjonijiet mehmuża ma' din id-Deċiżjoni għandhom jiġu approvati f'isem l-Unjoni.</w:t>
      </w:r>
    </w:p>
    <w:p>
      <w:pPr>
        <w:pStyle w:val="Titrearticle"/>
        <w:rPr>
          <w:noProof/>
        </w:rPr>
      </w:pPr>
      <w:r>
        <w:rPr>
          <w:noProof/>
        </w:rPr>
        <w:t>Artikolu 3</w:t>
      </w:r>
    </w:p>
    <w:p>
      <w:pPr>
        <w:rPr>
          <w:noProof/>
        </w:rPr>
      </w:pPr>
      <w:r>
        <w:rPr>
          <w:noProof/>
        </w:rPr>
        <w:t>Il-President tal-Kunsill huwa b’dan awtorizzat li jaħtar il-persuna jew persuni li jkollhom is-setgħa li jiffirmaw il-Ftehim f’isem l-Unjoni, suġġett għall-konklużjoni tiegħu.</w:t>
      </w:r>
    </w:p>
    <w:p>
      <w:pPr>
        <w:pStyle w:val="Titrearticle"/>
        <w:rPr>
          <w:noProof/>
        </w:rPr>
      </w:pPr>
      <w:r>
        <w:rPr>
          <w:noProof/>
        </w:rPr>
        <w:t>Artikolu 4</w:t>
      </w:r>
    </w:p>
    <w:p>
      <w:pPr>
        <w:keepLines/>
        <w:rPr>
          <w:noProof/>
        </w:rPr>
      </w:pPr>
      <w:r>
        <w:rPr>
          <w:noProof/>
        </w:rPr>
        <w:t>Il-Ftehim japplika b’mod proviżorju mid-data wara l-iffirmar tiegħu, sakemm jitlestew il-proċeduri meħtieġa għal konklużjoni.</w:t>
      </w:r>
    </w:p>
    <w:p>
      <w:pPr>
        <w:pStyle w:val="Fait"/>
        <w:rPr>
          <w:noProof/>
        </w:rPr>
      </w:pPr>
      <w:r>
        <w:rPr>
          <w:noProof/>
        </w:rP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tal-Kunsilll (KE) Nru 539/2001 tal-15 ta' Marzu 2001 li jelenka l-pajjiżi terzi li ċ-ċittadini tagħhom għandu jkollhom viża fil-pussess tagħhom meta jaqsmu l-fruntieri esterni u dawk iċ-ċittadini li huma eżentati minn dak ir-rekwiżit, ĠU L 81, 21.03.2001, p. 1.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Ir-Regolament (UE) Nru 509/2014 tal-Parlament Ewropew u tal-Kunsill tal-15 ta' Mejju 2014 li jemenda r-Regolament tal-Kunsill (KE) Nru 539/2001 li jelenka l-pajjiżi terzi li ċ-ċittadini tagħhom għandu jkollhom viża fil-pussess tagħhom meta jaqsmu l-fruntieri esterni u dawk li ċ-ċittadini tagħhom huma eżentati minn dik il-ħtieġa, ĠU L 149, 20.05.2014, p. 67.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COM(2014) 467, 17.7.2014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Ir-Regolament (UE) Nru 509/2014 tal-Parlament Ewropew u tal-Kunsill tal-15 ta' Mejju 2014 li jemenda r-Regolament tal-Kunsill (KE) Nru 539/2001 li jelenka l-pajjiżi terzi li ċ-ċittadini tagħhom għandu jkollhom viża fil-pussess tagħhom meta jaqsmu l-fruntieri esterni u dawk li ċ-ċittadini tagħhom huma eżentati minn dik il-ħtieġa, ĠU L 149, 20.05.2014, p. 67.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tal-Kunsilll (KE) Nru 539/2001 tal-15 ta' Marzu 2001 li jelenka l-pajjiżi terzi li ċ-ċittadini tagħhom għandhom ikollhom viża fil-pussess tagħhom meta jaqsmu l-fruntieri esterni u dawk li ċ-ċittadini tagħhom huma eżenti minn dik il-ħtieġa (ĠU L 81, 21.03.2001, p.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30EFC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160DC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B12BC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D5C64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934D9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876E1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6DACD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8383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0315490"/>
    <w:multiLevelType w:val="singleLevel"/>
    <w:tmpl w:val="1F86C700"/>
    <w:name w:val="0,5809551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8A241BD"/>
    <w:multiLevelType w:val="singleLevel"/>
    <w:tmpl w:val="53C4DF3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23"/>
    <w:lvlOverride w:ilvl="0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19"/>
  </w:num>
  <w:num w:numId="13">
    <w:abstractNumId w:val="13"/>
  </w:num>
  <w:num w:numId="14">
    <w:abstractNumId w:val="21"/>
  </w:num>
  <w:num w:numId="15">
    <w:abstractNumId w:val="11"/>
  </w:num>
  <w:num w:numId="16">
    <w:abstractNumId w:val="14"/>
  </w:num>
  <w:num w:numId="17">
    <w:abstractNumId w:val="9"/>
  </w:num>
  <w:num w:numId="18">
    <w:abstractNumId w:val="20"/>
  </w:num>
  <w:num w:numId="19">
    <w:abstractNumId w:val="8"/>
  </w:num>
  <w:num w:numId="20">
    <w:abstractNumId w:val="15"/>
  </w:num>
  <w:num w:numId="21">
    <w:abstractNumId w:val="17"/>
  </w:num>
  <w:num w:numId="22">
    <w:abstractNumId w:val="18"/>
  </w:num>
  <w:num w:numId="23">
    <w:abstractNumId w:val="10"/>
  </w:num>
  <w:num w:numId="24">
    <w:abstractNumId w:val="16"/>
  </w:num>
  <w:num w:numId="25">
    <w:abstractNumId w:val="23"/>
  </w:num>
  <w:num w:numId="26">
    <w:abstractNumId w:val="19"/>
  </w:num>
  <w:num w:numId="27">
    <w:abstractNumId w:val="13"/>
  </w:num>
  <w:num w:numId="28">
    <w:abstractNumId w:val="21"/>
  </w:num>
  <w:num w:numId="29">
    <w:abstractNumId w:val="11"/>
  </w:num>
  <w:num w:numId="30">
    <w:abstractNumId w:val="14"/>
  </w:num>
  <w:num w:numId="31">
    <w:abstractNumId w:val="9"/>
  </w:num>
  <w:num w:numId="32">
    <w:abstractNumId w:val="20"/>
  </w:num>
  <w:num w:numId="33">
    <w:abstractNumId w:val="8"/>
  </w:num>
  <w:num w:numId="34">
    <w:abstractNumId w:val="15"/>
  </w:num>
  <w:num w:numId="35">
    <w:abstractNumId w:val="17"/>
  </w:num>
  <w:num w:numId="36">
    <w:abstractNumId w:val="18"/>
  </w:num>
  <w:num w:numId="37">
    <w:abstractNumId w:val="10"/>
  </w:num>
  <w:num w:numId="38">
    <w:abstractNumId w:val="16"/>
  </w:num>
  <w:num w:numId="39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9-14 09:44:2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A5639328D3754F2CBC6BF858EDAC54AA"/>
    <w:docVar w:name="LW_CROSSREFERENCE" w:val="&lt;UNUSED&gt;"/>
    <w:docVar w:name="LW_DocType" w:val="COM"/>
    <w:docVar w:name="LW_EMISSION" w:val="14.9.2015"/>
    <w:docVar w:name="LW_EMISSION_ISODATE" w:val="2015-09-14"/>
    <w:docVar w:name="LW_EMISSION_LOCATION" w:val="BRX"/>
    <w:docVar w:name="LW_EMISSION_PREFIX" w:val="Brussell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STATUT" w:val="SJ-019"/>
    <w:docVar w:name="LW_INTERETEEE.CP" w:val="&lt;UNUSED&gt;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95"/>
    <w:docVar w:name="LW_REF.II.NEW.CP_YEAR" w:val="2015"/>
    <w:docVar w:name="LW_REF.INST.NEW" w:val="COM"/>
    <w:docVar w:name="LW_REF.INST.NEW_ADOPTED" w:val="final"/>
    <w:docVar w:name="LW_REF.INST.NEW_TEXT" w:val="(2015) 434"/>
    <w:docVar w:name="LW_REF.INTERNE" w:val="&lt;UNUSED&gt;"/>
    <w:docVar w:name="LW_SOUS.TITRE.OBJ.CP" w:val="&lt;UNUSED&gt;"/>
    <w:docVar w:name="LW_STATUT.CP" w:val="Proposta g\u295?al"/>
    <w:docVar w:name="LW_SUPERTITRE" w:val="&lt;UNUSED&gt;"/>
    <w:docVar w:name="LW_TITRE.OBJ.CP" w:val="dwar l-iffirmar, f'isem l-Unjoni Ewropea, u l-applikazzjoni provi\u380?orja tal-Ftehim bejn l-Unjoni Ewropea u r-Renju ta' Tonga dwar l-e\u380?enzjoni mill-vi\u380?a g\u295?al so\u289?\u289?orn g\u295?al perijodu qasir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paragraph" w:customStyle="1" w:styleId="ListDash">
    <w:name w:val="List Dash"/>
    <w:basedOn w:val="Normal"/>
    <w:pPr>
      <w:numPr>
        <w:numId w:val="2"/>
      </w:numPr>
    </w:pPr>
    <w:rPr>
      <w:rFonts w:eastAsia="Times New Roman"/>
      <w:szCs w:val="24"/>
    </w:rPr>
  </w:style>
  <w:style w:type="paragraph" w:customStyle="1" w:styleId="ListDash3">
    <w:name w:val="List Dash 3"/>
    <w:basedOn w:val="Normal"/>
    <w:pPr>
      <w:numPr>
        <w:numId w:val="3"/>
      </w:numPr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paragraph" w:customStyle="1" w:styleId="ListDash">
    <w:name w:val="List Dash"/>
    <w:basedOn w:val="Normal"/>
    <w:pPr>
      <w:numPr>
        <w:numId w:val="2"/>
      </w:numPr>
    </w:pPr>
    <w:rPr>
      <w:rFonts w:eastAsia="Times New Roman"/>
      <w:szCs w:val="24"/>
    </w:rPr>
  </w:style>
  <w:style w:type="paragraph" w:customStyle="1" w:styleId="ListDash3">
    <w:name w:val="List Dash 3"/>
    <w:basedOn w:val="Normal"/>
    <w:pPr>
      <w:numPr>
        <w:numId w:val="3"/>
      </w:numPr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6</Pages>
  <Words>1220</Words>
  <Characters>8692</Characters>
  <Application>Microsoft Office Word</Application>
  <DocSecurity>0</DocSecurity>
  <Lines>147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dcterms:created xsi:type="dcterms:W3CDTF">2015-09-10T12:53:00Z</dcterms:created>
  <dcterms:modified xsi:type="dcterms:W3CDTF">2015-09-14T07:44:00Z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