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BCE01B3109E495787A8C0ECA1CAC07F" style="width:450.75pt;height:351.75pt">
            <v:imagedata r:id="rId8" o:title=""/>
          </v:shape>
        </w:pict>
      </w:r>
    </w:p>
    <w:p>
      <w:pPr>
        <w:rPr>
          <w:noProof/>
        </w:rPr>
        <w:sectPr>
          <w:footerReference w:type="default" r:id="rId9"/>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rPr>
          <w:noProof/>
        </w:rPr>
        <w:t>1.</w:t>
      </w:r>
      <w:r>
        <w:rPr>
          <w:noProof/>
        </w:rPr>
        <w:tab/>
        <w:t>PASIŪLYMO APLINKYBĖS</w:t>
      </w:r>
    </w:p>
    <w:p>
      <w:pPr>
        <w:widowControl w:val="0"/>
        <w:autoSpaceDE w:val="0"/>
        <w:autoSpaceDN w:val="0"/>
        <w:adjustRightInd w:val="0"/>
        <w:rPr>
          <w:rFonts w:eastAsia="Calibri"/>
          <w:noProof/>
        </w:rPr>
      </w:pPr>
      <w:r>
        <w:rPr>
          <w:noProof/>
        </w:rPr>
        <w:t>Tarybos reglamente (EB) Nr. 539/2001</w:t>
      </w:r>
      <w:r>
        <w:rPr>
          <w:rStyle w:val="FootnoteReference"/>
          <w:noProof/>
        </w:rPr>
        <w:footnoteReference w:id="1"/>
      </w:r>
      <w:r>
        <w:rPr>
          <w:noProof/>
        </w:rPr>
        <w:t xml:space="preserve"> pateikti trečiųjų šalių, kurių piliečiai, kirsdami valstybių narių išorės sienas, privalo turėti vizą, ir trečiųjų šalių, kurių piliečiams toks reikalavimas netaikomas, sąrašai. Reglamentą (EB) Nr. 539/2001 taiko visos valstybės narės, išskyrus Airiją ir Jungtinę Karalystę. </w:t>
      </w:r>
    </w:p>
    <w:p>
      <w:pPr>
        <w:widowControl w:val="0"/>
        <w:autoSpaceDE w:val="0"/>
        <w:autoSpaceDN w:val="0"/>
        <w:adjustRightInd w:val="0"/>
        <w:rPr>
          <w:rFonts w:eastAsia="Calibri"/>
          <w:noProof/>
        </w:rPr>
      </w:pPr>
      <w:r>
        <w:rPr>
          <w:noProof/>
        </w:rPr>
        <w:t>Europos Parlamento ir Tarybos reglamentu (ES) Nr. 509/2014</w:t>
      </w:r>
      <w:r>
        <w:rPr>
          <w:rStyle w:val="FootnoteReference"/>
          <w:noProof/>
        </w:rPr>
        <w:footnoteReference w:id="2"/>
      </w:r>
      <w:r>
        <w:rPr>
          <w:noProof/>
        </w:rPr>
        <w:t xml:space="preserve"> iš dalies pakeitus Reglamentą (EB) Nr. 539/2001 į II priedo sąrašą, kuriame nurodomos trečiosios šalys, kurių piliečiams netaikomas reikalavimas turėti vizą, įtraukta 19 šalių. Tos 19 šalių yra Dominika, Grenada, Jungtiniai Arabų Emyratai, Kiribatis, Kolumbija, Maršalo Salos, Mikronezija, Nauru, Palau, Peru, Rytų Timoras, Saliamono Salos, Samoa, Sent Lusija, Sent Vinsentas ir Grenadinai, Tonga, Trinidadas ir Tobagas, Tuvalu ir Vanuatu. Šalia kiekvienos iš tų II priede nurodytų šalių pavadinimų pateikiama nuoroda į išnašą, kurioje nustatyta, kad „vizų reikalavimas netaikomas nuo tos dienos, kai įsigalioja su Europos Sąjunga sudarytinas susitarimas dėl bevizio režimo“. </w:t>
      </w:r>
    </w:p>
    <w:p>
      <w:pPr>
        <w:widowControl w:val="0"/>
        <w:autoSpaceDE w:val="0"/>
        <w:autoSpaceDN w:val="0"/>
        <w:adjustRightInd w:val="0"/>
        <w:rPr>
          <w:noProof/>
        </w:rPr>
      </w:pPr>
      <w:r>
        <w:rPr>
          <w:noProof/>
        </w:rPr>
        <w:t>Reglamentas (ES) Nr. 509/2014 buvo priimtas 2014 m. gegužės 20 d. ir įsigaliojo 2014 m. birželio 9 d. 2014 m. liepos mėn. Komisija Tarybai pateikė rekomendaciją suteikti jai įgaliojimus pradėti derybas dėl bevizio režimo susitarimų su kiekviena iš toliau nurodytų 17 šalių: Dominika, Grenada, Jungtiniais Arabų Emyratais, Kiribačiu, Maršalo Salomis, Mikronezija, Nauru, Palau, Rytų Timoru, Saliamono Salomis, Samoa, Sent Lusija, Sent Vinsentu ir Grenadinais, Tonga, Trinidadu ir Tobagu, Tuvalu ir Vanuatu</w:t>
      </w:r>
      <w:r>
        <w:rPr>
          <w:rStyle w:val="FootnoteReference"/>
          <w:noProof/>
        </w:rPr>
        <w:footnoteReference w:id="3"/>
      </w:r>
      <w:r>
        <w:rPr>
          <w:noProof/>
        </w:rPr>
        <w:t>. 2014 m. spalio 9 d. Taryba pateikė Komisijai derybinius nurodymus.</w:t>
      </w:r>
    </w:p>
    <w:p>
      <w:pPr>
        <w:widowControl w:val="0"/>
        <w:autoSpaceDE w:val="0"/>
        <w:autoSpaceDN w:val="0"/>
        <w:adjustRightInd w:val="0"/>
        <w:rPr>
          <w:rFonts w:eastAsia="Calibri"/>
          <w:noProof/>
        </w:rPr>
      </w:pPr>
      <w:r>
        <w:rPr>
          <w:noProof/>
        </w:rPr>
        <w:t xml:space="preserve">Pirmoji bevizio režimo susitarimų dalis pasirašyta 2015 m. gegužės 6 d. (su Jungtiniais Arabų Emyratais), 2015 m. gegužės 26 d. (su Rytų Timoru) ir 2015 m. gegužės 28 d. (su Dominika, Grenada, Samoa, Sent Lusija, Sent Vinsentu ir Grenadinais, Trinidadu ir Tobagu ir Vanuatu). </w:t>
      </w:r>
    </w:p>
    <w:p>
      <w:pPr>
        <w:widowControl w:val="0"/>
        <w:autoSpaceDE w:val="0"/>
        <w:autoSpaceDN w:val="0"/>
        <w:adjustRightInd w:val="0"/>
        <w:rPr>
          <w:rFonts w:eastAsia="Calibri"/>
          <w:noProof/>
        </w:rPr>
      </w:pPr>
      <w:r>
        <w:rPr>
          <w:noProof/>
        </w:rPr>
        <w:t>Derybos dėl bevizio režimo susitarimo su Tonga pradėtos Briuselyje 2014 m. lapkričio 19 d. Per posėdį peržiūrėtas visas teksto projektas ir susitarta dėl visų jo aspektų. Ne kartą neoficialiai apsikeitę informacija, vyriausieji derybininkai susitarimą parafavo apsikeisdami 2015 m. gegužės 29 d. Tongos ir 2015 m. birželio 10 d. Sąjungos laiškais. Valstybėms narėms apie tai pranešta Tarybos Vizų darbo grupės posėdyje 2015 m. birželio 15 d.</w:t>
      </w:r>
    </w:p>
    <w:p>
      <w:pPr>
        <w:pStyle w:val="ManualHeading1"/>
        <w:rPr>
          <w:noProof/>
        </w:rPr>
      </w:pPr>
      <w:r>
        <w:rPr>
          <w:noProof/>
        </w:rPr>
        <w:t>2.</w:t>
      </w:r>
      <w:r>
        <w:rPr>
          <w:noProof/>
        </w:rPr>
        <w:tab/>
        <w:t>TEISINIS PAGRINDAS</w:t>
      </w:r>
    </w:p>
    <w:p>
      <w:pPr>
        <w:rPr>
          <w:rFonts w:eastAsia="Calibri"/>
          <w:noProof/>
        </w:rPr>
      </w:pPr>
      <w:r>
        <w:rPr>
          <w:noProof/>
        </w:rPr>
        <w:t>Sąjungos teisinis šio susitarimo pagrindas – Sutarties dėl Europos Sąjungos veikimo (SESV) 77 straipsnio 2 dalies a punktas kartu su jos 218 straipsniu.</w:t>
      </w:r>
    </w:p>
    <w:p>
      <w:pPr>
        <w:autoSpaceDE w:val="0"/>
        <w:autoSpaceDN w:val="0"/>
        <w:adjustRightInd w:val="0"/>
        <w:rPr>
          <w:rFonts w:eastAsia="Calibri"/>
          <w:noProof/>
        </w:rPr>
      </w:pPr>
      <w:r>
        <w:rPr>
          <w:noProof/>
        </w:rPr>
        <w:t xml:space="preserve">Pridedamas pasiūlymas yra susitarimo pasirašymo teisinė priemonė. Taryba sprendimą priims kvalifikuota balsų dauguma. </w:t>
      </w:r>
    </w:p>
    <w:p>
      <w:pPr>
        <w:autoSpaceDE w:val="0"/>
        <w:autoSpaceDN w:val="0"/>
        <w:adjustRightInd w:val="0"/>
        <w:rPr>
          <w:rFonts w:eastAsia="Calibri"/>
          <w:noProof/>
        </w:rPr>
      </w:pPr>
      <w:r>
        <w:rPr>
          <w:noProof/>
        </w:rPr>
        <w:t>Atsižvelgiant į tai, kad Tonga galės greitai užbaigti vidaus ratifikavimo procedūrą, ir į tai, kad praėjo daug laiko nuo pirmo Komisijos pasiūlymo netaikyti Tongos piliečiams reikalavimo turėti vizą (2012 m. lapkričio mėn.), siūlomame sprendime dėl pasirašymo pagal SESV 218 straipsnio 5 dalį numatomas laikinas susitarimo taikymas nuo kitos dienos po jo pasirašymo. Atsižvelgdama į tai, kad prieš sudarant susitarimą jam turi pritarti Europos Parlamentas, Komisija informuos Europos Parlamentą apie laikiną susitarimo taikymą.</w:t>
      </w:r>
    </w:p>
    <w:p>
      <w:pPr>
        <w:pStyle w:val="ManualHeading1"/>
        <w:rPr>
          <w:noProof/>
        </w:rPr>
      </w:pPr>
      <w:r>
        <w:rPr>
          <w:noProof/>
        </w:rPr>
        <w:t>3.</w:t>
      </w:r>
      <w:r>
        <w:rPr>
          <w:noProof/>
        </w:rPr>
        <w:tab/>
        <w:t>DERYBŲ REZULTATAI</w:t>
      </w:r>
    </w:p>
    <w:p>
      <w:pPr>
        <w:autoSpaceDE w:val="0"/>
        <w:autoSpaceDN w:val="0"/>
        <w:adjustRightInd w:val="0"/>
        <w:rPr>
          <w:noProof/>
        </w:rPr>
      </w:pPr>
      <w:r>
        <w:rPr>
          <w:noProof/>
        </w:rPr>
        <w:t>Komisijos nuomone, Tarybos derybiniuose nurodymuose nustatyti tikslai pasiekti ir bevizio režimo susitarimo projektas Sąjungai yra priimtinas.</w:t>
      </w:r>
    </w:p>
    <w:p>
      <w:pPr>
        <w:autoSpaceDE w:val="0"/>
        <w:autoSpaceDN w:val="0"/>
        <w:adjustRightInd w:val="0"/>
        <w:rPr>
          <w:noProof/>
        </w:rPr>
      </w:pPr>
      <w:r>
        <w:rPr>
          <w:noProof/>
        </w:rPr>
        <w:t>Jo galutinis turinys gali būti apibendrintas taip, kaip išdėstyta toliau.</w:t>
      </w:r>
    </w:p>
    <w:p>
      <w:pPr>
        <w:rPr>
          <w:noProof/>
        </w:rPr>
      </w:pPr>
      <w:r>
        <w:rPr>
          <w:noProof/>
          <w:u w:val="single"/>
        </w:rPr>
        <w:t>Tikslas</w:t>
      </w:r>
    </w:p>
    <w:p>
      <w:pPr>
        <w:rPr>
          <w:noProof/>
        </w:rPr>
      </w:pPr>
      <w:r>
        <w:rPr>
          <w:noProof/>
        </w:rPr>
        <w:t xml:space="preserve">Susitarimu nustatomas bevizis režimas Europos Sąjungos ir Tongos piliečiams, vykstantiems į kitos Susitariančiosios Šalies teritoriją ne ilgiau kaip 90 dienų per bet kurį 180 dienų laikotarpį. </w:t>
      </w:r>
    </w:p>
    <w:p>
      <w:pPr>
        <w:rPr>
          <w:noProof/>
        </w:rPr>
      </w:pPr>
      <w:r>
        <w:rPr>
          <w:noProof/>
        </w:rPr>
        <w:t>Siekiant užtikrinti vienodas sąlygas visiems ES piliečiams, į susitarimą įtraukta nuostata, pagal kurią Tonga gali sustabdyti susitarimo galiojimą arba jį nutraukti tik visų Europos Sąjungos valstybių narių atžvilgiu, o Sąjunga gali sustabdyti susitarimo galiojimą arba jį nutraukti tik visų savo valstybių narių atžvilgiu.</w:t>
      </w:r>
    </w:p>
    <w:p>
      <w:pPr>
        <w:autoSpaceDE w:val="0"/>
        <w:autoSpaceDN w:val="0"/>
        <w:adjustRightInd w:val="0"/>
        <w:rPr>
          <w:noProof/>
        </w:rPr>
      </w:pPr>
      <w:r>
        <w:rPr>
          <w:noProof/>
        </w:rPr>
        <w:t xml:space="preserve">Apie ypatingą Jungtinės Karalystės ir Airijos padėtį kalbama preambulėje. </w:t>
      </w:r>
    </w:p>
    <w:p>
      <w:pPr>
        <w:rPr>
          <w:noProof/>
        </w:rPr>
      </w:pPr>
      <w:r>
        <w:rPr>
          <w:noProof/>
          <w:u w:val="single"/>
        </w:rPr>
        <w:t>Taikymo sritis</w:t>
      </w:r>
    </w:p>
    <w:p>
      <w:pPr>
        <w:rPr>
          <w:noProof/>
        </w:rPr>
      </w:pPr>
      <w:r>
        <w:rPr>
          <w:noProof/>
        </w:rPr>
        <w:t>Bevizis režimas taikomas visų kategorijų asmenims (paprastų, diplomatinių, tarnybinių ir (arba) pareiginių ir specialiųjų pasų turėtojams), keliaujantiems bet kokiais tikslais, išskyrus asmenis, vykstančius dirbti mokamo darbo. Pastarosios kategorijos asmenims, kurie yra kitos Susitariančiosios Šalies piliečiai, visos valstybės narės ir Tonga gali toliau taikyti reikalavimą turėti vizą pagal galiojančią Sąjungos arba nacionalinę teisę. Siekiant užtikrinti darnų įgyvendinimą, prie susitarimo pridedama bendra deklaracija dėl asmenų, kurie vyksta dirbti mokamo darbo, kategorijos aiškinimo.</w:t>
      </w:r>
    </w:p>
    <w:p>
      <w:pPr>
        <w:rPr>
          <w:noProof/>
        </w:rPr>
      </w:pPr>
      <w:r>
        <w:rPr>
          <w:noProof/>
          <w:u w:val="single"/>
        </w:rPr>
        <w:t>Buvimo trukmė</w:t>
      </w:r>
    </w:p>
    <w:p>
      <w:pPr>
        <w:rPr>
          <w:noProof/>
        </w:rPr>
      </w:pPr>
      <w:r>
        <w:rPr>
          <w:noProof/>
        </w:rPr>
        <w:t xml:space="preserve">Susitarimu nustatomas bevizis režimas Europos Sąjungos ir Tongos piliečiams, vykstantiems į kitos Susitariančiosios Šalies teritoriją ne ilgiau kaip 90 dienų per bet kurį 180 dienų laikotarpį. Bendra deklaracija dėl 90 dienų laikotarpio per bet kurį 180 dienų laikotarpį aiškinimo pridedama prie susitarimo. </w:t>
      </w:r>
    </w:p>
    <w:p>
      <w:pPr>
        <w:rPr>
          <w:noProof/>
        </w:rPr>
      </w:pPr>
      <w:r>
        <w:rPr>
          <w:noProof/>
        </w:rPr>
        <w:t xml:space="preserve">Susitarime atsižvelgiama į valstybių narių, kurios dar netaiko viso Šengeno </w:t>
      </w:r>
      <w:r>
        <w:rPr>
          <w:i/>
          <w:noProof/>
        </w:rPr>
        <w:t>acquis</w:t>
      </w:r>
      <w:r>
        <w:rPr>
          <w:noProof/>
        </w:rPr>
        <w:t>, padėtį. Šengeno erdvei be vidaus sienų nepriklausančių valstybių narių (Bulgarijos, Kipro, Kroatijos ir Rumunijos) atveju beviziu režimu Tongos piliečiams suteikiama teisė būti jų teritorijoje 90 dienų per bet kurį 180 dienų laikotarpį, neskaičiuojant buvimo visoje Šengeno erdvėje trukmės.</w:t>
      </w:r>
    </w:p>
    <w:p>
      <w:pPr>
        <w:rPr>
          <w:noProof/>
        </w:rPr>
      </w:pPr>
      <w:r>
        <w:rPr>
          <w:noProof/>
          <w:u w:val="single"/>
        </w:rPr>
        <w:t>Teritorinis taikymas</w:t>
      </w:r>
    </w:p>
    <w:p>
      <w:pPr>
        <w:rPr>
          <w:noProof/>
        </w:rPr>
      </w:pPr>
      <w:r>
        <w:rPr>
          <w:noProof/>
        </w:rPr>
        <w:t>Susitarime yra nuostatų dėl jo teritorinio taikymo: Prancūzijos ir Nyderlandų atveju bevizis režimas Tongos piliečiams taikomas tik šių valstybių narių europinėje teritorijoje.</w:t>
      </w:r>
    </w:p>
    <w:p>
      <w:pPr>
        <w:autoSpaceDE w:val="0"/>
        <w:autoSpaceDN w:val="0"/>
        <w:adjustRightInd w:val="0"/>
        <w:rPr>
          <w:noProof/>
          <w:u w:val="single"/>
        </w:rPr>
      </w:pPr>
      <w:r>
        <w:rPr>
          <w:noProof/>
          <w:u w:val="single"/>
        </w:rPr>
        <w:t>Deklaracijos</w:t>
      </w:r>
    </w:p>
    <w:p>
      <w:pPr>
        <w:autoSpaceDE w:val="0"/>
        <w:autoSpaceDN w:val="0"/>
        <w:adjustRightInd w:val="0"/>
        <w:rPr>
          <w:noProof/>
        </w:rPr>
      </w:pPr>
      <w:r>
        <w:rPr>
          <w:noProof/>
        </w:rPr>
        <w:t>Be minėtų bendrų deklaracijų, prie susitarimo pridedamos dvi kitos bendros deklaracijos:</w:t>
      </w:r>
    </w:p>
    <w:p>
      <w:pPr>
        <w:pStyle w:val="ListDash"/>
        <w:rPr>
          <w:noProof/>
        </w:rPr>
      </w:pPr>
      <w:r>
        <w:rPr>
          <w:noProof/>
        </w:rPr>
        <w:t xml:space="preserve">dėl Norvegijos, Islandijos, Šveicarijos ir Lichtenšteino asociacijos įgyvendinant, taikant ir plėtojant Šengeno </w:t>
      </w:r>
      <w:r>
        <w:rPr>
          <w:i/>
          <w:noProof/>
        </w:rPr>
        <w:t>acquis</w:t>
      </w:r>
      <w:r>
        <w:rPr>
          <w:noProof/>
        </w:rPr>
        <w:t>;</w:t>
      </w:r>
    </w:p>
    <w:p>
      <w:pPr>
        <w:pStyle w:val="ListDash"/>
        <w:rPr>
          <w:noProof/>
        </w:rPr>
      </w:pPr>
      <w:r>
        <w:rPr>
          <w:noProof/>
        </w:rPr>
        <w:t>dėl informacijos apie bevizio režimo susitarimo turinį ir padarinius, taip pat apie kitus susijusius klausimus, kaip antai apie atvykimo sąlygas, visapusiškos sklaidos.</w:t>
      </w:r>
    </w:p>
    <w:p>
      <w:pPr>
        <w:pStyle w:val="ManualHeading1"/>
        <w:rPr>
          <w:noProof/>
        </w:rPr>
      </w:pPr>
      <w:r>
        <w:rPr>
          <w:noProof/>
        </w:rPr>
        <w:t>4.</w:t>
      </w:r>
      <w:r>
        <w:rPr>
          <w:noProof/>
        </w:rPr>
        <w:tab/>
        <w:t>IŠVADA</w:t>
      </w:r>
    </w:p>
    <w:p>
      <w:pPr>
        <w:autoSpaceDE w:val="0"/>
        <w:autoSpaceDN w:val="0"/>
        <w:adjustRightInd w:val="0"/>
        <w:rPr>
          <w:noProof/>
        </w:rPr>
      </w:pPr>
      <w:r>
        <w:rPr>
          <w:noProof/>
        </w:rPr>
        <w:t>Atsižvelgdama į minėtus rezultatus, Komisija siūlo Tarybai:</w:t>
      </w:r>
    </w:p>
    <w:p>
      <w:pPr>
        <w:pStyle w:val="ListDash"/>
        <w:rPr>
          <w:noProof/>
        </w:rPr>
      </w:pPr>
      <w:r>
        <w:rPr>
          <w:noProof/>
        </w:rPr>
        <w:t>priimti sprendimą pasirašyti susitarimą Sąjungos vardu ir įgalioti Tarybos pirmininką paskirti asmenį (-is), tinkamai įgaliotą (-us) pasirašyti susitarimą Sąjungos vardu;</w:t>
      </w:r>
    </w:p>
    <w:p>
      <w:pPr>
        <w:pStyle w:val="ListDash"/>
        <w:rPr>
          <w:noProof/>
        </w:rPr>
      </w:pPr>
      <w:r>
        <w:rPr>
          <w:noProof/>
        </w:rPr>
        <w:t>pritarti, kad iki įsigaliojimo susitarimas būtų taikomas laikinai.</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t>2015/0195 (NLE)</w:t>
      </w:r>
    </w:p>
    <w:p>
      <w:pPr>
        <w:pStyle w:val="Statut"/>
        <w:rPr>
          <w:noProof/>
        </w:rPr>
      </w:pPr>
      <w:r>
        <w:rPr>
          <w:noProof/>
        </w:rPr>
        <w:t>Pasiūlymas</w:t>
      </w:r>
    </w:p>
    <w:p>
      <w:pPr>
        <w:pStyle w:val="Typedudocument"/>
        <w:rPr>
          <w:noProof/>
        </w:rPr>
      </w:pPr>
      <w:r>
        <w:rPr>
          <w:noProof/>
        </w:rPr>
        <w:t>TARYBOS SPRENDIMAS</w:t>
      </w:r>
    </w:p>
    <w:p>
      <w:pPr>
        <w:pStyle w:val="Titreobjet"/>
        <w:rPr>
          <w:noProof/>
        </w:rPr>
      </w:pPr>
      <w:r>
        <w:rPr>
          <w:noProof/>
        </w:rPr>
        <w:t>dėl Europos Sąjungos ir Tongos Karalystės susitarimo dėl bevizio režimo trumpalaikio buvimo atveju pasirašymo Europos Sąjungos vardu ir laikino taikymo</w:t>
      </w:r>
    </w:p>
    <w:p>
      <w:pPr>
        <w:pStyle w:val="Institutionquiagit"/>
        <w:rPr>
          <w:noProof/>
        </w:rPr>
      </w:pPr>
      <w:r>
        <w:rPr>
          <w:noProof/>
        </w:rPr>
        <w:t>EUROPOS SĄJUNGOS TARYBA,</w:t>
      </w:r>
    </w:p>
    <w:p>
      <w:pPr>
        <w:rPr>
          <w:noProof/>
        </w:rPr>
      </w:pPr>
      <w:r>
        <w:rPr>
          <w:noProof/>
        </w:rPr>
        <w:t>atsižvelgdama į Sutartį dėl Europos Sąjungos veikimo, ypač į jos 77 straipsnio 2 dalies a punktą kartu su 218 straipsnio 5 dalimi,</w:t>
      </w:r>
    </w:p>
    <w:p>
      <w:pPr>
        <w:rPr>
          <w:noProof/>
        </w:rPr>
      </w:pPr>
      <w:r>
        <w:rPr>
          <w:noProof/>
        </w:rPr>
        <w:t>atsižvelgdama į Europos Komisijos pasiūlymą,</w:t>
      </w:r>
    </w:p>
    <w:p>
      <w:pPr>
        <w:rPr>
          <w:noProof/>
        </w:rPr>
      </w:pPr>
      <w:r>
        <w:rPr>
          <w:noProof/>
        </w:rPr>
        <w:t>kadangi:</w:t>
      </w:r>
    </w:p>
    <w:p>
      <w:pPr>
        <w:pStyle w:val="ManualConsidrant"/>
        <w:rPr>
          <w:noProof/>
        </w:rPr>
      </w:pPr>
      <w:r>
        <w:t>(1)</w:t>
      </w:r>
      <w:r>
        <w:tab/>
      </w:r>
      <w:r>
        <w:rPr>
          <w:noProof/>
        </w:rPr>
        <w:t>Europos Parlamento ir Tarybos reglamentu (ES) Nr. 509/2014</w:t>
      </w:r>
      <w:r>
        <w:rPr>
          <w:rStyle w:val="FootnoteReference"/>
          <w:noProof/>
        </w:rPr>
        <w:footnoteReference w:id="4"/>
      </w:r>
      <w:r>
        <w:rPr>
          <w:noProof/>
        </w:rPr>
        <w:t xml:space="preserve"> Tonga perkelta iš Tarybos reglamento (EB) Nr. 539/2001</w:t>
      </w:r>
      <w:r>
        <w:rPr>
          <w:rStyle w:val="FootnoteReference"/>
          <w:noProof/>
        </w:rPr>
        <w:footnoteReference w:id="5"/>
      </w:r>
      <w:r>
        <w:rPr>
          <w:noProof/>
        </w:rPr>
        <w:t xml:space="preserve"> I priedo į II priedą; </w:t>
      </w:r>
    </w:p>
    <w:p>
      <w:pPr>
        <w:pStyle w:val="ManualConsidrant"/>
        <w:rPr>
          <w:noProof/>
        </w:rPr>
      </w:pPr>
      <w:r>
        <w:t>(2)</w:t>
      </w:r>
      <w:r>
        <w:tab/>
      </w:r>
      <w:r>
        <w:rPr>
          <w:noProof/>
        </w:rPr>
        <w:t>šalia šios šalies pavadinimo pateikiama nuoroda į išnašą, kurioje nustatyta, kad vizų reikalavimas netaikomas nuo tos dienos, kai įsigalioja su Europos Sąjunga sudarytinas susitarimas dėl bevizio režimo;</w:t>
      </w:r>
    </w:p>
    <w:p>
      <w:pPr>
        <w:pStyle w:val="ManualConsidrant"/>
        <w:rPr>
          <w:noProof/>
        </w:rPr>
      </w:pPr>
      <w:r>
        <w:t>(3)</w:t>
      </w:r>
      <w:r>
        <w:tab/>
      </w:r>
      <w:r>
        <w:rPr>
          <w:noProof/>
        </w:rPr>
        <w:t>2014 m. spalio 9 d. sprendimu Taryba įgaliojo Komisiją derėtis dėl Europos Sąjungos ir Tongos susitarimo dėl bevizio režimo trumpalaikio buvimo atveju; derybos dėl susitarimo pradėtos 2014 m. lapkričio 19 d.;</w:t>
      </w:r>
    </w:p>
    <w:p>
      <w:pPr>
        <w:pStyle w:val="ManualConsidrant"/>
        <w:rPr>
          <w:noProof/>
        </w:rPr>
      </w:pPr>
      <w:r>
        <w:t>(4)</w:t>
      </w:r>
      <w:r>
        <w:tab/>
      </w:r>
      <w:r>
        <w:rPr>
          <w:noProof/>
        </w:rPr>
        <w:t xml:space="preserve">pasikeičiant 2015 m. gegužės 29 d. Tongos ir 2015 m. birželio 10 d. Sąjungos laiškais parafuotas susitarimas turėtų būti pasirašytas, o pridedamos deklaracijos – patvirtintos. Susitarimas turėtų būti laikinai taikomas, kol bus baigtos jo oficialaus sudarymo procedūros; </w:t>
      </w:r>
    </w:p>
    <w:p>
      <w:pPr>
        <w:pStyle w:val="ManualConsidrant"/>
        <w:rPr>
          <w:noProof/>
        </w:rPr>
      </w:pPr>
      <w:r>
        <w:t>(5)</w:t>
      </w:r>
      <w:r>
        <w:tab/>
      </w:r>
      <w:r>
        <w:rPr>
          <w:noProof/>
        </w:rPr>
        <w:t xml:space="preserve">pagal Protokolą dėl Jungtinės Karalystės ir Airijos pozicijos dėl laisvės, saugumo ir teisingumo erdvės ir Protokolą dėl į Europos Sąjungos sistemą integruotos Šengeno </w:t>
      </w:r>
      <w:r>
        <w:rPr>
          <w:i/>
          <w:noProof/>
        </w:rPr>
        <w:t>acquis</w:t>
      </w:r>
      <w:r>
        <w:rPr>
          <w:noProof/>
        </w:rPr>
        <w:t>, pridėtus prie Europos Sąjungos sutarties ir Sutarties dėl Europos Sąjungos veikimo, ir patvirtindama, kad susitarimo nuostatos netaikomos Jungtinei Karalystei ir Airijai,</w:t>
      </w:r>
    </w:p>
    <w:p>
      <w:pPr>
        <w:pStyle w:val="Formuledadoption"/>
        <w:rPr>
          <w:noProof/>
        </w:rPr>
      </w:pPr>
      <w:r>
        <w:rPr>
          <w:noProof/>
        </w:rPr>
        <w:t xml:space="preserve">PRIĖMĖ ŠĮ SPRENDIMĄ: </w:t>
      </w:r>
    </w:p>
    <w:p>
      <w:pPr>
        <w:pStyle w:val="Titrearticle"/>
        <w:rPr>
          <w:noProof/>
        </w:rPr>
      </w:pPr>
      <w:r>
        <w:rPr>
          <w:noProof/>
        </w:rPr>
        <w:t>1 straipsnis</w:t>
      </w:r>
    </w:p>
    <w:p>
      <w:pPr>
        <w:rPr>
          <w:noProof/>
        </w:rPr>
      </w:pPr>
      <w:r>
        <w:rPr>
          <w:noProof/>
        </w:rPr>
        <w:t>Europos Sąjungos ir Tongos Karalystės susitarimo dėl bevizio režimo trumpalaikio buvimo atveju (toliau – Susitarimas) pasirašymas patvirtinamas Sąjungos vardu su sąlyga, kad jis bus sudarytas.</w:t>
      </w:r>
    </w:p>
    <w:p>
      <w:pPr>
        <w:rPr>
          <w:noProof/>
        </w:rPr>
      </w:pPr>
      <w:r>
        <w:rPr>
          <w:noProof/>
        </w:rPr>
        <w:t>Susitarimo tekstas pridedamas prie šio sprendimo.</w:t>
      </w:r>
    </w:p>
    <w:p>
      <w:pPr>
        <w:pStyle w:val="Titrearticle"/>
        <w:rPr>
          <w:noProof/>
        </w:rPr>
      </w:pPr>
      <w:r>
        <w:rPr>
          <w:noProof/>
        </w:rPr>
        <w:t>2 straipsnis</w:t>
      </w:r>
    </w:p>
    <w:p>
      <w:pPr>
        <w:rPr>
          <w:noProof/>
        </w:rPr>
      </w:pPr>
      <w:r>
        <w:rPr>
          <w:noProof/>
        </w:rPr>
        <w:t>Sąjungos vardu patvirtinamos prie šio sprendimo pridedamos deklaracijos.</w:t>
      </w:r>
    </w:p>
    <w:p>
      <w:pPr>
        <w:pStyle w:val="Titrearticle"/>
        <w:rPr>
          <w:noProof/>
        </w:rPr>
      </w:pPr>
      <w:r>
        <w:rPr>
          <w:noProof/>
        </w:rPr>
        <w:t>3 straipsnis</w:t>
      </w:r>
    </w:p>
    <w:p>
      <w:pPr>
        <w:rPr>
          <w:noProof/>
        </w:rPr>
      </w:pPr>
      <w:r>
        <w:rPr>
          <w:noProof/>
        </w:rPr>
        <w:t>Tarybos pirmininkas įgaliojamas paskirti asmenį (-is), įgaliotą (-us) pasirašyti Susitarimą Sąjungos vardu su sąlyga, kad jis bus sudarytas.</w:t>
      </w:r>
    </w:p>
    <w:p>
      <w:pPr>
        <w:pStyle w:val="Titrearticle"/>
        <w:rPr>
          <w:noProof/>
        </w:rPr>
      </w:pPr>
      <w:r>
        <w:rPr>
          <w:noProof/>
        </w:rPr>
        <w:t>4 straipsnis</w:t>
      </w:r>
    </w:p>
    <w:p>
      <w:pPr>
        <w:keepLines/>
        <w:rPr>
          <w:noProof/>
        </w:rPr>
      </w:pPr>
      <w:r>
        <w:rPr>
          <w:noProof/>
        </w:rPr>
        <w:t>Šis susitarimas laikinai taikomas nuo kitos dienos po jo pasirašymo, kol bus baigtos jo sudarymo procedūros.</w:t>
      </w:r>
    </w:p>
    <w:p>
      <w:pPr>
        <w:pStyle w:val="Fait"/>
        <w:rPr>
          <w:noProof/>
        </w:rPr>
      </w:pPr>
      <w:r>
        <w:rPr>
          <w:noProof/>
        </w:rPr>
        <w:t>Priimta Briuselyje</w:t>
      </w:r>
    </w:p>
    <w:p>
      <w:pPr>
        <w:pStyle w:val="Institutionquisigne"/>
        <w:rPr>
          <w:noProof/>
        </w:rPr>
      </w:pPr>
      <w:r>
        <w:rPr>
          <w:noProof/>
        </w:rPr>
        <w:tab/>
        <w:t>Tarybos vardu</w:t>
      </w:r>
    </w:p>
    <w:p>
      <w:pPr>
        <w:pStyle w:val="Personnequisigne"/>
        <w:rPr>
          <w:noProof/>
        </w:rPr>
      </w:pPr>
      <w:r>
        <w:rPr>
          <w:noProof/>
        </w:rPr>
        <w:tab/>
        <w:t>Pirmininkas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2001 m. kovo 15 d. Tarybos reglamentas (EB) Nr. 539/2001, nustatantis trečiųjų šalių, kurių piliečiai, kirsdami išorines sienas, privalo turėti vizas, ir trečiųjų šalių, kurių piliečiams toks reikalavimas netaikomas, sąrašus, OL L 81, 2001 3 21, p. 1.</w:t>
      </w:r>
    </w:p>
  </w:footnote>
  <w:footnote w:id="2">
    <w:p>
      <w:pPr>
        <w:pStyle w:val="FootnoteText"/>
      </w:pPr>
      <w:r>
        <w:rPr>
          <w:rStyle w:val="FootnoteReference"/>
        </w:rPr>
        <w:footnoteRef/>
      </w:r>
      <w:r>
        <w:tab/>
        <w:t>2014 m. gegužės 15 d. Europos Parlamento ir Tarybos reglamentas (ES) Nr. 509/2014, kuriuo iš dalies keičiamas Tarybos reglamentas (EB) Nr. 539/2001, nustatantis trečiųjų šalių, kurių piliečiai, kirsdami išorines sienas, privalo turėti vizas, ir trečiųjų šalių, kurių piliečiams toks reikalavimas netaikomas, sąrašus, OL L 149, 2014 5 20, p. 67.</w:t>
      </w:r>
    </w:p>
  </w:footnote>
  <w:footnote w:id="3">
    <w:p>
      <w:pPr>
        <w:pStyle w:val="FootnoteText"/>
      </w:pPr>
      <w:r>
        <w:rPr>
          <w:rStyle w:val="FootnoteReference"/>
        </w:rPr>
        <w:footnoteRef/>
      </w:r>
      <w:r>
        <w:tab/>
        <w:t>COM(2014) 467, 2014 7 17.</w:t>
      </w:r>
    </w:p>
  </w:footnote>
  <w:footnote w:id="4">
    <w:p>
      <w:pPr>
        <w:pStyle w:val="FootnoteText"/>
      </w:pPr>
      <w:r>
        <w:rPr>
          <w:rStyle w:val="FootnoteReference"/>
        </w:rPr>
        <w:footnoteRef/>
      </w:r>
      <w:r>
        <w:tab/>
        <w:t>2014 m. gegužės 15 d. Europos Parlamento ir Tarybos reglamentas (ES) Nr. 509/2014, kuriuo iš dalies keičiamas Tarybos reglamentas (EB) Nr. 539/2001, nustatantis trečiųjų šalių, kurių piliečiai, kirsdami išorines sienas, privalo turėti vizas, ir trečiųjų šalių, kurių piliečiams toks reikalavimas netaikomas, sąrašus, OL L 149, 2014 5 20, p. 67.</w:t>
      </w:r>
    </w:p>
  </w:footnote>
  <w:footnote w:id="5">
    <w:p>
      <w:pPr>
        <w:pStyle w:val="FootnoteText"/>
      </w:pPr>
      <w:r>
        <w:rPr>
          <w:rStyle w:val="FootnoteReference"/>
        </w:rPr>
        <w:footnoteRef/>
      </w:r>
      <w:r>
        <w:tab/>
        <w:t>2001 m. kovo 15 d. Tarybos reglamentas (EB) Nr. 539/2001, nustatantis trečiųjų šalių, kurių piliečiai, kirsdami išorines sienas, privalo turėti vizas, ir trečiųjų šalių, kurių piliečiams toks reikalavimas netaikomas, sąrašus, OL L 81, 2001 3 21,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30EFC4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160DCDC"/>
    <w:lvl w:ilvl="0">
      <w:start w:val="1"/>
      <w:numFmt w:val="decimal"/>
      <w:pStyle w:val="ListNumber3"/>
      <w:lvlText w:val="%1."/>
      <w:lvlJc w:val="left"/>
      <w:pPr>
        <w:tabs>
          <w:tab w:val="num" w:pos="926"/>
        </w:tabs>
        <w:ind w:left="926" w:hanging="360"/>
      </w:pPr>
    </w:lvl>
  </w:abstractNum>
  <w:abstractNum w:abstractNumId="2">
    <w:nsid w:val="FFFFFF7F"/>
    <w:multiLevelType w:val="singleLevel"/>
    <w:tmpl w:val="8B12BC1A"/>
    <w:lvl w:ilvl="0">
      <w:start w:val="1"/>
      <w:numFmt w:val="decimal"/>
      <w:pStyle w:val="ListNumber2"/>
      <w:lvlText w:val="%1."/>
      <w:lvlJc w:val="left"/>
      <w:pPr>
        <w:tabs>
          <w:tab w:val="num" w:pos="643"/>
        </w:tabs>
        <w:ind w:left="643" w:hanging="360"/>
      </w:pPr>
    </w:lvl>
  </w:abstractNum>
  <w:abstractNum w:abstractNumId="3">
    <w:nsid w:val="FFFFFF81"/>
    <w:multiLevelType w:val="singleLevel"/>
    <w:tmpl w:val="8D5C64F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934D93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876E1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6DACD3C"/>
    <w:lvl w:ilvl="0">
      <w:start w:val="1"/>
      <w:numFmt w:val="decimal"/>
      <w:pStyle w:val="ListNumber"/>
      <w:lvlText w:val="%1."/>
      <w:lvlJc w:val="left"/>
      <w:pPr>
        <w:tabs>
          <w:tab w:val="num" w:pos="360"/>
        </w:tabs>
        <w:ind w:left="360" w:hanging="360"/>
      </w:pPr>
    </w:lvl>
  </w:abstractNum>
  <w:abstractNum w:abstractNumId="7">
    <w:nsid w:val="FFFFFF89"/>
    <w:multiLevelType w:val="singleLevel"/>
    <w:tmpl w:val="2838395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0315490"/>
    <w:multiLevelType w:val="singleLevel"/>
    <w:tmpl w:val="1F86C700"/>
    <w:name w:val="0,5809551"/>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12"/>
  </w:num>
  <w:num w:numId="3">
    <w:abstractNumId w:val="22"/>
  </w:num>
  <w:num w:numId="4">
    <w:abstractNumId w:val="23"/>
    <w:lvlOverride w:ilvl="0">
      <w:startOverride w:val="1"/>
    </w:lvlOverride>
  </w:num>
  <w:num w:numId="5">
    <w:abstractNumId w:val="7"/>
  </w:num>
  <w:num w:numId="6">
    <w:abstractNumId w:val="5"/>
  </w:num>
  <w:num w:numId="7">
    <w:abstractNumId w:val="4"/>
  </w:num>
  <w:num w:numId="8">
    <w:abstractNumId w:val="3"/>
  </w:num>
  <w:num w:numId="9">
    <w:abstractNumId w:val="6"/>
  </w:num>
  <w:num w:numId="10">
    <w:abstractNumId w:val="2"/>
  </w:num>
  <w:num w:numId="11">
    <w:abstractNumId w:val="0"/>
  </w:num>
  <w:num w:numId="12">
    <w:abstractNumId w:val="19"/>
  </w:num>
  <w:num w:numId="13">
    <w:abstractNumId w:val="13"/>
  </w:num>
  <w:num w:numId="14">
    <w:abstractNumId w:val="21"/>
  </w:num>
  <w:num w:numId="15">
    <w:abstractNumId w:val="11"/>
  </w:num>
  <w:num w:numId="16">
    <w:abstractNumId w:val="14"/>
  </w:num>
  <w:num w:numId="17">
    <w:abstractNumId w:val="9"/>
  </w:num>
  <w:num w:numId="18">
    <w:abstractNumId w:val="20"/>
  </w:num>
  <w:num w:numId="19">
    <w:abstractNumId w:val="8"/>
  </w:num>
  <w:num w:numId="20">
    <w:abstractNumId w:val="15"/>
  </w:num>
  <w:num w:numId="21">
    <w:abstractNumId w:val="17"/>
  </w:num>
  <w:num w:numId="22">
    <w:abstractNumId w:val="18"/>
  </w:num>
  <w:num w:numId="23">
    <w:abstractNumId w:val="10"/>
  </w:num>
  <w:num w:numId="24">
    <w:abstractNumId w:val="16"/>
  </w:num>
  <w:num w:numId="25">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44"/>
  <w:hideSpellingErrors/>
  <w:hideGrammaticalErrors/>
  <w:attachedTemplate r:id="rId1"/>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9-14 09:43:2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BBCE01B3109E495787A8C0ECA1CAC07F"/>
    <w:docVar w:name="LW_CROSSREFERENCE" w:val="&lt;UNUSED&gt;"/>
    <w:docVar w:name="LW_DocType" w:val="COM"/>
    <w:docVar w:name="LW_EMISSION" w:val="2015 09 14"/>
    <w:docVar w:name="LW_EMISSION_ISODATE" w:val="2015-09-14"/>
    <w:docVar w:name="LW_EMISSION_LOCATION" w:val="BRX"/>
    <w:docVar w:name="LW_EMISSION_PREFIX" w:val="Briuselis,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LT"/>
    <w:docVar w:name="LW_MARKING" w:val="&lt;UNUSED&gt;"/>
    <w:docVar w:name="LW_NOM.INST" w:val="EUROPOS KOMISIJA"/>
    <w:docVar w:name="LW_NOM.INST_JOINTDOC" w:val="&lt;EMPTY&gt;"/>
    <w:docVar w:name="LW_PART_NBR" w:val="1"/>
    <w:docVar w:name="LW_PART_NBR_TOTAL" w:val="1"/>
    <w:docVar w:name="LW_REF.II.NEW.CP" w:val="NLE"/>
    <w:docVar w:name="LW_REF.II.NEW.CP_NUMBER" w:val="0195"/>
    <w:docVar w:name="LW_REF.II.NEW.CP_YEAR" w:val="2015"/>
    <w:docVar w:name="LW_REF.INST.NEW" w:val="COM"/>
    <w:docVar w:name="LW_REF.INST.NEW_ADOPTED" w:val="final"/>
    <w:docVar w:name="LW_REF.INST.NEW_TEXT" w:val="(2015) 434"/>
    <w:docVar w:name="LW_REF.INTERNE" w:val="&lt;UNUSED&gt;"/>
    <w:docVar w:name="LW_SOUS.TITRE.OBJ.CP" w:val="&lt;UNUSED&gt;"/>
    <w:docVar w:name="LW_STATUT.CP" w:val="Pasi\u363?lymas"/>
    <w:docVar w:name="LW_SUPERTITRE" w:val="&lt;UNUSED&gt;"/>
    <w:docVar w:name="LW_TITRE.OBJ.CP" w:val="d\u279?l Europos S\u261?jungos ir Tongos Karalyst\u279?s susitarimo d\u279?l bevizio re\u382?imo trumpalaikio buvimo atveju pasira\u353?ymo Europos S\u261?jungos vardu ir laikino taikymo"/>
    <w:docVar w:name="LW_TYPE.DOC.CP" w:val="TARYBOS SPRENDIMAS"/>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1"/>
      </w:numPr>
      <w:contextualSpacing/>
    </w:pPr>
  </w:style>
  <w:style w:type="paragraph" w:customStyle="1" w:styleId="ListDash">
    <w:name w:val="List Dash"/>
    <w:basedOn w:val="Normal"/>
    <w:pPr>
      <w:numPr>
        <w:numId w:val="2"/>
      </w:numPr>
    </w:pPr>
    <w:rPr>
      <w:rFonts w:eastAsia="Times New Roman"/>
      <w:szCs w:val="24"/>
    </w:rPr>
  </w:style>
  <w:style w:type="paragraph" w:customStyle="1" w:styleId="ListDash3">
    <w:name w:val="List Dash 3"/>
    <w:basedOn w:val="Normal"/>
    <w:pPr>
      <w:numPr>
        <w:numId w:val="3"/>
      </w:numPr>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1"/>
      </w:numPr>
      <w:contextualSpacing/>
    </w:pPr>
  </w:style>
  <w:style w:type="paragraph" w:customStyle="1" w:styleId="ListDash">
    <w:name w:val="List Dash"/>
    <w:basedOn w:val="Normal"/>
    <w:pPr>
      <w:numPr>
        <w:numId w:val="2"/>
      </w:numPr>
    </w:pPr>
    <w:rPr>
      <w:rFonts w:eastAsia="Times New Roman"/>
      <w:szCs w:val="24"/>
    </w:rPr>
  </w:style>
  <w:style w:type="paragraph" w:customStyle="1" w:styleId="ListDash3">
    <w:name w:val="List Dash 3"/>
    <w:basedOn w:val="Normal"/>
    <w:pPr>
      <w:numPr>
        <w:numId w:val="3"/>
      </w:numPr>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6</Pages>
  <Words>1138</Words>
  <Characters>7410</Characters>
  <Application>Microsoft Office Word</Application>
  <DocSecurity>0</DocSecurity>
  <Lines>134</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dcterms:created xsi:type="dcterms:W3CDTF">2015-09-11T06:34:00Z</dcterms:created>
  <dcterms:modified xsi:type="dcterms:W3CDTF">2015-09-14T07:43:00Z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DQCStatus">
    <vt:lpwstr>Green (DQC version 03)</vt:lpwstr>
  </property>
</Properties>
</file>