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F21DBFC00914B66A7FD712D558DBD38" style="width:450.85pt;height:366.8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Az 539/2001/EK tanácsi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felsorolja a tagállamok külső határainak átlépésekor vízumkötelezettség alá eső, illetve az e kötelezettség alól mentes harmadik országbeli állampolgárok országait. Az 539/2001/EK rendeletet Írország és az Egyesült Királyság kivételével valamennyi tagállam alkalmazza.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Az 509/2014/EU európai parlamenti és tanácsi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módosította az 539/2001/EK rendeletet, aminek következtében 19 országot átsoroltak a vízumkötelezettség alól mentes harmadik országbeli állampolgárok országait felsoroló II. mellékletbe. Ezek az országok a következők: Dominika, Egyesült Arab Emírségek, Grenada, Kelet-Timor, Kiribati, Kolumbia, Marshall-szigetek, Mikronézia, Nauru, Palau, Peru, Saint Lucia, Saint Vincent és Grenadine-szigetek, Salamon-szigetek, Szamoa, Tonga, Trinidad és Tobago, Tuvalu és Vanuatu. A II. mellékletben minden előbb felsorolt országra tett utaláshoz lábjegyzet tartozik, amely rögzíti, hogy „a vízumkötelezettség alóli mentességet az Európai Unióval kötendő vízummentességi megállapodás hatálybalépésének időpontjától kell alkalmazni”.</w:t>
      </w:r>
    </w:p>
    <w:p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Az 509/2014/EU rendeletet 2014. május 20-án fogadták el, és a rendelet 2014. június 9-én lépett hatályba. 2014 júliusában a Bizottság ajánlást nyújtott be a Tanácsnak a vízummentességi megállapodásról szóló tárgyalások megkezdésére adandó felhatalmazásról a következő 17 ország tekintetében: Dominika, Egyesült Arab Emírségek, Grenada, Kelet-Timor, Kiribati, Marshall-szigetek, Mikronézia, Nauru, Palau, Saint Lucia, Saint Vincent és Grenadine-szigetek, Salamon-szigetek, Szamoa, Tonga, Trinidad és Tobago, Tuvalu és Vanuatu</w:t>
      </w:r>
      <w:r>
        <w:rPr>
          <w:rStyle w:val="FootnoteReference"/>
          <w:noProof/>
        </w:rPr>
        <w:footnoteReference w:id="3"/>
      </w:r>
      <w:r>
        <w:rPr>
          <w:noProof/>
        </w:rPr>
        <w:t>. 2014. október 9-én a Bizottság megkapta a Tanácstól a tárgyalási irányelveket.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Vízummentességi megállapodásokat írtak alá 2015. május 6-án (Egyesült Arab Emírségek), 2015. május 26-án (Kelet-Timor) és 2015. május 28-án (Dominika, Grenada, Saint Lucia, Saint Vincent és Grenadine-szigetek, Szamoa, Trinidad és Tobago, Vanuatu), és ezeket a megállapodásokat aláírásuk napjától hatálybalépésükig ideiglenesen alkalmazzák.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Tongával 2014. november 19-én, Brüsszelben kezdték meg a vízummentességi megállapodásról szóló tárgyalásokat. E találkozó alkalmával sikerült felülvizsgálni a teljes szövegtervezetet, és minden részletről megállapodás született. Több további informális megbeszélést követően a főtárgyalók 2015. május 29-i (Tonga) és 2015. június 10-i (az Unió) levélváltása útján parafálták a megállapodást. A tagállamokat a tanácsi vízummunkacsoport 2015. június 15-i ülésén értesítették a fejleményekről.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</w:t>
      </w:r>
    </w:p>
    <w:p>
      <w:pPr>
        <w:rPr>
          <w:rFonts w:eastAsia="Calibri"/>
          <w:noProof/>
        </w:rPr>
      </w:pPr>
      <w:r>
        <w:rPr>
          <w:noProof/>
        </w:rPr>
        <w:t>Az Unió részéről a megállapodás jogalapja az Európai Unió működéséről szóló szerződés (EUMSZ) 77. cikke (2) bekezdésének a) pontja, összefüggésben annak 218. cikkével.</w:t>
      </w:r>
    </w:p>
    <w:p>
      <w:pPr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A mellékelt javaslat képezi a megállapodás aláírásának jogi eszközét. A Tanács minősített többséggel hoz határozatot.</w:t>
      </w:r>
    </w:p>
    <w:p>
      <w:pPr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Figyelembe véve, hogy Tonga rövid időn belül be tudja fejezni belső ratifikációs eljárását, valamint azt, hogy milyen hosszú idő telt el a tongai állampolgárok vízummentességére vonatkozó bizottsági javaslat első előterjesztése (2012. november) óta, az aláírásról szóló határozatjavaslat az EUMSZ 218. cikkének (5) bekezdésével összhangban az aláírás napját követő naptól előírja a megállapodás ideiglenes alkalmazását. Tekintettel arra, hogy a megállapodás megkötéséhez az Európai Parlament előzetes egyetértése szükséges, a Bizottság tájékoztatja az Európai Parlamentet a megállapodás ideiglenes alkalmazásáról.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 TÁRGYALÁSOK KIMENETELE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 Bizottság véleménye szerint teljesültek a Tanács tárgyalási irányelveiben rögzített célkitűzések, és a vízummentességi megállapodás tervezete elfogadható az Unió számára.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 megállapodás végleges tartalma a következőképpen foglalható össze:</w:t>
      </w:r>
    </w:p>
    <w:p>
      <w:pPr>
        <w:rPr>
          <w:noProof/>
        </w:rPr>
      </w:pPr>
      <w:r>
        <w:rPr>
          <w:noProof/>
          <w:u w:val="single"/>
        </w:rPr>
        <w:t>Cél</w:t>
      </w:r>
    </w:p>
    <w:p>
      <w:pPr>
        <w:rPr>
          <w:noProof/>
        </w:rPr>
      </w:pPr>
      <w:r>
        <w:rPr>
          <w:noProof/>
        </w:rPr>
        <w:t>A megállapodás vízummentes utazásról rendelkezik az Európai Unió polgárai, illetve Tonga állampolgárai számára bármely 180 napos időszakon belül legfeljebb 90 napig tartó, a másik Szerződő Fél területére történő utazás esetén.</w:t>
      </w:r>
    </w:p>
    <w:p>
      <w:pPr>
        <w:rPr>
          <w:noProof/>
        </w:rPr>
      </w:pPr>
      <w:r>
        <w:rPr>
          <w:noProof/>
        </w:rPr>
        <w:t>Az uniós polgároknak biztosítandó egyenlő bánásmód érdekében a megállapodást egy olyan rendelkezéssel egészítették ki, amely szerint Tonga csakis az Európai Unió összes tagállamával szemben függesztheti fel vagy mondhatja fel a megállapodást, és ugyanígy az Unió is csak az összes tagállamára vonatkozóan függesztheti fel vagy mondhatja fel a megállapodást.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Az Egyesült Királyság és Írország különleges helyzetét a preambulum említi.</w:t>
      </w:r>
    </w:p>
    <w:p>
      <w:pPr>
        <w:rPr>
          <w:noProof/>
        </w:rPr>
      </w:pPr>
      <w:r>
        <w:rPr>
          <w:noProof/>
          <w:u w:val="single"/>
        </w:rPr>
        <w:t>Alkalmazási kör</w:t>
      </w:r>
    </w:p>
    <w:p>
      <w:pPr>
        <w:rPr>
          <w:noProof/>
        </w:rPr>
      </w:pPr>
      <w:r>
        <w:rPr>
          <w:noProof/>
        </w:rPr>
        <w:t>A vízummentesség a személyek minden kategóriájára (magán-, diplomata-, szolgálati/hivatalos és különleges útlevelek tulajdonosaira egyaránt) és bármilyen célú utazásra vonatkozik, a kereső tevékenység folytatásán kívül. Ez utóbbi kategóriára vonatkozóan a hatályos uniós vagy nemzeti jogszabályokkal összhangban valamennyi tagállam, valamint Tonga is szabadon bevezetheti a vízumkötelezettséget a másik Fél állampolgáraival szemben. Az összehangolt végrehajtás biztosítása érdekében a megállapodáshoz együttes nyilatkozatot csatolnak a kereső tevékenység folytatása céljából utazó személyek kategóriájának értelmezéséről.</w:t>
      </w:r>
    </w:p>
    <w:p>
      <w:pPr>
        <w:rPr>
          <w:noProof/>
        </w:rPr>
      </w:pPr>
      <w:r>
        <w:rPr>
          <w:noProof/>
          <w:u w:val="single"/>
        </w:rPr>
        <w:t>A tartózkodás időtartama</w:t>
      </w:r>
    </w:p>
    <w:p>
      <w:pPr>
        <w:rPr>
          <w:noProof/>
        </w:rPr>
      </w:pPr>
      <w:r>
        <w:rPr>
          <w:noProof/>
        </w:rPr>
        <w:t>A megállapodás vízummentes utazásról rendelkezik az Európai Unió polgárai, illetve Tonga állampolgárai számára bármely 180 napos időszakon belül legfeljebb 90 napig tartó, a másik Szerződő Fél területére történő utazás esetén. A megállapodáshoz együttes nyilatkozatot csatolnak a bármely 180 napos időszakon belüli legfeljebb 90 napos időtartam értelmezéséről.</w:t>
      </w:r>
    </w:p>
    <w:p>
      <w:pPr>
        <w:rPr>
          <w:noProof/>
        </w:rPr>
      </w:pPr>
      <w:r>
        <w:rPr>
          <w:noProof/>
        </w:rPr>
        <w:t>A megállapodás figyelembe veszi a schengeni vívmányokat még nem teljes körűen alkalmazó tagállamok helyzetét. Mindaddig, amíg ezek a tagállamok nem részei a belső határok nélküli schengeni térségnek, a vízummentesség lehetővé teszi Tonga állampolgárai számára, hogy e tagállamok (jelenleg Bulgária, Ciprus, Horvátország és Románia) mindegyikének területén – a schengeni térség egészére számított időtartamtól függetlenül – bármely 180 napos időszakban 90 napot eltölthessenek.</w:t>
      </w:r>
    </w:p>
    <w:p>
      <w:pPr>
        <w:rPr>
          <w:noProof/>
        </w:rPr>
      </w:pPr>
      <w:r>
        <w:rPr>
          <w:noProof/>
          <w:u w:val="single"/>
        </w:rPr>
        <w:t>Területi hatály</w:t>
      </w:r>
    </w:p>
    <w:p>
      <w:pPr>
        <w:rPr>
          <w:noProof/>
        </w:rPr>
      </w:pPr>
      <w:r>
        <w:rPr>
          <w:noProof/>
        </w:rPr>
        <w:t>A megállapodás rendelkezéseket tartalmaz területi alkalmazásával kapcsolatban: Franciaország és Hollandia esetében Tonga állampolgárainak vízummentessége az említett tagállamok európai területén történő tartózkodásra korlátozódik.</w:t>
      </w:r>
    </w:p>
    <w:p>
      <w:pPr>
        <w:autoSpaceDE w:val="0"/>
        <w:autoSpaceDN w:val="0"/>
        <w:adjustRightInd w:val="0"/>
        <w:rPr>
          <w:noProof/>
          <w:u w:val="single"/>
        </w:rPr>
      </w:pPr>
      <w:r>
        <w:rPr>
          <w:noProof/>
          <w:u w:val="single"/>
        </w:rPr>
        <w:t>Nyilatkozatok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 fent említett együttes nyilatkozatokon kívül további két együttes nyilatkozatot csatolnak a megállapodáshoz:</w:t>
      </w:r>
    </w:p>
    <w:p>
      <w:pPr>
        <w:pStyle w:val="ListDash"/>
        <w:rPr>
          <w:noProof/>
        </w:rPr>
      </w:pPr>
      <w:r>
        <w:rPr>
          <w:noProof/>
        </w:rPr>
        <w:t>Norvégiának, Izlandnak, Svájcnak és Liechtensteinnek a schengeni vívmányok végrehajtására, alkalmazására és fejlesztésére irányuló szoros társulásáról,</w:t>
      </w:r>
    </w:p>
    <w:p>
      <w:pPr>
        <w:pStyle w:val="ListDash"/>
        <w:rPr>
          <w:noProof/>
        </w:rPr>
      </w:pPr>
      <w:r>
        <w:rPr>
          <w:noProof/>
        </w:rPr>
        <w:t>a vízummentességi megállapodás tartalmával és következményeivel, valamint a kapcsolódó kérdésekkel – például a beutazási feltételekkel – kapcsolatos információk teljes körű terjesztéséről.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KÖVETKEZTETÉS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 fenti eredmények fényében a Bizottság javasolja, hogy a Tanács:</w:t>
      </w:r>
    </w:p>
    <w:p>
      <w:pPr>
        <w:pStyle w:val="ListDash"/>
        <w:rPr>
          <w:noProof/>
        </w:rPr>
      </w:pPr>
      <w:r>
        <w:rPr>
          <w:noProof/>
        </w:rPr>
        <w:t>határozzon a megállapodásnak az Unió nevében történő aláírásáról, és hatalmazza fel a Tanács elnökét az Unió nevében aláírásra jogosult személy(ek) kijelölésére;</w:t>
      </w:r>
    </w:p>
    <w:p>
      <w:pPr>
        <w:pStyle w:val="ListDash"/>
        <w:rPr>
          <w:noProof/>
        </w:rPr>
      </w:pPr>
      <w:r>
        <w:rPr>
          <w:noProof/>
        </w:rPr>
        <w:t>hagyja jóvá a megállapodás ideiglenes alkalmazását annak hatálybalépéséig.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2015/0195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és a Tongai Királyság közötti, a rövid távú tartózkodásra jogosító vízumok alóli mentességről szóló megállapodásnak az Európai Unió részéről történő aláírásáról és ideiglenes alkalmazásáról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77. cikke (2) bekezdésének a) pontjára, összefüggésben 218. cikke (5)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509/2014/EU európai parlamenti és tanácsi rendelet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átsorolta a Tongára tett utalást az 539/2001/EK tanácsi rendelet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I. mellékletéből a II. mellékletébe.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Az országra tett utaláshoz lábjegyzet tartozik, amely rögzíti, hogy a vízumkötelezettség alóli mentességet az Európai Unióval kötendő vízummentességi megállapodás hatálybalépésének időpontjától kell alkalmazni.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2014. október 9-i határozatával a Tanács felhatalmazta a Bizottságot arra, hogy tárgyalásokat folytasson az Európai Unió és Tonga közötti, a rövid távú tartózkodásra jogosító vízumok alóli mentességről szóló megállapodásról. A megállapodással kapcsolatos tárgyalások 2014. november 19-én kezdődtek.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2015. május 29-i (Tonga) és 2015. június 10-i (az Unió) levélváltás útján parafált megállapodást alá kell írni, és a csatolt nyilatkozatokat jóvá kell hagyni. A megállapodás a hivatalos megkötésére vonatkozó eljárások lezárultáig ideiglenesen alkalmazandó.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Összhangban az Európai Unióról szóló szerződéshez és az Európai Unió működéséről szóló szerződéshez csatolt, az Egyesült Királyságnak és Írországnak a szabadságon, a biztonságon és a jog érvényesülésén alapuló térség tekintetében fennálló helyzetéről szóló jegyzőkönyvvel, valamint az Európai Unió keretébe beillesztett schengeni vívmányokról szóló jegyzőkönyvvel, és megerősítve, hogy e megállapodás rendelkezései az Egyesült Királyságra és Írországra nem alkalmazandók,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Európai Unió és a Tongai Királyság közötti, a rövid távú tartózkodásra jogosító vízumok alóli mentességről szóló megállapodás (a továbbiakban: megállapodás) aláírását az Európai Unió nevében a Tanács jóváhagyja, feltételezve a megállapodás megkötését.</w:t>
      </w:r>
    </w:p>
    <w:p>
      <w:pPr>
        <w:rPr>
          <w:noProof/>
        </w:rPr>
      </w:pPr>
      <w:r>
        <w:rPr>
          <w:noProof/>
        </w:rPr>
        <w:t>A megállapodás szövegét csatolták e határozathoz.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>Az e határozathoz csatolt nyilatkozatokat az Unió nevében jóvá kell hagyni.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rPr>
          <w:noProof/>
        </w:rPr>
      </w:pPr>
      <w:r>
        <w:rPr>
          <w:noProof/>
        </w:rPr>
        <w:t>A Tanács elnöke felhatalmazást kap, hogy kijelölje a megállapodásnak az Unió nevében történő aláírására jogosult személy(eke)t, feltételezve a megállapodás megkötését.</w:t>
      </w:r>
    </w:p>
    <w:p>
      <w:pPr>
        <w:pStyle w:val="Titrearticle"/>
        <w:rPr>
          <w:noProof/>
        </w:rPr>
      </w:pPr>
      <w:r>
        <w:rPr>
          <w:noProof/>
        </w:rPr>
        <w:t>4. cikk</w:t>
      </w:r>
    </w:p>
    <w:p>
      <w:pPr>
        <w:keepLines/>
        <w:rPr>
          <w:noProof/>
        </w:rPr>
      </w:pPr>
      <w:r>
        <w:rPr>
          <w:noProof/>
        </w:rPr>
        <w:t>A megállapodás az aláírást követő naptól kezdődően ideiglenes jelleggel alkalmazandó a megkötésére vonatkozó eljárások lezárásáig.</w:t>
      </w:r>
    </w:p>
    <w:p>
      <w:pPr>
        <w:pStyle w:val="Fait"/>
        <w:rPr>
          <w:noProof/>
        </w:rPr>
      </w:pPr>
      <w:r>
        <w:rPr>
          <w:noProof/>
        </w:rPr>
        <w:t xml:space="preserve">Kelt Brüsszelben, 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 Tanács 2001. március 15-i 539/2001/EK rendelete a külső határok átlépésekor vízumkötelezettség alá eső, illetve az e kötelezettség alól mentes harmadik országbeli állampolgárok országainak felsorolásáról, HL L 81., 2001.3.21., 1.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2014. május 15-i 509/2014/EU rendelete a külső határok átlépésekor vízumkötelezettség alá eső, illetve az e kötelezettség alól mentes harmadik országbeli állampolgárok országainak felsorolásáról szóló 539/2001/EK tanácsi rendelet módosításáról, HL L 149., 2014.5.20., 67. 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COM(2014) 467, 2014.7.17.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2014. május 15-i 509/2014/EU rendelete a külső határok átlépésekor vízumkötelezettség alá eső, illetve az e kötelezettség alól mentes harmadik országbeli állampolgárok országainak felsorolásáról szóló 539/2001/EK tanácsi rendelet módosításáról, HL L 149., 2014.5.20., 67. o.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 Tanács 2001. március 15-i 539/2001/EK rendelete a külső határok átlépésekor vízumkötelezettség alá eső, illetve az e kötelezettség alól mentes harmadik országbeli állampolgárok országainak felsorolásáról, HL L 81., 2001.3.21., 1. 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0EFC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60DC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12BC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5C64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34D9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76E1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8383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0315490"/>
    <w:multiLevelType w:val="singleLevel"/>
    <w:tmpl w:val="1F86C700"/>
    <w:name w:val="0,5809551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8A241BD"/>
    <w:multiLevelType w:val="singleLevel"/>
    <w:tmpl w:val="53C4DF3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3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19"/>
  </w:num>
  <w:num w:numId="27">
    <w:abstractNumId w:val="13"/>
  </w:num>
  <w:num w:numId="28">
    <w:abstractNumId w:val="21"/>
  </w:num>
  <w:num w:numId="29">
    <w:abstractNumId w:val="11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9-14 09:44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1F21DBFC00914B66A7FD712D558DBD38"/>
    <w:docVar w:name="LW_CROSSREFERENCE" w:val="&lt;UNUSED&gt;"/>
    <w:docVar w:name="LW_DocType" w:val="COM"/>
    <w:docVar w:name="LW_EMISSION" w:val="2015.9.14."/>
    <w:docVar w:name="LW_EMISSION_ISODATE" w:val="2015-09-14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5"/>
    <w:docVar w:name="LW_REF.II.NEW.CP_YEAR" w:val="2015"/>
    <w:docVar w:name="LW_REF.INST.NEW" w:val="COM"/>
    <w:docVar w:name="LW_REF.INST.NEW_ADOPTED" w:val="final"/>
    <w:docVar w:name="LW_REF.INST.NEW_TEXT" w:val="(2015) 434"/>
    <w:docVar w:name="LW_REF.INTERNE" w:val="&lt;UNUSED&gt;"/>
    <w:docVar w:name="LW_SOUS.TITRE.OBJ.CP" w:val="&lt;UNUSED&gt;"/>
    <w:docVar w:name="LW_STATUT.CP" w:val="Javaslat"/>
    <w:docVar w:name="LW_SUPERTITRE" w:val="&lt;UNUSED&gt;"/>
    <w:docVar w:name="LW_TITRE.OBJ.CP" w:val="az Európai Unió és a Tongai Királyság közötti, a rövid távú tartózkodásra jogosító vízumok alóli mentességr\u337?l szóló megállapodásnak az Európai Unió részér\u337?l történ\u337? aláírásáról és ideiglenes alkalmazásá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</w:rPr>
  </w:style>
  <w:style w:type="paragraph" w:customStyle="1" w:styleId="ListDash3">
    <w:name w:val="List Dash 3"/>
    <w:basedOn w:val="Normal"/>
    <w:pPr>
      <w:numPr>
        <w:numId w:val="3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</w:rPr>
  </w:style>
  <w:style w:type="paragraph" w:customStyle="1" w:styleId="ListDash3">
    <w:name w:val="List Dash 3"/>
    <w:basedOn w:val="Normal"/>
    <w:pPr>
      <w:numPr>
        <w:numId w:val="3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1178</Words>
  <Characters>8450</Characters>
  <Application>Microsoft Office Word</Application>
  <DocSecurity>0</DocSecurity>
  <Lines>145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2015-09-10T15:24:00Z</dcterms:created>
  <dcterms:modified xsi:type="dcterms:W3CDTF">2015-09-14T07:44:00Z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