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6F83F559814A4488D729A14C61E47D" style="width:450.75pt;height:351.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widowControl w:val="0"/>
        <w:autoSpaceDE w:val="0"/>
        <w:autoSpaceDN w:val="0"/>
        <w:adjustRightInd w:val="0"/>
        <w:rPr>
          <w:rFonts w:eastAsia="Calibri"/>
          <w:noProof/>
        </w:rPr>
      </w:pPr>
      <w:r>
        <w:rPr>
          <w:noProof/>
        </w:rPr>
        <w:t>U Uredbi Vijeća (EZ) br. 539/2001</w:t>
      </w:r>
      <w:r>
        <w:rPr>
          <w:rStyle w:val="FootnoteReference"/>
          <w:noProof/>
        </w:rPr>
        <w:footnoteReference w:id="1"/>
      </w:r>
      <w:r>
        <w:rPr>
          <w:noProof/>
        </w:rPr>
        <w:t xml:space="preserve"> navedene su treće zemlje čiji državljani pri prelasku vanjskih granica država članica moraju imati vizu i zemlje čiji su državljani izuzeti od tog zahtjeva. Uredba (EZ) br. 539/2001 primjenjuje se u svim državama članicama, osim Irske i Ujedinjene Kraljevine. </w:t>
      </w:r>
    </w:p>
    <w:p>
      <w:pPr>
        <w:widowControl w:val="0"/>
        <w:autoSpaceDE w:val="0"/>
        <w:autoSpaceDN w:val="0"/>
        <w:adjustRightInd w:val="0"/>
        <w:rPr>
          <w:rFonts w:eastAsia="Calibri"/>
          <w:noProof/>
        </w:rPr>
      </w:pPr>
      <w:r>
        <w:rPr>
          <w:noProof/>
        </w:rPr>
        <w:t>Uredbom (EU) br. 509/2014 Europskog parlamenta i Vijeća</w:t>
      </w:r>
      <w:r>
        <w:rPr>
          <w:rStyle w:val="FootnoteReference"/>
          <w:noProof/>
        </w:rPr>
        <w:footnoteReference w:id="2"/>
      </w:r>
      <w:r>
        <w:rPr>
          <w:noProof/>
        </w:rPr>
        <w:t xml:space="preserve"> izmijenjena je Uredba (EZ) br. 539/2001 tako što je 19 zemalja prebačeno u Prilog II., u kojem se nalazi popis trećih zemalja čiji su državljani izuzeti od obveze posjedovanja vize. Tih su 19 zemalja sljedeće: Dominika, Grenada, Kiribati, Kolumbija, Maršalovi Otoci, Mikronezija, Nauru, Palau, Peru, Salomonovi Otoci, Samoa, Sveta Lucija, Sveti Vincent i Grenadini, Timor-Leste, Tonga, Trinidad i Tobago, Tuvalu, Ujedinjeni Arapski Emirati i Vanuatu. Uz upućivanje na svaku od tih zemalja u Prilogu II. navedena je sljedeća bilješka: „izuzeće od obveze posjedovanja vize primjenjuje se od dana stupanja na snagu sporazuma o izuzeću od obveze posjedovanja vize koji se treba sklopiti s Europskom unijom”. </w:t>
      </w:r>
    </w:p>
    <w:p>
      <w:pPr>
        <w:widowControl w:val="0"/>
        <w:autoSpaceDE w:val="0"/>
        <w:autoSpaceDN w:val="0"/>
        <w:adjustRightInd w:val="0"/>
        <w:rPr>
          <w:noProof/>
        </w:rPr>
      </w:pPr>
      <w:r>
        <w:rPr>
          <w:noProof/>
        </w:rPr>
        <w:t>Uredba (EU) br. 509/2014 donesena je 20. svibnja 2014. te je stupila na snagu 9. lipnja 2014. U srpnju 2014. Komisija je Vijeću dostavila preporuku da je ovlasti za početak pregovora o sporazumima o ukidanju viza sa svakom od sljedećih 17 zemalja: Dominikom, Grenadom, Kiribatijem, Maršalovim Otocima, Mikronezijom, Nauruom, Palauom, Salomonovim Otocima, Samoom, Svetom Lucijom, Svetim Vincentom i Grenadinima, Timor-Lesteom, Tongom, Trinidadom i Tobagom, Tuvaluom, Ujedinjenim Arapskim Emiratima i Vanuatuom</w:t>
      </w:r>
      <w:r>
        <w:rPr>
          <w:rStyle w:val="FootnoteReference"/>
          <w:noProof/>
        </w:rPr>
        <w:footnoteReference w:id="3"/>
      </w:r>
      <w:r>
        <w:rPr>
          <w:noProof/>
        </w:rPr>
        <w:t>. Vijeće je 9. listopada 2014. Komisiji dostavilo pregovaračke smjernice.</w:t>
      </w:r>
    </w:p>
    <w:p>
      <w:pPr>
        <w:widowControl w:val="0"/>
        <w:autoSpaceDE w:val="0"/>
        <w:autoSpaceDN w:val="0"/>
        <w:adjustRightInd w:val="0"/>
        <w:rPr>
          <w:rFonts w:eastAsia="Calibri"/>
          <w:noProof/>
        </w:rPr>
      </w:pPr>
      <w:r>
        <w:rPr>
          <w:noProof/>
        </w:rPr>
        <w:t xml:space="preserve">Prvi sporazumi o ukidanju viza potpisani su 6. svibnja 2015. (Ujedinjeni Arapski Emirati), 26. svibnja 2015. (Timor-Leste) i 28. svibnja 2015. (Dominika, Grenada, Samoa, Sveta Lucija, Sveti Vincent i Grenadini, Trinidad i Tobago te Vanuatu) i privremeno se primjenjuju od datuma potpisivanja do njihova stupanja na snagu. </w:t>
      </w:r>
    </w:p>
    <w:p>
      <w:pPr>
        <w:widowControl w:val="0"/>
        <w:autoSpaceDE w:val="0"/>
        <w:autoSpaceDN w:val="0"/>
        <w:adjustRightInd w:val="0"/>
        <w:rPr>
          <w:rFonts w:eastAsia="Calibri"/>
          <w:noProof/>
        </w:rPr>
      </w:pPr>
      <w:r>
        <w:rPr>
          <w:noProof/>
        </w:rPr>
        <w:t>Pregovori s Kiribatijem započeli su 17. prosinca 2014. i odvijali su se putem razmjene pisama. Daljnjim razgovorima postignut je dogovor o svim aspektima. Glavni su pregovarači parafirali sporazum razmjenom pisama 6. svibnja 2015. (Kiribati) i 10. lipnja 2015. (Unija). Države članice obaviještene su tijekom sastanka Radne skupine za vize u okviru Vijeća koji je održan 15. lipnja 2015.</w:t>
      </w:r>
    </w:p>
    <w:p>
      <w:pPr>
        <w:pStyle w:val="ManualHeading1"/>
        <w:rPr>
          <w:noProof/>
        </w:rPr>
      </w:pPr>
      <w:r>
        <w:rPr>
          <w:noProof/>
        </w:rPr>
        <w:t>2.</w:t>
      </w:r>
      <w:r>
        <w:rPr>
          <w:noProof/>
        </w:rPr>
        <w:tab/>
        <w:t>PRAVNA OSNOVA</w:t>
      </w:r>
    </w:p>
    <w:p>
      <w:pPr>
        <w:rPr>
          <w:rFonts w:eastAsia="Calibri"/>
          <w:noProof/>
        </w:rPr>
      </w:pPr>
      <w:r>
        <w:rPr>
          <w:noProof/>
        </w:rPr>
        <w:t>Sa strane Unije, pravna je osnova sporazuma članak 77. stavak 2. točka (a) Ugovora o funkcioniranju Europske unije (UFEU), u vezi s njegovim člankom 218.</w:t>
      </w:r>
    </w:p>
    <w:p>
      <w:pPr>
        <w:autoSpaceDE w:val="0"/>
        <w:autoSpaceDN w:val="0"/>
        <w:adjustRightInd w:val="0"/>
        <w:rPr>
          <w:rFonts w:eastAsia="Calibri"/>
          <w:noProof/>
        </w:rPr>
      </w:pPr>
      <w:r>
        <w:rPr>
          <w:noProof/>
        </w:rPr>
        <w:t xml:space="preserve">Priloženi prijedlog predstavlja pravni instrument za potpisivanje sporazuma. Vijeće o tome odlučuje kvalificiranom većinom. </w:t>
      </w:r>
    </w:p>
    <w:p>
      <w:pPr>
        <w:autoSpaceDE w:val="0"/>
        <w:autoSpaceDN w:val="0"/>
        <w:adjustRightInd w:val="0"/>
        <w:rPr>
          <w:rFonts w:eastAsia="Calibri"/>
          <w:noProof/>
        </w:rPr>
      </w:pPr>
      <w:r>
        <w:rPr>
          <w:noProof/>
        </w:rPr>
        <w:lastRenderedPageBreak/>
        <w:t>Uzimajući u obzir činjenicu da će Kiribati brzo moći dovršiti svoj interni postupak ratifikacije te dugo vremensko razdoblje koje je proteklo otkada je Komisija prvi put predložila izuzeće građana Kiribatija od obveze posjedovanja vize (u studenome 2012.), prijedlogom odluke o potpisivanju utvrđuje se privremena primjena sporazuma od dana nakon datuma njegova potpisivanja u skladu s člankom 218. stavkom 5. UFEU-a. Uzimajući u obzir da je prije sklapanja sporazuma potrebna suglasnost Europskog parlamenta, Komisija će obavijestiti Europski parlament o privremenoj primjeni sporazuma.</w:t>
      </w:r>
    </w:p>
    <w:p>
      <w:pPr>
        <w:pStyle w:val="ManualHeading1"/>
        <w:rPr>
          <w:noProof/>
        </w:rPr>
      </w:pPr>
      <w:r>
        <w:rPr>
          <w:noProof/>
        </w:rPr>
        <w:t>3.</w:t>
      </w:r>
      <w:r>
        <w:rPr>
          <w:noProof/>
        </w:rPr>
        <w:tab/>
        <w:t>ISHOD PREGOVORA</w:t>
      </w:r>
    </w:p>
    <w:p>
      <w:pPr>
        <w:autoSpaceDE w:val="0"/>
        <w:autoSpaceDN w:val="0"/>
        <w:adjustRightInd w:val="0"/>
        <w:rPr>
          <w:noProof/>
        </w:rPr>
      </w:pPr>
      <w:r>
        <w:rPr>
          <w:noProof/>
        </w:rPr>
        <w:t>Komisija smatra da su ciljevi koje je Vijeće postavilo u svojim pregovaračkim smjernicama postignuti i da je nacrt sporazuma o ukidanju viza prihvatljiv za Uniju.</w:t>
      </w:r>
    </w:p>
    <w:p>
      <w:pPr>
        <w:autoSpaceDE w:val="0"/>
        <w:autoSpaceDN w:val="0"/>
        <w:adjustRightInd w:val="0"/>
        <w:rPr>
          <w:noProof/>
        </w:rPr>
      </w:pPr>
      <w:r>
        <w:rPr>
          <w:noProof/>
        </w:rPr>
        <w:t>Njegov konačan sadržaj može se sažeti kako slijedi:</w:t>
      </w:r>
    </w:p>
    <w:p>
      <w:pPr>
        <w:rPr>
          <w:noProof/>
        </w:rPr>
      </w:pPr>
      <w:r>
        <w:rPr>
          <w:noProof/>
          <w:u w:val="single"/>
        </w:rPr>
        <w:t>Svrha</w:t>
      </w:r>
    </w:p>
    <w:p>
      <w:pPr>
        <w:rPr>
          <w:noProof/>
        </w:rPr>
      </w:pPr>
      <w:r>
        <w:rPr>
          <w:noProof/>
        </w:rPr>
        <w:t xml:space="preserve">Sporazumom se građanima Europske unije i građanima Kiribatija omogućava boravak bez vize na području druge ugovorne stranke od najviše 90 dana u bilo kojem razdoblju od 180 dana. </w:t>
      </w:r>
    </w:p>
    <w:p>
      <w:pPr>
        <w:rPr>
          <w:noProof/>
        </w:rPr>
      </w:pPr>
      <w:r>
        <w:rPr>
          <w:noProof/>
        </w:rPr>
        <w:t>Kako bi se osiguralo jednako postupanje prema svim građanima EU-a, u sporazum je uključena odredba prema kojoj Kiribati može suspendirati primjenu sporazuma ili ga raskinuti samo u odnosu na sve države članice Europske unije te da i Unija može suspendirati primjenu sporazuma ili ga raskinuti samo u odnosu na sve države članice.</w:t>
      </w:r>
    </w:p>
    <w:p>
      <w:pPr>
        <w:autoSpaceDE w:val="0"/>
        <w:autoSpaceDN w:val="0"/>
        <w:adjustRightInd w:val="0"/>
        <w:rPr>
          <w:noProof/>
        </w:rPr>
      </w:pPr>
      <w:r>
        <w:rPr>
          <w:noProof/>
        </w:rPr>
        <w:t xml:space="preserve">Posebni položaj Ujedinjene Kraljevine i Irske prikazan je u preambuli. </w:t>
      </w:r>
    </w:p>
    <w:p>
      <w:pPr>
        <w:rPr>
          <w:noProof/>
        </w:rPr>
      </w:pPr>
      <w:r>
        <w:rPr>
          <w:noProof/>
          <w:u w:val="single"/>
        </w:rPr>
        <w:t>Područje primjene</w:t>
      </w:r>
    </w:p>
    <w:p>
      <w:pPr>
        <w:rPr>
          <w:noProof/>
        </w:rPr>
      </w:pPr>
      <w:r>
        <w:rPr>
          <w:noProof/>
        </w:rPr>
        <w:t>Ukidanjem viza obuhvaćene su sve kategorije osoba (nositelji običnih, diplomatskih, službenih i posebnih putovnica) čija svrha putovanja ne uključuje obavljanje plaćene aktivnosti. Svaka država članica i Kiribati mogu za tu kategoriju uvesti obvezu posjedovanja vize za građane druge stranke u skladu s primjenjivim pravom Unije ili nacionalnim pravom. Kako bi se osigurala usklađena provedba, sporazumu je priložena zajednička izjava o tumačenju kategorije osoba koje putuju u svrhu obavljanja plaćene aktivnosti.</w:t>
      </w:r>
    </w:p>
    <w:p>
      <w:pPr>
        <w:rPr>
          <w:noProof/>
        </w:rPr>
      </w:pPr>
      <w:r>
        <w:rPr>
          <w:noProof/>
          <w:u w:val="single"/>
        </w:rPr>
        <w:t>Trajanje boravka</w:t>
      </w:r>
    </w:p>
    <w:p>
      <w:pPr>
        <w:rPr>
          <w:noProof/>
        </w:rPr>
      </w:pPr>
      <w:r>
        <w:rPr>
          <w:noProof/>
        </w:rPr>
        <w:t xml:space="preserve">Sporazumom se građanima Europske unije i građanima Kiribatija omogućava boravak bez vize na području druge ugovorne stranke od najviše 90 dana u bilo kojem razdoblju od 180 dana. Zajednička izjava o tumačenju tog razdoblja od 90 dana u bilo kojem razdoblju od 180 dana priložena je sporazumu. </w:t>
      </w:r>
    </w:p>
    <w:p>
      <w:pPr>
        <w:rPr>
          <w:noProof/>
        </w:rPr>
      </w:pPr>
      <w:r>
        <w:rPr>
          <w:noProof/>
        </w:rPr>
        <w:t>Sporazumom se uzima u obzir položaj država članica koje još ne primjenjuju u cijelosti schengensku pravnu stečevinu. Sve dok nisu dio schengenskog prostora bez unutarnjih granica, ukidanjem viza državljani Kiribatija stječu pravo boravka od 90 dana u bilo kojem razdoblju od 180 dana na području svake od tih država članica (trenutačno su to Bugarska, Hrvatska, Cipar i Rumunjska), neovisno o razdoblju izračunatom za cijeli schengenski prostor.</w:t>
      </w:r>
    </w:p>
    <w:p>
      <w:pPr>
        <w:rPr>
          <w:noProof/>
        </w:rPr>
      </w:pPr>
      <w:r>
        <w:rPr>
          <w:noProof/>
          <w:u w:val="single"/>
        </w:rPr>
        <w:t>Teritorijalna primjena</w:t>
      </w:r>
    </w:p>
    <w:p>
      <w:pPr>
        <w:rPr>
          <w:noProof/>
        </w:rPr>
      </w:pPr>
      <w:r>
        <w:rPr>
          <w:noProof/>
        </w:rPr>
        <w:t>Sporazum sadržava odredbe o njegovoj teritorijalnoj primjeni: u slučaju Francuske i Nizozemske, ukidanjem viza državljani Kiribatija imali bi pravo na boravak samo na europskim područjima tih država članica.</w:t>
      </w:r>
    </w:p>
    <w:p>
      <w:pPr>
        <w:autoSpaceDE w:val="0"/>
        <w:autoSpaceDN w:val="0"/>
        <w:adjustRightInd w:val="0"/>
        <w:rPr>
          <w:noProof/>
          <w:u w:val="single"/>
        </w:rPr>
      </w:pPr>
      <w:r>
        <w:rPr>
          <w:noProof/>
          <w:u w:val="single"/>
        </w:rPr>
        <w:lastRenderedPageBreak/>
        <w:t>Izjave</w:t>
      </w:r>
    </w:p>
    <w:p>
      <w:pPr>
        <w:autoSpaceDE w:val="0"/>
        <w:autoSpaceDN w:val="0"/>
        <w:adjustRightInd w:val="0"/>
        <w:rPr>
          <w:noProof/>
        </w:rPr>
      </w:pPr>
      <w:r>
        <w:rPr>
          <w:noProof/>
        </w:rPr>
        <w:t>Osim prethodno spomenutih zajedničkih izjava, sporazumu su priložene još dvije zajedničke izjave:</w:t>
      </w:r>
    </w:p>
    <w:p>
      <w:pPr>
        <w:pStyle w:val="ListDash"/>
        <w:rPr>
          <w:noProof/>
        </w:rPr>
      </w:pPr>
      <w:r>
        <w:rPr>
          <w:noProof/>
        </w:rPr>
        <w:t>o pridruživanju Norveške, Islanda, Švicarske i Lihtenštajna provedbi, primjeni i razvoju schengenske pravne stečevine,</w:t>
      </w:r>
    </w:p>
    <w:p>
      <w:pPr>
        <w:pStyle w:val="ListDash"/>
        <w:rPr>
          <w:noProof/>
        </w:rPr>
      </w:pPr>
      <w:r>
        <w:rPr>
          <w:noProof/>
        </w:rPr>
        <w:t>o potpunom širenju informacija o sadržaju i posljedicama sporazuma o ukidanju viza i povezanim pitanjima, kao što su uvjeti ulaska.</w:t>
      </w:r>
    </w:p>
    <w:p>
      <w:pPr>
        <w:pStyle w:val="ManualHeading1"/>
        <w:rPr>
          <w:noProof/>
        </w:rPr>
      </w:pPr>
      <w:r>
        <w:rPr>
          <w:noProof/>
        </w:rPr>
        <w:t>4.</w:t>
      </w:r>
      <w:r>
        <w:rPr>
          <w:noProof/>
        </w:rPr>
        <w:tab/>
        <w:t>ZAKLJUČAK</w:t>
      </w:r>
    </w:p>
    <w:p>
      <w:pPr>
        <w:autoSpaceDE w:val="0"/>
        <w:autoSpaceDN w:val="0"/>
        <w:adjustRightInd w:val="0"/>
        <w:rPr>
          <w:noProof/>
        </w:rPr>
      </w:pPr>
      <w:r>
        <w:rPr>
          <w:noProof/>
        </w:rPr>
        <w:t>S obzirom na prethodno navedene rezultate, Komisija predlaže Vijeću da</w:t>
      </w:r>
    </w:p>
    <w:p>
      <w:pPr>
        <w:pStyle w:val="ListDash"/>
        <w:rPr>
          <w:noProof/>
        </w:rPr>
      </w:pPr>
      <w:r>
        <w:rPr>
          <w:noProof/>
        </w:rPr>
        <w:t>odluči o potpisivanju sporazuma u ime Unije i ovlasti predsjednika Vijeća da odredi osobu ili osobe koje će biti ovlaštene za potpisivanje sporazuma u ime Unije,</w:t>
      </w:r>
    </w:p>
    <w:p>
      <w:pPr>
        <w:pStyle w:val="ListDash"/>
        <w:rPr>
          <w:noProof/>
        </w:rPr>
      </w:pPr>
      <w:r>
        <w:rPr>
          <w:noProof/>
        </w:rPr>
        <w:t>odobri privremenu primjenu sporazuma do njegova stupanja na snagu.</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2015/0202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potpisivanju, u ime Europske unije, i privremenoj primjeni Sporazuma između Europske unije i Republike Kiribatija o ukidanju viza za kratkotrajni boravak</w:t>
      </w:r>
    </w:p>
    <w:p>
      <w:pPr>
        <w:pStyle w:val="Institutionquiagit"/>
        <w:rPr>
          <w:noProof/>
        </w:rPr>
      </w:pPr>
      <w:r>
        <w:rPr>
          <w:noProof/>
        </w:rPr>
        <w:t>VIJEĆE EUROPSKE UNIJE,</w:t>
      </w:r>
    </w:p>
    <w:p>
      <w:pPr>
        <w:rPr>
          <w:noProof/>
        </w:rPr>
      </w:pPr>
      <w:r>
        <w:rPr>
          <w:noProof/>
        </w:rPr>
        <w:t>uzimajući u obzir Ugovor o funkcioniranju Europske unije, a posebno njegov članak 77. stavak 2. točku (a) u vezi s člankom 218. stavkom 5.,</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Uredbom (EU) br. 509/2014 Europskog parlamenta i Vijeća</w:t>
      </w:r>
      <w:r>
        <w:rPr>
          <w:rStyle w:val="FootnoteReference"/>
          <w:noProof/>
        </w:rPr>
        <w:footnoteReference w:id="4"/>
      </w:r>
      <w:r>
        <w:rPr>
          <w:noProof/>
        </w:rPr>
        <w:t xml:space="preserve"> upućivanje na Kiribati prebačeno je iz Priloga I. u Prilog II. Uredbi Vijeća (EZ) br. 539/2001</w:t>
      </w:r>
      <w:r>
        <w:rPr>
          <w:rStyle w:val="FootnoteReference"/>
          <w:noProof/>
        </w:rPr>
        <w:footnoteReference w:id="5"/>
      </w:r>
      <w:r>
        <w:rPr>
          <w:noProof/>
        </w:rPr>
        <w:t xml:space="preserve">. </w:t>
      </w:r>
    </w:p>
    <w:p>
      <w:pPr>
        <w:pStyle w:val="ManualConsidrant"/>
        <w:rPr>
          <w:noProof/>
        </w:rPr>
      </w:pPr>
      <w:r>
        <w:t>(2)</w:t>
      </w:r>
      <w:r>
        <w:tab/>
      </w:r>
      <w:r>
        <w:rPr>
          <w:noProof/>
        </w:rPr>
        <w:t>Uz upućivanje na tu zemlju navedena je sljedeća bilješka: „izuzeće od obveze posjedovanja vize primjenjuje se od dana stupanja na snagu sporazuma o izuzeću od obveze posjedovanja vize koji se treba sklopiti s Europskom unijom”.</w:t>
      </w:r>
    </w:p>
    <w:p>
      <w:pPr>
        <w:pStyle w:val="ManualConsidrant"/>
        <w:rPr>
          <w:noProof/>
        </w:rPr>
      </w:pPr>
      <w:r>
        <w:t>(3)</w:t>
      </w:r>
      <w:r>
        <w:tab/>
      </w:r>
      <w:r>
        <w:rPr>
          <w:noProof/>
        </w:rPr>
        <w:t>Vijeće je odlukom od 9. listopada 2014. ovlastilo Komisiju da pregovara o sporazumu između Europske unije i Kiribatija o ukidanju viza za kratkotrajni boravak. Pregovori o sporazumu započeli su 17. prosinca 2014. i odvijali su se putem razmjene pisama.</w:t>
      </w:r>
    </w:p>
    <w:p>
      <w:pPr>
        <w:pStyle w:val="ManualConsidrant"/>
        <w:rPr>
          <w:noProof/>
        </w:rPr>
      </w:pPr>
      <w:r>
        <w:t>(4)</w:t>
      </w:r>
      <w:r>
        <w:tab/>
      </w:r>
      <w:r>
        <w:rPr>
          <w:noProof/>
        </w:rPr>
        <w:t xml:space="preserve">Sporazum, koji je parafiran razmjenom pisama 6. svibnja 2015. (Kiribati) i 10. lipnja 2015. (Unija) trebalo bi potpisati, a priložene bi izjave trebalo odobriti. Sporazum bi se trebao primjenjivati privremeno, do završetka postupaka za njegovo formalno sklapanje. </w:t>
      </w:r>
    </w:p>
    <w:p>
      <w:pPr>
        <w:pStyle w:val="ManualConsidrant"/>
        <w:rPr>
          <w:noProof/>
        </w:rPr>
      </w:pPr>
      <w:r>
        <w:t>(5)</w:t>
      </w:r>
      <w:r>
        <w:tab/>
      </w:r>
      <w:r>
        <w:rPr>
          <w:noProof/>
        </w:rPr>
        <w:t>U skladu s Protokolom o stajalištu Ujedinjene Kraljevine i Irske s obzirom na područje slobode, sigurnosti i pravde te Protokolom o schengenskoj pravnoj stečevini, koji su uključeni u okvir Europske unije i priloženi Ugovoru o Europskoj uniji i Ugovoru o funkcioniranju Europske unije, te potvrđujući da se odredbe Sporazuma ne primjenjuju na Ujedinjenu Kraljevinu i Irsku,</w:t>
      </w:r>
    </w:p>
    <w:p>
      <w:pPr>
        <w:pStyle w:val="Formuledadoption"/>
        <w:rPr>
          <w:noProof/>
        </w:rPr>
      </w:pPr>
      <w:r>
        <w:rPr>
          <w:noProof/>
        </w:rPr>
        <w:lastRenderedPageBreak/>
        <w:t xml:space="preserve">DONIJELO JE SLJEDEĆU ODLUKU: </w:t>
      </w:r>
    </w:p>
    <w:p>
      <w:pPr>
        <w:pStyle w:val="Titrearticle"/>
        <w:rPr>
          <w:noProof/>
        </w:rPr>
      </w:pPr>
      <w:r>
        <w:rPr>
          <w:noProof/>
        </w:rPr>
        <w:t>Članak 1.</w:t>
      </w:r>
    </w:p>
    <w:p>
      <w:pPr>
        <w:rPr>
          <w:noProof/>
        </w:rPr>
      </w:pPr>
      <w:r>
        <w:rPr>
          <w:noProof/>
        </w:rPr>
        <w:t>Potpisivanje Sporazuma između Europske unije i Republike Kiribatija o ukidanju viza za kratkotrajni boravak (dalje u tekstu „Sporazum”) odobrava se u ime Unije, podložno njegovu sklapanju.</w:t>
      </w:r>
    </w:p>
    <w:p>
      <w:pPr>
        <w:rPr>
          <w:noProof/>
        </w:rPr>
      </w:pPr>
      <w:r>
        <w:rPr>
          <w:noProof/>
        </w:rPr>
        <w:t>Tekst Sporazuma priložen je ovoj Odluci.</w:t>
      </w:r>
    </w:p>
    <w:p>
      <w:pPr>
        <w:pStyle w:val="Titrearticle"/>
        <w:rPr>
          <w:noProof/>
        </w:rPr>
      </w:pPr>
      <w:r>
        <w:rPr>
          <w:noProof/>
        </w:rPr>
        <w:t>Članak 2.</w:t>
      </w:r>
    </w:p>
    <w:p>
      <w:pPr>
        <w:rPr>
          <w:noProof/>
        </w:rPr>
      </w:pPr>
      <w:r>
        <w:rPr>
          <w:noProof/>
        </w:rPr>
        <w:t>Izjave priložene ovoj Odluci odobravaju se u ime Unije.</w:t>
      </w:r>
    </w:p>
    <w:p>
      <w:pPr>
        <w:pStyle w:val="Titrearticle"/>
        <w:rPr>
          <w:noProof/>
        </w:rPr>
      </w:pPr>
      <w:r>
        <w:rPr>
          <w:noProof/>
        </w:rPr>
        <w:t>Članak 3.</w:t>
      </w:r>
    </w:p>
    <w:p>
      <w:pPr>
        <w:rPr>
          <w:noProof/>
        </w:rPr>
      </w:pPr>
      <w:r>
        <w:rPr>
          <w:noProof/>
        </w:rPr>
        <w:t>Predsjednik Vijeća ovime se ovlašćuje da odredi osobu ili osobe koje će biti ovlaštene za potpisivanje Sporazuma u ime Unije, podložno njegovu sklapanju.</w:t>
      </w:r>
    </w:p>
    <w:p>
      <w:pPr>
        <w:pStyle w:val="Titrearticle"/>
        <w:rPr>
          <w:noProof/>
        </w:rPr>
      </w:pPr>
      <w:r>
        <w:rPr>
          <w:noProof/>
        </w:rPr>
        <w:t>Članak 4.</w:t>
      </w:r>
    </w:p>
    <w:p>
      <w:pPr>
        <w:keepLines/>
        <w:rPr>
          <w:noProof/>
        </w:rPr>
      </w:pPr>
      <w:r>
        <w:rPr>
          <w:noProof/>
        </w:rPr>
        <w:t>Sporazum se privremeno primjenjuje od dana nakon datuma njegova potpisivanja do završetka postupaka za njegovo sklapanje.</w:t>
      </w:r>
    </w:p>
    <w:p>
      <w:pPr>
        <w:pStyle w:val="Fait"/>
        <w:rPr>
          <w:noProof/>
        </w:rPr>
      </w:pPr>
      <w:r>
        <w:rPr>
          <w:noProof/>
        </w:rP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Vijeća (EZ) br. 539/2001 od 15. ožujka 2001. o popisu trećih zemalja čiji državljani moraju imati vizu pri prelasku vanjskih granica i zemalja čiji su državljani izuzeti od tog zahtjeva (SL L 81, 21.3.2001., str. 1.)</w:t>
      </w:r>
    </w:p>
  </w:footnote>
  <w:footnote w:id="2">
    <w:p>
      <w:pPr>
        <w:pStyle w:val="FootnoteText"/>
      </w:pPr>
      <w:r>
        <w:rPr>
          <w:rStyle w:val="FootnoteReference"/>
        </w:rPr>
        <w:footnoteRef/>
      </w:r>
      <w:r>
        <w:tab/>
        <w:t>Uredba (EU) br. 509/2014 Europskog parlamenta i Vijeća od 15. svibnja 2014. o izmjeni Uredbe Vijeća (EZ) br. 539/2001 o popisu trećih zemalja čiji državljani moraju imati vizu pri prelasku vanjskih granica i zemalja čiji su državljani izuzeti od tog zahtjeva (SL L 149, 20.5.2014., str. 67.)</w:t>
      </w:r>
    </w:p>
  </w:footnote>
  <w:footnote w:id="3">
    <w:p>
      <w:pPr>
        <w:pStyle w:val="FootnoteText"/>
      </w:pPr>
      <w:r>
        <w:rPr>
          <w:rStyle w:val="FootnoteReference"/>
        </w:rPr>
        <w:footnoteRef/>
      </w:r>
      <w:r>
        <w:tab/>
        <w:t>COM (2014) 467, 17.7.2014.</w:t>
      </w:r>
    </w:p>
  </w:footnote>
  <w:footnote w:id="4">
    <w:p>
      <w:pPr>
        <w:pStyle w:val="FootnoteText"/>
      </w:pPr>
      <w:r>
        <w:rPr>
          <w:rStyle w:val="FootnoteReference"/>
        </w:rPr>
        <w:footnoteRef/>
      </w:r>
      <w:r>
        <w:tab/>
        <w:t>Uredba (EU) br. 509/2014 Europskog parlamenta i Vijeća od 15. svibnja 2014. o izmjeni Uredbe Vijeća (EZ) br. 539/2001 o popisu trećih zemalja čiji državljani moraju imati vizu pri prelasku vanjskih granica i zemalja čiji su državljani izuzeti od tog zahtjeva (SL L 149, 20.5.2014., str. 67.).</w:t>
      </w:r>
    </w:p>
  </w:footnote>
  <w:footnote w:id="5">
    <w:p>
      <w:pPr>
        <w:pStyle w:val="FootnoteText"/>
      </w:pPr>
      <w:r>
        <w:rPr>
          <w:rStyle w:val="FootnoteReference"/>
        </w:rPr>
        <w:footnoteRef/>
      </w:r>
      <w:r>
        <w:tab/>
        <w:t>Uredba Vijeća (EZ) br. 539/2001 od 15. ožujka 2001. o popisu trećih zemalja čiji državljani moraju imati vizu pri prelasku vanjskih granica i zemalja čiji su državljani izuzeti od tog zahtjeva (SL L 81, 21.3.2001.,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EF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60DC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12BC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5C64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34D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6E1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DAC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3839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2"/>
  </w:num>
  <w:num w:numId="3">
    <w:abstractNumId w:val="22"/>
  </w:num>
  <w:num w:numId="4">
    <w:abstractNumId w:val="23"/>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22: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46F83F559814A4488D729A14C61E47D"/>
    <w:docVar w:name="LW_CROSSREFERENCE" w:val="&lt;UNUSED&gt;"/>
    <w:docVar w:name="LW_DocType" w:val="COM"/>
    <w:docVar w:name="LW_EMISSION" w:val="14.9.2015."/>
    <w:docVar w:name="LW_EMISSION_ISODATE" w:val="2015-09-1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NLE"/>
    <w:docVar w:name="LW_REF.II.NEW.CP_NUMBER" w:val="0202"/>
    <w:docVar w:name="LW_REF.II.NEW.CP_YEAR" w:val="2015"/>
    <w:docVar w:name="LW_REF.INST.NEW" w:val="COM"/>
    <w:docVar w:name="LW_REF.INST.NEW_ADOPTED" w:val="final"/>
    <w:docVar w:name="LW_REF.INST.NEW_TEXT" w:val="(2015) 440"/>
    <w:docVar w:name="LW_REF.INTERNE" w:val="&lt;UNUSED&gt;"/>
    <w:docVar w:name="LW_SOUS.TITRE.OBJ.CP" w:val="&lt;UNUSED&gt;"/>
    <w:docVar w:name="LW_STATUT.CP" w:val="Prijedlog"/>
    <w:docVar w:name="LW_SUPERTITRE" w:val="&lt;UNUSED&gt;"/>
    <w:docVar w:name="LW_TITRE.OBJ.CP" w:val="o potpisivanju, u ime Europske unije, i privremenoj primjeni Sporazuma izme\u273?u Europske unije i Republike Kiribatija o ukidanju viza za kratkotrajni boravak"/>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1267</Words>
  <Characters>7414</Characters>
  <Application>Microsoft Office Word</Application>
  <DocSecurity>0</DocSecurity>
  <Lines>137</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2015-09-10T09:17:00Z</dcterms:created>
  <dcterms:modified xsi:type="dcterms:W3CDTF">2015-09-14T07:22:00Z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