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A75" w:rsidRDefault="00400B07">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28FE63669064596915D86197AAA7C30" style="width:451.5pt;height:487.5pt">
            <v:imagedata r:id="rId9" o:title=""/>
          </v:shape>
        </w:pict>
      </w:r>
    </w:p>
    <w:p w:rsidR="00333A75" w:rsidRDefault="00333A75">
      <w:pPr>
        <w:rPr>
          <w:noProof/>
        </w:rPr>
        <w:sectPr w:rsidR="00333A75">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333A75" w:rsidRDefault="00400B07">
      <w:pPr>
        <w:pStyle w:val="Rfrenceinterinstitutionnelle"/>
        <w:rPr>
          <w:noProof/>
        </w:rPr>
      </w:pPr>
      <w:r>
        <w:rPr>
          <w:noProof/>
        </w:rPr>
        <w:lastRenderedPageBreak/>
        <w:t>2013/0309 (COD)</w:t>
      </w:r>
    </w:p>
    <w:p w:rsidR="00333A75" w:rsidRDefault="00400B07">
      <w:pPr>
        <w:pStyle w:val="Typedudocument"/>
        <w:rPr>
          <w:noProof/>
        </w:rPr>
      </w:pPr>
      <w:r>
        <w:rPr>
          <w:noProof/>
        </w:rPr>
        <w:t>KOMISJONI TEATIS</w:t>
      </w:r>
      <w:r>
        <w:rPr>
          <w:noProof/>
        </w:rPr>
        <w:br/>
        <w:t>EUROOPA PARLAMENDILE,</w:t>
      </w:r>
      <w:r>
        <w:rPr>
          <w:noProof/>
        </w:rPr>
        <w:br/>
      </w:r>
      <w:r>
        <w:rPr>
          <w:noProof/>
        </w:rPr>
        <w:br/>
        <w:t xml:space="preserve">mis on esitatud Euroopa Liidu toimimise </w:t>
      </w:r>
      <w:r>
        <w:rPr>
          <w:noProof/>
        </w:rPr>
        <w:t>lepingu artikli 294 lõike 6 alusel</w:t>
      </w:r>
      <w:r>
        <w:rPr>
          <w:noProof/>
        </w:rPr>
        <w:br/>
      </w:r>
      <w:r>
        <w:rPr>
          <w:noProof/>
        </w:rPr>
        <w:br/>
        <w:t>ning milles käsitletakse</w:t>
      </w:r>
    </w:p>
    <w:p w:rsidR="00333A75" w:rsidRDefault="00400B07">
      <w:pPr>
        <w:pStyle w:val="Titreobjet"/>
        <w:rPr>
          <w:noProof/>
        </w:rPr>
      </w:pPr>
      <w:r>
        <w:rPr>
          <w:noProof/>
        </w:rPr>
        <w:t>nõukogu seisukohta järgmiste õigusaktide vastuvõtmise kohta: Euroopa Parlamendi ja nõukogu määrus, milles sätestatakse meetmed avatud internetile juurdepääsu tagamiseks ja millega muudetakse dire</w:t>
      </w:r>
      <w:r>
        <w:rPr>
          <w:noProof/>
        </w:rPr>
        <w:t>ktiivi 2002/22/EÜ universaalteenuse ning kasutajate õiguste kohta elektrooniliste sidevõrkude ja -teenuste puhul, ning Euroopa Parlamendi ja nõukogu 13. juuni 2012. aasta määrus (EL) nr 531/2012, mis käsitleb rändlust üldkasutatavates mobiilsidevõrkudes li</w:t>
      </w:r>
      <w:r>
        <w:rPr>
          <w:noProof/>
        </w:rPr>
        <w:t>idu piires</w:t>
      </w:r>
    </w:p>
    <w:p w:rsidR="00333A75" w:rsidRDefault="00400B07">
      <w:pPr>
        <w:pStyle w:val="IntrtEEE"/>
        <w:rPr>
          <w:noProof/>
        </w:rPr>
      </w:pPr>
      <w:r>
        <w:rPr>
          <w:noProof/>
        </w:rPr>
        <w:t>(EMPs kohaldatav tekst)</w:t>
      </w:r>
    </w:p>
    <w:p w:rsidR="00333A75" w:rsidRDefault="00400B07">
      <w:pPr>
        <w:pStyle w:val="ManualHeading1"/>
        <w:rPr>
          <w:noProof/>
          <w:sz w:val="22"/>
        </w:rPr>
      </w:pPr>
      <w:r>
        <w:rPr>
          <w:noProof/>
        </w:rPr>
        <w:t>1.</w:t>
      </w:r>
      <w:r>
        <w:rPr>
          <w:noProof/>
        </w:rPr>
        <w:tab/>
        <w:t>Taust</w:t>
      </w:r>
    </w:p>
    <w:tbl>
      <w:tblPr>
        <w:tblW w:w="0" w:type="auto"/>
        <w:tblLayout w:type="fixed"/>
        <w:tblLook w:val="0000" w:firstRow="0" w:lastRow="0" w:firstColumn="0" w:lastColumn="0" w:noHBand="0" w:noVBand="0"/>
      </w:tblPr>
      <w:tblGrid>
        <w:gridCol w:w="6804"/>
        <w:gridCol w:w="2483"/>
      </w:tblGrid>
      <w:tr w:rsidR="00333A75">
        <w:tc>
          <w:tcPr>
            <w:tcW w:w="6804" w:type="dxa"/>
          </w:tcPr>
          <w:p w:rsidR="00333A75" w:rsidRDefault="00400B07">
            <w:pPr>
              <w:jc w:val="left"/>
              <w:rPr>
                <w:noProof/>
              </w:rPr>
            </w:pPr>
            <w:r>
              <w:rPr>
                <w:noProof/>
              </w:rPr>
              <w:t>Euroopa Parlamendile ja nõukogule ettepaneku edastamise kuupäev (dokument COM(2013) 0627 (final) – 2013/0309 COD)):</w:t>
            </w:r>
          </w:p>
        </w:tc>
        <w:tc>
          <w:tcPr>
            <w:tcW w:w="2483" w:type="dxa"/>
          </w:tcPr>
          <w:p w:rsidR="00333A75" w:rsidRDefault="00400B07">
            <w:pPr>
              <w:jc w:val="left"/>
              <w:rPr>
                <w:noProof/>
              </w:rPr>
            </w:pPr>
            <w:r>
              <w:rPr>
                <w:noProof/>
              </w:rPr>
              <w:t>12.09.2013.</w:t>
            </w:r>
          </w:p>
        </w:tc>
      </w:tr>
      <w:tr w:rsidR="00333A75">
        <w:tc>
          <w:tcPr>
            <w:tcW w:w="6804" w:type="dxa"/>
          </w:tcPr>
          <w:p w:rsidR="00333A75" w:rsidRDefault="00400B07">
            <w:pPr>
              <w:jc w:val="left"/>
              <w:rPr>
                <w:noProof/>
              </w:rPr>
            </w:pPr>
            <w:r>
              <w:rPr>
                <w:noProof/>
              </w:rPr>
              <w:t xml:space="preserve">Euroopa Majandus- ja Sotsiaalkomitee arvamuse kuupäev: </w:t>
            </w:r>
          </w:p>
        </w:tc>
        <w:tc>
          <w:tcPr>
            <w:tcW w:w="2483" w:type="dxa"/>
          </w:tcPr>
          <w:p w:rsidR="00333A75" w:rsidRDefault="00400B07">
            <w:pPr>
              <w:jc w:val="left"/>
              <w:rPr>
                <w:noProof/>
              </w:rPr>
            </w:pPr>
            <w:r>
              <w:rPr>
                <w:noProof/>
              </w:rPr>
              <w:t>21.01.2014</w:t>
            </w:r>
          </w:p>
        </w:tc>
      </w:tr>
      <w:tr w:rsidR="00333A75">
        <w:tc>
          <w:tcPr>
            <w:tcW w:w="6804" w:type="dxa"/>
          </w:tcPr>
          <w:p w:rsidR="00333A75" w:rsidRDefault="00400B07">
            <w:pPr>
              <w:rPr>
                <w:noProof/>
              </w:rPr>
            </w:pPr>
            <w:r>
              <w:rPr>
                <w:noProof/>
              </w:rPr>
              <w:t xml:space="preserve">Euroopa </w:t>
            </w:r>
            <w:r>
              <w:rPr>
                <w:noProof/>
              </w:rPr>
              <w:t>Parlamendi esimese lugemise seisukoha kuupäev:</w:t>
            </w:r>
          </w:p>
        </w:tc>
        <w:tc>
          <w:tcPr>
            <w:tcW w:w="2483" w:type="dxa"/>
          </w:tcPr>
          <w:p w:rsidR="00333A75" w:rsidRDefault="00400B07">
            <w:pPr>
              <w:jc w:val="left"/>
              <w:rPr>
                <w:noProof/>
              </w:rPr>
            </w:pPr>
            <w:r>
              <w:rPr>
                <w:noProof/>
              </w:rPr>
              <w:t>03.04.2014</w:t>
            </w:r>
          </w:p>
        </w:tc>
      </w:tr>
      <w:tr w:rsidR="00333A75">
        <w:tc>
          <w:tcPr>
            <w:tcW w:w="6804" w:type="dxa"/>
          </w:tcPr>
          <w:p w:rsidR="00333A75" w:rsidRDefault="00400B07">
            <w:pPr>
              <w:rPr>
                <w:noProof/>
              </w:rPr>
            </w:pPr>
            <w:r>
              <w:rPr>
                <w:noProof/>
              </w:rPr>
              <w:t>Nõukogu seisukoha vastuvõtmise kuupäev:</w:t>
            </w:r>
          </w:p>
        </w:tc>
        <w:tc>
          <w:tcPr>
            <w:tcW w:w="2483" w:type="dxa"/>
          </w:tcPr>
          <w:p w:rsidR="00333A75" w:rsidRDefault="00400B07">
            <w:pPr>
              <w:jc w:val="left"/>
              <w:rPr>
                <w:noProof/>
                <w:highlight w:val="yellow"/>
              </w:rPr>
            </w:pPr>
            <w:r>
              <w:rPr>
                <w:noProof/>
              </w:rPr>
              <w:t>01.10.2015</w:t>
            </w:r>
          </w:p>
        </w:tc>
      </w:tr>
    </w:tbl>
    <w:p w:rsidR="00333A75" w:rsidRDefault="00400B07">
      <w:pPr>
        <w:pStyle w:val="ManualHeading1"/>
        <w:rPr>
          <w:noProof/>
        </w:rPr>
      </w:pPr>
      <w:r>
        <w:rPr>
          <w:noProof/>
        </w:rPr>
        <w:t>2.</w:t>
      </w:r>
      <w:r>
        <w:rPr>
          <w:noProof/>
        </w:rPr>
        <w:tab/>
        <w:t>Komisjoni ettepaneku eesmärk</w:t>
      </w:r>
    </w:p>
    <w:p w:rsidR="00333A75" w:rsidRDefault="00400B07">
      <w:pPr>
        <w:rPr>
          <w:noProof/>
        </w:rPr>
      </w:pPr>
      <w:r>
        <w:rPr>
          <w:noProof/>
        </w:rPr>
        <w:t>Ettepaneku eesmärk on liikuda elektroonilise side ühtse turu loomise poole. See peaks võimaldama kodanikel ja ett</w:t>
      </w:r>
      <w:r>
        <w:rPr>
          <w:noProof/>
        </w:rPr>
        <w:t>evõtjatel pääseda piiriüleste piirangute või põhjendamatute lisakuludeta juurde kõikjal Euroopa Liidus pakutavatele elektroonilise side teenustele. Samuti peaks see võimaldama elektroonilisi sidevõrke haldavatel ja sidevõrguteenuseid osutavatel ettevõtjate</w:t>
      </w:r>
      <w:r>
        <w:rPr>
          <w:noProof/>
        </w:rPr>
        <w:t>l tegutseda ja oma teenuseid pakkuda olenemata nende või klientide asukohast ELis.</w:t>
      </w:r>
    </w:p>
    <w:p w:rsidR="00333A75" w:rsidRDefault="00400B07">
      <w:pPr>
        <w:rPr>
          <w:noProof/>
        </w:rPr>
      </w:pPr>
      <w:r>
        <w:rPr>
          <w:noProof/>
        </w:rPr>
        <w:t>Komisjoni ettepanek sisaldas sätteid elektroonilise side ühtse turu arendamist takistavate konkreetsete kitsaskohtade kõrvaldamiseks. Eelkõige nähti ette, et kehtestatakse E</w:t>
      </w:r>
      <w:r>
        <w:rPr>
          <w:noProof/>
        </w:rPr>
        <w:t>Li ühtne luba teenuste piiriülestele pakkujatele, hakatakse koordineerima spektri eraldamist, ühtlustatakse elektroonilise side teenuste pakkumiseks vajalikke juurdepääsutooteid, ühtlustatakse avatud interneti tagamise eeskirjad, ühtlustatakse lõppkasutaja</w:t>
      </w:r>
      <w:r>
        <w:rPr>
          <w:noProof/>
        </w:rPr>
        <w:t>te kaitsmise eeskirjad, lõpetatakse järk-järgult rändlusteenuste lisatasude nõudmine ning tehakse muudatusi elektroonilise side Euroopa reguleerivate asutuste ühendatud ameti määruses.</w:t>
      </w:r>
    </w:p>
    <w:p w:rsidR="00333A75" w:rsidRDefault="00400B07">
      <w:pPr>
        <w:pStyle w:val="ManualHeading1"/>
        <w:rPr>
          <w:noProof/>
        </w:rPr>
      </w:pPr>
      <w:r>
        <w:rPr>
          <w:noProof/>
        </w:rPr>
        <w:t>3.</w:t>
      </w:r>
      <w:r>
        <w:rPr>
          <w:noProof/>
        </w:rPr>
        <w:tab/>
        <w:t>Märkused nõukogu seisukoha kohta</w:t>
      </w:r>
    </w:p>
    <w:p w:rsidR="00333A75" w:rsidRDefault="00400B07">
      <w:pPr>
        <w:rPr>
          <w:noProof/>
        </w:rPr>
      </w:pPr>
      <w:r>
        <w:rPr>
          <w:noProof/>
        </w:rPr>
        <w:t>Nõukogu võttis kindla seisukoha pii</w:t>
      </w:r>
      <w:r>
        <w:rPr>
          <w:noProof/>
        </w:rPr>
        <w:t xml:space="preserve">rata ettepaneku kohaldamisala võrgu neutraalsuse ja rändlusteenuse küsimustega ning seda seisukohta kinnitati Euroopa Parlamendiga peetud </w:t>
      </w:r>
      <w:r>
        <w:rPr>
          <w:noProof/>
        </w:rPr>
        <w:lastRenderedPageBreak/>
        <w:t>läbirääkimistel. Komisjoni 6. mail 2015 esitatud digitaalse ühtse turu strateegias on selgelt sätestatud, et spektriga</w:t>
      </w:r>
      <w:r>
        <w:rPr>
          <w:noProof/>
        </w:rPr>
        <w:t xml:space="preserve"> seotud küsimused vaadatakse läbi telekommunikatsiooni valdkonna läbivaatamise raames 2016. aastal. Seetõttu on mõistlik piirata määruse eelnõu kohaldamisala rändlusteenuse ja võrgu neutraalsuse küsimustega. Seda valikut tehes võetakse arvesse Euroopa Ülem</w:t>
      </w:r>
      <w:r>
        <w:rPr>
          <w:noProof/>
        </w:rPr>
        <w:t>kogu 26. juuni 2015. aasta kohtumise järeldusi, milles on selgelt rõhutatud komisjoni strateegia kõigi mõõtmete tähtsust ning seda, kui oluline on viia telekommunikatsiooni valdkonnas ellu ulatuslik reform, sealhulgas koordineerida tõhusamalt spektri erald</w:t>
      </w:r>
      <w:r>
        <w:rPr>
          <w:noProof/>
        </w:rPr>
        <w:t>amist.</w:t>
      </w:r>
    </w:p>
    <w:p w:rsidR="00333A75" w:rsidRDefault="00400B07">
      <w:pPr>
        <w:rPr>
          <w:noProof/>
          <w:szCs w:val="20"/>
        </w:rPr>
      </w:pPr>
      <w:r>
        <w:rPr>
          <w:noProof/>
        </w:rPr>
        <w:t>Nõukogu toetab oma seisukohas üldiselt komisjoni ettepaneku põhieesmärke, milleks on kaotada jaemüügitasandil osutatavate rändlusteenuste lisatasud ja kindlustada juurdepääs avatud internetile, võimaldades ühtlasi pakkuda uuenduslikke teenuseid. Nõu</w:t>
      </w:r>
      <w:r>
        <w:rPr>
          <w:noProof/>
        </w:rPr>
        <w:t>kogu on siiski teinud mõned muudatused seoses sellega, kuidas neid eesmärke saavutada. Ta soovitab määrata kindlaks rändlusteenuste lisatasude nõudmise lõpetamise konkreetne lõpptähtaeg ning tagada, et rändlustasude kaotamine oleks jätkusuutlik. Selleks so</w:t>
      </w:r>
      <w:r>
        <w:rPr>
          <w:noProof/>
        </w:rPr>
        <w:t xml:space="preserve">ovitab ta määrata kindlaks rändluse hulgiturgude analüüsimise ajakava ja võtta kasutusele asjakohane mehhanism erandlikeks ja konkreetseteks juhtudeks, mil mõne riigi hinnastamismudelid ei ole ka pärast rändluse hulgiturgude analüüsi jätkusuutlikud. (Need </w:t>
      </w:r>
      <w:r>
        <w:rPr>
          <w:noProof/>
        </w:rPr>
        <w:t>üksikasjad tuleb täpsustada komisjoni rakendusmeetmete raames).</w:t>
      </w:r>
    </w:p>
    <w:p w:rsidR="00333A75" w:rsidRDefault="00400B07">
      <w:pPr>
        <w:rPr>
          <w:noProof/>
        </w:rPr>
      </w:pPr>
      <w:r>
        <w:rPr>
          <w:noProof/>
        </w:rPr>
        <w:t>Avatud interneti kohta märgib komisjon, et nõukogu tekst tagab määruse eelnõu eesmärgi, nimelt kindlustada igale eurooplasele õigus pääseda diskrimineerimata juurde teda huvitavale internetisi</w:t>
      </w:r>
      <w:r>
        <w:rPr>
          <w:noProof/>
        </w:rPr>
        <w:t>sule. Samal ajal on tekstis täpsustatud, et võrdne juurdepääs võimaldab andmeliiklust põhjendatud ja objektiivsetele tehnilistele nõuetele tuginedes ning andmeliikluse lähte- või sihtkohast olenemata päevast päeva mõistlikult hallata. Lisaks sisaldab tekst</w:t>
      </w:r>
      <w:r>
        <w:rPr>
          <w:noProof/>
        </w:rPr>
        <w:t xml:space="preserve"> keeldu blokeerida juurdepääs teatavale sisule, teatavatele teenustele, teatavatele rakendustele või nende kategooriatele, nende kasutamist piirata või neid tõrjuda. Sellest keelust võib teha kolm kitsalt piiritletud erandit: juhul kui on tarvis tagada koo</w:t>
      </w:r>
      <w:r>
        <w:rPr>
          <w:noProof/>
        </w:rPr>
        <w:t>skõla ELi või siseriiklike õigusaktide või nende jõustamismeetmetega, kui on tarvis tagada võrgu turvalisus või kui on tarvis toime tulla võrgu ajutise või erakorralise ülekoormusega.</w:t>
      </w:r>
    </w:p>
    <w:p w:rsidR="00333A75" w:rsidRDefault="00400B07">
      <w:pPr>
        <w:rPr>
          <w:rStyle w:val="s10"/>
          <w:noProof/>
        </w:rPr>
      </w:pPr>
      <w:r>
        <w:rPr>
          <w:noProof/>
        </w:rPr>
        <w:t>Tekstis on veel ette nähtud, et teatavatel tingimustel lubatakse osutada</w:t>
      </w:r>
      <w:r>
        <w:rPr>
          <w:noProof/>
        </w:rPr>
        <w:t xml:space="preserve"> ka selliseid teenuseid, mis ei ole internetiühenduse teenused, kuid mis on optimeeritud konkreetse sisu, konkreetsete rakenduste või konkreetsete teenuste jaoks. Need tingimused on järgmised: optimeerimine on vajalik asjaomase sisu, asjaomaste rakenduste </w:t>
      </w:r>
      <w:r>
        <w:rPr>
          <w:noProof/>
        </w:rPr>
        <w:t xml:space="preserve">või asjaomaste teenuste kvaliteedinõuete täitmiseks; asjaomaseid optimeeritud teenuseid ei turustata ega kasutata internetiühenduse teenuste asendajatena; </w:t>
      </w:r>
      <w:r>
        <w:rPr>
          <w:rStyle w:val="s10"/>
          <w:noProof/>
        </w:rPr>
        <w:t xml:space="preserve">nende teenuste pakkujal on piisav suutlikkus; nende teenuste osutamine ei kahjusta internetiühenduse </w:t>
      </w:r>
      <w:r>
        <w:rPr>
          <w:rStyle w:val="s10"/>
          <w:noProof/>
        </w:rPr>
        <w:t>teenuste kvaliteeti lõpptarbijate jaoks.</w:t>
      </w:r>
    </w:p>
    <w:p w:rsidR="00333A75" w:rsidRDefault="00400B07">
      <w:pPr>
        <w:rPr>
          <w:noProof/>
        </w:rPr>
      </w:pPr>
      <w:r>
        <w:rPr>
          <w:noProof/>
        </w:rPr>
        <w:t xml:space="preserve">Pädevatel reguleerivatel asutustel on kohustus ja vastutus võtta järelevalve- ja täitemeetmeid, millega tagada määruse eeskirjade täitmine ning lõppkasutajate, sealhulgas sisu, teenuste ja rakenduste pakkujate </w:t>
      </w:r>
      <w:r>
        <w:rPr>
          <w:noProof/>
        </w:rPr>
        <w:t>õiguste austamine.</w:t>
      </w:r>
    </w:p>
    <w:p w:rsidR="00333A75" w:rsidRDefault="00400B07">
      <w:pPr>
        <w:rPr>
          <w:noProof/>
          <w:szCs w:val="20"/>
        </w:rPr>
      </w:pPr>
      <w:r>
        <w:rPr>
          <w:noProof/>
        </w:rPr>
        <w:t>Selline tasakaalustatud lähenemisviis aitab kaitsta internetiühenduse teenuste kvaliteeti ilma innovatsiooni lämmatamata. Ettepanekuga on kehtestatud ka konkreetsed lõppkasutajate õigused, mis on vajalikud rändlusteenust ja võrgu neutraa</w:t>
      </w:r>
      <w:r>
        <w:rPr>
          <w:noProof/>
        </w:rPr>
        <w:t>lsust käsitlevate sätete tõhusaks kohaldamiseks.</w:t>
      </w:r>
    </w:p>
    <w:p w:rsidR="00333A75" w:rsidRDefault="00400B07">
      <w:pPr>
        <w:rPr>
          <w:noProof/>
        </w:rPr>
      </w:pPr>
      <w:r>
        <w:rPr>
          <w:noProof/>
        </w:rPr>
        <w:t>Komisjon toetab neid muudatusi.</w:t>
      </w:r>
    </w:p>
    <w:p w:rsidR="00333A75" w:rsidRDefault="00400B07">
      <w:pPr>
        <w:rPr>
          <w:noProof/>
        </w:rPr>
      </w:pPr>
      <w:r>
        <w:rPr>
          <w:noProof/>
        </w:rPr>
        <w:t>Pärast mitteametlikke kolmepoolseid arutelusid, mis toimusid 23. märtsil, 21. aprillil, 2. juunil ja 29. juunil 2015, saavutasid parlament ja nõukogu teksti suhtes esialgse po</w:t>
      </w:r>
      <w:r>
        <w:rPr>
          <w:noProof/>
        </w:rPr>
        <w:t>liitilise kokkuleppe.</w:t>
      </w:r>
    </w:p>
    <w:p w:rsidR="00333A75" w:rsidRDefault="00400B07">
      <w:pPr>
        <w:rPr>
          <w:noProof/>
        </w:rPr>
      </w:pPr>
      <w:r>
        <w:rPr>
          <w:noProof/>
        </w:rPr>
        <w:lastRenderedPageBreak/>
        <w:t>Nõukogu kinnitas 8. juulil 2015 kõnealust poliitilist kokkulepet ja võttis 1. oktoobril 2015 vastu oma esimese lugemise seisukoha.</w:t>
      </w:r>
    </w:p>
    <w:p w:rsidR="00333A75" w:rsidRDefault="00400B07">
      <w:pPr>
        <w:pStyle w:val="ManualHeading1"/>
        <w:rPr>
          <w:noProof/>
        </w:rPr>
      </w:pPr>
      <w:r>
        <w:rPr>
          <w:noProof/>
        </w:rPr>
        <w:t>4.</w:t>
      </w:r>
      <w:r>
        <w:rPr>
          <w:noProof/>
        </w:rPr>
        <w:tab/>
        <w:t>Järeldus</w:t>
      </w:r>
    </w:p>
    <w:p w:rsidR="00333A75" w:rsidRDefault="00400B07">
      <w:pPr>
        <w:rPr>
          <w:noProof/>
        </w:rPr>
      </w:pPr>
      <w:r>
        <w:rPr>
          <w:noProof/>
        </w:rPr>
        <w:t>Kuna kõiki komisjoni ettepanekusse tehtud muudatusi käsitleti mitteametlikel kolmepoolsetel</w:t>
      </w:r>
      <w:r>
        <w:rPr>
          <w:noProof/>
        </w:rPr>
        <w:t xml:space="preserve"> aruteludel, võib komisjon nõukogu esimese lugemise seisukohas vastuvõetud muudatused heaks kiita.</w:t>
      </w:r>
    </w:p>
    <w:sectPr w:rsidR="00333A75" w:rsidSect="00D046CF">
      <w:footerReference w:type="default" r:id="rId16"/>
      <w:footerReference w:type="first" r:id="rId17"/>
      <w:pgSz w:w="11907" w:h="16839"/>
      <w:pgMar w:top="1134" w:right="1417" w:bottom="1134" w:left="1417"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B07" w:rsidRDefault="00400B07">
      <w:pPr>
        <w:spacing w:before="0" w:after="0"/>
      </w:pPr>
      <w:r>
        <w:separator/>
      </w:r>
    </w:p>
  </w:endnote>
  <w:endnote w:type="continuationSeparator" w:id="0">
    <w:p w:rsidR="00400B07" w:rsidRDefault="00400B0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roman"/>
    <w:pitch w:val="default"/>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6CF" w:rsidRDefault="00D046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A75" w:rsidRDefault="00400B07">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6CF" w:rsidRDefault="00D046C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A75" w:rsidRDefault="00400B07">
    <w:pPr>
      <w:pStyle w:val="Footer"/>
      <w:rPr>
        <w:rFonts w:ascii="Arial" w:hAnsi="Arial" w:cs="Arial"/>
        <w:b/>
        <w:sz w:val="48"/>
      </w:rPr>
    </w:pPr>
    <w:bookmarkStart w:id="0" w:name="_GoBack"/>
    <w:bookmarkEnd w:id="0"/>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sidR="00D046CF">
      <w:rPr>
        <w:noProof/>
      </w:rPr>
      <w:t>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A75" w:rsidRDefault="00333A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B07" w:rsidRDefault="00400B07">
      <w:pPr>
        <w:spacing w:before="0" w:after="0"/>
      </w:pPr>
      <w:r>
        <w:separator/>
      </w:r>
    </w:p>
  </w:footnote>
  <w:footnote w:type="continuationSeparator" w:id="0">
    <w:p w:rsidR="00400B07" w:rsidRDefault="00400B0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6CF" w:rsidRDefault="00D046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6CF" w:rsidRDefault="00D046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6CF" w:rsidRDefault="00D046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7BCE9C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B3CAF20"/>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4C0AF6"/>
    <w:lvl w:ilvl="0">
      <w:start w:val="1"/>
      <w:numFmt w:val="decimal"/>
      <w:pStyle w:val="ListNumber2"/>
      <w:lvlText w:val="%1."/>
      <w:lvlJc w:val="left"/>
      <w:pPr>
        <w:tabs>
          <w:tab w:val="num" w:pos="643"/>
        </w:tabs>
        <w:ind w:left="643" w:hanging="360"/>
      </w:pPr>
    </w:lvl>
  </w:abstractNum>
  <w:abstractNum w:abstractNumId="3">
    <w:nsid w:val="FFFFFF81"/>
    <w:multiLevelType w:val="singleLevel"/>
    <w:tmpl w:val="E20A41E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62ED34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1DCA85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B58CF9E"/>
    <w:lvl w:ilvl="0">
      <w:start w:val="1"/>
      <w:numFmt w:val="decimal"/>
      <w:pStyle w:val="ListNumber"/>
      <w:lvlText w:val="%1."/>
      <w:lvlJc w:val="left"/>
      <w:pPr>
        <w:tabs>
          <w:tab w:val="num" w:pos="360"/>
        </w:tabs>
        <w:ind w:left="360" w:hanging="360"/>
      </w:pPr>
    </w:lvl>
  </w:abstractNum>
  <w:abstractNum w:abstractNumId="7">
    <w:nsid w:val="FFFFFF89"/>
    <w:multiLevelType w:val="singleLevel"/>
    <w:tmpl w:val="15F2618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VERPAGE_EXISTS" w:val="True"/>
    <w:docVar w:name="DQCDateTime" w:val="2015-09-30 11:20:1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CONFIDENCE" w:val=" "/>
    <w:docVar w:name="LW_CONST_RESTREINT_UE" w:val="RESTREINT UE"/>
    <w:docVar w:name="LW_CORRIGENDUM" w:val="&lt;UNUSED&gt;"/>
    <w:docVar w:name="LW_COVERPAGE_GUID" w:val="128FE63669064596915D86197AAA7C30"/>
    <w:docVar w:name="LW_CROSSREFERENCE" w:val="&lt;UNUSED&gt;"/>
    <w:docVar w:name="LW_DocType" w:val="COM"/>
    <w:docVar w:name="LW_EMISSION" w:val="2.10.2015"/>
    <w:docVar w:name="LW_EMISSION_ISODATE" w:val="2015-10-02"/>
    <w:docVar w:name="LW_EMISSION_LOCATION" w:val="BRX"/>
    <w:docVar w:name="LW_EMISSION_PREFIX" w:val="Brüssel,"/>
    <w:docVar w:name="LW_EMISSION_SUFFIX" w:val=" "/>
    <w:docVar w:name="LW_ID_DOCMODEL" w:val="SJ-028"/>
    <w:docVar w:name="LW_ID_DOCSTRUCTURE" w:val="COM/PL/CODEC"/>
    <w:docVar w:name="LW_ID_DOCTYPE" w:val="SJ-028"/>
    <w:docVar w:name="LW_INTERETEEE.CP" w:val="(EMPs kohaldatav tekst)"/>
    <w:docVar w:name="LW_LANGUE" w:val="ET"/>
    <w:docVar w:name="LW_MARKING" w:val="&lt;UNUSED&gt;"/>
    <w:docVar w:name="LW_NOM.INST" w:val="EUROOPA KOMISJON"/>
    <w:docVar w:name="LW_NOM.INST_JOINTDOC" w:val="&lt;EMPTY&gt;"/>
    <w:docVar w:name="LW_PART_NBR" w:val="1"/>
    <w:docVar w:name="LW_PART_NBR_TOTAL" w:val="1"/>
    <w:docVar w:name="LW_REF.II.NEW.CP" w:val="COD"/>
    <w:docVar w:name="LW_REF.II.NEW.CP_NUMBER" w:val="0309"/>
    <w:docVar w:name="LW_REF.II.NEW.CP_YEAR" w:val="2013"/>
    <w:docVar w:name="LW_REF.INST.NEW" w:val="COM"/>
    <w:docVar w:name="LW_REF.INST.NEW_ADOPTED" w:val="final"/>
    <w:docVar w:name="LW_REF.INST.NEW_TEXT" w:val="(2015) 489"/>
    <w:docVar w:name="LW_REF.INTERNE" w:val="&lt;UNUSED&gt;"/>
    <w:docVar w:name="LW_SOUS.TITRE.OBJ.CP" w:val="&lt;UNUSED&gt;"/>
    <w:docVar w:name="LW_SUPERTITRE" w:val="&lt;UNUSED&gt;"/>
    <w:docVar w:name="LW_TITRE.OBJ.CP" w:val="nõukogu seisukohta järgmiste õigusaktide vastuvõtmise kohta: Euroopa Parlamendi ja nõukogu määrus, milles sätestatakse meetmed avatud internetile juurdepääsu tagamiseks ja millega muudetakse direktiivi 2002/22/EÜ universaalteenuse ning kasutajate õiguste kohta elektrooniliste sidevõrkude ja -teenuste puhul, ning Euroopa Parlamendi ja nõukogu 13. juuni 2012. aasta määrus (EL) nr 531/2012, mis käsitleb rändlust üldkasutatavates mobiilsidevõrkudes liidu piires"/>
    <w:docVar w:name="LW_TYPE.DOC.CP" w:val="KOMISJONI TEATIS_x000b_EUROOPA PARLAMENDILE,_x000b__x000b_mis on esitatud Euroopa Liidu toimimise lepingu artikli 294 lõike 6 alusel_x000b__x000b_ning milles käsitletakse"/>
    <w:docVar w:name="Stamp" w:val="\\dossiers.dgt.cec.eu.int\dossiers\CNECT\CNECT-2015-00059\CNECT-2015-00059-00-00-EN-REV-00.DOC"/>
  </w:docVars>
  <w:rsids>
    <w:rsidRoot w:val="00333A75"/>
    <w:rsid w:val="00333A75"/>
    <w:rsid w:val="00400B07"/>
    <w:rsid w:val="00D0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rFonts w:ascii="Times New Roman" w:hAnsi="Times New Roman"/>
      <w:sz w:val="24"/>
      <w:szCs w:val="22"/>
      <w:lang w:val="et-EE" w:eastAsia="et-EE" w:bidi="et-EE"/>
    </w:rPr>
  </w:style>
  <w:style w:type="paragraph" w:styleId="Heading1">
    <w:name w:val="heading 1"/>
    <w:basedOn w:val="Normal"/>
    <w:next w:val="Text1"/>
    <w:link w:val="Heading1Char"/>
    <w:uiPriority w:val="9"/>
    <w:qFormat/>
    <w:pPr>
      <w:keepNext/>
      <w:numPr>
        <w:numId w:val="29"/>
      </w:numPr>
      <w:spacing w:before="360"/>
      <w:outlineLvl w:val="0"/>
    </w:pPr>
    <w:rPr>
      <w:rFonts w:eastAsia="Times New Roman"/>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imes New Roman"/>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imes New Roman"/>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200" w:line="276" w:lineRule="auto"/>
    </w:pPr>
    <w:rPr>
      <w:rFonts w:ascii="Times New Roman" w:hAnsi="Times New Roman"/>
      <w:color w:val="000000"/>
      <w:sz w:val="24"/>
      <w:szCs w:val="24"/>
      <w:lang w:val="et-EE" w:eastAsia="et-EE" w:bidi="et-E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t-EE"/>
    </w:rPr>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et-EE"/>
    </w:rPr>
  </w:style>
  <w:style w:type="character" w:styleId="Hyperlink">
    <w:name w:val="Hyperlink"/>
    <w:uiPriority w:val="99"/>
    <w:unhideWhenUsed/>
    <w:rPr>
      <w:color w:val="0000FF"/>
      <w:u w:val="single"/>
    </w:rPr>
  </w:style>
  <w:style w:type="character" w:customStyle="1" w:styleId="s10">
    <w:name w:val="s10"/>
    <w:basedOn w:val="DefaultParagraphFont"/>
  </w:style>
  <w:style w:type="paragraph" w:styleId="Revision">
    <w:name w:val="Revision"/>
    <w:hidden/>
    <w:uiPriority w:val="99"/>
    <w:semiHidden/>
    <w:pPr>
      <w:spacing w:after="200" w:line="276" w:lineRule="auto"/>
    </w:pPr>
    <w:rPr>
      <w:rFonts w:ascii="Times New Roman" w:hAnsi="Times New Roman"/>
      <w:sz w:val="24"/>
      <w:szCs w:val="22"/>
      <w:lang w:val="et-EE" w:eastAsia="et-EE" w:bidi="et-EE"/>
    </w:rPr>
  </w:style>
  <w:style w:type="paragraph" w:customStyle="1" w:styleId="CM4">
    <w:name w:val="CM4"/>
    <w:basedOn w:val="Default"/>
    <w:next w:val="Default"/>
    <w:uiPriority w:val="99"/>
    <w:rPr>
      <w:rFonts w:ascii="EUAlbertina" w:hAnsi="EUAlbertina"/>
      <w:color w:val="aut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link w:val="Header"/>
    <w:uiPriority w:val="99"/>
    <w:rPr>
      <w:rFonts w:ascii="Times New Roman"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Pr>
      <w:rFonts w:ascii="Times New Roman" w:eastAsia="Times New Roman" w:hAnsi="Times New Roman" w:cs="Times New Roman"/>
      <w:b/>
      <w:bCs/>
      <w:smallCaps/>
      <w:sz w:val="24"/>
      <w:szCs w:val="28"/>
      <w:shd w:val="clear" w:color="auto" w:fill="auto"/>
      <w:lang w:val="en-GB"/>
    </w:rPr>
  </w:style>
  <w:style w:type="character" w:customStyle="1" w:styleId="Heading2Char">
    <w:name w:val="Heading 2 Char"/>
    <w:link w:val="Heading2"/>
    <w:uiPriority w:val="9"/>
    <w:semiHidden/>
    <w:rPr>
      <w:rFonts w:ascii="Times New Roman" w:eastAsia="Times New Roman" w:hAnsi="Times New Roman" w:cs="Times New Roman"/>
      <w:b/>
      <w:bCs/>
      <w:sz w:val="24"/>
      <w:szCs w:val="26"/>
      <w:shd w:val="clear" w:color="auto" w:fill="auto"/>
      <w:lang w:val="en-GB"/>
    </w:rPr>
  </w:style>
  <w:style w:type="character" w:customStyle="1" w:styleId="Heading3Char">
    <w:name w:val="Heading 3 Char"/>
    <w:link w:val="Heading3"/>
    <w:uiPriority w:val="9"/>
    <w:semiHidden/>
    <w:rPr>
      <w:rFonts w:ascii="Times New Roman" w:eastAsia="Times New Roman" w:hAnsi="Times New Roman" w:cs="Times New Roman"/>
      <w:bCs/>
      <w:i/>
      <w:sz w:val="24"/>
      <w:shd w:val="clear" w:color="auto" w:fill="auto"/>
      <w:lang w:val="en-GB"/>
    </w:rPr>
  </w:style>
  <w:style w:type="character" w:customStyle="1" w:styleId="Heading4Char">
    <w:name w:val="Heading 4 Char"/>
    <w:link w:val="Heading4"/>
    <w:uiPriority w:val="9"/>
    <w:semiHidden/>
    <w:rPr>
      <w:rFonts w:ascii="Times New Roman" w:eastAsia="Times New Roman"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628701">
      <w:bodyDiv w:val="1"/>
      <w:marLeft w:val="0"/>
      <w:marRight w:val="0"/>
      <w:marTop w:val="0"/>
      <w:marBottom w:val="0"/>
      <w:divBdr>
        <w:top w:val="none" w:sz="0" w:space="0" w:color="auto"/>
        <w:left w:val="none" w:sz="0" w:space="0" w:color="auto"/>
        <w:bottom w:val="none" w:sz="0" w:space="0" w:color="auto"/>
        <w:right w:val="none" w:sz="0" w:space="0" w:color="auto"/>
      </w:divBdr>
    </w:div>
    <w:div w:id="1300959675">
      <w:bodyDiv w:val="1"/>
      <w:marLeft w:val="0"/>
      <w:marRight w:val="0"/>
      <w:marTop w:val="0"/>
      <w:marBottom w:val="0"/>
      <w:divBdr>
        <w:top w:val="none" w:sz="0" w:space="0" w:color="auto"/>
        <w:left w:val="none" w:sz="0" w:space="0" w:color="auto"/>
        <w:bottom w:val="none" w:sz="0" w:space="0" w:color="auto"/>
        <w:right w:val="none" w:sz="0" w:space="0" w:color="auto"/>
      </w:divBdr>
    </w:div>
    <w:div w:id="1424296798">
      <w:bodyDiv w:val="1"/>
      <w:marLeft w:val="0"/>
      <w:marRight w:val="0"/>
      <w:marTop w:val="0"/>
      <w:marBottom w:val="0"/>
      <w:divBdr>
        <w:top w:val="none" w:sz="0" w:space="0" w:color="auto"/>
        <w:left w:val="none" w:sz="0" w:space="0" w:color="auto"/>
        <w:bottom w:val="none" w:sz="0" w:space="0" w:color="auto"/>
        <w:right w:val="none" w:sz="0" w:space="0" w:color="auto"/>
      </w:divBdr>
    </w:div>
    <w:div w:id="1901593777">
      <w:bodyDiv w:val="1"/>
      <w:marLeft w:val="0"/>
      <w:marRight w:val="0"/>
      <w:marTop w:val="0"/>
      <w:marBottom w:val="0"/>
      <w:divBdr>
        <w:top w:val="none" w:sz="0" w:space="0" w:color="auto"/>
        <w:left w:val="none" w:sz="0" w:space="0" w:color="auto"/>
        <w:bottom w:val="none" w:sz="0" w:space="0" w:color="auto"/>
        <w:right w:val="none" w:sz="0" w:space="0" w:color="auto"/>
      </w:divBdr>
    </w:div>
    <w:div w:id="208876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5C85A-0F0F-47FA-B62C-2B47FB8EF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Pages>
  <Words>978</Words>
  <Characters>5352</Characters>
  <Application>Microsoft Office Word</Application>
  <DocSecurity>0</DocSecurity>
  <Lines>89</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LAGES CARVALHO Patrick (SG)</cp:lastModifiedBy>
  <cp:revision>17</cp:revision>
  <cp:lastPrinted>2015-08-28T13:37:00Z</cp:lastPrinted>
  <dcterms:created xsi:type="dcterms:W3CDTF">2015-09-24T11:12:00Z</dcterms:created>
  <dcterms:modified xsi:type="dcterms:W3CDTF">2015-09-30T09:52:00Z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20141001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Yellow (DQC version 03)</vt:lpwstr>
  </property>
</Properties>
</file>