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52" w:rsidRDefault="002E153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0940F1EC8F349D2A569368ABACB0430" style="width:450.75pt;height:473.25pt">
            <v:imagedata r:id="rId9" o:title=""/>
          </v:shape>
        </w:pict>
      </w:r>
    </w:p>
    <w:p w:rsidR="00E33352" w:rsidRDefault="00E33352">
      <w:pPr>
        <w:rPr>
          <w:noProof/>
        </w:rPr>
        <w:sectPr w:rsidR="00E33352">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33352" w:rsidRDefault="002E1531">
      <w:pPr>
        <w:pStyle w:val="Rfrenceinterinstitutionnelle"/>
        <w:rPr>
          <w:noProof/>
        </w:rPr>
      </w:pPr>
      <w:r>
        <w:rPr>
          <w:noProof/>
        </w:rPr>
        <w:lastRenderedPageBreak/>
        <w:t>2013/0309 (COD)</w:t>
      </w:r>
    </w:p>
    <w:p w:rsidR="00E33352" w:rsidRDefault="002E1531">
      <w:pPr>
        <w:pStyle w:val="Typedudocument"/>
        <w:rPr>
          <w:noProof/>
        </w:rPr>
      </w:pPr>
      <w:r>
        <w:rPr>
          <w:noProof/>
        </w:rPr>
        <w:t>OZNÁMENIE KOMISIE EURÓPSKEMU PARLAMENTU</w:t>
      </w:r>
      <w:r>
        <w:rPr>
          <w:noProof/>
        </w:rPr>
        <w:br/>
      </w:r>
      <w:r>
        <w:rPr>
          <w:noProof/>
        </w:rPr>
        <w:br/>
        <w:t>podľa článku 294 ods. 6 Zmluvy o fungovaní</w:t>
      </w:r>
      <w:r>
        <w:rPr>
          <w:noProof/>
        </w:rPr>
        <w:t xml:space="preserve"> Európskej únie,</w:t>
      </w:r>
      <w:r>
        <w:rPr>
          <w:noProof/>
        </w:rPr>
        <w:br/>
      </w:r>
      <w:r>
        <w:rPr>
          <w:noProof/>
        </w:rPr>
        <w:br/>
        <w:t>pokiaľ ide o</w:t>
      </w:r>
    </w:p>
    <w:p w:rsidR="00E33352" w:rsidRDefault="002E1531">
      <w:pPr>
        <w:pStyle w:val="Titreobjet"/>
        <w:rPr>
          <w:noProof/>
        </w:rPr>
      </w:pPr>
      <w:r>
        <w:rPr>
          <w:noProof/>
        </w:rPr>
        <w:t>pozíciu Rady k prijatiu nariadenia Európskeho parlamentu a Rady, ktorým sa stanovujú opatrenia týkajúce sa otvoreného prístupu k internetu a ktorým sa mení smernica 2002/22/ES o univerzálnej službe a právach užívateľov týkajú</w:t>
      </w:r>
      <w:r>
        <w:rPr>
          <w:noProof/>
        </w:rPr>
        <w:t>cich sa elektronických komunikačných sietí a služieb a nariadenie Európskeho parlamentu a Rady (EÚ) č. 531/2012 z 13. júna 2012 o roamingu vo verejných mobilných komunikačných sieťach v rámci Únie</w:t>
      </w:r>
    </w:p>
    <w:p w:rsidR="00E33352" w:rsidRDefault="002E1531">
      <w:pPr>
        <w:pStyle w:val="IntrtEEE"/>
        <w:rPr>
          <w:noProof/>
        </w:rPr>
      </w:pPr>
      <w:r>
        <w:rPr>
          <w:noProof/>
        </w:rPr>
        <w:t>(Text s významom pre EHP)</w:t>
      </w:r>
    </w:p>
    <w:p w:rsidR="00E33352" w:rsidRDefault="002E1531">
      <w:pPr>
        <w:pStyle w:val="ManualHeading1"/>
        <w:rPr>
          <w:noProof/>
          <w:sz w:val="22"/>
        </w:rPr>
      </w:pPr>
      <w:r>
        <w:rPr>
          <w:noProof/>
        </w:rPr>
        <w:t>1.</w:t>
      </w:r>
      <w:r>
        <w:rPr>
          <w:noProof/>
        </w:rPr>
        <w:tab/>
        <w:t>Súvislosti</w:t>
      </w:r>
    </w:p>
    <w:tbl>
      <w:tblPr>
        <w:tblW w:w="0" w:type="auto"/>
        <w:tblLayout w:type="fixed"/>
        <w:tblLook w:val="0000" w:firstRow="0" w:lastRow="0" w:firstColumn="0" w:lastColumn="0" w:noHBand="0" w:noVBand="0"/>
      </w:tblPr>
      <w:tblGrid>
        <w:gridCol w:w="6804"/>
        <w:gridCol w:w="2483"/>
      </w:tblGrid>
      <w:tr w:rsidR="00E33352">
        <w:tc>
          <w:tcPr>
            <w:tcW w:w="6804" w:type="dxa"/>
          </w:tcPr>
          <w:p w:rsidR="00E33352" w:rsidRDefault="002E1531">
            <w:pPr>
              <w:jc w:val="left"/>
              <w:rPr>
                <w:noProof/>
              </w:rPr>
            </w:pPr>
            <w:r>
              <w:rPr>
                <w:noProof/>
              </w:rPr>
              <w:t>Dátum predloženia n</w:t>
            </w:r>
            <w:r>
              <w:rPr>
                <w:noProof/>
              </w:rPr>
              <w:t>ávrhu Európskemu parlamentu a Rade [dokument COM(2013) 0627 final – 2013/0309(COD)]:</w:t>
            </w:r>
          </w:p>
        </w:tc>
        <w:tc>
          <w:tcPr>
            <w:tcW w:w="2483" w:type="dxa"/>
          </w:tcPr>
          <w:p w:rsidR="00E33352" w:rsidRDefault="002E1531">
            <w:pPr>
              <w:jc w:val="left"/>
              <w:rPr>
                <w:noProof/>
              </w:rPr>
            </w:pPr>
            <w:r>
              <w:rPr>
                <w:noProof/>
              </w:rPr>
              <w:t>12. 9. 2013.</w:t>
            </w:r>
          </w:p>
        </w:tc>
      </w:tr>
      <w:tr w:rsidR="00E33352">
        <w:tc>
          <w:tcPr>
            <w:tcW w:w="6804" w:type="dxa"/>
          </w:tcPr>
          <w:p w:rsidR="00E33352" w:rsidRDefault="002E1531">
            <w:pPr>
              <w:jc w:val="left"/>
              <w:rPr>
                <w:noProof/>
              </w:rPr>
            </w:pPr>
            <w:r>
              <w:rPr>
                <w:noProof/>
              </w:rPr>
              <w:t xml:space="preserve">Dátum stanoviska Európskeho hospodárskeho a sociálneho výboru: </w:t>
            </w:r>
          </w:p>
        </w:tc>
        <w:tc>
          <w:tcPr>
            <w:tcW w:w="2483" w:type="dxa"/>
          </w:tcPr>
          <w:p w:rsidR="00E33352" w:rsidRDefault="002E1531">
            <w:pPr>
              <w:jc w:val="left"/>
              <w:rPr>
                <w:noProof/>
              </w:rPr>
            </w:pPr>
            <w:r>
              <w:rPr>
                <w:noProof/>
              </w:rPr>
              <w:t>21. 1. 2014</w:t>
            </w:r>
          </w:p>
        </w:tc>
      </w:tr>
      <w:tr w:rsidR="00E33352">
        <w:tc>
          <w:tcPr>
            <w:tcW w:w="6804" w:type="dxa"/>
          </w:tcPr>
          <w:p w:rsidR="00E33352" w:rsidRDefault="002E1531">
            <w:pPr>
              <w:rPr>
                <w:noProof/>
              </w:rPr>
            </w:pPr>
            <w:r>
              <w:rPr>
                <w:noProof/>
              </w:rPr>
              <w:t>Dátum pozície Európskeho parlamentu v prvom čítaní:</w:t>
            </w:r>
          </w:p>
        </w:tc>
        <w:tc>
          <w:tcPr>
            <w:tcW w:w="2483" w:type="dxa"/>
          </w:tcPr>
          <w:p w:rsidR="00E33352" w:rsidRDefault="002E1531">
            <w:pPr>
              <w:jc w:val="left"/>
              <w:rPr>
                <w:noProof/>
              </w:rPr>
            </w:pPr>
            <w:r>
              <w:rPr>
                <w:noProof/>
              </w:rPr>
              <w:t>3. 4. 2014</w:t>
            </w:r>
          </w:p>
        </w:tc>
      </w:tr>
      <w:tr w:rsidR="00E33352">
        <w:tc>
          <w:tcPr>
            <w:tcW w:w="6804" w:type="dxa"/>
          </w:tcPr>
          <w:p w:rsidR="00E33352" w:rsidRDefault="002E1531">
            <w:pPr>
              <w:rPr>
                <w:noProof/>
              </w:rPr>
            </w:pPr>
            <w:r>
              <w:rPr>
                <w:noProof/>
              </w:rPr>
              <w:t xml:space="preserve">Dátum prijatia </w:t>
            </w:r>
            <w:r>
              <w:rPr>
                <w:noProof/>
              </w:rPr>
              <w:t>pozície Rady:</w:t>
            </w:r>
          </w:p>
        </w:tc>
        <w:tc>
          <w:tcPr>
            <w:tcW w:w="2483" w:type="dxa"/>
          </w:tcPr>
          <w:p w:rsidR="00E33352" w:rsidRDefault="002E1531">
            <w:pPr>
              <w:jc w:val="left"/>
              <w:rPr>
                <w:noProof/>
                <w:highlight w:val="yellow"/>
              </w:rPr>
            </w:pPr>
            <w:r>
              <w:rPr>
                <w:noProof/>
              </w:rPr>
              <w:t>1. 10. 2015.</w:t>
            </w:r>
          </w:p>
        </w:tc>
      </w:tr>
    </w:tbl>
    <w:p w:rsidR="00E33352" w:rsidRDefault="002E1531">
      <w:pPr>
        <w:pStyle w:val="ManualHeading1"/>
        <w:rPr>
          <w:noProof/>
        </w:rPr>
      </w:pPr>
      <w:r>
        <w:rPr>
          <w:noProof/>
        </w:rPr>
        <w:t>2.</w:t>
      </w:r>
      <w:r>
        <w:rPr>
          <w:noProof/>
        </w:rPr>
        <w:tab/>
        <w:t>Cieľ návrhu Komisie</w:t>
      </w:r>
    </w:p>
    <w:p w:rsidR="00E33352" w:rsidRDefault="002E1531">
      <w:pPr>
        <w:rPr>
          <w:noProof/>
        </w:rPr>
      </w:pPr>
      <w:r>
        <w:rPr>
          <w:noProof/>
        </w:rPr>
        <w:t>Cieľom návrhu je posunúť sa k jednotnému trhu s elektronickými komunikáciami. Občanom a podnikom by to malo umožniť prístup k elektronickým komunikačným službám poskytovaným kdekoľvek v Európskej únii, a t</w:t>
      </w:r>
      <w:r>
        <w:rPr>
          <w:noProof/>
        </w:rPr>
        <w:t>o bez cezhraničných obmedzení alebo neopodstatnených dodatočných nákladov. Podnikom poskytujúcim elektronické komunikačné siete a služby by mal tento systém zároveň umožniť, aby tieto siete a služby poskytovali a prevádzkovali všade tam, kde majú sídlo ale</w:t>
      </w:r>
      <w:r>
        <w:rPr>
          <w:noProof/>
        </w:rPr>
        <w:t>bo kde sa nachádzajú ich zákazníci v EÚ.</w:t>
      </w:r>
    </w:p>
    <w:p w:rsidR="00E33352" w:rsidRDefault="002E1531">
      <w:pPr>
        <w:rPr>
          <w:noProof/>
        </w:rPr>
      </w:pPr>
      <w:r>
        <w:rPr>
          <w:noProof/>
        </w:rPr>
        <w:t>Návrh Komisie obsahoval ustanovenia na riešenie konkrétnych prekážok, ktoré bránia rozvoju jednotného trhu s elektronickými komunikáciami. Stanovil najmä: vytvorenie jednotného povolenia EÚ pre cezhraničných poskyto</w:t>
      </w:r>
      <w:r>
        <w:rPr>
          <w:noProof/>
        </w:rPr>
        <w:t>vateľov, koordináciu prideľovania frekvenčného spektra, harmonizáciu prístupových produktov potrebných na poskytovanie elektronických komunikácií, harmonizáciu pravidiel zabezpečujúcich otvorený internet, harmonizáciu pravidiel na ochranu koncových používa</w:t>
      </w:r>
      <w:r>
        <w:rPr>
          <w:noProof/>
        </w:rPr>
        <w:t>teľov, opatrenia na postupné rušenie roamingových príplatkov a zmeny v správe Orgánu európskych regulátorov pre elektronické komunikácie.</w:t>
      </w:r>
    </w:p>
    <w:p w:rsidR="00E33352" w:rsidRDefault="002E1531">
      <w:pPr>
        <w:pStyle w:val="ManualHeading1"/>
        <w:rPr>
          <w:noProof/>
        </w:rPr>
      </w:pPr>
      <w:r>
        <w:rPr>
          <w:noProof/>
        </w:rPr>
        <w:t>3.</w:t>
      </w:r>
      <w:r>
        <w:rPr>
          <w:noProof/>
        </w:rPr>
        <w:tab/>
        <w:t>Pripomienky k pozícii Rady</w:t>
      </w:r>
    </w:p>
    <w:p w:rsidR="00E33352" w:rsidRDefault="002E1531">
      <w:pPr>
        <w:rPr>
          <w:noProof/>
        </w:rPr>
      </w:pPr>
      <w:r>
        <w:rPr>
          <w:noProof/>
        </w:rPr>
        <w:t>Rada zaujala rozhodné stanovisko, aby bol rozsah pôsobnosti návrhu obmedzený na neutrali</w:t>
      </w:r>
      <w:r>
        <w:rPr>
          <w:noProof/>
        </w:rPr>
        <w:t xml:space="preserve">tu siete a roaming, a táto skutočnosť bola potvrdená aj v rokovaniach s Európskym parlamentom. Treba poznamenať, že v stratégii v oblasti jednotného digitálneho trhu </w:t>
      </w:r>
      <w:r>
        <w:rPr>
          <w:noProof/>
        </w:rPr>
        <w:lastRenderedPageBreak/>
        <w:t>oznámenej 6. mája 2015 dáva Komisia jasne najavo, že frekvenčné spektrum bude súčasťou pre</w:t>
      </w:r>
      <w:r>
        <w:rPr>
          <w:noProof/>
        </w:rPr>
        <w:t>skúmania telekomunikačných pravidiel, ktoré má byť predložené v roku 2016. Je preto prijateľné obmedziť rozsah pôsobnosti návrhu nariadenia na roaming a neutralitu siete. Toto rozhodnutie zohľadňuje jasné vyjadrenia zo záverov Európskej rady z 26. júna 201</w:t>
      </w:r>
      <w:r>
        <w:rPr>
          <w:noProof/>
        </w:rPr>
        <w:t>5, v ktorých sa zdôrazňuje význam všetkých rozmerov stratégie Komisie a usiluje sa o presadzovanie ambicióznej reformy telekomunikačného rámca vrátane účinnejšej koordinácie frekvenčného spektra.</w:t>
      </w:r>
    </w:p>
    <w:p w:rsidR="00E33352" w:rsidRDefault="002E1531">
      <w:pPr>
        <w:rPr>
          <w:noProof/>
          <w:szCs w:val="20"/>
        </w:rPr>
      </w:pPr>
      <w:r>
        <w:rPr>
          <w:noProof/>
        </w:rPr>
        <w:t>Celkovo Rada vo svojej pozícii podporuje hlavné ciele návrhu</w:t>
      </w:r>
      <w:r>
        <w:rPr>
          <w:noProof/>
        </w:rPr>
        <w:t xml:space="preserve"> Komisie, t. j. zrušenie maloobchodných roamingových príplatkov, zabezpečenie otvoreného prístupu k internetu a zároveň umožnenie inovačných služieb. Rada však zavádza niektoré zmeny, pokiaľ ide o spôsob dosiahnutia týchto cieľov. Vo svojich pozmeňovacích </w:t>
      </w:r>
      <w:r>
        <w:rPr>
          <w:noProof/>
        </w:rPr>
        <w:t>návrhoch Rada navrhuje stanoviť jasný termín na zrušenie roamingových príplatkov a zároveň zabezpečiť udržateľnosť takéhoto zrušenia, a to najmä vhodným načasovaním preskúmania veľkoobchodného roamingového trhu a zavedením vhodného mechanizmu na riešenie v</w:t>
      </w:r>
      <w:r>
        <w:rPr>
          <w:noProof/>
        </w:rPr>
        <w:t xml:space="preserve">ýnimočných a osobitných prípadov, keď by boli modely vnútroštátnych poplatkov neudržateľné dokonca aj po tomto preskúmaní veľkoobchodného roamingového trhu. (Podrobnosti tohto riešenia má Komisia stanoviť vo vykonávacích opatreniach). </w:t>
      </w:r>
    </w:p>
    <w:p w:rsidR="00E33352" w:rsidRDefault="002E1531">
      <w:pPr>
        <w:rPr>
          <w:noProof/>
        </w:rPr>
      </w:pPr>
      <w:r>
        <w:rPr>
          <w:noProof/>
        </w:rPr>
        <w:t>Pokiaľ ide o otvoren</w:t>
      </w:r>
      <w:r>
        <w:rPr>
          <w:noProof/>
        </w:rPr>
        <w:t>ý prístup k internetu, Komisia konštatuje, že text Rady zabezpečuje politický cieľ návrhu nariadenia, konkrétne zakotvuje právo každého Európana na nediskriminačný prístup k internetovému obsahu podľa vlastného výberu. Zároveň sa v texte objasňuje, že rovn</w:t>
      </w:r>
      <w:r>
        <w:rPr>
          <w:noProof/>
        </w:rPr>
        <w:t xml:space="preserve">aké zaobchádzanie s prevádzkou umožňuje primerané každodenné riadenie prevádzky založené na odôvodnených objektívnych technických požiadavkách a nezávisle od pôvodu alebo miesta určenia prevádzky. Okrem toho, text obsahuje zákaz blokovania, spomaľovania a </w:t>
      </w:r>
      <w:r>
        <w:rPr>
          <w:noProof/>
        </w:rPr>
        <w:t xml:space="preserve">diskriminácie určitého obsahu, aplikácií alebo služieb, alebo ich kategórií, stanovuje však tri úzko vymedzené nevyhnutné výnimky. Tie sa týkajú dodržiavania právnych predpisov EÚ alebo vnútroštátnych právnych predpisov alebo opatrení vykonávajúcich tieto </w:t>
      </w:r>
      <w:r>
        <w:rPr>
          <w:noProof/>
        </w:rPr>
        <w:t xml:space="preserve">predpisy, bezpečnosti siete a riadenia dočasného alebo výnimočného preťaženia siete. . </w:t>
      </w:r>
    </w:p>
    <w:p w:rsidR="00E33352" w:rsidRDefault="002E1531">
      <w:pPr>
        <w:rPr>
          <w:rStyle w:val="s10"/>
          <w:noProof/>
        </w:rPr>
      </w:pPr>
      <w:r>
        <w:rPr>
          <w:noProof/>
        </w:rPr>
        <w:t>V texte sa okrem toho stanovuje, že za určitých podmienok sa môžu poskytovať aj služby iného druhu ako služby prístupu k internetu, ktoré sú optimalizované pre konkrétn</w:t>
      </w:r>
      <w:r>
        <w:rPr>
          <w:noProof/>
        </w:rPr>
        <w:t>y obsah, aplikácie alebo služby. Ide o tieto podmienky: aby bola optimalizácia nevyhnutná na splnenie požiadaviek na kvalitu obsahu, aplikácie alebo služby; aby sa tieto služby neponúkali ani neboli použiteľné ako náhrada za služby prístupu k internetu; ab</w:t>
      </w:r>
      <w:r>
        <w:rPr>
          <w:noProof/>
        </w:rPr>
        <w:t xml:space="preserve">y </w:t>
      </w:r>
      <w:r>
        <w:rPr>
          <w:rStyle w:val="s10"/>
          <w:noProof/>
        </w:rPr>
        <w:t>bola k dispozícii dostatočná kapacita a aby ich poskytovanie nebolo na úkor kvality služieb prístupu k internetu pre koncových používateľov.</w:t>
      </w:r>
    </w:p>
    <w:p w:rsidR="00E33352" w:rsidRDefault="002E1531">
      <w:pPr>
        <w:rPr>
          <w:noProof/>
        </w:rPr>
      </w:pPr>
      <w:r>
        <w:rPr>
          <w:noProof/>
        </w:rPr>
        <w:t>Príslušné regulačné orgány budú mať zodpovednosť a povinnosť prostredníctvom monitorovania a opatrení na presadzovania práva zabezpečiť, aby sa dodržiavali pravidlá nariadenia a aby neboli porušené práva koncových používateľov vrátane poskytovateľov obsahu</w:t>
      </w:r>
      <w:r>
        <w:rPr>
          <w:noProof/>
        </w:rPr>
        <w:t xml:space="preserve">, služieb a aplikácií. </w:t>
      </w:r>
    </w:p>
    <w:p w:rsidR="00E33352" w:rsidRDefault="002E1531">
      <w:pPr>
        <w:rPr>
          <w:noProof/>
          <w:szCs w:val="20"/>
        </w:rPr>
      </w:pPr>
      <w:r>
        <w:rPr>
          <w:noProof/>
        </w:rPr>
        <w:t>Tento vyvážený prístup účinne chráni kvalitu služieb prístupu k internetu bez toho, aby bránil inováciám. Návrh ďalej zavádza určité práva koncových používateľov, ktoré sú nevyhnutné na účinné uplatňovanie ustanovení o roamingu a ne</w:t>
      </w:r>
      <w:r>
        <w:rPr>
          <w:noProof/>
        </w:rPr>
        <w:t>utralite siete.</w:t>
      </w:r>
    </w:p>
    <w:p w:rsidR="00E33352" w:rsidRDefault="002E1531">
      <w:pPr>
        <w:rPr>
          <w:noProof/>
        </w:rPr>
      </w:pPr>
      <w:r>
        <w:rPr>
          <w:noProof/>
        </w:rPr>
        <w:t>Komisia tieto výsledky podporuje.</w:t>
      </w:r>
    </w:p>
    <w:p w:rsidR="00E33352" w:rsidRDefault="002E1531">
      <w:pPr>
        <w:rPr>
          <w:noProof/>
        </w:rPr>
      </w:pPr>
      <w:r>
        <w:rPr>
          <w:noProof/>
        </w:rPr>
        <w:t>Po neformálnych trojstranných diskusiách, ktoré sa uskutočnili 23. marca 2015, 21. apríla 2015, 2. júna 2015 a 29. júna 2015, dosiahli Parlament a Rada ohľadom tohto znenia predbežnú politickú dohodu.</w:t>
      </w:r>
    </w:p>
    <w:p w:rsidR="00E33352" w:rsidRDefault="002E1531">
      <w:pPr>
        <w:rPr>
          <w:noProof/>
        </w:rPr>
      </w:pPr>
      <w:r>
        <w:rPr>
          <w:noProof/>
        </w:rPr>
        <w:lastRenderedPageBreak/>
        <w:t xml:space="preserve">Rada </w:t>
      </w:r>
      <w:r>
        <w:rPr>
          <w:noProof/>
        </w:rPr>
        <w:t>potvrdila túto politickú dohodu 8. júla 2015 a 1. októbra 2015 prijala svoju pozíciu v prvom čítaní.</w:t>
      </w:r>
    </w:p>
    <w:p w:rsidR="00E33352" w:rsidRDefault="002E1531">
      <w:pPr>
        <w:pStyle w:val="ManualHeading1"/>
        <w:rPr>
          <w:noProof/>
        </w:rPr>
      </w:pPr>
      <w:r>
        <w:rPr>
          <w:noProof/>
        </w:rPr>
        <w:t>4.</w:t>
      </w:r>
      <w:r>
        <w:rPr>
          <w:noProof/>
        </w:rPr>
        <w:tab/>
        <w:t>Záver</w:t>
      </w:r>
    </w:p>
    <w:p w:rsidR="00E33352" w:rsidRDefault="002E1531">
      <w:pPr>
        <w:rPr>
          <w:noProof/>
        </w:rPr>
      </w:pPr>
      <w:r>
        <w:rPr>
          <w:noProof/>
        </w:rPr>
        <w:t>Keďže všetky zmeny návrhu Komisie boli prerokované počas neformálnych trojstranných diskusií, Komisia môže zmeny, ktoré prijala Rada vo svojej poz</w:t>
      </w:r>
      <w:r>
        <w:rPr>
          <w:noProof/>
        </w:rPr>
        <w:t>ícii v prvom čítaní, akceptovať.</w:t>
      </w:r>
    </w:p>
    <w:sectPr w:rsidR="00E33352" w:rsidSect="00CB17E7">
      <w:footerReference w:type="default" r:id="rId16"/>
      <w:footerReference w:type="first" r:id="rId17"/>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31" w:rsidRDefault="002E1531">
      <w:pPr>
        <w:spacing w:before="0" w:after="0"/>
      </w:pPr>
      <w:r>
        <w:separator/>
      </w:r>
    </w:p>
  </w:endnote>
  <w:endnote w:type="continuationSeparator" w:id="0">
    <w:p w:rsidR="002E1531" w:rsidRDefault="002E15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E7" w:rsidRDefault="00CB1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52" w:rsidRDefault="002E1531">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SK</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E7" w:rsidRDefault="00CB17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52" w:rsidRDefault="002E1531">
    <w:pPr>
      <w:pStyle w:val="Footer"/>
      <w:rPr>
        <w:rFonts w:ascii="Arial" w:hAnsi="Arial" w:cs="Arial"/>
        <w:b/>
        <w:sz w:val="48"/>
      </w:rPr>
    </w:pPr>
    <w:bookmarkStart w:id="0" w:name="_GoBack"/>
    <w:bookmarkEnd w:id="0"/>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sidR="00CB17E7">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52" w:rsidRDefault="00E33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31" w:rsidRDefault="002E1531">
      <w:pPr>
        <w:spacing w:before="0" w:after="0"/>
      </w:pPr>
      <w:r>
        <w:separator/>
      </w:r>
    </w:p>
  </w:footnote>
  <w:footnote w:type="continuationSeparator" w:id="0">
    <w:p w:rsidR="002E1531" w:rsidRDefault="002E15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E7" w:rsidRDefault="00CB1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E7" w:rsidRDefault="00CB1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E7" w:rsidRDefault="00CB1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30 11:21:0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FigNum" w:val="1"/>
    <w:docVar w:name="LW_CONFIDENCE" w:val=" "/>
    <w:docVar w:name="LW_CONST_RESTREINT_UE" w:val="RESTREINT UE"/>
    <w:docVar w:name="LW_CORRIGENDUM" w:val="&lt;UNUSED&gt;"/>
    <w:docVar w:name="LW_COVERPAGE_GUID" w:val="C0940F1EC8F349D2A569368ABACB0430"/>
    <w:docVar w:name="LW_CROSSREFERENCE" w:val="&lt;UNUSED&gt;"/>
    <w:docVar w:name="LW_DocType" w:val="COM"/>
    <w:docVar w:name="LW_EMISSION" w:val="2. 10. 2015"/>
    <w:docVar w:name="LW_EMISSION_ISODATE" w:val="2015-10-02"/>
    <w:docVar w:name="LW_EMISSION_LOCATION" w:val="BRX"/>
    <w:docVar w:name="LW_EMISSION_PREFIX" w:val="V Bruseli"/>
    <w:docVar w:name="LW_EMISSION_SUFFIX" w:val=" "/>
    <w:docVar w:name="LW_ID_DOCMODEL" w:val="SJ-028"/>
    <w:docVar w:name="LW_ID_DOCSTRUCTURE" w:val="COM/PL/CODEC"/>
    <w:docVar w:name="LW_ID_DOCTYPE" w:val="SJ-028"/>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309"/>
    <w:docVar w:name="LW_REF.II.NEW.CP_YEAR" w:val="2013"/>
    <w:docVar w:name="LW_REF.INST.NEW" w:val="COM"/>
    <w:docVar w:name="LW_REF.INST.NEW_ADOPTED" w:val="final"/>
    <w:docVar w:name="LW_REF.INST.NEW_TEXT" w:val="(2015) 489"/>
    <w:docVar w:name="LW_REF.INTERNE" w:val="&lt;UNUSED&gt;"/>
    <w:docVar w:name="LW_SOUS.TITRE.OBJ.CP" w:val="&lt;UNUSED&gt;"/>
    <w:docVar w:name="LW_SUPERTITRE" w:val="&lt;UNUSED&gt;"/>
    <w:docVar w:name="LW_TITRE.OBJ.CP" w:val="pozíciu Rady k prijatiu nariadenia Európskeho parlamentu a Rady, ktorým sa stanovujú opatrenia týkajúce sa otvoreného prístupu k internetu a ktorým sa mení smernica 2002/22/ES o univerzálnej slu\u382?be a právach u\u382?ívate\u318?ov týkajúcich sa elektronických komunika\u269?ných sietí a slu\u382?ieb a nariadenie Európskeho parlamentu a Rady (EÚ) \u269?. 531/2012 z 13. júna 2012 o roamingu vo verejných mobilných komunika\u269?ných sie\u357?ach v rámci Únie"/>
    <w:docVar w:name="LW_TYPE.DOC.CP" w:val="OZNÁMENIE KOMISIE EURÓPSKEMU PARLAMENTU_x000b__x000b_pod\u318?a \u269?lánku 294 ods. 6 Zmluvy o fungovaní Európskej únie,_x000b__x000b_pokia\u318? ide o"/>
    <w:docVar w:name="Stamp" w:val="\\dossiers.dgt.cec.eu.int\dossiers\CNECT\CNECT-2015-00059\CNECT-2015-00059-00-00-EN-REV-00.DOC"/>
  </w:docVars>
  <w:rsids>
    <w:rsidRoot w:val="00E33352"/>
    <w:rsid w:val="002E1531"/>
    <w:rsid w:val="00CB17E7"/>
    <w:rsid w:val="00E3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sk-SK"/>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k-SK"/>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rPr>
      <w:rFonts w:ascii="Times New Roman" w:hAnsi="Times New Roman"/>
      <w:sz w:val="24"/>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sk-SK"/>
    </w:r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k-SK"/>
    </w:rPr>
  </w:style>
  <w:style w:type="character" w:styleId="Hyperlink">
    <w:name w:val="Hyperlink"/>
    <w:uiPriority w:val="99"/>
    <w:unhideWhenUsed/>
    <w:rPr>
      <w:color w:val="0000FF"/>
      <w:u w:val="single"/>
    </w:rPr>
  </w:style>
  <w:style w:type="character" w:customStyle="1" w:styleId="s10">
    <w:name w:val="s10"/>
    <w:basedOn w:val="DefaultParagraphFont"/>
  </w:style>
  <w:style w:type="paragraph" w:styleId="Revision">
    <w:name w:val="Revision"/>
    <w:hidden/>
    <w:uiPriority w:val="99"/>
    <w:semiHidden/>
    <w:rPr>
      <w:rFonts w:ascii="Times New Roman" w:hAnsi="Times New Roman"/>
      <w:sz w:val="24"/>
    </w:rPr>
  </w:style>
  <w:style w:type="paragraph" w:customStyle="1" w:styleId="CM4">
    <w:name w:val="CM4"/>
    <w:basedOn w:val="Default"/>
    <w:next w:val="Default"/>
    <w:uiPriority w:val="99"/>
    <w:rPr>
      <w:rFonts w:ascii="EUAlbertina" w:hAnsi="EUAlbertina"/>
      <w:color w:val="auto"/>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8701">
      <w:bodyDiv w:val="1"/>
      <w:marLeft w:val="0"/>
      <w:marRight w:val="0"/>
      <w:marTop w:val="0"/>
      <w:marBottom w:val="0"/>
      <w:divBdr>
        <w:top w:val="none" w:sz="0" w:space="0" w:color="auto"/>
        <w:left w:val="none" w:sz="0" w:space="0" w:color="auto"/>
        <w:bottom w:val="none" w:sz="0" w:space="0" w:color="auto"/>
        <w:right w:val="none" w:sz="0" w:space="0" w:color="auto"/>
      </w:divBdr>
    </w:div>
    <w:div w:id="1300959675">
      <w:bodyDiv w:val="1"/>
      <w:marLeft w:val="0"/>
      <w:marRight w:val="0"/>
      <w:marTop w:val="0"/>
      <w:marBottom w:val="0"/>
      <w:divBdr>
        <w:top w:val="none" w:sz="0" w:space="0" w:color="auto"/>
        <w:left w:val="none" w:sz="0" w:space="0" w:color="auto"/>
        <w:bottom w:val="none" w:sz="0" w:space="0" w:color="auto"/>
        <w:right w:val="none" w:sz="0" w:space="0" w:color="auto"/>
      </w:divBdr>
    </w:div>
    <w:div w:id="1424296798">
      <w:bodyDiv w:val="1"/>
      <w:marLeft w:val="0"/>
      <w:marRight w:val="0"/>
      <w:marTop w:val="0"/>
      <w:marBottom w:val="0"/>
      <w:divBdr>
        <w:top w:val="none" w:sz="0" w:space="0" w:color="auto"/>
        <w:left w:val="none" w:sz="0" w:space="0" w:color="auto"/>
        <w:bottom w:val="none" w:sz="0" w:space="0" w:color="auto"/>
        <w:right w:val="none" w:sz="0" w:space="0" w:color="auto"/>
      </w:divBdr>
    </w:div>
    <w:div w:id="1901593777">
      <w:bodyDiv w:val="1"/>
      <w:marLeft w:val="0"/>
      <w:marRight w:val="0"/>
      <w:marTop w:val="0"/>
      <w:marBottom w:val="0"/>
      <w:divBdr>
        <w:top w:val="none" w:sz="0" w:space="0" w:color="auto"/>
        <w:left w:val="none" w:sz="0" w:space="0" w:color="auto"/>
        <w:bottom w:val="none" w:sz="0" w:space="0" w:color="auto"/>
        <w:right w:val="none" w:sz="0" w:space="0" w:color="auto"/>
      </w:divBdr>
    </w:div>
    <w:div w:id="20887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09CB-DC28-4A38-8AE7-6BE452D0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831</Words>
  <Characters>5334</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17</cp:revision>
  <cp:lastPrinted>2015-08-28T13:37:00Z</cp:lastPrinted>
  <dcterms:created xsi:type="dcterms:W3CDTF">2015-09-25T12:55:00Z</dcterms:created>
  <dcterms:modified xsi:type="dcterms:W3CDTF">2015-09-30T10:00:00Z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03)</vt:lpwstr>
  </property>
</Properties>
</file>