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3AD" w:rsidRDefault="00251882">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7DC4274381B40E5813BB5F5255FD0B5" style="width:450.6pt;height:450.6pt">
            <v:imagedata r:id="rId9" o:title=""/>
          </v:shape>
        </w:pict>
      </w:r>
    </w:p>
    <w:p w:rsidR="003563AD" w:rsidRDefault="003563AD">
      <w:pPr>
        <w:rPr>
          <w:noProof/>
        </w:rPr>
        <w:sectPr w:rsidR="003563AD">
          <w:footerReference w:type="default" r:id="rId10"/>
          <w:pgSz w:w="11907" w:h="16839"/>
          <w:pgMar w:top="1134" w:right="1417" w:bottom="1134" w:left="1417" w:header="709" w:footer="709" w:gutter="0"/>
          <w:pgNumType w:start="1"/>
          <w:cols w:space="720"/>
          <w:docGrid w:linePitch="360"/>
        </w:sectPr>
      </w:pPr>
    </w:p>
    <w:p w:rsidR="003563AD" w:rsidRDefault="00251882">
      <w:pPr>
        <w:pStyle w:val="Exposdesmotifstitre"/>
        <w:rPr>
          <w:noProof/>
        </w:rPr>
      </w:pPr>
      <w:r>
        <w:rPr>
          <w:noProof/>
        </w:rPr>
        <w:lastRenderedPageBreak/>
        <w:t>SELETUSKIRI</w:t>
      </w:r>
    </w:p>
    <w:p w:rsidR="003563AD" w:rsidRDefault="00251882">
      <w:pPr>
        <w:pStyle w:val="ManualHeading1"/>
        <w:rPr>
          <w:noProof/>
        </w:rPr>
      </w:pPr>
      <w:r>
        <w:rPr>
          <w:noProof/>
        </w:rPr>
        <w:t>ETTEPANEKU TAUST</w:t>
      </w:r>
    </w:p>
    <w:p w:rsidR="003563AD" w:rsidRDefault="00251882">
      <w:pPr>
        <w:pStyle w:val="ManualHeading2"/>
        <w:rPr>
          <w:rFonts w:eastAsia="Arial Unicode MS"/>
          <w:noProof/>
        </w:rPr>
      </w:pPr>
      <w:r>
        <w:rPr>
          <w:noProof/>
        </w:rPr>
        <w:t>Ettepaneku põhjused ja eesmärgid</w:t>
      </w:r>
    </w:p>
    <w:p w:rsidR="003563AD" w:rsidRDefault="00251882">
      <w:pPr>
        <w:rPr>
          <w:noProof/>
        </w:rPr>
      </w:pPr>
      <w:r>
        <w:rPr>
          <w:noProof/>
        </w:rPr>
        <w:t xml:space="preserve">Lihtsa, läbipaistva ja standarditud </w:t>
      </w:r>
      <w:r>
        <w:rPr>
          <w:noProof/>
        </w:rPr>
        <w:t>väärtpaberistamise turu loomine on kapitaliturgude liidu projekti oluline komponent ja aitab kaasa komisjoni esmatähtsale eesmärgile toetada töökohtade loomist ja majanduse jätkusuutlikku kasvu</w:t>
      </w:r>
      <w:r>
        <w:rPr>
          <w:rStyle w:val="FootnoteReference"/>
          <w:noProof/>
        </w:rPr>
        <w:footnoteReference w:id="1"/>
      </w:r>
      <w:r>
        <w:rPr>
          <w:noProof/>
        </w:rPr>
        <w:t>. ELi ühtne kvaliteetne väärtpaberistamisraamistik saaks soodu</w:t>
      </w:r>
      <w:r>
        <w:rPr>
          <w:noProof/>
        </w:rPr>
        <w:t xml:space="preserve">stada ELi finantsturgude täiendavat lõimist, aidata mitmekesistada rahastamisallikaid ja vabastada kapitali, nii et krediidiasutustel ja laenuandjatel oleks lihtsam majapidamistele ja ettevõtetele laenu anda. </w:t>
      </w:r>
    </w:p>
    <w:p w:rsidR="003563AD" w:rsidRDefault="00251882">
      <w:pPr>
        <w:rPr>
          <w:noProof/>
        </w:rPr>
      </w:pPr>
      <w:r>
        <w:rPr>
          <w:noProof/>
        </w:rPr>
        <w:t>Euroopa Komisjon määras 2015. aasta tööprogram</w:t>
      </w:r>
      <w:r>
        <w:rPr>
          <w:noProof/>
        </w:rPr>
        <w:t>mis</w:t>
      </w:r>
      <w:r>
        <w:rPr>
          <w:rStyle w:val="FootnoteReference"/>
          <w:noProof/>
        </w:rPr>
        <w:footnoteReference w:id="2"/>
      </w:r>
      <w:r>
        <w:rPr>
          <w:noProof/>
        </w:rPr>
        <w:t xml:space="preserve"> kindlaks sihipärased meetmed koos 10 prioriteediga ja teatas, et osana prioriteedist luua süvendatud ja õiglasem siseturg tugevama tööstusbaasiga kavatseb ta kehtestada ELi raamistiku lihtsa, läbipaistva ja standarditud väärtpaberistamise jaoks. 26. n</w:t>
      </w:r>
      <w:r>
        <w:rPr>
          <w:noProof/>
        </w:rPr>
        <w:t>ovembril 2014 komisjoni esitatud investeerimiskavas Euroopa jaoks nimetati väärtpaberistamise jätkusuutliku turu loomist enne kriisi tehtud vigu kordamata ühe valdkonnana viiest, kus on vaja võtta meetmeid lähemal ajal</w:t>
      </w:r>
      <w:r>
        <w:rPr>
          <w:rStyle w:val="FootnoteReference"/>
          <w:noProof/>
        </w:rPr>
        <w:footnoteReference w:id="3"/>
      </w:r>
      <w:r>
        <w:rPr>
          <w:noProof/>
        </w:rPr>
        <w:t>.</w:t>
      </w:r>
    </w:p>
    <w:p w:rsidR="003563AD" w:rsidRDefault="00251882">
      <w:pPr>
        <w:rPr>
          <w:noProof/>
        </w:rPr>
      </w:pPr>
      <w:r>
        <w:rPr>
          <w:noProof/>
        </w:rPr>
        <w:t>Väärtpaberistamine tähistab tehingu</w:t>
      </w:r>
      <w:r>
        <w:rPr>
          <w:noProof/>
        </w:rPr>
        <w:t>id, mis võimaldavad laenuandjal või muul tehingu algatajal (tavaliselt krediidiasutus) refinantseerida laenude või varade kogum (nt hüpoteegid, autoliising, tarbimislaenud, krediitkaardid) nende väärtpaberiteks muutmise teel. Laenuandja või tehingu algataj</w:t>
      </w:r>
      <w:r>
        <w:rPr>
          <w:noProof/>
        </w:rPr>
        <w:t>a jagab oma laenuportfelli erinevatesse riskikategooriatesse, mis on kohandatud investorite riski- ja tootluse profiilile. Investoritele loodav tulu saadakse aluseks olevate laenude rahavoogudest. Sellised turud ei ole suunatud jaeinvestoritele.</w:t>
      </w:r>
    </w:p>
    <w:p w:rsidR="003563AD" w:rsidRDefault="00251882">
      <w:pPr>
        <w:rPr>
          <w:noProof/>
        </w:rPr>
      </w:pPr>
      <w:r>
        <w:rPr>
          <w:noProof/>
        </w:rPr>
        <w:t>Väärtpaber</w:t>
      </w:r>
      <w:r>
        <w:rPr>
          <w:noProof/>
        </w:rPr>
        <w:t>istamine on hästi toimivate kapitaliturgude oluline osa. Usaldusväärselt struktureeritud väärtpaberistamine võib olla oluline viis mitmekesistada rahastamisallikaid ja jaotada riske ELi finantssüsteemi sees tõhusamalt. See võimaldab finantssektori riski la</w:t>
      </w:r>
      <w:r>
        <w:rPr>
          <w:noProof/>
        </w:rPr>
        <w:t>iemalt jaotada ja võib aidata vabastada krediidiasutuste bilansimahtu, et anda majandusele täiendavaid laene. Üldiselt võib väärtpaberistamine finantssüsteemi tõhustada ja pakkuda täiendavaid investeerimisvõimalusi. Väärtpaberistamine võib luua silla kredi</w:t>
      </w:r>
      <w:r>
        <w:rPr>
          <w:noProof/>
        </w:rPr>
        <w:t>idiasutuste ja kapitaliturgude vahel, pakkudes nii kaudset kasu ettevõtjatele ja kodanikele (näiteks vähem kulukate laenude ja ettevõtjate laenuhüpoteekide ja krediitkaartide teel) ja pakkuda asjaomastele investoritele tehingu algataja krediidiriskiga sidu</w:t>
      </w:r>
      <w:r>
        <w:rPr>
          <w:noProof/>
        </w:rPr>
        <w:t>mata varaklasse.</w:t>
      </w:r>
    </w:p>
    <w:p w:rsidR="003563AD" w:rsidRDefault="00251882">
      <w:pPr>
        <w:rPr>
          <w:noProof/>
        </w:rPr>
      </w:pPr>
      <w:r>
        <w:rPr>
          <w:noProof/>
        </w:rPr>
        <w:t>Pärast 2007.–2008. aasta suurtest riskidest tingitud kriisi Ameerika Ühendriikides võtsid ametiasutused meetmeid, et muuta väärtpaberistamise tehingud turvalisemaks ja lihtsamaks ning tagada riskide juhtimiseks asjakohaste stiimulite kehte</w:t>
      </w:r>
      <w:r>
        <w:rPr>
          <w:noProof/>
        </w:rPr>
        <w:t>stamine – sealhulgas nii kõrgemad kapitalinõuded, hoolsuskohustus ja äritegevusnõuded kui ka kohustuslikud riski säilitamise nõuded, millega tagada, et tooteid ei väärtpaberistataks ainult investoritele jaotamise eesmärgiga, nagu see 2008. aasta finantskri</w:t>
      </w:r>
      <w:r>
        <w:rPr>
          <w:noProof/>
        </w:rPr>
        <w:t>isile eelneval ajal tavaks oli (nn „algata ja turusta” mudel)</w:t>
      </w:r>
      <w:r>
        <w:rPr>
          <w:rStyle w:val="FootnoteReference"/>
          <w:noProof/>
        </w:rPr>
        <w:footnoteReference w:id="4"/>
      </w:r>
      <w:r>
        <w:rPr>
          <w:noProof/>
        </w:rPr>
        <w:t>. Kõnealuseid reforme oli vaja finantsstabiilsuse tagamiseks. Reformide tulemusel on kõik väärtpaberistamised ELis nüüd rangelt reguleeritud.</w:t>
      </w:r>
    </w:p>
    <w:p w:rsidR="003563AD" w:rsidRDefault="00251882">
      <w:pPr>
        <w:rPr>
          <w:noProof/>
        </w:rPr>
      </w:pPr>
      <w:r>
        <w:rPr>
          <w:noProof/>
        </w:rPr>
        <w:lastRenderedPageBreak/>
        <w:t>Euroopa väärtpaberistamise turud on finantskriisi al</w:t>
      </w:r>
      <w:r>
        <w:rPr>
          <w:noProof/>
        </w:rPr>
        <w:t xml:space="preserve">gusest saadik tagasihoidlikult tegutsenud. Ameerika Ühendriikide turud on seevastu taastunud. Selline olukord on tekkinud olenemata asjaolust, et erinevalt Ameerika Ühendriikide turgudest pidasid Euroopa väärtpaberistamise turud kriisile suhteliselt hästi </w:t>
      </w:r>
      <w:r>
        <w:rPr>
          <w:noProof/>
        </w:rPr>
        <w:t>vastu ja ELis algatatud instrumentidelt kantud kahju on Ameerika Ühendriikide omaga võrreldes väga väike. Näiteks AAA-reitinguga Ameerika Ühendriikide eluasemehüpoteekväärtpaberite makseviivitused olid kõrge riskisusega väärtpaberite puhul 16 % ja madala r</w:t>
      </w:r>
      <w:r>
        <w:rPr>
          <w:noProof/>
        </w:rPr>
        <w:t>iskisusega väärtpaberite puhul 3 %. Samas ei ületanud ELi eluasemehüpoteekväärtpaberite makseviivitused kunagi 0,1 %. BBB-reitinguga toodete puhul on erinevused veelgi suuremad – USA eluasemehüpoteekväärtpaberite makseviivituste tipptase oli kõrge riskisus</w:t>
      </w:r>
      <w:r>
        <w:rPr>
          <w:noProof/>
        </w:rPr>
        <w:t>ega väärtpaberite puhul 62 % ja madala riskisusega väärtpaberite puhul 46 %, samas kui ELi toodete makseviivituste tipptase oli 0,2 %.</w:t>
      </w:r>
    </w:p>
    <w:p w:rsidR="003563AD" w:rsidRDefault="00251882">
      <w:pPr>
        <w:rPr>
          <w:noProof/>
        </w:rPr>
      </w:pPr>
      <w:r>
        <w:rPr>
          <w:noProof/>
        </w:rPr>
        <w:t>Kuigi USA väärtpaberistamise turud erinevad ELi omadest ja ELi turu moodustavate siseriiklike, erineva killustatuse astme</w:t>
      </w:r>
      <w:r>
        <w:rPr>
          <w:noProof/>
        </w:rPr>
        <w:t xml:space="preserve"> ja tõhususega turgudest, on USA turgude kiirema taastumise taga vähemalt osaliselt avalik sponsorlus. USA valitsuse sponsitud ettevõtjad (nt Fannie Mae ja Freddy Mac) on andnud riikliku tagatise peaaegu 80 %-le USA väärtpaberistamise instrumentidele. Sell</w:t>
      </w:r>
      <w:r>
        <w:rPr>
          <w:noProof/>
        </w:rPr>
        <w:t>istesse toodetesse investeerivate pankade suhtes kehtivad USA reguleeriva raamistiku alusel seetõttu madalamad omavahendite nõuded.</w:t>
      </w:r>
    </w:p>
    <w:p w:rsidR="003563AD" w:rsidRDefault="00251882">
      <w:pPr>
        <w:rPr>
          <w:noProof/>
        </w:rPr>
      </w:pPr>
      <w:r>
        <w:rPr>
          <w:noProof/>
        </w:rPr>
        <w:t>Käesoleva ettepaneku aluseks on ELis väga keerukate, läbipaistmatute ja kõrge riskisusega väärtpaberistamistega kaasnevate r</w:t>
      </w:r>
      <w:r>
        <w:rPr>
          <w:noProof/>
        </w:rPr>
        <w:t>iskide käsitlemiseks kehtestatud meetmed. ELi jätkusuutliku väärtpaberistamise turu loomise järgmine loomulik samm on keskenduda paremale diferentseerimisele ning läbipaistva, lihtsa ja standarditud väärtpaberistamise loomisele, et toetada nii ELi investee</w:t>
      </w:r>
      <w:r>
        <w:rPr>
          <w:noProof/>
        </w:rPr>
        <w:t>ringuid kui ka asjakohast riskijuhtimist. Sellepärast on käesoleva seadusandliku ettepaneku eesmärgid järgmised:</w:t>
      </w:r>
    </w:p>
    <w:p w:rsidR="003563AD" w:rsidRDefault="00251882">
      <w:pPr>
        <w:pStyle w:val="Point1number"/>
        <w:numPr>
          <w:ilvl w:val="2"/>
          <w:numId w:val="7"/>
        </w:numPr>
        <w:rPr>
          <w:noProof/>
        </w:rPr>
      </w:pPr>
      <w:r>
        <w:rPr>
          <w:noProof/>
        </w:rPr>
        <w:t>taaskäivitada turud jätkusuutlikumal alusel, nii et lihtsat, läbipaistvat ja standarditud väärtpaberistamist saaks kasutada majandusele tulemus</w:t>
      </w:r>
      <w:r>
        <w:rPr>
          <w:noProof/>
        </w:rPr>
        <w:t>liku rahastamisallikana;</w:t>
      </w:r>
    </w:p>
    <w:p w:rsidR="003563AD" w:rsidRDefault="00251882">
      <w:pPr>
        <w:pStyle w:val="Point1number"/>
        <w:numPr>
          <w:ilvl w:val="2"/>
          <w:numId w:val="17"/>
        </w:numPr>
        <w:rPr>
          <w:noProof/>
        </w:rPr>
      </w:pPr>
      <w:r>
        <w:rPr>
          <w:noProof/>
        </w:rPr>
        <w:t>võimaldada riskide tõhusat ja tulemuslikku ülekandmist nii arvukatele institutsionaalsetele investoritele kui ka pankadele;</w:t>
      </w:r>
    </w:p>
    <w:p w:rsidR="003563AD" w:rsidRDefault="00251882">
      <w:pPr>
        <w:pStyle w:val="Point1number"/>
        <w:numPr>
          <w:ilvl w:val="2"/>
          <w:numId w:val="17"/>
        </w:numPr>
        <w:rPr>
          <w:noProof/>
        </w:rPr>
      </w:pPr>
      <w:r>
        <w:rPr>
          <w:noProof/>
        </w:rPr>
        <w:t>pakkuda väärtpaberistamist kui tulemuslikku rahastamismehhanismi nii mõningatele pikemaajaalistele investor</w:t>
      </w:r>
      <w:r>
        <w:rPr>
          <w:noProof/>
        </w:rPr>
        <w:t>itele kui ka pankadele;</w:t>
      </w:r>
    </w:p>
    <w:p w:rsidR="003563AD" w:rsidRDefault="00251882">
      <w:pPr>
        <w:pStyle w:val="Point1number"/>
        <w:numPr>
          <w:ilvl w:val="2"/>
          <w:numId w:val="17"/>
        </w:numPr>
        <w:rPr>
          <w:noProof/>
        </w:rPr>
      </w:pPr>
      <w:r>
        <w:rPr>
          <w:noProof/>
        </w:rPr>
        <w:t>kaitsta investoreid ja juhtida süsteemset riski, vältides puudulike „algata ja turusta” mudelite kordumist.</w:t>
      </w:r>
    </w:p>
    <w:p w:rsidR="003563AD" w:rsidRDefault="00251882">
      <w:pPr>
        <w:pBdr>
          <w:top w:val="nil"/>
          <w:left w:val="nil"/>
          <w:bottom w:val="nil"/>
          <w:right w:val="nil"/>
          <w:between w:val="nil"/>
          <w:bar w:val="nil"/>
        </w:pBdr>
        <w:spacing w:before="0" w:after="240"/>
        <w:rPr>
          <w:noProof/>
        </w:rPr>
      </w:pPr>
      <w:r>
        <w:rPr>
          <w:noProof/>
        </w:rPr>
        <w:t xml:space="preserve">Esimene samm lihtsa, läbipaistva ja standarditud väärtpaberistamise turu loomisel on teha selgete aktsepteeritavuse </w:t>
      </w:r>
      <w:r>
        <w:rPr>
          <w:noProof/>
        </w:rPr>
        <w:t>kriteeriumidega kindlaks usaldusväärsed instrumendid. Järgmine samm on kohandada reguleerivat raamistikku, et võimaldada riskitundlikumat lähenemist.</w:t>
      </w:r>
    </w:p>
    <w:p w:rsidR="003563AD" w:rsidRDefault="00251882">
      <w:pPr>
        <w:rPr>
          <w:noProof/>
        </w:rPr>
      </w:pPr>
      <w:r>
        <w:rPr>
          <w:noProof/>
        </w:rPr>
        <w:t>ELis väga keerukate, läbipaistmatute ja riskantsete väärtpaberistamistega kaasnevate riskide käsitlemiseks</w:t>
      </w:r>
      <w:r>
        <w:rPr>
          <w:noProof/>
        </w:rPr>
        <w:t xml:space="preserve"> kehtestatud meetmeid ei ole kavas õõnestada. Käesolev ettepanek aitab siiski teha paremini kindlaks lihtsaid, läbipaistvaid ja standarditud tooteid. Loodava raamistikuga antaks investoritele kindlust ja loodaks ELile ranged nõuded, et aidata osalistel hin</w:t>
      </w:r>
      <w:r>
        <w:rPr>
          <w:noProof/>
        </w:rPr>
        <w:t>nata väärtpaberistamisega seotud riske (nii toodete siseselt kui ka nende vahel). Uus ELi raamistik ei asenda investorite vajadust täita põhjalikult hoolsuskohustust. Sellega ei kontrollita väärtpaberistatud laenude krediidiriski – investorid saavad kasuta</w:t>
      </w:r>
      <w:r>
        <w:rPr>
          <w:noProof/>
        </w:rPr>
        <w:t xml:space="preserve">da paljusid investeerimisvõimalusi, mis sobivad nende riski- ja tootlusprofiiliga. Põhimõte „lihtne, läbipaistev ja standarditud” viitab väärtpaberistamise struktureerimise protsessile, mitte hõlmatud varade aluseks olevale krediidikvaliteedile. Seepärast </w:t>
      </w:r>
      <w:r>
        <w:rPr>
          <w:noProof/>
        </w:rPr>
        <w:t xml:space="preserve">ei välista see asjaomasele põhimõttele mitte vastavaid, näiteks vähem lihtsa struktuuriga väärtpaberistamisi asjakohase krediidikvaliteediga aluspositsioonidest. </w:t>
      </w:r>
    </w:p>
    <w:p w:rsidR="003563AD" w:rsidRDefault="00251882">
      <w:pPr>
        <w:rPr>
          <w:noProof/>
        </w:rPr>
      </w:pPr>
      <w:r>
        <w:rPr>
          <w:noProof/>
        </w:rPr>
        <w:lastRenderedPageBreak/>
        <w:t>25. ja 26. juuni 2015 aasta kohtumise järeldustes tähendas Euroopa Ülemkogu, et väärtpaberist</w:t>
      </w:r>
      <w:r>
        <w:rPr>
          <w:noProof/>
        </w:rPr>
        <w:t>amine võib pakkuda tulemuslikku mehhanismi riski ülekandmiseks krediidiasutustelt mittekrediidiasutustele, suurendades krediidiasutuste laenuandmisvõimet ja suunata mittekrediidiasutuste pakutav rahastamine äriühingute käibekapitali. Euroopa Ülemkogu kutsu</w:t>
      </w:r>
      <w:r>
        <w:rPr>
          <w:noProof/>
        </w:rPr>
        <w:t>s komisjoni üles esitama esmajärjekorras ja hiljemalt 2015. aasta lõpuks ettepaneku standardväärtpaberistamise raamistiku kohta, lähtudes arvukatest Euroopa ja rahvusvahelisel tasandil pooleli olevatest algatustest.</w:t>
      </w:r>
    </w:p>
    <w:p w:rsidR="003563AD" w:rsidRDefault="00251882">
      <w:pPr>
        <w:rPr>
          <w:noProof/>
        </w:rPr>
      </w:pPr>
      <w:r>
        <w:rPr>
          <w:noProof/>
        </w:rPr>
        <w:t>Juulis 2015 esitatud Euroopa majanduse k</w:t>
      </w:r>
      <w:r>
        <w:rPr>
          <w:noProof/>
        </w:rPr>
        <w:t>apitaliturge käsitlevas resolutsioonis tähendas Euroopa Parlament, et lihtsa, läbipaistva ja standarditud väärtpaberistamise loomist tuleks paremini ära kasutada ja avaldas heameelt algatuse üle luua jätkusuutliku ja läbipaistva väärtpaberistamise turg, tö</w:t>
      </w:r>
      <w:r>
        <w:rPr>
          <w:noProof/>
        </w:rPr>
        <w:t>ötades selleks välja konkreetse reguleeriva raamistiku kvaliteetse väärtpaberistamise ühtse määratlemise ning riskide järelevalve, mõõtmise ja juhtimise tulemuslike meetoditega. Käesolevas määruse ettepanekus eristatakse lihtsaid, läbipaistvaid ja standard</w:t>
      </w:r>
      <w:r>
        <w:rPr>
          <w:noProof/>
        </w:rPr>
        <w:t>seid väärtpaberistamisi (edaspidi „standardväärtpaberistamised”) muudest väärtpaberistamistest.</w:t>
      </w:r>
    </w:p>
    <w:p w:rsidR="003563AD" w:rsidRDefault="00251882">
      <w:pPr>
        <w:pStyle w:val="ManualHeading2"/>
        <w:rPr>
          <w:rFonts w:eastAsia="Arial Unicode MS"/>
          <w:noProof/>
          <w:color w:val="000000"/>
          <w:u w:color="000000"/>
          <w:bdr w:val="nil"/>
        </w:rPr>
      </w:pPr>
      <w:r>
        <w:rPr>
          <w:noProof/>
        </w:rPr>
        <w:t>Kooskõla poliitikavaldkonnas kehtivate sätetega</w:t>
      </w:r>
    </w:p>
    <w:p w:rsidR="003563AD" w:rsidRDefault="00251882">
      <w:pPr>
        <w:pBdr>
          <w:top w:val="nil"/>
          <w:left w:val="nil"/>
          <w:bottom w:val="nil"/>
          <w:right w:val="nil"/>
          <w:between w:val="nil"/>
          <w:bar w:val="nil"/>
        </w:pBdr>
        <w:spacing w:before="0" w:after="240"/>
        <w:rPr>
          <w:rFonts w:eastAsia="Arial Unicode MS"/>
          <w:noProof/>
        </w:rPr>
      </w:pPr>
      <w:r>
        <w:rPr>
          <w:noProof/>
        </w:rPr>
        <w:t>Praegu on ELi väärtpaberistamisraamistik reguleeritud paljude ELi õigusaktidega. Siia kuuluvad pankadele suunatu</w:t>
      </w:r>
      <w:r>
        <w:rPr>
          <w:noProof/>
        </w:rPr>
        <w:t>d kapitalinõuete määrus</w:t>
      </w:r>
      <w:r>
        <w:rPr>
          <w:rStyle w:val="FootnoteReference"/>
          <w:noProof/>
        </w:rPr>
        <w:footnoteReference w:id="5"/>
      </w:r>
      <w:r>
        <w:rPr>
          <w:noProof/>
        </w:rPr>
        <w:t>, kindlustusandjatele suunatud Solventsus II direktiiv</w:t>
      </w:r>
      <w:r>
        <w:rPr>
          <w:rStyle w:val="FootnoteReference"/>
          <w:noProof/>
        </w:rPr>
        <w:footnoteReference w:id="6"/>
      </w:r>
      <w:r>
        <w:rPr>
          <w:noProof/>
        </w:rPr>
        <w:t xml:space="preserve"> ning varahalduritele suunatud eurofondide direktiiv</w:t>
      </w:r>
      <w:r>
        <w:rPr>
          <w:rStyle w:val="FootnoteReference"/>
          <w:noProof/>
        </w:rPr>
        <w:footnoteReference w:id="7"/>
      </w:r>
      <w:r>
        <w:rPr>
          <w:noProof/>
        </w:rPr>
        <w:t xml:space="preserve"> ja investeerimisfondide valitsejate direktiiv</w:t>
      </w:r>
      <w:r>
        <w:rPr>
          <w:rStyle w:val="FootnoteReference"/>
          <w:noProof/>
        </w:rPr>
        <w:footnoteReference w:id="8"/>
      </w:r>
      <w:r>
        <w:rPr>
          <w:noProof/>
        </w:rPr>
        <w:t xml:space="preserve">. Õigussätted, sealhulgas teabe avalikustamise ja läbipaistvuse kohta, on </w:t>
      </w:r>
      <w:r>
        <w:rPr>
          <w:noProof/>
        </w:rPr>
        <w:t>kehtestatud ka reitinguagentuuride määruses</w:t>
      </w:r>
      <w:r>
        <w:rPr>
          <w:rStyle w:val="FootnoteReference"/>
          <w:noProof/>
        </w:rPr>
        <w:footnoteReference w:id="9"/>
      </w:r>
      <w:r>
        <w:rPr>
          <w:noProof/>
        </w:rPr>
        <w:t xml:space="preserve"> ja prospektidirektiivis</w:t>
      </w:r>
      <w:r>
        <w:rPr>
          <w:rStyle w:val="FootnoteReference"/>
          <w:noProof/>
        </w:rPr>
        <w:footnoteReference w:id="10"/>
      </w:r>
      <w:r>
        <w:rPr>
          <w:noProof/>
        </w:rPr>
        <w:t>. Väärtpaberistamiste usaldatavusnõuete käsitlusega seotud nõudeid võib leida ka praegu arutatavates komisjoni seadusandlikes ettepanekutes (pankade struktuurireform ja rahaturufondid).</w:t>
      </w:r>
    </w:p>
    <w:p w:rsidR="003563AD" w:rsidRDefault="00251882">
      <w:pPr>
        <w:pBdr>
          <w:top w:val="nil"/>
          <w:left w:val="nil"/>
          <w:bottom w:val="nil"/>
          <w:right w:val="nil"/>
          <w:between w:val="nil"/>
          <w:bar w:val="nil"/>
        </w:pBdr>
        <w:spacing w:before="0" w:after="240"/>
        <w:rPr>
          <w:rFonts w:eastAsia="Arial Unicode MS"/>
          <w:noProof/>
        </w:rPr>
      </w:pPr>
      <w:r>
        <w:rPr>
          <w:noProof/>
        </w:rPr>
        <w:t>A</w:t>
      </w:r>
      <w:r>
        <w:rPr>
          <w:noProof/>
        </w:rPr>
        <w:t>sjakohaseid norme sisaldavad ka delegeeritud õigusaktid. EL on juba võtnud meetmeid nende erinevaks regulatiivseks käsitluseks kahes delegeeritud aktis, mis hõlmavad kindlustusandjate usaldatavusnõudeid (Solventsus II direktiivi alusel</w:t>
      </w:r>
      <w:r>
        <w:rPr>
          <w:rStyle w:val="FootnoteReference"/>
          <w:noProof/>
        </w:rPr>
        <w:footnoteReference w:id="11"/>
      </w:r>
      <w:r>
        <w:rPr>
          <w:noProof/>
        </w:rPr>
        <w:t>) ja krediidiasutust</w:t>
      </w:r>
      <w:r>
        <w:rPr>
          <w:noProof/>
        </w:rPr>
        <w:t>e likviidsust (likviidsuskattekordaja määruse kaudu</w:t>
      </w:r>
      <w:r>
        <w:rPr>
          <w:rStyle w:val="FootnoteReference"/>
          <w:noProof/>
        </w:rPr>
        <w:footnoteReference w:id="12"/>
      </w:r>
      <w:r>
        <w:rPr>
          <w:noProof/>
        </w:rPr>
        <w:t>). See lähenemisviis aitab paremini eristada lihtsaid, läbipaistvaid ja standarditud tooteid vähem läbipaistvatest ja keerulisematest toodetest. Nii võivad mõned väärtpaberistamised osutada atraktiivsemak</w:t>
      </w:r>
      <w:r>
        <w:rPr>
          <w:noProof/>
        </w:rPr>
        <w:t>s, vähendades tõkkeid väärtpaberistamise protsessile ning suurendades likviidsust ja turu sügavust. Selline eristamine ei asenda siiski investorite vajadust täita põhjalikult hoolsuskohustust. Nimetatud delegeeritud aktide vastuvõtmine 2014. aastal oli esi</w:t>
      </w:r>
      <w:r>
        <w:rPr>
          <w:noProof/>
        </w:rPr>
        <w:t>mene samm ja seda tuleb nüüd täiendavate meetmetega tugevdada, lähtudes arvukatest ELi ja rahvusvahelistest algatustest regulatiivsete standardite ühtlustamise alal.</w:t>
      </w:r>
    </w:p>
    <w:p w:rsidR="003563AD" w:rsidRDefault="00251882">
      <w:pPr>
        <w:pBdr>
          <w:top w:val="nil"/>
          <w:left w:val="nil"/>
          <w:bottom w:val="nil"/>
          <w:right w:val="nil"/>
          <w:between w:val="nil"/>
          <w:bar w:val="nil"/>
        </w:pBdr>
        <w:spacing w:before="0" w:after="240"/>
        <w:rPr>
          <w:noProof/>
        </w:rPr>
      </w:pPr>
      <w:r>
        <w:rPr>
          <w:noProof/>
        </w:rPr>
        <w:t>Viimasel ajal on arvukad rahvusvahelised ja Euroopa ametiasutused pühendanud märkimisväärs</w:t>
      </w:r>
      <w:r>
        <w:rPr>
          <w:noProof/>
        </w:rPr>
        <w:t>e osa poliitika kujundamisest väärtpaberistamisele. Käesolev ettepanek lähtub nendest algatustest.</w:t>
      </w:r>
    </w:p>
    <w:p w:rsidR="003563AD" w:rsidRDefault="00251882">
      <w:pPr>
        <w:pBdr>
          <w:top w:val="nil"/>
          <w:left w:val="nil"/>
          <w:bottom w:val="nil"/>
          <w:right w:val="nil"/>
          <w:between w:val="nil"/>
          <w:bar w:val="nil"/>
        </w:pBdr>
        <w:spacing w:before="0" w:after="240"/>
        <w:rPr>
          <w:rFonts w:eastAsia="Arial Unicode MS"/>
          <w:noProof/>
        </w:rPr>
      </w:pPr>
      <w:r>
        <w:rPr>
          <w:b/>
          <w:noProof/>
        </w:rPr>
        <w:t>Üleilmsel tasandil</w:t>
      </w:r>
      <w:r>
        <w:rPr>
          <w:noProof/>
        </w:rPr>
        <w:t xml:space="preserve"> on Baseli pangajärelevalve komitee (BCBS) ja Rahvusvahelise Väärtpaberijärelevalve Organisatsioon (IOSCO) ühiselt juhtinud väärtpaberistam</w:t>
      </w:r>
      <w:r>
        <w:rPr>
          <w:noProof/>
        </w:rPr>
        <w:t>ise tõkete valdkondadevahelist rakkerühma. Rakkerühma peamine ülesanne on olnud koostada kriteeriumid lihtsa, läbipaistva ja võrreldava väärtpaberistamise instrumentidele. Rakkerühm andis 23. juulil 2015 välja üldkriteeriumid</w:t>
      </w:r>
      <w:r>
        <w:rPr>
          <w:rStyle w:val="FootnoteReference"/>
          <w:noProof/>
        </w:rPr>
        <w:footnoteReference w:id="13"/>
      </w:r>
      <w:r>
        <w:rPr>
          <w:noProof/>
        </w:rPr>
        <w:t>.</w:t>
      </w:r>
    </w:p>
    <w:p w:rsidR="003563AD" w:rsidRDefault="00251882">
      <w:pPr>
        <w:pBdr>
          <w:top w:val="nil"/>
          <w:left w:val="nil"/>
          <w:bottom w:val="nil"/>
          <w:right w:val="nil"/>
          <w:between w:val="nil"/>
          <w:bar w:val="nil"/>
        </w:pBdr>
        <w:spacing w:before="0" w:after="240"/>
        <w:rPr>
          <w:rFonts w:eastAsia="Arial Unicode MS"/>
          <w:noProof/>
        </w:rPr>
      </w:pPr>
      <w:r>
        <w:rPr>
          <w:noProof/>
        </w:rPr>
        <w:t>Detsembris 2014 avaldas BCBS</w:t>
      </w:r>
      <w:r>
        <w:rPr>
          <w:noProof/>
        </w:rPr>
        <w:t xml:space="preserve"> väärtpaberistamisse investeerivate pankade kapitalikäsitluse läbivaadatud standardid. BCBS kaalub ka lähikuudel, kas ja kuidas inkorporeerida BCBS-IOSCO rakkerühma koostatavad lihtsa ja läbipaistva väärtpaberistamise kriteeriumid väärtpaberistamise kapita</w:t>
      </w:r>
      <w:r>
        <w:rPr>
          <w:noProof/>
        </w:rPr>
        <w:t>liraamistikku.</w:t>
      </w:r>
    </w:p>
    <w:p w:rsidR="003563AD" w:rsidRDefault="00251882">
      <w:pPr>
        <w:pBdr>
          <w:top w:val="nil"/>
          <w:left w:val="nil"/>
          <w:bottom w:val="nil"/>
          <w:right w:val="nil"/>
          <w:between w:val="nil"/>
          <w:bar w:val="nil"/>
        </w:pBdr>
        <w:spacing w:before="0" w:after="240"/>
        <w:rPr>
          <w:rFonts w:eastAsia="Arial Unicode MS"/>
          <w:noProof/>
        </w:rPr>
      </w:pPr>
      <w:r>
        <w:rPr>
          <w:b/>
          <w:noProof/>
        </w:rPr>
        <w:t>ELi tasandil</w:t>
      </w:r>
      <w:r>
        <w:rPr>
          <w:noProof/>
        </w:rPr>
        <w:t xml:space="preserve"> on arvukad ametiasutused uurinud seda teemat väärtpaberistamise turgude aeglase taastumise taustal. Näiteks algatasid Euroopa Keskpank ja Inglise Keskpank mais 2014 avaliku konsultatsiooni väärtpaberistamise turu parema toimimis</w:t>
      </w:r>
      <w:r>
        <w:rPr>
          <w:noProof/>
        </w:rPr>
        <w:t>e üle Euroopa Liidus.</w:t>
      </w:r>
    </w:p>
    <w:p w:rsidR="003563AD" w:rsidRDefault="00251882">
      <w:pPr>
        <w:pBdr>
          <w:top w:val="nil"/>
          <w:left w:val="nil"/>
          <w:bottom w:val="nil"/>
          <w:right w:val="nil"/>
          <w:between w:val="nil"/>
          <w:bar w:val="nil"/>
        </w:pBdr>
        <w:spacing w:before="0" w:after="240"/>
        <w:rPr>
          <w:rFonts w:eastAsia="Arial Unicode MS"/>
          <w:noProof/>
        </w:rPr>
      </w:pPr>
      <w:r>
        <w:rPr>
          <w:noProof/>
        </w:rPr>
        <w:t>Euroopa Pangandusjärelevalve koostas komisjoni poolt jaanuaris 2014 esitatud üleskutse peale 7. juuliks 2015 nõuanded komisjonile väärtpaberistamise kvalifitseerimise raamistiku kohta. Pangandusjärelevalve pakkus välja kriteeriumid li</w:t>
      </w:r>
      <w:r>
        <w:rPr>
          <w:noProof/>
        </w:rPr>
        <w:t>htsa, läbipaistva ja standarditud väärtpaberistamise tehingute määratlemiseks, sealhulgas lühiajalise väärtpaberistamise ja varaga tagatud kommertsväärtpaberite konkreetsete tunnuste kohta. Euroopa Pangandusjärelevalve soovitas ka pikaajaliste väärtpaberis</w:t>
      </w:r>
      <w:r>
        <w:rPr>
          <w:noProof/>
        </w:rPr>
        <w:t>tamise instrumentide ja varaga tagatud kommertsväärtpaberite jaoks riskitundlikumat usaldatavusnõuete käsitlust, kohandades 2014. aasta Baseli väärtpaberistamisraamistikus kavandatud omavahendite nõudeid, et võtta arvesse standardväärtpaberistamise suhteli</w:t>
      </w:r>
      <w:r>
        <w:rPr>
          <w:noProof/>
        </w:rPr>
        <w:t>selt madalat riskisust, hoides samas regulatiivsed omavahendid usaldatavusnõuete täiendavate kapitalinõuete raames.</w:t>
      </w:r>
    </w:p>
    <w:p w:rsidR="003563AD" w:rsidRDefault="00251882">
      <w:pPr>
        <w:pBdr>
          <w:top w:val="nil"/>
          <w:left w:val="nil"/>
          <w:bottom w:val="nil"/>
          <w:right w:val="nil"/>
          <w:between w:val="nil"/>
          <w:bar w:val="nil"/>
        </w:pBdr>
        <w:spacing w:before="0" w:after="240"/>
        <w:rPr>
          <w:rFonts w:eastAsia="Arial Unicode MS"/>
          <w:noProof/>
        </w:rPr>
      </w:pPr>
      <w:r>
        <w:rPr>
          <w:noProof/>
        </w:rPr>
        <w:t xml:space="preserve">Euroopa järelevalveasutuste ühiskomitee uuris kehtivas ELi raamistikus avalikustamisnõudeid ja hoolsuskohustuse, järelevalvelise aruandluse </w:t>
      </w:r>
      <w:r>
        <w:rPr>
          <w:noProof/>
        </w:rPr>
        <w:t>ja riski säilitamisega seotud kohustusi. Ühiskomitee analüüsis ka võimalikke vastuolusid kehtivas raamistikus. Üksikasjalik aruanne avaldati 12. mail 2015.</w:t>
      </w:r>
    </w:p>
    <w:p w:rsidR="003563AD" w:rsidRDefault="00251882">
      <w:pPr>
        <w:pStyle w:val="ManualHeading2"/>
        <w:rPr>
          <w:rFonts w:eastAsia="Arial Unicode MS"/>
          <w:noProof/>
        </w:rPr>
      </w:pPr>
      <w:r>
        <w:rPr>
          <w:noProof/>
        </w:rPr>
        <w:t>Kooskõla liidu muude poliitikavaldkondadega</w:t>
      </w:r>
    </w:p>
    <w:p w:rsidR="003563AD" w:rsidRDefault="00251882">
      <w:pPr>
        <w:pBdr>
          <w:top w:val="nil"/>
          <w:left w:val="nil"/>
          <w:bottom w:val="nil"/>
          <w:right w:val="nil"/>
          <w:between w:val="nil"/>
          <w:bar w:val="nil"/>
        </w:pBdr>
        <w:tabs>
          <w:tab w:val="left" w:pos="0"/>
        </w:tabs>
        <w:spacing w:before="0" w:after="240"/>
        <w:rPr>
          <w:rFonts w:eastAsia="Arial Unicode MS"/>
          <w:noProof/>
        </w:rPr>
      </w:pPr>
      <w:r>
        <w:rPr>
          <w:noProof/>
        </w:rPr>
        <w:t>Käesolev väärtpaberistamise määruse ettepanek toetab kom</w:t>
      </w:r>
      <w:r>
        <w:rPr>
          <w:noProof/>
        </w:rPr>
        <w:t xml:space="preserve">isjoni poolt 2014. aastal esitatud Investeerimiskava Euroopa jaoks, mis käsitleb peamisi tõkkeid investeeringutele. Uue lähenemisviisiga aidatakse lahendada reaalmajanduse praeguseid rahastamisprobleeme ELis. </w:t>
      </w:r>
    </w:p>
    <w:p w:rsidR="003563AD" w:rsidRDefault="00251882">
      <w:pPr>
        <w:pBdr>
          <w:top w:val="nil"/>
          <w:left w:val="nil"/>
          <w:bottom w:val="nil"/>
          <w:right w:val="nil"/>
          <w:between w:val="nil"/>
          <w:bar w:val="nil"/>
        </w:pBdr>
        <w:tabs>
          <w:tab w:val="left" w:pos="0"/>
        </w:tabs>
        <w:spacing w:before="0" w:after="240"/>
        <w:rPr>
          <w:rFonts w:eastAsia="Arial Unicode MS"/>
          <w:noProof/>
        </w:rPr>
      </w:pPr>
      <w:r>
        <w:rPr>
          <w:noProof/>
        </w:rPr>
        <w:t xml:space="preserve">Käesolev algatus moodustab osa täna Euroopa </w:t>
      </w:r>
      <w:r>
        <w:rPr>
          <w:noProof/>
        </w:rPr>
        <w:t>Komisjoni poolt vastu võetud kapitaliturgude liidu tegevuskavast. Kapitaliturgude liit on üks komisjoni prioriteete, millega tagada, et finantssüsteem toetaks töökohtade loomist ja majanduskasvu ja aitaks Euroopa ees seisvate demograafiliste probleemide pu</w:t>
      </w:r>
      <w:r>
        <w:rPr>
          <w:noProof/>
        </w:rPr>
        <w:t>hul. Sellega soovitakse sääste paremini majanduskasvu suunata ja pakkuda rohkem võimalusi ja suuremat tulu säästjatele ja investoritele. Kapitaliturgude liiduga kavatsetakse pakkuda ettevõtjatele nende arengu eri etappides rohkem rahastamisvõimalusi ja suu</w:t>
      </w:r>
      <w:r>
        <w:rPr>
          <w:noProof/>
        </w:rPr>
        <w:t>nata investeeringud sinna, kus neid kõige tulusamalt kasutataks, suurendades Euroopa äriühingute ja infrastruktuuriprojektide võimalusi.</w:t>
      </w:r>
    </w:p>
    <w:p w:rsidR="003563AD" w:rsidRDefault="00251882">
      <w:pPr>
        <w:pBdr>
          <w:top w:val="nil"/>
          <w:left w:val="nil"/>
          <w:bottom w:val="nil"/>
          <w:right w:val="nil"/>
          <w:between w:val="nil"/>
          <w:bar w:val="nil"/>
        </w:pBdr>
        <w:tabs>
          <w:tab w:val="left" w:pos="0"/>
        </w:tabs>
        <w:spacing w:before="0" w:after="240"/>
        <w:rPr>
          <w:rFonts w:eastAsia="Arial Unicode MS"/>
          <w:noProof/>
        </w:rPr>
      </w:pPr>
      <w:r>
        <w:rPr>
          <w:noProof/>
        </w:rPr>
        <w:t>Komisjon korraldas 18. veebruarist 13. maini 2015 avaliku konsultatsiooni rohelise raamatuga „Kapitaliturgude liidu loo</w:t>
      </w:r>
      <w:r>
        <w:rPr>
          <w:noProof/>
        </w:rPr>
        <w:t>mine”. Vastajate enamuse tagasiside kiitis heaks rohelises raamatus Euroopa kapitaliturgude edendamiseks välja pakutud valdkonnad</w:t>
      </w:r>
      <w:r>
        <w:rPr>
          <w:rStyle w:val="FootnoteReference"/>
          <w:noProof/>
        </w:rPr>
        <w:footnoteReference w:id="14"/>
      </w:r>
      <w:r>
        <w:rPr>
          <w:noProof/>
        </w:rPr>
        <w:t>. Sidusrühmad kiitsid heaks ka lihtsa ja läbipaistva väärtpaberistamise loomise ELi raamistiku ning esitasid eraldi konsultats</w:t>
      </w:r>
      <w:r>
        <w:rPr>
          <w:noProof/>
        </w:rPr>
        <w:t>iooni raames üksikasjalikke arvamusi.</w:t>
      </w:r>
    </w:p>
    <w:p w:rsidR="003563AD" w:rsidRDefault="00251882">
      <w:pPr>
        <w:pBdr>
          <w:top w:val="nil"/>
          <w:left w:val="nil"/>
          <w:bottom w:val="nil"/>
          <w:right w:val="nil"/>
          <w:between w:val="nil"/>
          <w:bar w:val="nil"/>
        </w:pBdr>
        <w:spacing w:before="0" w:after="240"/>
        <w:rPr>
          <w:rFonts w:eastAsia="Arial Unicode MS"/>
          <w:noProof/>
        </w:rPr>
      </w:pPr>
      <w:r>
        <w:rPr>
          <w:noProof/>
        </w:rPr>
        <w:t>Lisaks Investeerimiskavale Euroopa jaoks ja finantssektori regulatiivsetele algatustele on mitu ELi institutsiooni ja asutust käivitanud algatusi, et taaskäivitada väärtpaberistamise turud ja suurendada usaldust turu t</w:t>
      </w:r>
      <w:r>
        <w:rPr>
          <w:noProof/>
        </w:rPr>
        <w:t>oimimise vastu. Komisjon tegutseb koostöös Euroopa Investeerimispanga ja Euroopa Investeerimisfondiga, et aidata rahastada VKEsid, näiteks ettevõtete konkurentsivõime ning väikeste ja keskmise suurusega ettevõtjate programmiga (COSME) ning komisjoni ja Eur</w:t>
      </w:r>
      <w:r>
        <w:rPr>
          <w:noProof/>
        </w:rPr>
        <w:t>oopa Investeerimispanga ühisalgatustega eriotstarbeliste väärtpaberistamisüksuste kasutamise teemal.</w:t>
      </w:r>
    </w:p>
    <w:p w:rsidR="003563AD" w:rsidRDefault="00251882">
      <w:pPr>
        <w:pBdr>
          <w:top w:val="nil"/>
          <w:left w:val="nil"/>
          <w:bottom w:val="nil"/>
          <w:right w:val="nil"/>
          <w:between w:val="nil"/>
          <w:bar w:val="nil"/>
        </w:pBdr>
        <w:spacing w:before="0" w:after="240"/>
        <w:rPr>
          <w:rFonts w:eastAsia="Arial Unicode MS"/>
          <w:noProof/>
        </w:rPr>
      </w:pPr>
      <w:r>
        <w:rPr>
          <w:noProof/>
        </w:rPr>
        <w:t>2014. aasta teises pooles algatas Euroopa Keskpank varaga tagatud väärtpaberite ostukava, mille eesmärk on veelgi täiustada rahapoliitika ülekandumist. Var</w:t>
      </w:r>
      <w:r>
        <w:rPr>
          <w:noProof/>
        </w:rPr>
        <w:t>aga tagatud väärtpaberite ostukava eesmärk koos muude rahapoliitiliste meetmetega (sihtotstarbelised pikemaajalised refinantseerimisoperatsioonid (TLTRO), pandikirjade ostukava (CBPP), avaliku sektori ostukava (PSPP)) on soodustada laenuandmist euroala maj</w:t>
      </w:r>
      <w:r>
        <w:rPr>
          <w:noProof/>
        </w:rPr>
        <w:t>andusele. 2. oktoobril 2014 vastu võetud kava rakendamise üksikasjades on sätestatud, milliseid varaga tagatud väärtpabereid saab Euroopa Keskpank osta. Kriteeriumid peegeldavad peamiselt Euroopa Keskpanga olemasolevat refinantseerimisoperatsioonide tagati</w:t>
      </w:r>
      <w:r>
        <w:rPr>
          <w:noProof/>
        </w:rPr>
        <w:t>ste raamistikku. Need on üldjoontes kooskõlas komisjoni delegeeritud aktide praeguste kriteeriumide ja käesoleva ettepanekuga.</w:t>
      </w:r>
    </w:p>
    <w:p w:rsidR="003563AD" w:rsidRDefault="00251882">
      <w:pPr>
        <w:pStyle w:val="ManualHeading1"/>
        <w:rPr>
          <w:noProof/>
        </w:rPr>
      </w:pPr>
      <w:r>
        <w:rPr>
          <w:noProof/>
        </w:rPr>
        <w:t>2.</w:t>
      </w:r>
      <w:r>
        <w:rPr>
          <w:noProof/>
        </w:rPr>
        <w:tab/>
        <w:t>ÕIGUSLIK ALUS, SUBSIDIAARSUS JA PROPORTSIONAALSUS</w:t>
      </w:r>
    </w:p>
    <w:p w:rsidR="003563AD" w:rsidRDefault="00251882">
      <w:pPr>
        <w:pStyle w:val="ManualHeading2"/>
        <w:rPr>
          <w:rFonts w:eastAsia="Arial Unicode MS"/>
          <w:noProof/>
          <w:u w:color="000000"/>
          <w:bdr w:val="nil"/>
        </w:rPr>
      </w:pPr>
      <w:r>
        <w:rPr>
          <w:noProof/>
        </w:rPr>
        <w:t>Õiguslik alus</w:t>
      </w:r>
    </w:p>
    <w:p w:rsidR="003563AD" w:rsidRDefault="00251882">
      <w:pPr>
        <w:rPr>
          <w:rFonts w:eastAsia="Times New Roman"/>
          <w:noProof/>
          <w:color w:val="000000"/>
          <w:szCs w:val="24"/>
        </w:rPr>
      </w:pPr>
      <w:r>
        <w:rPr>
          <w:noProof/>
          <w:color w:val="000000"/>
        </w:rPr>
        <w:t>Käesoleva ettepaneku aluseks on Euroopa Liidu toimimise leping</w:t>
      </w:r>
      <w:r>
        <w:rPr>
          <w:noProof/>
          <w:color w:val="000000"/>
        </w:rPr>
        <w:t>u artikkel 114, mis on õiguslik alus liikmesriikide õigus- ja haldusnormide ühtlustamiseks võetud meetmetele, mille eesmärk on siseturu rajamine ja selle toimimine.</w:t>
      </w:r>
    </w:p>
    <w:p w:rsidR="003563AD" w:rsidRDefault="00251882">
      <w:pPr>
        <w:rPr>
          <w:rFonts w:eastAsia="Times New Roman"/>
          <w:noProof/>
          <w:color w:val="000000"/>
          <w:szCs w:val="24"/>
        </w:rPr>
      </w:pPr>
      <w:r>
        <w:rPr>
          <w:noProof/>
          <w:color w:val="000000"/>
        </w:rPr>
        <w:t>Kõnealust õiguslikku alust on Euroopa seadusandja kasutanud ka selleks, et võtta vastu kapi</w:t>
      </w:r>
      <w:r>
        <w:rPr>
          <w:noProof/>
          <w:color w:val="000000"/>
        </w:rPr>
        <w:t>talinõuete määrus (määrus (EL) nr 575/2013), reitinguagentuuride määrus (määrus (EL) 1060/2009) ja määrus 648/2012 (börsiväliste tuletisinstrumentide, kesksete vastaspoolte ja kauplemisteabehoidlate kohta). Nende määruste sätteid on käesolevas määruses kas</w:t>
      </w:r>
      <w:r>
        <w:rPr>
          <w:noProof/>
          <w:color w:val="000000"/>
        </w:rPr>
        <w:t>utatud või muudetud.</w:t>
      </w:r>
    </w:p>
    <w:p w:rsidR="003563AD" w:rsidRDefault="00251882">
      <w:pPr>
        <w:spacing w:before="0" w:after="200"/>
        <w:rPr>
          <w:noProof/>
          <w:szCs w:val="24"/>
        </w:rPr>
      </w:pPr>
      <w:r>
        <w:rPr>
          <w:noProof/>
          <w:color w:val="000000"/>
        </w:rPr>
        <w:t>Käesoleva ettepanekuga muudetakse ka teatavaid Solventsus II direktiivi sätteid ja tunnistatakse kehtetuks eurofondide ja alternatiivse investeerimisfondi valitseja direktiivide sätteid. Nende direktiivide aluseks on Euroopa Liidu toim</w:t>
      </w:r>
      <w:r>
        <w:rPr>
          <w:noProof/>
          <w:color w:val="000000"/>
        </w:rPr>
        <w:t>imise lepingu artikkel 53 koostoimes artikliga 62. Kuigi nimetatud sätete õiguslik alus ei ole erinevalt käesolevast ettepanekust Euroopa Liidu toimimise lepingu artikkel 114, oleks kõnealuste sätete õiguslik alus olnud Euroopa Liidu toimimise lepingu arti</w:t>
      </w:r>
      <w:r>
        <w:rPr>
          <w:noProof/>
          <w:color w:val="000000"/>
        </w:rPr>
        <w:t>kkel 114, kui need sätted oleksid võetud vastu asjaomastest direktiividest eraldi. Nende peamine eesmärk on siseturu rajamine ja selle toimimine, eriti väärtpaberistamistega tegelevatele investoritele ja emitentidele siseturul võrdsete tingimuste loomine.</w:t>
      </w:r>
    </w:p>
    <w:p w:rsidR="003563AD" w:rsidRDefault="00251882">
      <w:pPr>
        <w:pStyle w:val="ManualHeading2"/>
        <w:rPr>
          <w:rFonts w:eastAsia="Arial Unicode MS"/>
          <w:noProof/>
          <w:u w:color="000000"/>
          <w:bdr w:val="nil"/>
        </w:rPr>
      </w:pPr>
      <w:r>
        <w:rPr>
          <w:noProof/>
        </w:rPr>
        <w:t>Subsidiaarsus (ei kuulu liidu ainupädevusse)</w:t>
      </w:r>
    </w:p>
    <w:p w:rsidR="003563AD" w:rsidRDefault="00251882">
      <w:pPr>
        <w:spacing w:before="0" w:after="200"/>
        <w:rPr>
          <w:rFonts w:eastAsia="Calibri"/>
          <w:noProof/>
          <w:szCs w:val="24"/>
        </w:rPr>
      </w:pPr>
      <w:r>
        <w:rPr>
          <w:noProof/>
        </w:rPr>
        <w:t xml:space="preserve">Käesoleva ettepaneku eesmärk on taaskäivitada jätkusuutlik väärtpaberistamise turg, mis aitab parandada ELi majanduse rahastamist, tagades samas finantsstabiilsuse ja investorite kaitse. Selleks loodaks </w:t>
      </w:r>
      <w:r>
        <w:rPr>
          <w:noProof/>
        </w:rPr>
        <w:t>ettepanekuga reguleeriv platvorm, mida investorid hakkaksid usaldama, et pakkuda rohkem järjekindlust ja turu standardimist ning kehtestada riskitundlikum õigusraamistik (kapitalinõuete määruse ja Solventsus II delegeeritud akti muutmise teel).</w:t>
      </w:r>
    </w:p>
    <w:p w:rsidR="003563AD" w:rsidRDefault="00251882">
      <w:pPr>
        <w:spacing w:before="0" w:after="200"/>
        <w:rPr>
          <w:rFonts w:eastAsia="Calibri"/>
          <w:noProof/>
          <w:szCs w:val="24"/>
        </w:rPr>
      </w:pPr>
      <w:r>
        <w:rPr>
          <w:noProof/>
        </w:rPr>
        <w:t>Väärtpaberi</w:t>
      </w:r>
      <w:r>
        <w:rPr>
          <w:noProof/>
        </w:rPr>
        <w:t>stamistooted on osa ELi avatud ja integreeritud finantsturgudest. Väärtpaberistamine seob omavahel eri liikmesriikide ja kolmandate riikide finantseerimisasutused: sageli algatavad pangad väärtpaberistatud laenud, samas kui finantsasutused, nagu kindlustus</w:t>
      </w:r>
      <w:r>
        <w:rPr>
          <w:noProof/>
        </w:rPr>
        <w:t>andjad ja investeerimisfondid investeerivad nendesse toodetesse nii Euroopas kui ka kogu maailmas. Väärtpaberistamise turg on seetõttu laadilt rahvusvaheline.</w:t>
      </w:r>
    </w:p>
    <w:p w:rsidR="003563AD" w:rsidRDefault="00251882">
      <w:pPr>
        <w:spacing w:before="0" w:after="200"/>
        <w:rPr>
          <w:rFonts w:eastAsia="Calibri"/>
          <w:noProof/>
          <w:szCs w:val="24"/>
        </w:rPr>
      </w:pPr>
      <w:r>
        <w:rPr>
          <w:noProof/>
        </w:rPr>
        <w:t>Liikmesriigid ise ei saa võtta väärtpaberistamise turgude taaskäivitamiseks piisavaid meetmeid. E</w:t>
      </w:r>
      <w:r>
        <w:rPr>
          <w:noProof/>
        </w:rPr>
        <w:t>L on rahvusvahelisel tasandil propageerinud standardeid lihtsa, läbipaistva ja standarditud väärtpaberistamise kindlaksmääramiseks. Sellised standardid aitavad investoritel selgitada välja väärtpaberistamise kategooriad, mille aluseks olevaid riske saab li</w:t>
      </w:r>
      <w:r>
        <w:rPr>
          <w:noProof/>
        </w:rPr>
        <w:t>htsamalt ja läbipaistvamalt analüüsida.</w:t>
      </w:r>
    </w:p>
    <w:p w:rsidR="003563AD" w:rsidRDefault="00251882">
      <w:pPr>
        <w:spacing w:before="0" w:after="200"/>
        <w:rPr>
          <w:rFonts w:eastAsia="Calibri"/>
          <w:noProof/>
          <w:szCs w:val="24"/>
        </w:rPr>
      </w:pPr>
      <w:r>
        <w:rPr>
          <w:noProof/>
        </w:rPr>
        <w:t>Kõnealuste rahvusvaheliste standardite rakendamine liikmesriikides võiks viia erinevate lähenemisviisideni, luues seega piiriülestele investoritele sisulised tõkked ja õõnestades investorite usaldust standardväärtpab</w:t>
      </w:r>
      <w:r>
        <w:rPr>
          <w:noProof/>
        </w:rPr>
        <w:t>eristamise vastu. Standardväärtpaberistamise riskitundlikum usaldatavusnõuete raamistik eeldab, et EL määratleks standardväärtpaberistamised, sest muidu võiksid eri liikmesriigid kasutada eri liiki väärtpaberistamiste puhul pankade ja kindlustusettevõtjate</w:t>
      </w:r>
      <w:r>
        <w:rPr>
          <w:noProof/>
        </w:rPr>
        <w:t xml:space="preserve"> suhtes riskitundlikumat reguleerivat käsitlust. See tooks kaasa ebavõrdsed tingimused ja õigusliku arbitraaži. Seoses puudujääkidega ühtsuse ja standardimise valdkonnas on EL juba ühtlustanud mitu väärtpaberistamist käsitlevat punkti, eelkõige mõisted, av</w:t>
      </w:r>
      <w:r>
        <w:rPr>
          <w:noProof/>
        </w:rPr>
        <w:t>alikustamise nõuded, hoolsuskohustus, riski säilitamine ja usaldatavusnõuete käsitlus reguleeritud üksuste jaoks, kes kõnealustesse toodetesse investeerivad. Need sätted on töötatud välja mitmesuguste õigusaktide raames (kapitalinõuete määrus, Solventsus I</w:t>
      </w:r>
      <w:r>
        <w:rPr>
          <w:noProof/>
        </w:rPr>
        <w:t>I, eurofond, reitinguagentuuride määrus ja AIFide valitsejate direktiiv), mis on tinginud teatavaid lahknevusi eri investorite suhtes kohaldatavates nõuetes. Nõuete järjepidevust saab suurendada ja neid sätteid täiendavalt standardida ainult liidu tasandil</w:t>
      </w:r>
      <w:r>
        <w:rPr>
          <w:noProof/>
        </w:rPr>
        <w:t>.</w:t>
      </w:r>
    </w:p>
    <w:p w:rsidR="003563AD" w:rsidRDefault="00251882">
      <w:pPr>
        <w:spacing w:before="0" w:after="200"/>
        <w:rPr>
          <w:rFonts w:eastAsia="Calibri"/>
          <w:noProof/>
          <w:szCs w:val="24"/>
        </w:rPr>
      </w:pPr>
      <w:r>
        <w:rPr>
          <w:noProof/>
        </w:rPr>
        <w:t xml:space="preserve">Meetmed saadavad kogu ELile selge ja kindla sõnumi, et teatavatel väärtpaberistamistel läks hästi isegi finantskriisi ajal ja et need võivad olla kasulikud investeeringud eri liiki kutselistele investoritele, kelle jaoks eemaldatakse reguleerivad tõkked </w:t>
      </w:r>
      <w:r>
        <w:rPr>
          <w:noProof/>
        </w:rPr>
        <w:t>(asjakohase usaldatavusnõuete käsitluse puudumine, ebajärjekindel käsitlus eri finantssektorites). Liikmesriigi tasandi meetmetega ei saaks luua tulemuslikult väärtpaberistamiste riskitundlikumat käsitlust, kuna usaldatavusnõuete käsitluse kohaldamine on j</w:t>
      </w:r>
      <w:r>
        <w:rPr>
          <w:noProof/>
        </w:rPr>
        <w:t>uba ELI õiguses sätestatud; samuti ei saaks liikmesriigi tasandil tagada praegu eri ELi õigusaktidega hõlmatud sätete (näiteks avalikustamisnõuded, hoolsuskohustus ja riski säilitamine) järjepidevust ega standardimist.</w:t>
      </w:r>
    </w:p>
    <w:p w:rsidR="003563AD" w:rsidRDefault="00251882">
      <w:pPr>
        <w:pStyle w:val="ManualHeading2"/>
        <w:rPr>
          <w:rFonts w:eastAsia="Arial Unicode MS"/>
          <w:noProof/>
          <w:u w:color="000000"/>
          <w:bdr w:val="nil"/>
        </w:rPr>
      </w:pPr>
      <w:r>
        <w:rPr>
          <w:noProof/>
        </w:rPr>
        <w:t>Proportsionaalsus</w:t>
      </w:r>
    </w:p>
    <w:p w:rsidR="003563AD" w:rsidRDefault="00251882">
      <w:pPr>
        <w:spacing w:before="0" w:after="200"/>
        <w:rPr>
          <w:rFonts w:eastAsia="Times New Roman"/>
          <w:noProof/>
          <w:color w:val="000000"/>
          <w:szCs w:val="24"/>
        </w:rPr>
      </w:pPr>
      <w:r>
        <w:rPr>
          <w:noProof/>
        </w:rPr>
        <w:t>Valitud poliitikava</w:t>
      </w:r>
      <w:r>
        <w:rPr>
          <w:noProof/>
        </w:rPr>
        <w:t>likuks on kehtestada nii pikaajaliste kui ka lühiajaliste (sealhulgas varaga tagatud kommertsväärtpaberid) väärtpaberistamiste suhtes kohaldatavad standardväärtpaberistamise kriteeriumid.</w:t>
      </w:r>
      <w:r>
        <w:rPr>
          <w:noProof/>
          <w:color w:val="000000"/>
        </w:rPr>
        <w:t xml:space="preserve"> Nende kriteeriumide täitmise eest vastutavad peamiselt tehingu algat</w:t>
      </w:r>
      <w:r>
        <w:rPr>
          <w:noProof/>
          <w:color w:val="000000"/>
        </w:rPr>
        <w:t>ajad ja sponsorid, kes peaksid tagama standardväärtpaberistamise vastavuse Euroopa Väärtpaberiturujärelevalvele teatatud standardväärtpaberistamiste kriteeriumidele. Investorid peaksid täitma enne standardväärtpaberistamisse investeerimist hoolsuskohustust</w:t>
      </w:r>
      <w:r>
        <w:rPr>
          <w:noProof/>
          <w:color w:val="000000"/>
        </w:rPr>
        <w:t>, toetudes piisavalt standardväärtpaberistamise teatele ning tehingu algataja, sponsori ja eriotstarbelise väärtpaberistamisüksuse avaldatud teabele. Lähenemisviisi tugevdatakse järelevalve, piiriülese järelevalvealase koordineerimise ja sanktsioonide mehh</w:t>
      </w:r>
      <w:r>
        <w:rPr>
          <w:noProof/>
          <w:color w:val="000000"/>
        </w:rPr>
        <w:t>anismiga. ELi raamistikuga sätestatakse läbipaistvuse, hoolsuskohustuse ja riski säilitamise alased normid.</w:t>
      </w:r>
    </w:p>
    <w:p w:rsidR="003563AD" w:rsidRDefault="00251882">
      <w:pPr>
        <w:spacing w:before="0" w:after="200"/>
        <w:rPr>
          <w:noProof/>
          <w:szCs w:val="24"/>
        </w:rPr>
      </w:pPr>
      <w:r>
        <w:rPr>
          <w:noProof/>
        </w:rPr>
        <w:t>Samal ajal ei ole turuosalised kohustatud standardväärtpaberistamisi ette võtma ega nendesse investeerima: tehingu algatajad võivad ikka tegelda muu</w:t>
      </w:r>
      <w:r>
        <w:rPr>
          <w:noProof/>
        </w:rPr>
        <w:t>de väärtpaberistamistega või väärtpaberistamistega, mis on lihtsamad, läbipaistvamad ja standarditumad, kui standardväärtpaberistamise kriteeriumidega nõutakse. Standardväärtpaberistamise kriteeriumide koostamisel on püütud need viia vastavusse likviidsusk</w:t>
      </w:r>
      <w:r>
        <w:rPr>
          <w:noProof/>
        </w:rPr>
        <w:t>attekordajat ja Solventsus II käsitlevates delegeeritud aktides</w:t>
      </w:r>
      <w:r>
        <w:rPr>
          <w:rStyle w:val="FootnoteReference"/>
          <w:noProof/>
        </w:rPr>
        <w:footnoteReference w:id="15"/>
      </w:r>
      <w:r>
        <w:rPr>
          <w:noProof/>
        </w:rPr>
        <w:t xml:space="preserve"> sätestatud kriteeriumidega ning BCBS-IOSCO kriteeriumidega.</w:t>
      </w:r>
    </w:p>
    <w:p w:rsidR="003563AD" w:rsidRDefault="00251882">
      <w:pPr>
        <w:rPr>
          <w:noProof/>
        </w:rPr>
      </w:pPr>
      <w:r>
        <w:rPr>
          <w:noProof/>
        </w:rPr>
        <w:t>Mis puutub vastavusse standardväärtpaberistamise nõuetele, siis kõige sobivamaks mehhanismiks peetakse vastutuse panemist väärtpabe</w:t>
      </w:r>
      <w:r>
        <w:rPr>
          <w:noProof/>
        </w:rPr>
        <w:t>ristamistehingu algatajatele ja investoritele, mille üle tehakse järelevalvet. Järelevalve saab jälgida muutusi turul ja kontrollida, et tehing vastaks kõikidele standardväärtpaberitamise kriteeriumidele ning kehtestada vajaduse korral sanktsioone. Ühest k</w:t>
      </w:r>
      <w:r>
        <w:rPr>
          <w:noProof/>
        </w:rPr>
        <w:t>üljest on finantskriis näidanud, et varem toetusid investorid liiga palju kolmandatele isikutele, näiteks reitinguagentuuridele. Ülemäärase toetumise tõttu kolmandatele isikutele ei tegelenud investorid piisavalt hoolsuskohustusega. See tulenes ka osalisel</w:t>
      </w:r>
      <w:r>
        <w:rPr>
          <w:noProof/>
        </w:rPr>
        <w:t xml:space="preserve">t regulatiivsetest viidetest kolmandatele isikutele, mida tuleks seetõttu vältida. Kuigi kolmandad isikud võivad vabatahtlikult endiselt olulist rolli mängida, on käesoleva ettepanekuga jäetud hoolsuskohustuse koormus väärtpaberistamistehingu algatajatele </w:t>
      </w:r>
      <w:r>
        <w:rPr>
          <w:noProof/>
        </w:rPr>
        <w:t>ja investoritele. Teisest küljest lükkaks järelevalveasutuste juba eelnev regulatiivne kaasamine selleks, et kinnitada väärtpaberistamise vastavust standardväärtpaberistamise nõuetele, vastutuse avalikele asutustele, mis võib viia moraaliriski tekkimiseni,</w:t>
      </w:r>
      <w:r>
        <w:rPr>
          <w:noProof/>
        </w:rPr>
        <w:t xml:space="preserve"> samas kui vastutama peaksid väärtpaberistamistehingu algatajad, sponsorid ja eriotstarbelised väärtpaberistamisüksused.</w:t>
      </w:r>
    </w:p>
    <w:p w:rsidR="003563AD" w:rsidRDefault="00251882">
      <w:pPr>
        <w:spacing w:before="0" w:after="200"/>
        <w:rPr>
          <w:rFonts w:eastAsia="Times New Roman"/>
          <w:noProof/>
          <w:color w:val="000000"/>
          <w:szCs w:val="24"/>
        </w:rPr>
      </w:pPr>
      <w:r>
        <w:rPr>
          <w:noProof/>
        </w:rPr>
        <w:t>ELi väärtpaberistamise raamistik töötatakse vajaduse korral välja kooskõlas liidu avalikustamisnõudeid, hoolsuskohustust ja riski säili</w:t>
      </w:r>
      <w:r>
        <w:rPr>
          <w:noProof/>
        </w:rPr>
        <w:t>tamist käsitlevate kehtivate sätete ja olemasolevate definitsioonidega. See tagab, et turg saab toimida edasi kehtiva õigusraamistiku põhjal, kui seda raamistikku ei muudeta, nii et ei suurendataks tarbetult kulusid ega tekiks regulatiivset segadust. Jätku</w:t>
      </w:r>
      <w:r>
        <w:rPr>
          <w:noProof/>
        </w:rPr>
        <w:t>valt tagatakse ka investorite kaitse ja finantsstabiilsus, andes samas suurima võimaliku panuse ELi majanduse rahastamisse. Ühtlustatud ELi raamistiku loomise nimel on vajaduse korral tehtud muudatusi.</w:t>
      </w:r>
    </w:p>
    <w:p w:rsidR="003563AD" w:rsidRDefault="00251882">
      <w:pPr>
        <w:spacing w:before="0" w:after="200"/>
        <w:rPr>
          <w:rFonts w:eastAsia="Calibri"/>
          <w:noProof/>
          <w:szCs w:val="24"/>
        </w:rPr>
      </w:pPr>
      <w:r>
        <w:rPr>
          <w:noProof/>
        </w:rPr>
        <w:t>Kehtiva õigusraamistiku ühtlustamisega ELi tasandil ei</w:t>
      </w:r>
      <w:r>
        <w:rPr>
          <w:noProof/>
        </w:rPr>
        <w:t xml:space="preserve"> saa iseenesest standardida kõiki väärtpaberistamise turu protsesse ja tavasid. Sellepärast kutsutakse ettepanekuga turuosalisi turul valitsevaid tavasid edasi standardima. Näiteks osutas avalik konsultatsioon, et väärtpaberistamise dokumenteerimise täiend</w:t>
      </w:r>
      <w:r>
        <w:rPr>
          <w:noProof/>
        </w:rPr>
        <w:t>av standardimine turuosaliste poolt, nagu seda teeb Madalmaade väärtpaberistamise ühendus, on paljulubav. Seda lähenemisviisi võiks laiendada muudele liikmesriikidele ja varaklassidele, et väärtpaberistamise tavasid täiendavalt standardida ja seega vähenda</w:t>
      </w:r>
      <w:r>
        <w:rPr>
          <w:noProof/>
        </w:rPr>
        <w:t>da kõikide turuosaliste kulusid ja soodustada investeerimist väärtpaberistamisse. Komisjon kutsub turuosalisi ja nende kutsealaseid ühendusi alustama täiendava standardimisega. Komisjon teostab järelevalvet ja pakub vajaduse korral abi.</w:t>
      </w:r>
    </w:p>
    <w:p w:rsidR="003563AD" w:rsidRDefault="00251882">
      <w:pPr>
        <w:spacing w:before="0" w:after="200"/>
        <w:rPr>
          <w:rFonts w:eastAsia="Calibri"/>
          <w:noProof/>
          <w:szCs w:val="24"/>
        </w:rPr>
      </w:pPr>
      <w:r>
        <w:rPr>
          <w:noProof/>
        </w:rPr>
        <w:t xml:space="preserve">Proportsionaalsust </w:t>
      </w:r>
      <w:r>
        <w:rPr>
          <w:noProof/>
        </w:rPr>
        <w:t>on täiendavalt arutatud mõjuhinnangus, eriti selle punktis 4.4.</w:t>
      </w:r>
    </w:p>
    <w:p w:rsidR="003563AD" w:rsidRDefault="00251882">
      <w:pPr>
        <w:pStyle w:val="ManualHeading2"/>
        <w:rPr>
          <w:rFonts w:eastAsia="Arial Unicode MS"/>
          <w:noProof/>
          <w:u w:color="000000"/>
          <w:bdr w:val="nil"/>
        </w:rPr>
      </w:pPr>
      <w:r>
        <w:rPr>
          <w:noProof/>
        </w:rPr>
        <w:t>Vahendi valik</w:t>
      </w:r>
    </w:p>
    <w:p w:rsidR="003563AD" w:rsidRDefault="00251882">
      <w:pPr>
        <w:spacing w:before="0" w:after="200"/>
        <w:rPr>
          <w:rFonts w:eastAsia="Calibri"/>
          <w:noProof/>
          <w:szCs w:val="24"/>
        </w:rPr>
      </w:pPr>
      <w:r>
        <w:rPr>
          <w:noProof/>
        </w:rPr>
        <w:t>Käesoleva ettepaneku eesmärk on luua standardväärtpaberistamise jätkusuutlik turg. Selleks on ettepanekus sätestatud kriteeriumid, millele väärtpaberistamised peavad vastama, esi</w:t>
      </w:r>
      <w:r>
        <w:rPr>
          <w:noProof/>
        </w:rPr>
        <w:t>tatud on vajalik järelevalveraamistik ja kokku on kogutud ELi väärtpaberistamist käsitlevate aktide olemasolevad riski säilitamise, avalikustamise ja hoolsuskohustuse alased sätted.</w:t>
      </w:r>
    </w:p>
    <w:p w:rsidR="003563AD" w:rsidRDefault="00251882">
      <w:pPr>
        <w:spacing w:before="0" w:after="200"/>
        <w:rPr>
          <w:rFonts w:eastAsia="Calibri"/>
          <w:noProof/>
          <w:szCs w:val="24"/>
        </w:rPr>
      </w:pPr>
      <w:r>
        <w:rPr>
          <w:noProof/>
        </w:rPr>
        <w:t>Standardväärtpaberistamise kriteeriumid peaksid olema kogu ELis ühtsed. Võ</w:t>
      </w:r>
      <w:r>
        <w:rPr>
          <w:noProof/>
        </w:rPr>
        <w:t>rreldavad, kuid piiratuma reguleerimisalaga kriteeriumid on praegu kehtestatud kahe komisjoni delegeeritud määrusega (likviidsuskattekordajat ja Solventsus II käsitlevad delegeeritud aktid). Lisaks on palju avaldamisnõudeid, riski säilitamise ja hoolsuskoh</w:t>
      </w:r>
      <w:r>
        <w:rPr>
          <w:noProof/>
        </w:rPr>
        <w:t>ustuse norme sätestatud arvukates ELi määrustes (kapitalinõuete määrus, Solventsus II delegeeritud akt, reitinguagentuuride delegeeritud määrus ja investeerimisfondide valitsejate delegeeritud määrus).</w:t>
      </w:r>
    </w:p>
    <w:p w:rsidR="003563AD" w:rsidRDefault="00251882">
      <w:pPr>
        <w:spacing w:before="0" w:after="200"/>
        <w:rPr>
          <w:rFonts w:eastAsia="Calibri"/>
          <w:noProof/>
          <w:szCs w:val="24"/>
        </w:rPr>
      </w:pPr>
      <w:r>
        <w:rPr>
          <w:noProof/>
        </w:rPr>
        <w:t xml:space="preserve">ELi toimimise lepingu artikli 114 lõige 1 on õiguslik </w:t>
      </w:r>
      <w:r>
        <w:rPr>
          <w:noProof/>
        </w:rPr>
        <w:t>alus määrusele, millega kehtestatakse ühtsed sätted, mille eesmärk on parandada siseturu toimimist. Standardväärtpaberistamise kriteeriumid ja ELi väärtpaberistamist käsitlevate õigusaktide riski säilitamise, avalikustamise ja hoolsuskohustuse sätete ühtlu</w:t>
      </w:r>
      <w:r>
        <w:rPr>
          <w:noProof/>
        </w:rPr>
        <w:t>stamine on vajalikud siseturu nõuetekohaseks ja turvaliseks toimimiseks. Direktiiviga samasuguseid tulemusi ei saavutataks, sest direktiivi rakendamisel võidaks liikmesriigi tasandil vastu võtta lahknevaid meetmeid, mis võiksid viia konkurentsi moonutamise</w:t>
      </w:r>
      <w:r>
        <w:rPr>
          <w:noProof/>
        </w:rPr>
        <w:t xml:space="preserve"> ja õigusliku arbitraažini. Pealegi on suurem osa ELis selles valdkonnas juba kehtivaid sätteid võetud vastu määrusega.</w:t>
      </w:r>
    </w:p>
    <w:p w:rsidR="003563AD" w:rsidRDefault="00251882">
      <w:pPr>
        <w:spacing w:before="0" w:after="200"/>
        <w:rPr>
          <w:rFonts w:eastAsia="Calibri"/>
          <w:noProof/>
          <w:szCs w:val="24"/>
        </w:rPr>
      </w:pPr>
      <w:r>
        <w:rPr>
          <w:noProof/>
        </w:rPr>
        <w:t xml:space="preserve">Käesoleva õigusliku raamistiku loomine eeldab arvukate õigusaktide vastuvõtmist. Esiteks väärtpaberistamise määrus, millega koostatakse </w:t>
      </w:r>
      <w:r>
        <w:rPr>
          <w:noProof/>
        </w:rPr>
        <w:t>finantssektorite jaoks ühtsed määratlused ja normid, ühtlustataks riski säilitamise, hoolsuskohustuse ja avalikustamise alased normid. Samas määruses sätestatakse standardväärtpaberistamise kriteeriumid kõikidele finatssektoritele, aktsepteeritavatele vara</w:t>
      </w:r>
      <w:r>
        <w:rPr>
          <w:noProof/>
        </w:rPr>
        <w:t>klassidele ja tehingustruktuuridele, samuti asjakohastele turuosalistele kõikides sektorites. Käesoleva määrusega tuleks ka tunnistada kehtetuks valdkondlikes õigusaktides liigseks osutuvad sätted. Teiseks tehakse ettepanek võtta vastu õigusaktid krediidia</w:t>
      </w:r>
      <w:r>
        <w:rPr>
          <w:noProof/>
        </w:rPr>
        <w:t>sutuste riskitundlikumaks usaldatavusnõuete käsitluseks. Krediidiasutuste usaldatavusnõuete raamistik on praegu kehtestatud kapitalinõuete määruses ja kindlustusandjate raamistik Solventsus II delegeeritud aktis. Seepärast tuleks võtta vastu kapitalinõuete</w:t>
      </w:r>
      <w:r>
        <w:rPr>
          <w:noProof/>
        </w:rPr>
        <w:t xml:space="preserve"> määruse muutmise ettepanek, samuti tuleks muuta Solventsus II delegeeritud akti, kui väärtpaberistamise õigusraamistik on vastu võetud.</w:t>
      </w:r>
    </w:p>
    <w:p w:rsidR="003563AD" w:rsidRDefault="00251882">
      <w:pPr>
        <w:spacing w:before="0" w:after="200"/>
        <w:rPr>
          <w:rFonts w:eastAsia="Calibri"/>
          <w:noProof/>
          <w:szCs w:val="24"/>
        </w:rPr>
      </w:pPr>
      <w:r>
        <w:rPr>
          <w:noProof/>
        </w:rPr>
        <w:t>Mis puutub nende aktide vastuvõtmise ajakavasse, siis eri õigusaktid moodustavad ühe omavahel seotud paketi, sest stand</w:t>
      </w:r>
      <w:r>
        <w:rPr>
          <w:noProof/>
        </w:rPr>
        <w:t xml:space="preserve">ardväärtpaberistamise jaoks kehtestatakse eraldi kohandatud usaldatavusnõuete käsitlus. Seepärast on oluline, et komisjon koostaks kõiki asjakohaseid elemente sisaldava kõikehõlmava paketi. </w:t>
      </w:r>
    </w:p>
    <w:p w:rsidR="003563AD" w:rsidRDefault="00251882">
      <w:pPr>
        <w:spacing w:before="0" w:after="200"/>
        <w:rPr>
          <w:rFonts w:eastAsia="Calibri"/>
          <w:noProof/>
          <w:szCs w:val="24"/>
        </w:rPr>
      </w:pPr>
      <w:r>
        <w:rPr>
          <w:noProof/>
        </w:rPr>
        <w:t>Selleks et tagada kindlustuse valdkonnas väärtpaberistamist regul</w:t>
      </w:r>
      <w:r>
        <w:rPr>
          <w:noProof/>
        </w:rPr>
        <w:t>eeriva raamistiku kooskõla käesoleva määrusega, on vaja teha mitu muudatust komisjoni delegeeritud määrusesse (EL) 2015/35 (Solventsus II delegeeritud akt). Kõigepealt tuleb selle väärtpaberistamise definitsioonid viia kooskõlla käesoleva ettepaneku omadeg</w:t>
      </w:r>
      <w:r>
        <w:rPr>
          <w:noProof/>
        </w:rPr>
        <w:t>a. Teiseks saab käesolevas määruse ettepanekus sisalduvate riski säilitamist ja hoolsuskohustust käsitlevate nõuete otsekohaldatavuse tõttu sarnased nõuded Solventsus II delegeeritud määruses pärast käesoleva määruse jõustumist tühistada. Arvestades kapita</w:t>
      </w:r>
      <w:r>
        <w:rPr>
          <w:noProof/>
        </w:rPr>
        <w:t>liturgude liitu käsitleva rohelise raamatu üle toimunud avaliku konsultatsiooni käigus üles näidatud laialdast toetust sellele, et standardväärtpaberistamise madalama nõudeõiguse järguga väärtpaberistamisseeriate suhtes kohaldataks Solventsus II alusel koh</w:t>
      </w:r>
      <w:r>
        <w:rPr>
          <w:noProof/>
        </w:rPr>
        <w:t>andatud omavahendite nõuet koos täiustatud riskitundlikkusega, töötab komisjon välja uue kalibreerimise. Metoodika lähtuks aluspositsioonide kapitalinõuetele tuginevast aluspositsioonide arvessevõtmise meetodist, mida täiustataks mitteneutraalsuse teguriga</w:t>
      </w:r>
      <w:r>
        <w:rPr>
          <w:noProof/>
        </w:rPr>
        <w:t>, et võtta arvesse väärtpaberistamise mudeliriski. Aluspositsioonide kapitalinõuded tugineksid komisjoni delegeeritud akti (EL) 2015/35 kehtivatee kalibreerimistele ja mitteneutraalsuse tegur ühtlustataks Euroopa Pangandusjärelevalve poolt 7. juulil 2015 e</w:t>
      </w:r>
      <w:r>
        <w:rPr>
          <w:noProof/>
        </w:rPr>
        <w:t>sitatud nõuannete keskmiste teguritega</w:t>
      </w:r>
      <w:r>
        <w:rPr>
          <w:rStyle w:val="FootnoteReference"/>
          <w:noProof/>
        </w:rPr>
        <w:footnoteReference w:id="16"/>
      </w:r>
      <w:r>
        <w:rPr>
          <w:noProof/>
        </w:rPr>
        <w:t>. Sellise metoodika tulemusel väheneksid märkimisväärselt standardväärtpaberistamise madalama nõudeõiguse järguga väärtpaberistamisseeriate omavahendite nõuded. Ka kõrgema nõudeõiguse järguga väärtpaberistamisseeriate</w:t>
      </w:r>
      <w:r>
        <w:rPr>
          <w:noProof/>
        </w:rPr>
        <w:t xml:space="preserve"> kalibreerimiste arvutamise metoodikat muudetaks tehniliselt. Nende kalibreerimiste muutmised tuleks vormistada komisjoni delegeeritud akti (EL) 2015/35 muudatustena.</w:t>
      </w:r>
    </w:p>
    <w:p w:rsidR="003563AD" w:rsidRDefault="00251882">
      <w:pPr>
        <w:spacing w:before="0" w:after="200"/>
        <w:rPr>
          <w:rFonts w:eastAsia="Calibri"/>
          <w:noProof/>
          <w:szCs w:val="24"/>
        </w:rPr>
      </w:pPr>
      <w:r>
        <w:rPr>
          <w:noProof/>
        </w:rPr>
        <w:t>Komisjonil on juba praegu volitused võtta vastu Solventsus II delegeeritud määruse muudat</w:t>
      </w:r>
      <w:r>
        <w:rPr>
          <w:noProof/>
        </w:rPr>
        <w:t>used. Kuid kuna uued kalibreerimised peavad lähtuma käesolevast ettepanekust ja eriti standardväärtpaberistamise nõuetest, saab vajalikud muudatused võtta vastu alles pärast käesoleva ettepaneku vastuvõtmist. Komisjon kavatseb tagada, et kindlustus- ja pan</w:t>
      </w:r>
      <w:r>
        <w:rPr>
          <w:noProof/>
        </w:rPr>
        <w:t>gandussektori uusi kalibreerimisi kohaldataks samast kuupäevast.</w:t>
      </w:r>
    </w:p>
    <w:p w:rsidR="003563AD" w:rsidRDefault="00251882">
      <w:pPr>
        <w:spacing w:before="0" w:after="200"/>
        <w:rPr>
          <w:rFonts w:eastAsia="Calibri"/>
          <w:noProof/>
          <w:szCs w:val="24"/>
        </w:rPr>
      </w:pPr>
      <w:r>
        <w:rPr>
          <w:noProof/>
        </w:rPr>
        <w:t>Käesolevale ettepanekule järgneb hiljem ettepanek muuta likviidsuskattekordaja delegeeritud akti, et see käesoleva määrusega kooskõlla viia. Eelkõige tuleb muuta neid kriteeriumeid, mille alu</w:t>
      </w:r>
      <w:r>
        <w:rPr>
          <w:noProof/>
        </w:rPr>
        <w:t>sel väärtpaberistamisi aktsepteeritaks kõnealuse delegeeritud akti artiklis 13 sätestatud 2B tasandi varana, et viia need kooskõlla käesolevas määruses sätestatud standardväärtpaberistamise üldkriteeriumidega. Praegu ei tehta ettepanekut nende delegeeritud</w:t>
      </w:r>
      <w:r>
        <w:rPr>
          <w:noProof/>
        </w:rPr>
        <w:t xml:space="preserve"> aktide muutmiseks. Selleks tuleb järgida erinevat menetlust ja see sõltub käesoleva paketi seadusandlike läbirääkimiste tulemustest.</w:t>
      </w:r>
    </w:p>
    <w:p w:rsidR="003563AD" w:rsidRDefault="00251882">
      <w:pPr>
        <w:pStyle w:val="ManualHeading1"/>
        <w:rPr>
          <w:noProof/>
        </w:rPr>
      </w:pPr>
      <w:r>
        <w:rPr>
          <w:noProof/>
        </w:rPr>
        <w:t>3.</w:t>
      </w:r>
      <w:r>
        <w:rPr>
          <w:noProof/>
        </w:rPr>
        <w:tab/>
        <w:t>SIDUSRÜHMADEGA PEETUD KONSULTATSIOONIDE JA MÕJUHINNANGUTE TULEMUSED</w:t>
      </w:r>
    </w:p>
    <w:p w:rsidR="003563AD" w:rsidRDefault="00251882">
      <w:pPr>
        <w:pStyle w:val="ManualHeading2"/>
        <w:rPr>
          <w:rFonts w:eastAsia="Arial Unicode MS"/>
          <w:noProof/>
          <w:u w:color="000000"/>
          <w:bdr w:val="nil"/>
        </w:rPr>
      </w:pPr>
      <w:r>
        <w:rPr>
          <w:noProof/>
        </w:rPr>
        <w:t>Konsulteerimine sidusrühmadega</w:t>
      </w:r>
    </w:p>
    <w:p w:rsidR="003563AD" w:rsidRDefault="00251882">
      <w:pPr>
        <w:spacing w:before="0" w:after="200"/>
        <w:rPr>
          <w:rFonts w:eastAsia="Calibri"/>
          <w:noProof/>
          <w:szCs w:val="24"/>
        </w:rPr>
      </w:pPr>
      <w:r>
        <w:rPr>
          <w:noProof/>
        </w:rPr>
        <w:t>Avalik konsultatsioo</w:t>
      </w:r>
      <w:r>
        <w:rPr>
          <w:noProof/>
        </w:rPr>
        <w:t>n lihtsa, läbipaistva ja standarditud väärtpaberistamise võimaliku ELi raamistiku üle toimus 18. veebruarist 13. maini 2015. Laekus 120 vastust</w:t>
      </w:r>
      <w:r>
        <w:rPr>
          <w:rStyle w:val="FootnoteReference"/>
          <w:noProof/>
        </w:rPr>
        <w:footnoteReference w:id="17"/>
      </w:r>
      <w:r>
        <w:rPr>
          <w:noProof/>
        </w:rPr>
        <w:t>. Üldiselt näitas konsulteerimine, et eelisjärjekorras tuleks luua lihtsa, läbipaistva ja standarditud väärtpabe</w:t>
      </w:r>
      <w:r>
        <w:rPr>
          <w:noProof/>
        </w:rPr>
        <w:t>ristamise kogu ELi hõlmav raamistik (vastuste kokkuvõte on esitatud allpool viidatud mõjuhinnangu 10. lisas).</w:t>
      </w:r>
    </w:p>
    <w:p w:rsidR="003563AD" w:rsidRDefault="00251882">
      <w:pPr>
        <w:spacing w:before="0" w:after="200"/>
        <w:rPr>
          <w:rFonts w:eastAsia="Calibri"/>
          <w:noProof/>
          <w:szCs w:val="24"/>
        </w:rPr>
      </w:pPr>
      <w:r>
        <w:rPr>
          <w:noProof/>
        </w:rPr>
        <w:t>Vastajad nõustusid üldiselt, et ELi väärtpaberistamiste kriisiaegseid, USA omadega võrreldes palju paremaid tulemusi tuleks tunnustada ja et kehti</w:t>
      </w:r>
      <w:r>
        <w:rPr>
          <w:noProof/>
        </w:rPr>
        <w:t>vat reguleerivat raamistikku tuleks muuta. See aitaks Euroopa väärtpaberistamise turul jätkusuutlikult taaselavneda, pakkudes ELi majandusele täiendavat rahastamist ja tagades samal ajal finantsstabiilsuse.</w:t>
      </w:r>
    </w:p>
    <w:p w:rsidR="003563AD" w:rsidRDefault="00251882">
      <w:pPr>
        <w:spacing w:before="0" w:after="200"/>
        <w:rPr>
          <w:rFonts w:eastAsia="Calibri"/>
          <w:noProof/>
        </w:rPr>
      </w:pPr>
      <w:r>
        <w:rPr>
          <w:noProof/>
        </w:rPr>
        <w:t>Arvesse võeti ka sidusrühmade vastuseid. Mitu tur</w:t>
      </w:r>
      <w:r>
        <w:rPr>
          <w:noProof/>
        </w:rPr>
        <w:t>uosalist eelistas, et standardväärtpaberistamise jaoks loodaks erasektori asutused, kes tegutseksid sertifitseerijate või kontrolliüksustena. Nad väitsid, et väliste isikute kohustuslikus korras kasutamine võiks aidata parandada väärtpaberistamise kehva ma</w:t>
      </w:r>
      <w:r>
        <w:rPr>
          <w:noProof/>
        </w:rPr>
        <w:t>inet ning tekitada investorites usaldust standardväärtpaberistamiste vastu. Standardväärtpaberistamiste alaste kogemustega kolmandate isikute vabatahtlik kaasamine, et aidata kontrollida väärtpaberistamise vastavust standardväärtpaberistamise nõuetele, või</w:t>
      </w:r>
      <w:r>
        <w:rPr>
          <w:noProof/>
        </w:rPr>
        <w:t>ks aidata nii investoritel kui ka tehingu algatajatel arvamust kujundada. Kuid nagu järelevalveasutuste enamus konsultatsiooni käigus rõhutas, on ülioluline, et investorid jätkaksid ise hindamisi, sest otsuse eest investeerida vastutavad nad lõpuks ise. Ko</w:t>
      </w:r>
      <w:r>
        <w:rPr>
          <w:noProof/>
        </w:rPr>
        <w:t>misjon usub ka, et panganduse ja kindlustuse soodsam usaldatavusnõuete käsitlus pakub investoritele piisavalt stiimuleid investeerida standardväärtpaberistamistesse.</w:t>
      </w:r>
    </w:p>
    <w:p w:rsidR="003563AD" w:rsidRDefault="00251882">
      <w:pPr>
        <w:pStyle w:val="ManualHeading2"/>
        <w:rPr>
          <w:rFonts w:eastAsia="Arial Unicode MS"/>
          <w:noProof/>
          <w:u w:color="000000"/>
          <w:bdr w:val="nil"/>
        </w:rPr>
      </w:pPr>
      <w:r>
        <w:rPr>
          <w:noProof/>
        </w:rPr>
        <w:t>Eksperdiarvamuste kogumine ja kasutamine</w:t>
      </w:r>
    </w:p>
    <w:p w:rsidR="003563AD" w:rsidRDefault="00251882">
      <w:pPr>
        <w:pBdr>
          <w:top w:val="nil"/>
          <w:left w:val="nil"/>
          <w:bottom w:val="nil"/>
          <w:right w:val="nil"/>
          <w:between w:val="nil"/>
          <w:bar w:val="nil"/>
        </w:pBdr>
        <w:spacing w:before="0" w:after="240"/>
        <w:rPr>
          <w:noProof/>
        </w:rPr>
      </w:pPr>
      <w:r>
        <w:rPr>
          <w:noProof/>
        </w:rPr>
        <w:t>Komisjon on saanud BCBS-IOSCO ühise rakkerühma aruteludel ja arvamustevahetustel osalemisega väärtuslikku teavet väärtpaberistamise turgude kohta ning BCBS töös osalemise kaudu kapitalikäsitluse läbivaatamise alal toimuva kohta. Komisjon on ka jälginud Eur</w:t>
      </w:r>
      <w:r>
        <w:rPr>
          <w:noProof/>
        </w:rPr>
        <w:t xml:space="preserve">oopa järelevalveasutuste ühiskomitee kui terviku ja selle liikmete (Euroopa Pangandusjärelevalve, Euroopa Väärtpaberiturujärelevalve, Euroopa Kindlustus- ja Tööandjapensionide Järelevalve) poolt väärtpaberistamise peamiste aspektidega tehtavat tööd. 2014. </w:t>
      </w:r>
      <w:r>
        <w:rPr>
          <w:noProof/>
        </w:rPr>
        <w:t>aastal toimunud kolme avaliku konsultatsiooniga (mille tegid Euroopa Keskpank ja Inglise Keskpank, BCBS-IOSCO ja Euroopa Pangandusjärelevalve) on kogutud väärtuslikku teavet sidusrühmade seisukohtadest väärtpaberistamise turgude kohta. Komisjon on ise korr</w:t>
      </w:r>
      <w:r>
        <w:rPr>
          <w:noProof/>
        </w:rPr>
        <w:t>aldatud avaliku konsultatsiooni puhul nendest lähtunud ja keskendunud peamiste probleemide kohta täiendava teabe kogumisele. Komisjon on kohtunud riigiasutustega, keskpankadega, erasektori esindajate ja Rahvusvahelise Valuutafondiga. Üldiselt kinnitavad ra</w:t>
      </w:r>
      <w:r>
        <w:rPr>
          <w:noProof/>
        </w:rPr>
        <w:t>hvusvahelise tasandi konsultatsioonid komisjoni korraldatud konsultatsioonil esitatud seisukohti ja pakuvad kohati täiendavat tagasisidet kavandatavate poliitikavalikute suhteliste eeliste kohta.</w:t>
      </w:r>
    </w:p>
    <w:p w:rsidR="003563AD" w:rsidRDefault="00251882">
      <w:pPr>
        <w:pStyle w:val="ManualHeading2"/>
        <w:rPr>
          <w:rFonts w:eastAsia="Arial Unicode MS"/>
          <w:noProof/>
          <w:u w:color="000000"/>
          <w:bdr w:val="nil"/>
        </w:rPr>
      </w:pPr>
      <w:r>
        <w:rPr>
          <w:noProof/>
        </w:rPr>
        <w:t>Mõju hindamine</w:t>
      </w:r>
    </w:p>
    <w:p w:rsidR="003563AD" w:rsidRDefault="00251882">
      <w:pPr>
        <w:pStyle w:val="ManualHeading2"/>
        <w:rPr>
          <w:rFonts w:eastAsia="Arial Unicode MS"/>
          <w:noProof/>
          <w:u w:color="000000"/>
          <w:bdr w:val="nil"/>
        </w:rPr>
      </w:pPr>
      <w:r>
        <w:rPr>
          <w:noProof/>
        </w:rPr>
        <w:t>Käesoleva ettepaneku ettevalmistamiseks koost</w:t>
      </w:r>
      <w:r>
        <w:rPr>
          <w:noProof/>
        </w:rPr>
        <w:t>ati mõjuhinnang ja arutati seda talitustevahelise juhtrühmaga. Mõjuhindamise aruanne esitati õiguskontrollikomiteele 17. juunil 2015. Komitee koosolek toimus 15. juulil 2015. Komitee andis positiivse hinnangu ning kutsus tegema muudatusi ja lisama täiendav</w:t>
      </w:r>
      <w:r>
        <w:rPr>
          <w:noProof/>
        </w:rPr>
        <w:t>at teavet järgmistes valdkondades: väärtpaberistamise turu praegune olukord eri liikmesriikides ja algatuse tõenäoline mõju liikmesriikide tasandil; leitud probleemide ja algatuse eesmärkide vahelise seose ja realistlikult saavutatavate eesmärkide kirjelda</w:t>
      </w:r>
      <w:r>
        <w:rPr>
          <w:noProof/>
        </w:rPr>
        <w:t>mine; ülevaade poliitikavalikute mõjuhinnangus toodud eelistest ja puudustest. Need valdkonnad on lisatud lõplikku versiooni ja neid on selles käsitletud. Lõplik versioon on kättesaadav komisjoni veebisaidil.Õigusloome kvaliteet ja lihtsustamine</w:t>
      </w:r>
    </w:p>
    <w:p w:rsidR="003563AD" w:rsidRDefault="00251882">
      <w:pPr>
        <w:pBdr>
          <w:top w:val="nil"/>
          <w:left w:val="nil"/>
          <w:bottom w:val="nil"/>
          <w:right w:val="nil"/>
          <w:between w:val="nil"/>
          <w:bar w:val="nil"/>
        </w:pBdr>
        <w:spacing w:before="0" w:after="240"/>
        <w:rPr>
          <w:noProof/>
        </w:rPr>
      </w:pPr>
      <w:r>
        <w:rPr>
          <w:noProof/>
        </w:rPr>
        <w:t xml:space="preserve">Käesoleva </w:t>
      </w:r>
      <w:r>
        <w:rPr>
          <w:noProof/>
        </w:rPr>
        <w:t>ettepanekuga lihtsustatakse ja ühtlustatakse väärtpaberistamise suhtes kohaldatavaid õigusnorme. Ei ole lihtne prognoosida usaldusväärselt, kui suurt lisarahastamist võiksid elavnevad väärtpaberistamise turud pakkuda, sest see sõltub arvukatest teguritest,</w:t>
      </w:r>
      <w:r>
        <w:rPr>
          <w:noProof/>
        </w:rPr>
        <w:t xml:space="preserve"> nagu makromajanduslikud tingimused ja rahapoliitika, krediidi kogunõudlus ja muutused alternatiivsetes rahastamiskanalites. Need tegurid võivad tõenäoliselt aja jooksul muutuda ja mõjutada lõpptulemust. Näiteks kui väärtpaberistamise turul taastuksid krii</w:t>
      </w:r>
      <w:r>
        <w:rPr>
          <w:noProof/>
        </w:rPr>
        <w:t>sieelsed emiteerimistasemed ja krediidiasutused kasutaksid uusemissioone uute laenude andmiseks, siis saaks nendega anda erasektorile täiendavat laenu 100–150 miljardi euro ulatuses. See tähendaks ELi ettevõtjatele ja majapidamistele 1,6 % võrra rohkem lae</w:t>
      </w:r>
      <w:r>
        <w:rPr>
          <w:noProof/>
        </w:rPr>
        <w:t xml:space="preserve">ne. </w:t>
      </w:r>
    </w:p>
    <w:p w:rsidR="003563AD" w:rsidRDefault="00251882">
      <w:pPr>
        <w:pBdr>
          <w:top w:val="nil"/>
          <w:left w:val="nil"/>
          <w:bottom w:val="nil"/>
          <w:right w:val="nil"/>
          <w:between w:val="nil"/>
          <w:bar w:val="nil"/>
        </w:pBdr>
        <w:spacing w:before="0" w:after="240"/>
        <w:rPr>
          <w:noProof/>
        </w:rPr>
      </w:pPr>
      <w:r>
        <w:rPr>
          <w:noProof/>
        </w:rPr>
        <w:t xml:space="preserve">Kõnealused finantsinstrumendid ei sobi jaeinvestoritele nende riskide taseme ja olemusliku keerukuse tõttu. Käesolevasse ettepanekusse valitud poliitikavalikud peaksid avaldama mitmetist positiivset mõju VKEde rahastamisele (vt mõju hindamise aruande </w:t>
      </w:r>
      <w:r>
        <w:rPr>
          <w:noProof/>
        </w:rPr>
        <w:t>6. lisa). Esiteks peaksid need aitama VKEsid rahastada kahel konkreetsel viisil: VKEdele suunatud laenud VKEde varaga tagatud väärtpaberite kaudu ja lühiajalised laenud lihtsate ja läbipaistvate varaga tagatud kommertsväärtpaberite emiteerimiste kaudu. Tei</w:t>
      </w:r>
      <w:r>
        <w:rPr>
          <w:noProof/>
        </w:rPr>
        <w:t xml:space="preserve">seks peaks algatus pakkuma pankadele vahendit riski bilansist eemaldamiseks. See omakorda tähendab, et pankadel peaks vabanema rohkem kapitali, mida saab seejärel pakkuda uute laenude andmiseks muu hulgas VKEdele. Lõpuks peaks algatus ühtse ja järjepideva </w:t>
      </w:r>
      <w:r>
        <w:rPr>
          <w:noProof/>
        </w:rPr>
        <w:t>väärtpaberistamise ELi raamistiku loomise ning turuosaliste täiendavale standardimisele üles kutsumisega vähendama väärpaberistamise tegevuskulusid. Kuna VKEde laenude väärtpaberistamise puhul on need kulud keskmisest kõrgemad, peaks kulude vähenemine mõju</w:t>
      </w:r>
      <w:r>
        <w:rPr>
          <w:noProof/>
        </w:rPr>
        <w:t>tama eriti soodsalt VKEde laenude maksumust.</w:t>
      </w:r>
    </w:p>
    <w:p w:rsidR="003563AD" w:rsidRDefault="00251882">
      <w:pPr>
        <w:pStyle w:val="ManualHeading2"/>
        <w:rPr>
          <w:rFonts w:eastAsia="Arial Unicode MS"/>
          <w:noProof/>
          <w:u w:color="000000"/>
          <w:bdr w:val="nil"/>
        </w:rPr>
      </w:pPr>
      <w:r>
        <w:rPr>
          <w:noProof/>
        </w:rPr>
        <w:t>Põhiõigused</w:t>
      </w:r>
    </w:p>
    <w:p w:rsidR="003563AD" w:rsidRDefault="00251882">
      <w:pPr>
        <w:spacing w:before="0" w:after="200"/>
        <w:rPr>
          <w:rFonts w:eastAsia="Calibri"/>
          <w:noProof/>
          <w:szCs w:val="24"/>
        </w:rPr>
      </w:pPr>
      <w:r>
        <w:rPr>
          <w:noProof/>
        </w:rPr>
        <w:t>Käesoleva ettepaneku puhul on teataval määral asjakohased ainult ELi põhiõiguste hartas sätestatud isikuandmete kaitse (artikkel 8), ettevõtlusvabadus (artikkel 16) ja tarbijakaitse (artikkel 38). Ne</w:t>
      </w:r>
      <w:r>
        <w:rPr>
          <w:noProof/>
        </w:rPr>
        <w:t xml:space="preserve">nde õiguste ja vabaduste piiramine on harta artikli 52 kohaselt lubatud. </w:t>
      </w:r>
    </w:p>
    <w:p w:rsidR="003563AD" w:rsidRDefault="00251882">
      <w:pPr>
        <w:spacing w:before="0" w:after="200"/>
        <w:rPr>
          <w:noProof/>
        </w:rPr>
      </w:pPr>
      <w:r>
        <w:rPr>
          <w:noProof/>
        </w:rPr>
        <w:t>Käesoleva ettepaneku puhul on põhiõiguste teatavaid piiranguid õigustav üldist huvi pakkuv eesmärk turu usaldusväärsuse ja finantsstabiilsuse tagamine. Ettevõtlusvabadust võib piirat</w:t>
      </w:r>
      <w:r>
        <w:rPr>
          <w:noProof/>
        </w:rPr>
        <w:t>a vajadusest täita teatavaid riski säilitamise ja hoolsuskohustuse nõudeid, et tagada huvide ühitamine investeerimisahelas ja tagada potentsiaalsete investorite ettevaatlik käitumine. Mis puudutab isikuandmete kaitset, siis teatava laenu tasandi teabe aval</w:t>
      </w:r>
      <w:r>
        <w:rPr>
          <w:noProof/>
        </w:rPr>
        <w:t>ikustamine võib osutuda vajalikuks, et investorid saaksid hoolsuskohustust täita. Tuleb märkida, et need sätted on ELi õigusega juba kehtestatud. Käesolev ettepanek ei peaks mõjutama tarbijaid, sest väärtpaberistamised ei ole tarbijatele suunatud. Kuid sta</w:t>
      </w:r>
      <w:r>
        <w:rPr>
          <w:noProof/>
        </w:rPr>
        <w:t>ndardväärtpaberistamised võimaldaksid kõikidel investorite klassidel kaasnevaid riske paremini analüüsida. See aitab investoreid kaitsta.</w:t>
      </w:r>
    </w:p>
    <w:p w:rsidR="003563AD" w:rsidRDefault="00251882">
      <w:pPr>
        <w:pStyle w:val="ManualHeading1"/>
        <w:rPr>
          <w:noProof/>
        </w:rPr>
      </w:pPr>
      <w:r>
        <w:rPr>
          <w:noProof/>
        </w:rPr>
        <w:t>4.</w:t>
      </w:r>
      <w:r>
        <w:rPr>
          <w:noProof/>
        </w:rPr>
        <w:tab/>
        <w:t>MÕJU EELARVELE</w:t>
      </w:r>
    </w:p>
    <w:p w:rsidR="003563AD" w:rsidRDefault="00251882">
      <w:pPr>
        <w:pBdr>
          <w:top w:val="nil"/>
          <w:left w:val="nil"/>
          <w:bottom w:val="nil"/>
          <w:right w:val="nil"/>
          <w:between w:val="nil"/>
          <w:bar w:val="nil"/>
        </w:pBdr>
        <w:spacing w:before="0" w:after="240"/>
        <w:rPr>
          <w:noProof/>
        </w:rPr>
      </w:pPr>
      <w:r>
        <w:rPr>
          <w:noProof/>
        </w:rPr>
        <w:t>Käesoleva seadusandliku ettepaneku mõju ELi eelarvele oleks piiratud. See tähendab poliitika edasiar</w:t>
      </w:r>
      <w:r>
        <w:rPr>
          <w:noProof/>
        </w:rPr>
        <w:t>endamist komisjonis ja kolmes Euroopa järelevalveasutuses. Lisaks antakse Euroopa järelevalveasutustele spetsiifilised koordineerimisülesanded, et tagada standardväärtpaberistamise raamistiku järjepidev rakendamine ELis. Ettepanekul on üks lisa, mis sisald</w:t>
      </w:r>
      <w:r>
        <w:rPr>
          <w:noProof/>
        </w:rPr>
        <w:t>ab finantsselgitust.</w:t>
      </w:r>
    </w:p>
    <w:p w:rsidR="003563AD" w:rsidRDefault="00251882">
      <w:pPr>
        <w:pStyle w:val="ManualHeading1"/>
        <w:rPr>
          <w:noProof/>
        </w:rPr>
      </w:pPr>
      <w:r>
        <w:rPr>
          <w:noProof/>
        </w:rPr>
        <w:t>5.</w:t>
      </w:r>
      <w:r>
        <w:rPr>
          <w:noProof/>
        </w:rPr>
        <w:tab/>
        <w:t>MUUD KÜSIMUSED</w:t>
      </w:r>
    </w:p>
    <w:p w:rsidR="003563AD" w:rsidRDefault="00251882">
      <w:pPr>
        <w:pStyle w:val="ManualHeading2"/>
        <w:rPr>
          <w:rFonts w:eastAsia="Arial Unicode MS"/>
          <w:noProof/>
          <w:u w:color="000000"/>
          <w:bdr w:val="nil"/>
        </w:rPr>
      </w:pPr>
      <w:r>
        <w:rPr>
          <w:noProof/>
        </w:rPr>
        <w:t>•</w:t>
      </w:r>
      <w:r>
        <w:rPr>
          <w:noProof/>
        </w:rPr>
        <w:tab/>
        <w:t>Rakenduskavad ning seire-, hindamis- ja aruandluskord</w:t>
      </w:r>
    </w:p>
    <w:p w:rsidR="003563AD" w:rsidRDefault="00251882">
      <w:pPr>
        <w:rPr>
          <w:noProof/>
        </w:rPr>
      </w:pPr>
      <w:r>
        <w:rPr>
          <w:noProof/>
        </w:rPr>
        <w:t>Kuna kavandatav instrument tugineb märkimisväärses osas kehtivale ELi õigusele, ei ole rakenduskava tarvis ette valmistada.</w:t>
      </w:r>
    </w:p>
    <w:p w:rsidR="003563AD" w:rsidRDefault="00251882">
      <w:pPr>
        <w:rPr>
          <w:rFonts w:asciiTheme="majorBidi" w:hAnsiTheme="majorBidi" w:cstheme="majorBidi"/>
          <w:noProof/>
        </w:rPr>
      </w:pPr>
      <w:r>
        <w:rPr>
          <w:noProof/>
        </w:rPr>
        <w:t>Määrus hõlmab Euroopa järelevalveasut</w:t>
      </w:r>
      <w:r>
        <w:rPr>
          <w:noProof/>
        </w:rPr>
        <w:t>uste ja komisjoni poolset järelevalvet ja hindamist. Esiteks peaks Euroopa pangandusjärelevalve tihedas koostöös Euroopa Väärtpaberiturujärelevalve ning Euroopa Kindlustus- ja Tööandjapensionide Järelevalvega avaldama aruande standardväärtpaberistamise nõu</w:t>
      </w:r>
      <w:r>
        <w:rPr>
          <w:noProof/>
        </w:rPr>
        <w:t>ete rakendamise, järelevalveasutuste võetud meetmete ja rakendamise käigus esile kerkida võivate sisuliste riskide ning uute haavatavuste ning turuosaliste poolt ELi väärtpaberistamise turul standardimise edendamiseks tehtud algatuste kohta.</w:t>
      </w:r>
      <w:r>
        <w:rPr>
          <w:rFonts w:asciiTheme="majorBidi" w:hAnsiTheme="majorBidi" w:cstheme="majorBidi"/>
          <w:noProof/>
        </w:rPr>
        <w:t xml:space="preserve"> </w:t>
      </w:r>
      <w:r>
        <w:rPr>
          <w:noProof/>
        </w:rPr>
        <w:t>Lisaks peab Eu</w:t>
      </w:r>
      <w:r>
        <w:rPr>
          <w:noProof/>
        </w:rPr>
        <w:t>roopa Väärtpaberiturujärelevalve tihedas koostöös kahe teise Euroopa järelevalveasutusega avaldama kolm aastat pärast käesoleva määruse jõustumist aruande läbipaistvusnõuete toimimise ja ELi väärtpaberistamise turu läbipaistvuse taseme kohta.</w:t>
      </w:r>
    </w:p>
    <w:p w:rsidR="003563AD" w:rsidRDefault="00251882">
      <w:pPr>
        <w:rPr>
          <w:noProof/>
          <w:color w:val="000000"/>
        </w:rPr>
      </w:pPr>
      <w:r>
        <w:rPr>
          <w:noProof/>
        </w:rPr>
        <w:t>Teiseks vaata</w:t>
      </w:r>
      <w:r>
        <w:rPr>
          <w:noProof/>
        </w:rPr>
        <w:t>b komisjon käesoleva määruse läbi ja koostab selle toimimise kohta aruande neli aastat pärast selle jõustumist ning esitab selle ja vajaduse korral ka seadusandliku ettepaneku Euroopa Parlamendile ja nõukogule.</w:t>
      </w:r>
    </w:p>
    <w:p w:rsidR="003563AD" w:rsidRDefault="00251882">
      <w:pPr>
        <w:spacing w:before="0" w:after="200"/>
        <w:rPr>
          <w:rFonts w:eastAsia="Calibri"/>
          <w:noProof/>
          <w:szCs w:val="24"/>
        </w:rPr>
      </w:pPr>
      <w:r>
        <w:rPr>
          <w:noProof/>
        </w:rPr>
        <w:t>Käesoleva määruse suhtes tehakse seega täieli</w:t>
      </w:r>
      <w:r>
        <w:rPr>
          <w:noProof/>
        </w:rPr>
        <w:t>k hindamine, et hinnata muu hulgas seda, kui tõhus ja tulemuslik see on eesmärkide saavutamisel olnud.</w:t>
      </w:r>
    </w:p>
    <w:p w:rsidR="003563AD" w:rsidRDefault="00251882">
      <w:pPr>
        <w:spacing w:after="200"/>
        <w:rPr>
          <w:noProof/>
        </w:rPr>
      </w:pPr>
      <w:r>
        <w:rPr>
          <w:noProof/>
        </w:rPr>
        <w:t>Esimese eesmärgi (</w:t>
      </w:r>
      <w:r>
        <w:rPr>
          <w:i/>
          <w:noProof/>
        </w:rPr>
        <w:t>eristada lihtsa, läbipaistva ja standarditud väärtpaberistamise tooteid muud liiki väärtpaberistamistest</w:t>
      </w:r>
      <w:r>
        <w:rPr>
          <w:noProof/>
        </w:rPr>
        <w:t xml:space="preserve">) saavutamise taset mõõdetakse </w:t>
      </w:r>
      <w:r>
        <w:rPr>
          <w:noProof/>
        </w:rPr>
        <w:t>osana standardväärtpaberistamise toodete hindade toimivusest ja emiteerimise tasemest. Mõlema suurenemine võrreldes muude väärtpaberistamiste toodetega on märk eristamisest ja seega esimese eesmärgi saavutamisest.</w:t>
      </w:r>
    </w:p>
    <w:p w:rsidR="003563AD" w:rsidRDefault="00251882">
      <w:pPr>
        <w:pBdr>
          <w:top w:val="nil"/>
          <w:left w:val="nil"/>
          <w:bottom w:val="nil"/>
          <w:right w:val="nil"/>
          <w:between w:val="nil"/>
          <w:bar w:val="nil"/>
        </w:pBdr>
        <w:spacing w:before="0" w:after="240"/>
        <w:rPr>
          <w:noProof/>
        </w:rPr>
      </w:pPr>
      <w:r>
        <w:rPr>
          <w:noProof/>
        </w:rPr>
        <w:t>Teist eesmärki (</w:t>
      </w:r>
      <w:r>
        <w:rPr>
          <w:i/>
          <w:noProof/>
        </w:rPr>
        <w:t>edendada standardimisprots</w:t>
      </w:r>
      <w:r>
        <w:rPr>
          <w:i/>
          <w:noProof/>
        </w:rPr>
        <w:t>esside ja tavade levitamist väärtpaberistamise turgudel, tegelda regulatiivsete vastuoludega</w:t>
      </w:r>
      <w:r>
        <w:rPr>
          <w:noProof/>
        </w:rPr>
        <w:t>) mõõdetakse kolme kriteeriumi taustal: 1) standardväärtpaberistamise toodete hind ja emiteerimise kasv (nt tegevuskulude vähenemine peaks suurendama emiteerimist),</w:t>
      </w:r>
      <w:r>
        <w:rPr>
          <w:noProof/>
        </w:rPr>
        <w:t xml:space="preserve"> 2) turustamis- ja aruandlusmaterjali standardimise ulatus ja 3) turuosaliste tagaside tegevuskulude muutuste kohta (kindlad andmed selle kohta ei pruugi olla avalikult kättesaadavad).</w:t>
      </w:r>
    </w:p>
    <w:p w:rsidR="003563AD" w:rsidRDefault="00251882">
      <w:pPr>
        <w:pStyle w:val="ManualHeading2"/>
        <w:rPr>
          <w:rFonts w:eastAsia="Arial Unicode MS"/>
          <w:noProof/>
          <w:u w:color="000000"/>
          <w:bdr w:val="nil"/>
        </w:rPr>
      </w:pPr>
      <w:r>
        <w:rPr>
          <w:noProof/>
        </w:rPr>
        <w:t>Ettepaneku teatavate sätete üksikasjalik selgitus</w:t>
      </w:r>
    </w:p>
    <w:p w:rsidR="003563AD" w:rsidRDefault="00251882">
      <w:pPr>
        <w:spacing w:before="0" w:after="200"/>
        <w:rPr>
          <w:noProof/>
          <w:szCs w:val="24"/>
        </w:rPr>
      </w:pPr>
      <w:r>
        <w:rPr>
          <w:noProof/>
        </w:rPr>
        <w:t>Käesolev ettepanek ko</w:t>
      </w:r>
      <w:r>
        <w:rPr>
          <w:noProof/>
        </w:rPr>
        <w:t>osneb kahest osast. Esimene osa on pühendatud kõikide väärtpaberistamiste suhtes kehtivatele normidele ja teises osas keskendutakse üksnes standardväärtpaberistamisele.</w:t>
      </w:r>
    </w:p>
    <w:p w:rsidR="003563AD" w:rsidRDefault="00251882">
      <w:pPr>
        <w:spacing w:before="0" w:after="200"/>
        <w:rPr>
          <w:noProof/>
          <w:szCs w:val="24"/>
        </w:rPr>
      </w:pPr>
      <w:r>
        <w:rPr>
          <w:noProof/>
        </w:rPr>
        <w:t>Esimeses osas on esitatud ühtsed põhinormid, mida kohaldatakse kõikide väärtpaberistami</w:t>
      </w:r>
      <w:r>
        <w:rPr>
          <w:noProof/>
        </w:rPr>
        <w:t>ste suhtes, sealhulgas standardväärtpaberistamised. Kuigi olemasolevate ELi õigusaktidega on nähtud krediidiasutustele, varahalduse ja kindlustussektorile ette teatavad normid, on need laiali eri õigusaktides ja need ei ole alati järjepidevad. Ettepaneku e</w:t>
      </w:r>
      <w:r>
        <w:rPr>
          <w:noProof/>
        </w:rPr>
        <w:t>simese osaga koondatakse normid ühte akti, seega tagades eri sektorites järjepidevuse, ühtlustades ja lihtsustades samas olemasolevaid norme. Selle tulemusel tühistataks sektoripõhised sätted samal teemal.</w:t>
      </w:r>
    </w:p>
    <w:p w:rsidR="003563AD" w:rsidRDefault="00251882">
      <w:pPr>
        <w:spacing w:before="0" w:after="200"/>
        <w:rPr>
          <w:noProof/>
          <w:szCs w:val="24"/>
        </w:rPr>
      </w:pPr>
      <w:r>
        <w:rPr>
          <w:noProof/>
        </w:rPr>
        <w:t xml:space="preserve">Teine osa sisaldab standardväärtpaberistamise </w:t>
      </w:r>
      <w:r>
        <w:rPr>
          <w:noProof/>
        </w:rPr>
        <w:t>kriteeriume. Likviidsuskattekordaja määruses ja Solventsus II määruses on komisjon juba eriotstarbeks kehtestanud käesolevas määruses sätestatutega sarnased kriteeriumid, kuid väärtpaberistamise määrusega luuakse üldine ja sektoritevaheline kord. Kapitalin</w:t>
      </w:r>
      <w:r>
        <w:rPr>
          <w:noProof/>
        </w:rPr>
        <w:t>õuete määruse läbivaatamine ja Solventsus II delegeeritud akti edaspidine muutmine pakub standardväärtpaberistamisse investeerivatele pankadele ja kindlustusandjatele riskitundlikumat usaldatavusnõuete käsitlust. Likviidsuskattekordaja delegeeritud akti on</w:t>
      </w:r>
      <w:r>
        <w:rPr>
          <w:noProof/>
        </w:rPr>
        <w:t xml:space="preserve"> ka kavas muuta, et viidata käesolevale õigustloovale aktile ja eriti standardväärtpaberistamise kriteeriumidele. Muudetavas delegeeritud aktis täpsustatakse ka konkreetsed väärtpaberistamise likviidsuse näitajatega seotud kriteeriumid.</w:t>
      </w:r>
    </w:p>
    <w:p w:rsidR="003563AD" w:rsidRDefault="00251882">
      <w:pPr>
        <w:spacing w:before="0" w:after="200"/>
        <w:contextualSpacing/>
        <w:jc w:val="left"/>
        <w:rPr>
          <w:b/>
          <w:noProof/>
          <w:szCs w:val="24"/>
        </w:rPr>
      </w:pPr>
      <w:r>
        <w:rPr>
          <w:b/>
          <w:noProof/>
        </w:rPr>
        <w:t>Mõisted (artikkel 2</w:t>
      </w:r>
      <w:r>
        <w:rPr>
          <w:b/>
          <w:noProof/>
        </w:rPr>
        <w:t>)</w:t>
      </w:r>
    </w:p>
    <w:p w:rsidR="003563AD" w:rsidRDefault="003563AD">
      <w:pPr>
        <w:rPr>
          <w:noProof/>
          <w:szCs w:val="24"/>
        </w:rPr>
      </w:pPr>
    </w:p>
    <w:p w:rsidR="003563AD" w:rsidRDefault="00251882">
      <w:pPr>
        <w:rPr>
          <w:noProof/>
          <w:szCs w:val="24"/>
        </w:rPr>
      </w:pPr>
      <w:r>
        <w:rPr>
          <w:noProof/>
        </w:rPr>
        <w:t>Käesoleva ettepaneku mõisted on suures osas võetud üle kapitalinõuete määrusest ja nendega tagatakse samade mõistete kohaldamine kõikides finantssektorites, sealhulgas kapitalinõuete määrusega reguleerimata sektorites.</w:t>
      </w:r>
    </w:p>
    <w:p w:rsidR="003563AD" w:rsidRDefault="00251882">
      <w:pPr>
        <w:spacing w:before="0" w:after="200"/>
        <w:contextualSpacing/>
        <w:jc w:val="left"/>
        <w:rPr>
          <w:b/>
          <w:noProof/>
          <w:szCs w:val="24"/>
        </w:rPr>
      </w:pPr>
      <w:r>
        <w:rPr>
          <w:b/>
          <w:noProof/>
        </w:rPr>
        <w:t xml:space="preserve">Hoolsuskohustuse nõuded </w:t>
      </w:r>
      <w:r>
        <w:rPr>
          <w:b/>
          <w:noProof/>
        </w:rPr>
        <w:t>investoritele (artikkel 3)</w:t>
      </w:r>
    </w:p>
    <w:p w:rsidR="003563AD" w:rsidRDefault="003563AD">
      <w:pPr>
        <w:spacing w:before="0" w:after="200"/>
        <w:contextualSpacing/>
        <w:jc w:val="left"/>
        <w:rPr>
          <w:b/>
          <w:noProof/>
          <w:szCs w:val="24"/>
        </w:rPr>
      </w:pPr>
    </w:p>
    <w:p w:rsidR="003563AD" w:rsidRDefault="00251882">
      <w:pPr>
        <w:rPr>
          <w:noProof/>
          <w:szCs w:val="24"/>
        </w:rPr>
      </w:pPr>
      <w:r>
        <w:rPr>
          <w:noProof/>
        </w:rPr>
        <w:t>Kuna väärtpaberistamised ei ole alati kõige lihtsamad ja läbipaistvamad finantstooted ja nendega võivad kaasneda muude finantsinstrumentidega võrreldes kõrgemad riskid, on institutsionaalsete investorite suhtes kehtestatud hools</w:t>
      </w:r>
      <w:r>
        <w:rPr>
          <w:noProof/>
        </w:rPr>
        <w:t>uskohustuse nõuded.</w:t>
      </w:r>
    </w:p>
    <w:p w:rsidR="003563AD" w:rsidRDefault="00251882">
      <w:pPr>
        <w:rPr>
          <w:noProof/>
          <w:szCs w:val="24"/>
        </w:rPr>
      </w:pPr>
      <w:r>
        <w:rPr>
          <w:noProof/>
        </w:rPr>
        <w:t>Olemasolevad normid on kehtestatud kapitalinõuete määruses, Solventsus II delegeeritud aktis ning komisjoni delegeeritud määruses 231/2013 (alternatiivsete investeerimisfondide valitsejate määrus). Need normid tühistatakse ja asendataks</w:t>
      </w:r>
      <w:r>
        <w:rPr>
          <w:noProof/>
        </w:rPr>
        <w:t>e ühtse artikliga, mis näeb ette identsed ja ühtlustatud hoolsuskohustuse nõuded kõikidele ELis või ELi kaudu tegutsevate reguleeritud institutsionaalsete investorite liikidele. Eurofondide suhtes ei ole siiani kehtestatud hoolsuskohustuse nõudeid: komisjo</w:t>
      </w:r>
      <w:r>
        <w:rPr>
          <w:noProof/>
        </w:rPr>
        <w:t>nil on siiski volitused need nõuded vastu võtta (eurofondide direktiivi artikkel 50a). Ta ei ole seda veel teinud, sest eurofondid on kavas käesoleva algatusega hõlmata. Sellepärast kehtestatakse ettepanekuga nõuded ka eurofondidele. Ettepanekus hõlmatakse</w:t>
      </w:r>
      <w:r>
        <w:rPr>
          <w:noProof/>
        </w:rPr>
        <w:t xml:space="preserve"> hoolsuskohustuse nõudega ka tööandjapensioni kogumisasutused. Nende suhtes ei ole seni veel nõudeid kehtestatud, kuid nõuete kehtestamine sobiks hästi ettepanekus võtta vastu direktiiv tööandjapensioni kogumisasutuste tegevuse ja järelevalve kohta sätesta</w:t>
      </w:r>
      <w:r>
        <w:rPr>
          <w:noProof/>
        </w:rPr>
        <w:t>tud eesmärgiga parandada tööandjapensioni kogumisasutuste riskijuhtimist ja eesmärgiga luua institutsionaalsetele investoritele ühtlustatud raamistik.</w:t>
      </w:r>
    </w:p>
    <w:p w:rsidR="003563AD" w:rsidRDefault="00251882">
      <w:pPr>
        <w:rPr>
          <w:noProof/>
          <w:szCs w:val="24"/>
        </w:rPr>
      </w:pPr>
      <w:r>
        <w:rPr>
          <w:noProof/>
        </w:rPr>
        <w:t>Standardväärtpaberistamise korral peaksid investorid täitma hoolsuskohustuse seoses standardväärtpaberist</w:t>
      </w:r>
      <w:r>
        <w:rPr>
          <w:noProof/>
        </w:rPr>
        <w:t>amise nõuetega. Kuna standardväärtpaberistamise nõuded ei ole väärtpaberistamise riski tunnuste näitajad, vastutavad investorid väärtpaberistamispositsioonist tuleneva riskipositsiooniga kaasnevate riskide hindamise eest ja selle eest, kas väärtpaberistami</w:t>
      </w:r>
      <w:r>
        <w:rPr>
          <w:noProof/>
        </w:rPr>
        <w:t>ne on investori vajaduste jaoks sobiv ja asjakohane.</w:t>
      </w:r>
    </w:p>
    <w:p w:rsidR="003563AD" w:rsidRDefault="00251882">
      <w:pPr>
        <w:spacing w:before="0" w:after="200"/>
        <w:contextualSpacing/>
        <w:jc w:val="left"/>
        <w:rPr>
          <w:b/>
          <w:noProof/>
          <w:szCs w:val="24"/>
        </w:rPr>
      </w:pPr>
      <w:r>
        <w:rPr>
          <w:b/>
          <w:noProof/>
        </w:rPr>
        <w:t>Riski säilitamine (artikkel 4)</w:t>
      </w:r>
    </w:p>
    <w:p w:rsidR="003563AD" w:rsidRDefault="003563AD">
      <w:pPr>
        <w:rPr>
          <w:noProof/>
          <w:szCs w:val="24"/>
        </w:rPr>
      </w:pPr>
    </w:p>
    <w:p w:rsidR="003563AD" w:rsidRDefault="00251882">
      <w:pPr>
        <w:rPr>
          <w:noProof/>
          <w:szCs w:val="24"/>
        </w:rPr>
      </w:pPr>
      <w:r>
        <w:rPr>
          <w:noProof/>
        </w:rPr>
        <w:t>Riski säilitamine väärtpaberistamistehingu algatajate, sponsorite või esialgsete laenuandjate poolt tagab nende ja investorite vahelise huvi ühitamise.</w:t>
      </w:r>
    </w:p>
    <w:p w:rsidR="003563AD" w:rsidRDefault="00251882">
      <w:pPr>
        <w:rPr>
          <w:noProof/>
          <w:szCs w:val="24"/>
        </w:rPr>
      </w:pPr>
      <w:r>
        <w:rPr>
          <w:noProof/>
        </w:rPr>
        <w:t>Olemasolevate sekto</w:t>
      </w:r>
      <w:r>
        <w:rPr>
          <w:noProof/>
        </w:rPr>
        <w:t>rispetsiifiliste määrustega (kapitalinõuete määrus, Solventsus II direktiiv ja alternatiivsete investeerimisfondide valitsejate määrus) on juba kehtestatud riski säilitamise nõuded, kuid seda on tehtud nn kaudse lähenemisviisiga: sellised nõuded ei kehti o</w:t>
      </w:r>
      <w:r>
        <w:rPr>
          <w:noProof/>
        </w:rPr>
        <w:t>tse väärtpaberistamistehingu algatajate, sponsorite või esialgsete laenuandjate suhtes, kuid investor peaks kontrollima, kas tehingu algataja, sponsor või esialgne laenuandja on riski säilitanud. See paneb koormuse investorile, kellel puudub otsejuurdepääs</w:t>
      </w:r>
      <w:r>
        <w:rPr>
          <w:noProof/>
        </w:rPr>
        <w:t xml:space="preserve"> selliseks kontrolliks vajalikule teabele.</w:t>
      </w:r>
    </w:p>
    <w:p w:rsidR="003563AD" w:rsidRDefault="00251882">
      <w:pPr>
        <w:rPr>
          <w:noProof/>
          <w:szCs w:val="24"/>
        </w:rPr>
      </w:pPr>
      <w:r>
        <w:rPr>
          <w:noProof/>
        </w:rPr>
        <w:t>Sellepärast kehtestatakse käesoleva ettepanekuga tehingu algatajale, sponsorile ja esialgsele laenuandjale otsene riski säilitamise nõue ja aruandluskohustus. Investorid saavad seega lihtsamalt kontrollida, kas ne</w:t>
      </w:r>
      <w:r>
        <w:rPr>
          <w:noProof/>
        </w:rPr>
        <w:t>ed üksused on riski säilitanud. Nende väärtpaberistamiste puhul, kus tehingu algataja, sponsor või esialgne laenuandja on asutatud väljaspool ELi, kohaldatakse endiselt täies ulatuses kaudset lähenemisviisi. Olemasolev lähenemisviis tagab kogu maailmas võr</w:t>
      </w:r>
      <w:r>
        <w:rPr>
          <w:noProof/>
        </w:rPr>
        <w:t>dsed tingimused. Kooskõlas kehtivate ELi õigusaktidega tuleks ette näha teatavad erandid olukordadeks, kus väärtpaberistatud positsioonidele on täielikult, tingimusteta ja pöördumatult andnud tagatise eelkõige ametiasutused. Kui avalikest vahenditest on ta</w:t>
      </w:r>
      <w:r>
        <w:rPr>
          <w:noProof/>
        </w:rPr>
        <w:t>gatise vormis või muul kujul antud toetust, kohaldatakse käesoleva määruse sätete suhtes riigiabi eeskirju.</w:t>
      </w:r>
    </w:p>
    <w:p w:rsidR="003563AD" w:rsidRDefault="00251882">
      <w:pPr>
        <w:rPr>
          <w:noProof/>
        </w:rPr>
      </w:pPr>
      <w:r>
        <w:rPr>
          <w:noProof/>
        </w:rPr>
        <w:t xml:space="preserve">Käesolevas ettepanekus arvestatakse ka Euroopa Pangandusjärelevalve soovitust täita riski säilitamise korra rakendamises võimalik lünk, mille kaudu </w:t>
      </w:r>
      <w:r>
        <w:rPr>
          <w:noProof/>
        </w:rPr>
        <w:t>võiks nõuetest kõrvale hoiduda väärtpaberistamistehingu algataja definitsiooni laia tõlgendamisega. Lünga täitmiseks on täpsustatud, et artikli 4 tähenduses ei saa pidada väärtpaberistamistehingu algatajaks üksust, mis on loodud sihtotstarbelise riiuliette</w:t>
      </w:r>
      <w:r>
        <w:rPr>
          <w:noProof/>
        </w:rPr>
        <w:t>võtjana, mille ainus eesmärk on positsioone väärtpaberistada ja millel puudub laiem ärieesmärk. Näiteks peab majandushuvi säilitaval üksusel olema suutlikkus täita maksekohustused väärtpaberistatavate positsioonidega sidumata allikatest.</w:t>
      </w:r>
    </w:p>
    <w:p w:rsidR="003563AD" w:rsidRDefault="00251882">
      <w:pPr>
        <w:spacing w:before="0" w:after="200"/>
        <w:contextualSpacing/>
        <w:jc w:val="left"/>
        <w:rPr>
          <w:b/>
          <w:noProof/>
          <w:szCs w:val="24"/>
        </w:rPr>
      </w:pPr>
      <w:r>
        <w:rPr>
          <w:b/>
          <w:noProof/>
        </w:rPr>
        <w:t>Läbipaistvusnõuded</w:t>
      </w:r>
      <w:r>
        <w:rPr>
          <w:b/>
          <w:noProof/>
        </w:rPr>
        <w:t xml:space="preserve"> (artikkel 5)</w:t>
      </w:r>
    </w:p>
    <w:p w:rsidR="003563AD" w:rsidRDefault="003563AD">
      <w:pPr>
        <w:spacing w:before="0" w:after="0"/>
        <w:rPr>
          <w:noProof/>
          <w:szCs w:val="24"/>
        </w:rPr>
      </w:pPr>
    </w:p>
    <w:p w:rsidR="003563AD" w:rsidRDefault="00251882">
      <w:pPr>
        <w:spacing w:before="0" w:after="0"/>
        <w:rPr>
          <w:noProof/>
          <w:szCs w:val="24"/>
        </w:rPr>
      </w:pPr>
      <w:r>
        <w:rPr>
          <w:noProof/>
        </w:rPr>
        <w:t>Väärtpaberistamise ja aluspositsioonide läbipaistvusnõuded võimaldavad investoritel väärtpaberistamisi mõista, hinnata ja võrrelda ning mitte toetuda üksnes kolmandatele isikutele, nagu reitinguagentuurid. Need võimaldavad investoritel tegut</w:t>
      </w:r>
      <w:r>
        <w:rPr>
          <w:noProof/>
        </w:rPr>
        <w:t>seda usaldusväärselt ja täita hoolsuskohustust.</w:t>
      </w:r>
    </w:p>
    <w:p w:rsidR="003563AD" w:rsidRDefault="003563AD">
      <w:pPr>
        <w:spacing w:before="0" w:after="0"/>
        <w:rPr>
          <w:noProof/>
          <w:szCs w:val="24"/>
        </w:rPr>
      </w:pPr>
    </w:p>
    <w:p w:rsidR="003563AD" w:rsidRDefault="00251882">
      <w:pPr>
        <w:spacing w:before="0" w:after="0"/>
        <w:rPr>
          <w:noProof/>
          <w:szCs w:val="24"/>
        </w:rPr>
      </w:pPr>
      <w:r>
        <w:rPr>
          <w:noProof/>
        </w:rPr>
        <w:t>Käesoleva ettepanekuga tagatakse, et investorite käsutuses oleks kogu asjakohane teave väärtpaberistamiste kohta. Sellega on kaetud väärtpaberistamise kõik liigid ja seda kohaldatakse eri sektorites. Selleks</w:t>
      </w:r>
      <w:r>
        <w:rPr>
          <w:noProof/>
        </w:rPr>
        <w:t xml:space="preserve"> et lihtsustada nii teabe kasutamist investorite poolt kui ka avalikustamist tehingu algatajate, sponsorite ja eriotstarbeliste väärtpaberistamisüksuste poolt, võetakse ettepanekuga üle kehtiv õigustik, sealhulgas standardsed avalikustamisvormid. Kuna viim</w:t>
      </w:r>
      <w:r>
        <w:rPr>
          <w:noProof/>
        </w:rPr>
        <w:t>ased ei hõlma praegu kõiki väärtpaberistamise segmente, on tarvis välja töötada täiendavad vormid (näiteks varaga tagatud kommertsväärtpaberid). Seda tehes tuleb leida õige tasakaal avalikustamisnõuete üksikasjalikkuse taseme ja proportsionaalsuse vahel.</w:t>
      </w:r>
    </w:p>
    <w:p w:rsidR="003563AD" w:rsidRDefault="003563AD">
      <w:pPr>
        <w:spacing w:before="0" w:after="0"/>
        <w:rPr>
          <w:noProof/>
          <w:szCs w:val="24"/>
        </w:rPr>
      </w:pPr>
    </w:p>
    <w:p w:rsidR="003563AD" w:rsidRDefault="00251882">
      <w:pPr>
        <w:spacing w:before="0" w:after="0"/>
        <w:rPr>
          <w:noProof/>
        </w:rPr>
      </w:pPr>
      <w:r>
        <w:rPr>
          <w:noProof/>
        </w:rPr>
        <w:t>Väärtpaberistamistehingu algatajad, sponsorid ja eriotstarbelised väärtpaberistamisüksused peaksid tegema investoritele teabe standardsete vormidega vabalt kättesaadavaks veebisaidil, mis vastab teatavatele kriteeriumidele, nagu andmekvaliteedi kontroll ja</w:t>
      </w:r>
      <w:r>
        <w:rPr>
          <w:noProof/>
        </w:rPr>
        <w:t xml:space="preserve"> talitluspidevus. Praktikas võimaldaks see asjaomase teabe esitamist teabehoidlasse nagu näiteks „European Datawarehouse”, kuhu on juba kogutud palju sellist liiki teavet eurosüsteemi refinantseerimisoperatsioonide aktsepteeritavuse kohta. Teavet esitataks</w:t>
      </w:r>
      <w:r>
        <w:rPr>
          <w:noProof/>
        </w:rPr>
        <w:t>e standardvormidega, mida võiks kasutada ka teabe esitamiseks käesoleva määruse kohaselt ja seda võiks esitada reitinguagentuuride määruse artikli 8b kohasel struktureeritud finantsinstrumente käsitleval veebisaidil, kui see valmib. Igal juhul on pädevatel</w:t>
      </w:r>
      <w:r>
        <w:rPr>
          <w:noProof/>
        </w:rPr>
        <w:t xml:space="preserve"> asutustel vastutus tagada, et investoritele esitataks nõuetekohaselt teavet ja et veebisait vastaks nõutud tunnustele. Euroopa Väärtpaberiturujärelevalve peaks tihedas koostöös Euroopa Pangandusjärelevalve ja Euroopa Kindlustus- ja Tööandjapensionide Järe</w:t>
      </w:r>
      <w:r>
        <w:rPr>
          <w:noProof/>
        </w:rPr>
        <w:t>levalvega täpsustama regulatiivsete tehniliste standardite eelnõus nõuded, mida esitatakse veebisaidile, kus teave tehakse väärtpaberistamispositsioonide omanikele kättesaadavaks. Eelkõige kaetakse nende nõuetega haldusstruktuur, sealhulgas veebisaidi sõlt</w:t>
      </w:r>
      <w:r>
        <w:rPr>
          <w:noProof/>
        </w:rPr>
        <w:t>umatus, juurdepääsutingimused, hea toimivuse, kindla töökorralduse ja usaldusväärsuse tagamise sisenõuded ja menetlused teabe kvaliteedi ja täpsuse tagamiseks.</w:t>
      </w:r>
    </w:p>
    <w:p w:rsidR="003563AD" w:rsidRDefault="003563AD">
      <w:pPr>
        <w:spacing w:before="0" w:after="0"/>
        <w:rPr>
          <w:noProof/>
          <w:szCs w:val="24"/>
        </w:rPr>
      </w:pPr>
    </w:p>
    <w:p w:rsidR="003563AD" w:rsidRDefault="00251882">
      <w:pPr>
        <w:spacing w:before="0" w:after="200"/>
        <w:contextualSpacing/>
        <w:jc w:val="left"/>
        <w:rPr>
          <w:b/>
          <w:noProof/>
          <w:szCs w:val="24"/>
        </w:rPr>
      </w:pPr>
      <w:r>
        <w:rPr>
          <w:b/>
          <w:noProof/>
        </w:rPr>
        <w:t>Standardväärtpaberistamine (artiklid 6–13)</w:t>
      </w:r>
    </w:p>
    <w:p w:rsidR="003563AD" w:rsidRDefault="003563AD">
      <w:pPr>
        <w:spacing w:before="0" w:after="200"/>
        <w:contextualSpacing/>
        <w:jc w:val="left"/>
        <w:rPr>
          <w:b/>
          <w:noProof/>
          <w:szCs w:val="24"/>
        </w:rPr>
      </w:pPr>
    </w:p>
    <w:p w:rsidR="003563AD" w:rsidRDefault="00251882">
      <w:pPr>
        <w:spacing w:before="0" w:after="200"/>
        <w:rPr>
          <w:b/>
          <w:noProof/>
          <w:szCs w:val="24"/>
        </w:rPr>
      </w:pPr>
      <w:r>
        <w:rPr>
          <w:noProof/>
        </w:rPr>
        <w:t xml:space="preserve">Artiklid 6–13 hõlmavad </w:t>
      </w:r>
      <w:r>
        <w:rPr>
          <w:b/>
          <w:noProof/>
        </w:rPr>
        <w:t>standardväärtpaberistamise</w:t>
      </w:r>
      <w:r>
        <w:rPr>
          <w:noProof/>
        </w:rPr>
        <w:t xml:space="preserve"> n</w:t>
      </w:r>
      <w:r>
        <w:rPr>
          <w:noProof/>
        </w:rPr>
        <w:t>õudeid.</w:t>
      </w:r>
    </w:p>
    <w:p w:rsidR="003563AD" w:rsidRDefault="00251882">
      <w:pPr>
        <w:spacing w:before="0" w:after="200"/>
        <w:rPr>
          <w:noProof/>
          <w:szCs w:val="24"/>
        </w:rPr>
      </w:pPr>
      <w:r>
        <w:rPr>
          <w:noProof/>
        </w:rPr>
        <w:t>Standardväärtpaberistamine ei tähenda seda, et väärtpaberistamine oleks riskivaba, vaid seda, et toode vastab mitmetele kriteeriumitele ning ettevaatlik ja hoolas investor saab analüüsida kaasnevat riski.</w:t>
      </w:r>
    </w:p>
    <w:p w:rsidR="003563AD" w:rsidRDefault="00251882">
      <w:pPr>
        <w:spacing w:before="0" w:after="200"/>
        <w:rPr>
          <w:noProof/>
          <w:szCs w:val="24"/>
        </w:rPr>
      </w:pPr>
      <w:r>
        <w:rPr>
          <w:noProof/>
        </w:rPr>
        <w:t xml:space="preserve">Standardväärtpaberistamise nõudeid on kaht </w:t>
      </w:r>
      <w:r>
        <w:rPr>
          <w:noProof/>
        </w:rPr>
        <w:t>liiki: ühed on suunatud pikaajalistele väärtpaberistamistele ja teised lühiajalistele väärtpaberistamistele (varaga tagatud kommertsväärtpaberid). Suures osas on nõuded siiski sarnased. Nõuete väljatöötamisel võetakse aluseks likviidsuskattekordajat ja Sol</w:t>
      </w:r>
      <w:r>
        <w:rPr>
          <w:noProof/>
        </w:rPr>
        <w:t>ventsus II käsitlevates delegeeritud õigusaktides sätestatud kehtivad nõuded, EBA nõuanded ning BCBS-IOSCO standardid. Nõudeid kohaldatakse kõigi finantssektorite suhtes.</w:t>
      </w:r>
    </w:p>
    <w:p w:rsidR="003563AD" w:rsidRDefault="00251882">
      <w:pPr>
        <w:rPr>
          <w:noProof/>
          <w:szCs w:val="24"/>
        </w:rPr>
      </w:pPr>
      <w:r>
        <w:rPr>
          <w:noProof/>
          <w:color w:val="000000"/>
        </w:rPr>
        <w:t>Ettepanek võimaldab standardväärtpaberistamiseks saada üksnes tegeliku müügiga seotud</w:t>
      </w:r>
      <w:r>
        <w:rPr>
          <w:noProof/>
          <w:color w:val="000000"/>
        </w:rPr>
        <w:t xml:space="preserve"> väärtpaberistamisel. Tegeliku müügiga väärtpaberistamise puhul kantakse aluspositsioonide omandiõigus üle eriotstarbelisele väärtpaberistamisüksusele või loovutatakse talle see tegelikult. Sünteetiliste väärtpaberistamiste puhul ei kanta sellisele üksusel</w:t>
      </w:r>
      <w:r>
        <w:rPr>
          <w:noProof/>
          <w:color w:val="000000"/>
        </w:rPr>
        <w:t>e üle aluspositsioone, vaid aluspositsioonidega seotud krediidirisk kantakse üle garantii või tuletislepinguga. See tekitab täiendavat vastaspoole krediidiriski ning keerukus võib suureneda eelkõige seoses lepingu sisuga. Siiani ei ole ei rahvusvahelisel (</w:t>
      </w:r>
      <w:r>
        <w:rPr>
          <w:noProof/>
          <w:color w:val="000000"/>
        </w:rPr>
        <w:t>BCBS-IOSCO) ega ka Euroopa tasandil (EBA) töötatud välja standardväärtpaberistamise kriteeriume sünteetilise väärtpaberistamise puhul. Seega ei ole praegu täit selgust selle kohta, milliseid sünteetilisi väärtpaberistamisi tuleks pidada standardväärtpaberi</w:t>
      </w:r>
      <w:r>
        <w:rPr>
          <w:noProof/>
          <w:color w:val="000000"/>
        </w:rPr>
        <w:t xml:space="preserve">stamiseks ning millistel tingimustel. Komisjon kaalub veel seda küsimust ning jälgib rahvusvaheliste ja Euroopa asutuste sellekohast tööd. Komisjon hindab, kas mõned sünteetilised väärtpaberistamised, millel on finantskriisi ajal läinud hästi, ning mis on </w:t>
      </w:r>
      <w:r>
        <w:rPr>
          <w:noProof/>
          <w:color w:val="000000"/>
        </w:rPr>
        <w:t xml:space="preserve">lihtsad, läbipaistvad ja standarditud, peaksid suutma täita standardväärtpaberistamise nõudeid. Tulevikus võiks komisjonil olla poliitiliste ettepanekute koostamisel kasu eriti EBA panusest. </w:t>
      </w:r>
      <w:r>
        <w:rPr>
          <w:noProof/>
        </w:rPr>
        <w:t>Ühele VKEde tehingute erikategooriale, mida tehakse ametiasutuste</w:t>
      </w:r>
      <w:r>
        <w:rPr>
          <w:noProof/>
        </w:rPr>
        <w:t xml:space="preserve"> või riiklike tagatisskeemidega koos (st „seeriapõhine tagamine tehakse siiski erand ja teatavatel tingimustel kehtestatakse kapitalinõuete määruse kohane standardväärtpaberistamise usaldatavusnõuete käsitlus.</w:t>
      </w:r>
    </w:p>
    <w:p w:rsidR="003563AD" w:rsidRDefault="00251882">
      <w:pPr>
        <w:rPr>
          <w:b/>
          <w:iCs/>
          <w:noProof/>
          <w:color w:val="000000"/>
        </w:rPr>
      </w:pPr>
      <w:r>
        <w:rPr>
          <w:b/>
          <w:noProof/>
        </w:rPr>
        <w:t>Standardväärtpaberistamise teade ja selle aval</w:t>
      </w:r>
      <w:r>
        <w:rPr>
          <w:b/>
          <w:noProof/>
        </w:rPr>
        <w:t>ikustamine (artikkel 14)</w:t>
      </w:r>
    </w:p>
    <w:p w:rsidR="003563AD" w:rsidRDefault="00251882">
      <w:pPr>
        <w:spacing w:before="0" w:after="200"/>
        <w:rPr>
          <w:noProof/>
          <w:szCs w:val="24"/>
        </w:rPr>
      </w:pPr>
      <w:r>
        <w:rPr>
          <w:noProof/>
        </w:rPr>
        <w:t>Väärtpaberistamistehingu algatajad, sponsorid ja eriotstarbelised väärtpaberistamisüksused peaksid ühiselt vastutama standardväärtpaberistamise nõuete täitmise ning ESMA teavitamise eest, kes avaldab selle oma veebisaidil. See taga</w:t>
      </w:r>
      <w:r>
        <w:rPr>
          <w:noProof/>
        </w:rPr>
        <w:t>b, et väärtpaberistamistehingu algatajad, sponsorid ja eriotstarbelised väärtpaberistamisüksused võtavad vastutuse oma väite eest, et väärtpaberistamine on lihtne, läbipaistev ja standarditud ning et turul valitseb läbipaistvus. Väärtpaberistamistehingu al</w:t>
      </w:r>
      <w:r>
        <w:rPr>
          <w:noProof/>
        </w:rPr>
        <w:t>gatajad ja sponsorid vastutavad ebaõigest või eksitavast teatest tuleneva mis tahes kahju eest siseriikliku õigusega ette nähtud tingimustel. Investorid peavad siiski täitma hoolsuskohustust, kuid võivad asjakohasel määral tugineda standardväärtpaberistami</w:t>
      </w:r>
      <w:r>
        <w:rPr>
          <w:noProof/>
        </w:rPr>
        <w:t>se teatele ning väärtpaberistamistehingu algataja, sponsori ja eriotstarbelise väärtpaberistamisüksuse avaldatud teabele standardväärtpaberistamise nõuete täitmise kohta. Menetluse hõlbustamiseks investorite, väärtpaberistamistehingu algatajate, sponsorite</w:t>
      </w:r>
      <w:r>
        <w:rPr>
          <w:noProof/>
        </w:rPr>
        <w:t xml:space="preserve"> ja eriotstarbeliste väärtpaberistamisüksuste jaoks, töötavad Euroopa järelevalveasutused standardväärtpaberistamise hindamiseks välja vastava vormi.</w:t>
      </w:r>
    </w:p>
    <w:p w:rsidR="003563AD" w:rsidRDefault="00251882">
      <w:pPr>
        <w:spacing w:before="0" w:after="200"/>
        <w:contextualSpacing/>
        <w:jc w:val="left"/>
        <w:rPr>
          <w:b/>
          <w:noProof/>
          <w:szCs w:val="24"/>
        </w:rPr>
      </w:pPr>
      <w:r>
        <w:rPr>
          <w:b/>
          <w:noProof/>
        </w:rPr>
        <w:t>Järelevalve (artiklid 15-22)</w:t>
      </w:r>
    </w:p>
    <w:p w:rsidR="003563AD" w:rsidRDefault="00251882">
      <w:pPr>
        <w:spacing w:before="0" w:after="200"/>
        <w:rPr>
          <w:noProof/>
          <w:szCs w:val="24"/>
        </w:rPr>
      </w:pPr>
      <w:r>
        <w:rPr>
          <w:noProof/>
        </w:rPr>
        <w:t>Finantsstabiilsuse kaitsmiseks, investorite usalduse tagamiseks ja likviidsus</w:t>
      </w:r>
      <w:r>
        <w:rPr>
          <w:noProof/>
        </w:rPr>
        <w:t>e edendamiseks on hädavajalik väärtpaberistamise turgude nõuetekohane ja tõhus järelevalve. Selle eesmärgi saavutamiseks nõutakse ettepanekus liikmesriikidelt pädevate ametiasutuste määramist kooskõlas finantsteenuste valdkonna kehtivate ELi õigusaktidega.</w:t>
      </w:r>
      <w:r>
        <w:rPr>
          <w:noProof/>
        </w:rPr>
        <w:t xml:space="preserve"> Kehtivate ELi õigusaktide sätetega on ette nähtud, et hoolsuskohustust käsitlevas artiklis sätestatud nõuete täitmise üle järelevalve teostamiseks peaksid liikmesriigid määrama asjaomase institutsionaalse investori pädeva asutuse. Järelevalveasutusel peak</w:t>
      </w:r>
      <w:r>
        <w:rPr>
          <w:noProof/>
        </w:rPr>
        <w:t>sid olema volitused, mis talle on antud finantsteenuseid käsitlevate asjaomaste õigusaktidega. Ettepaneku artiklitega 4–14 ettenähtud järelevalve teostamiseks ja juhul kui asjaosaliste suhtes kohaldatakse ELi finantsteenuste õigusakte, peaksid pädeva asutu</w:t>
      </w:r>
      <w:r>
        <w:rPr>
          <w:noProof/>
        </w:rPr>
        <w:t>se asjaomase reguleeritud ettevõtja puhul määrama liikmesriigid. Kui näiteks asjaomane ettevõtja on krediidiasutus, peaksid liikmesriigid määrama asjaomase pangandusjärelevalveasutuse. Juhul kui krediitiasutuse puhul on määruse (EL) nr 1024/2013 alusel teg</w:t>
      </w:r>
      <w:r>
        <w:rPr>
          <w:noProof/>
        </w:rPr>
        <w:t>emist olulise krediidiasutusega, tuleks määrata ühtne järelevalvemehhanism. Kui asjaosaline ei ole ELi finantsteenuste õigusaktide kohaselt reguleeritud ettevõtja, näiteks eriotstarbeline väärtpaberistamisüksus, siis võivad liikmesriigid otsustada, milline</w:t>
      </w:r>
      <w:r>
        <w:rPr>
          <w:noProof/>
        </w:rPr>
        <w:t xml:space="preserve"> asutus peaks olema pädev asutus. Sellisel moel vastab käesoleva ettepanekuga ettenähtud järelevalvekord võimalikult suurel määral kehtivale korrale. ELi õigusega hetkel reguleerimata ettevõtjate puhul peavad liikmesriigid määrama ühe või mitu pädevat asut</w:t>
      </w:r>
      <w:r>
        <w:rPr>
          <w:noProof/>
        </w:rPr>
        <w:t>ust.</w:t>
      </w:r>
    </w:p>
    <w:p w:rsidR="003563AD" w:rsidRDefault="00251882">
      <w:pPr>
        <w:spacing w:before="0" w:after="200"/>
        <w:rPr>
          <w:noProof/>
          <w:szCs w:val="24"/>
        </w:rPr>
      </w:pPr>
      <w:r>
        <w:rPr>
          <w:noProof/>
        </w:rPr>
        <w:t>Liikmesriigid peaksid pädevatele asutustele andma ELi finantsteenuste õigusaktidega tavapäraselt ettenähtud järelevalve- ja uurimis- ja karistuste määramise volitused.</w:t>
      </w:r>
    </w:p>
    <w:p w:rsidR="003563AD" w:rsidRDefault="00251882">
      <w:pPr>
        <w:spacing w:before="0" w:after="200"/>
        <w:rPr>
          <w:noProof/>
          <w:szCs w:val="24"/>
        </w:rPr>
      </w:pPr>
      <w:r>
        <w:rPr>
          <w:noProof/>
        </w:rPr>
        <w:t>Väärtpaberistamise turu piiriülest olemust arvestades on hädavajalik pädevate asutu</w:t>
      </w:r>
      <w:r>
        <w:rPr>
          <w:noProof/>
        </w:rPr>
        <w:t>ste ja Euroopa järelevalveasutuste vaheline koostöö. Teabevahetus, järelevalvetegevuse ja uurimise vallas tehtav koostöö ning otsuste langetamise koordineerimine on põhinõuded.</w:t>
      </w:r>
    </w:p>
    <w:p w:rsidR="003563AD" w:rsidRDefault="00251882">
      <w:pPr>
        <w:spacing w:before="0" w:after="200"/>
        <w:rPr>
          <w:noProof/>
        </w:rPr>
      </w:pPr>
      <w:r>
        <w:rPr>
          <w:noProof/>
        </w:rPr>
        <w:t>Selleks et pädevad asutused tõlgendaksid ja mõistaksid standardväärtpaberistami</w:t>
      </w:r>
      <w:r>
        <w:rPr>
          <w:noProof/>
        </w:rPr>
        <w:t>se nõudeid ühetaoliselt, peaksid EBA, ESMA ja EIOPA koordineerima pädevate asutuste tööd finantssektorite lõikes ning käsitlema praktilisi küsimusi, mis võivad tekkida seoses standardväärtpaberistamistega. Eelkõige võivad nad koordineerida oma tööd Euroopa</w:t>
      </w:r>
      <w:r>
        <w:rPr>
          <w:noProof/>
        </w:rPr>
        <w:t xml:space="preserve"> järelevalveasutuste ühiskomitee raames. Küsimuste ja vastuste süsteem peaks turuosalistel ja pädevatel asutustel hõlbustama käesoleva määruse rakendamist.</w:t>
      </w:r>
    </w:p>
    <w:p w:rsidR="003563AD" w:rsidRDefault="00251882">
      <w:pPr>
        <w:spacing w:before="0" w:after="200"/>
        <w:rPr>
          <w:noProof/>
          <w:szCs w:val="24"/>
        </w:rPr>
      </w:pPr>
      <w:r>
        <w:rPr>
          <w:noProof/>
        </w:rPr>
        <w:t>Pidades silmas seda, millist mõju avaldab standardväärtpaberistamise klassifitseerimine näiteks sell</w:t>
      </w:r>
      <w:r>
        <w:rPr>
          <w:noProof/>
        </w:rPr>
        <w:t>iste toodete kapitalikäsitlusele, on tarvis mõningaid erieeskirju. Näiteks võivad kahe eri liikmesriigi kaks kindlustusandjat investeerida samasse standardväärtpaberistamisse teisest liikmesriigist. Esimese kindlustusandja üle järelevalvet teostav pädev as</w:t>
      </w:r>
      <w:r>
        <w:rPr>
          <w:noProof/>
        </w:rPr>
        <w:t>utus võib järeldada, et väärtpaberistamise instrument ei vasta standardväärtpaberistamise nõuetele, samas kui teise kindlustusandja üle järelevalvet teostav pädev asutus võib jõuda järeldusele, et standardväärtpaberistamise nõuded on täidetud. Erinevate st</w:t>
      </w:r>
      <w:r>
        <w:rPr>
          <w:noProof/>
        </w:rPr>
        <w:t>rateegiate jätkuv kasutamine võib avaldada negatiivset mõju standardväärtpaberistamise strateegia usaldusväärsusele ja tuua kaasa õigusliku arbitraaži.</w:t>
      </w:r>
    </w:p>
    <w:p w:rsidR="003563AD" w:rsidRDefault="00251882">
      <w:pPr>
        <w:spacing w:before="0" w:after="200"/>
        <w:rPr>
          <w:noProof/>
          <w:szCs w:val="24"/>
        </w:rPr>
      </w:pPr>
      <w:r>
        <w:rPr>
          <w:noProof/>
        </w:rPr>
        <w:t>Seetõttu on standardväärtpaberistamise usaldusväärse strateegia tagamiseks kehtestatud ettepanekuga teat</w:t>
      </w:r>
      <w:r>
        <w:rPr>
          <w:noProof/>
        </w:rPr>
        <w:t>avad erieeskirjad. Kui pädeval asutusel on tõendeid selle kohta, et väärtpaberistamistehingu algatajad, sponsorid või eriotstarbelised väärtpaberistamisüksused on esitanud sisuliselt ebaõige või eksitava standardväärtpaberistamise teate, peaks ta viivitama</w:t>
      </w:r>
      <w:r>
        <w:rPr>
          <w:noProof/>
        </w:rPr>
        <w:t>ta teavitama ESMAt, EBAt või EIOPAt ning asjaomaste liikmesriikide pädevaid asutusi, et arutada oma tähelepanekuid. Kui kokkuleppele ei jõuta, tuleks ESMA määruse kohaselt kasutada siduvat vahendusmehhanismi.</w:t>
      </w:r>
    </w:p>
    <w:p w:rsidR="003563AD" w:rsidRDefault="00251882">
      <w:pPr>
        <w:spacing w:before="0" w:after="200"/>
        <w:contextualSpacing/>
        <w:jc w:val="left"/>
        <w:rPr>
          <w:b/>
          <w:noProof/>
          <w:szCs w:val="24"/>
        </w:rPr>
      </w:pPr>
      <w:r>
        <w:rPr>
          <w:b/>
          <w:noProof/>
        </w:rPr>
        <w:t>Muude õigusaktide muutmine (artiklid 23–27)</w:t>
      </w:r>
    </w:p>
    <w:p w:rsidR="003563AD" w:rsidRDefault="00251882">
      <w:pPr>
        <w:spacing w:before="0" w:after="200"/>
        <w:rPr>
          <w:noProof/>
          <w:szCs w:val="24"/>
        </w:rPr>
      </w:pPr>
      <w:r>
        <w:rPr>
          <w:noProof/>
        </w:rPr>
        <w:t>Art</w:t>
      </w:r>
      <w:r>
        <w:rPr>
          <w:noProof/>
        </w:rPr>
        <w:t xml:space="preserve">iklitega 24–27 muudetakse mitmeid artikleid muudes õigusaktides, eelkõige eurofondide direktiivis, Solventsus II direktiivis, reitinguagentuure käsitleva määruses, AIFide valitsejate direktiivis ja Euroopa turu infrastruktuuri määruses. Need muudatused on </w:t>
      </w:r>
      <w:r>
        <w:rPr>
          <w:noProof/>
        </w:rPr>
        <w:t>vajalikud, et võtta arvesse käesoleva ettepanekuga loodavat ühtset väärtpaberistamisraamistikku. Seepärast tuleb mitmed sätted tunnistada kehtetuks või neid muuta. Neid kohaldatakse seni, kuni tunnistatakse kehtetuks nimetatud direktiividel ja määrustel põ</w:t>
      </w:r>
      <w:r>
        <w:rPr>
          <w:noProof/>
        </w:rPr>
        <w:t>hinevad delegeeritud õigusaktid (delegeeritud õigusaktide asjaomased sätted). Eelkõige puudutab see komisjoni delegeeritud määruse (EL) nr 625/2014</w:t>
      </w:r>
      <w:r>
        <w:rPr>
          <w:rStyle w:val="FootnoteReference"/>
          <w:noProof/>
        </w:rPr>
        <w:footnoteReference w:id="18"/>
      </w:r>
      <w:r>
        <w:rPr>
          <w:noProof/>
        </w:rPr>
        <w:t xml:space="preserve"> sätteid, Solventsus II delegeeritud õigusakti artikleid 254–257, AIFi valitsejaid käsitleva määruse</w:t>
      </w:r>
      <w:r>
        <w:rPr>
          <w:rStyle w:val="FootnoteReference"/>
          <w:noProof/>
        </w:rPr>
        <w:footnoteReference w:id="19"/>
      </w:r>
      <w:r>
        <w:rPr>
          <w:noProof/>
        </w:rPr>
        <w:t xml:space="preserve"> artikl</w:t>
      </w:r>
      <w:r>
        <w:rPr>
          <w:noProof/>
        </w:rPr>
        <w:t>eid 50–56 ning komisjoni delegeeritud määruse (EL) nr 2015/3</w:t>
      </w:r>
      <w:r>
        <w:rPr>
          <w:rStyle w:val="FootnoteReference"/>
          <w:noProof/>
        </w:rPr>
        <w:footnoteReference w:id="20"/>
      </w:r>
      <w:r>
        <w:rPr>
          <w:noProof/>
        </w:rPr>
        <w:t xml:space="preserve"> sätteid. Komisjon kinnitab kõnealuste delegeeritud õigusaktide vajalikud muudatused vastuvõetud väärtpaberistamise määruse alusel.</w:t>
      </w:r>
    </w:p>
    <w:p w:rsidR="003563AD" w:rsidRDefault="00251882">
      <w:pPr>
        <w:spacing w:before="0" w:after="200"/>
        <w:rPr>
          <w:noProof/>
          <w:szCs w:val="24"/>
        </w:rPr>
      </w:pPr>
      <w:r>
        <w:rPr>
          <w:noProof/>
        </w:rPr>
        <w:t>Euroopa turu infrastruktuuri määruse muudatustega nähakse ette,</w:t>
      </w:r>
      <w:r>
        <w:rPr>
          <w:noProof/>
        </w:rPr>
        <w:t xml:space="preserve"> et pandikirja üksuste ja eriotstarbeliste väärtpaberistamisüksuste poolt sõlmitud börsiväliste tuletislepingute suhtes ei tohiks teatavate tingimuste täitmisel kohaldada kliiringukohustust. Erandi tegemine on põhjendatud asjaoluga, et börsiväliste tuletis</w:t>
      </w:r>
      <w:r>
        <w:rPr>
          <w:noProof/>
        </w:rPr>
        <w:t>lepingute vastaspooled on võlausaldajad, kellel on tagatis pandikirjade ja väärtpaberistamise korra alusel ning piisav kaitse vastaspoole krediidiriski vastu võib juba olla olemas. Sellisel juhul võiks keskse kliirimise kohustus seetõttu kaasa tuua riskima</w:t>
      </w:r>
      <w:r>
        <w:rPr>
          <w:noProof/>
        </w:rPr>
        <w:t xml:space="preserve">andamismeetmete tarbetu dubleerimise ja mõjutada vara struktuuri. Kõnealuste sätete eesmärk on võimaldada Euroopa järelevalveasutustel näha standardväärtpaberistamiste emitentide jaoks ette olukorrad ja tingimused, mis õigustavad erandite tegemist Euroopa </w:t>
      </w:r>
      <w:r>
        <w:rPr>
          <w:noProof/>
        </w:rPr>
        <w:t>turu infrastruktuuri määruses sätestatud kliiringu- ja võimendustagatise nõuete täitmisest.</w:t>
      </w:r>
    </w:p>
    <w:p w:rsidR="003563AD" w:rsidRDefault="00251882">
      <w:pPr>
        <w:rPr>
          <w:b/>
          <w:noProof/>
          <w:szCs w:val="24"/>
        </w:rPr>
      </w:pPr>
      <w:r>
        <w:rPr>
          <w:b/>
          <w:noProof/>
        </w:rPr>
        <w:t>Kolmandad riigid</w:t>
      </w:r>
    </w:p>
    <w:p w:rsidR="003563AD" w:rsidRDefault="00251882">
      <w:pPr>
        <w:spacing w:before="0" w:after="240"/>
        <w:rPr>
          <w:noProof/>
          <w:szCs w:val="24"/>
        </w:rPr>
      </w:pPr>
      <w:r>
        <w:rPr>
          <w:noProof/>
        </w:rPr>
        <w:t>Ettepanekuga nähakse põhimõtteliselt ette süsteem, mis on avatud kolmandate riikide väärtpaberistamistele. ELi institutsionaalsed investorid saavad</w:t>
      </w:r>
      <w:r>
        <w:rPr>
          <w:noProof/>
        </w:rPr>
        <w:t xml:space="preserve"> investeerida ELi-välisesse väärtpaberistamisse ja nad peavad täitma samasugust hoolsuskohustust nagu ELi väärtpaberistamise puhul, kontrollides, kas risk on säilitatud ning kas väärtpaberistamistehingu algataja, sponsor ja eriotstarbeline väärtpaberistami</w:t>
      </w:r>
      <w:r>
        <w:rPr>
          <w:noProof/>
        </w:rPr>
        <w:t>süksus teevad kättesaadavaks kogu asjakohase teabe. Lisaks võivad ka ELi-välised väärtpaberistamised vastata standardväärtpaberistamise nõuetele ning väärtpaberistamistehingu algataja, sponsor ja eriotstarbeline väärtpaberistamisüksus võivad samuti esitada</w:t>
      </w:r>
      <w:r>
        <w:rPr>
          <w:noProof/>
        </w:rPr>
        <w:t xml:space="preserve"> ESMA-le artikli 8 kohase standardväärtpaberistamise teate. Samuti ei nõuta, et aluspositsioonid peaksid asuma ELis.</w:t>
      </w:r>
    </w:p>
    <w:p w:rsidR="003563AD" w:rsidRDefault="003563AD">
      <w:pPr>
        <w:rPr>
          <w:noProof/>
        </w:rPr>
        <w:sectPr w:rsidR="003563AD">
          <w:footerReference w:type="default" r:id="rId11"/>
          <w:footerReference w:type="first" r:id="rId12"/>
          <w:pgSz w:w="11907" w:h="16839"/>
          <w:pgMar w:top="1134" w:right="1417" w:bottom="1134" w:left="1417" w:header="709" w:footer="709" w:gutter="0"/>
          <w:cols w:space="708"/>
          <w:docGrid w:linePitch="360"/>
        </w:sectPr>
      </w:pPr>
    </w:p>
    <w:p w:rsidR="003563AD" w:rsidRDefault="00251882">
      <w:pPr>
        <w:pStyle w:val="Rfrenceinterinstitutionnelle"/>
        <w:rPr>
          <w:noProof/>
        </w:rPr>
      </w:pPr>
      <w:r>
        <w:rPr>
          <w:noProof/>
        </w:rPr>
        <w:t>2015/0226 (COD)</w:t>
      </w:r>
    </w:p>
    <w:p w:rsidR="003563AD" w:rsidRDefault="00251882">
      <w:pPr>
        <w:pStyle w:val="Statut"/>
        <w:rPr>
          <w:noProof/>
        </w:rPr>
      </w:pPr>
      <w:r>
        <w:rPr>
          <w:noProof/>
        </w:rPr>
        <w:t>Ettepanek:</w:t>
      </w:r>
    </w:p>
    <w:p w:rsidR="003563AD" w:rsidRDefault="00251882">
      <w:pPr>
        <w:pStyle w:val="Typedudocument"/>
        <w:rPr>
          <w:noProof/>
        </w:rPr>
      </w:pPr>
      <w:r>
        <w:rPr>
          <w:noProof/>
        </w:rPr>
        <w:t>EUROOPA PA</w:t>
      </w:r>
      <w:r>
        <w:rPr>
          <w:noProof/>
        </w:rPr>
        <w:t>RLAMENDI JA NÕUKOGU MÄÄRUS</w:t>
      </w:r>
    </w:p>
    <w:p w:rsidR="003563AD" w:rsidRDefault="00251882">
      <w:pPr>
        <w:pStyle w:val="Titreobjet"/>
        <w:rPr>
          <w:noProof/>
        </w:rPr>
      </w:pPr>
      <w:r>
        <w:rPr>
          <w:noProof/>
        </w:rPr>
        <w:t>millega kehtestatakse ühised eeskirjad väärtpaberistamise kohta ning luuakse lihtsa, läbipaistva ja standarditud väärtpaberistamise Euroopa raamistik ning millega muudetakse direktiive 2009/65/EÜ, 2009/138/EÜ, 2011/61/EL ning mää</w:t>
      </w:r>
      <w:r>
        <w:rPr>
          <w:noProof/>
        </w:rPr>
        <w:t>rusi (EÜ) nr 1060/2009 ja (EL) nr 648/2012</w:t>
      </w:r>
    </w:p>
    <w:p w:rsidR="003563AD" w:rsidRDefault="00251882">
      <w:pPr>
        <w:pStyle w:val="IntrtEEE"/>
        <w:rPr>
          <w:noProof/>
        </w:rPr>
      </w:pPr>
      <w:r>
        <w:rPr>
          <w:noProof/>
        </w:rPr>
        <w:t>(EMPs kohaldatav tekst)</w:t>
      </w:r>
    </w:p>
    <w:p w:rsidR="003563AD" w:rsidRDefault="00251882">
      <w:pPr>
        <w:pStyle w:val="Institutionquiagit"/>
        <w:rPr>
          <w:noProof/>
        </w:rPr>
      </w:pPr>
      <w:r>
        <w:rPr>
          <w:noProof/>
        </w:rPr>
        <w:t>EUROOPA PARLAMENT JA EUROOPA LIIDU NÕUKOGU,</w:t>
      </w:r>
    </w:p>
    <w:p w:rsidR="003563AD" w:rsidRDefault="00251882">
      <w:pPr>
        <w:rPr>
          <w:noProof/>
        </w:rPr>
      </w:pPr>
      <w:r>
        <w:rPr>
          <w:noProof/>
        </w:rPr>
        <w:t>võttes arvesse Euroopa Liidu toimimise lepingut, eriti selle artiklit 114,</w:t>
      </w:r>
    </w:p>
    <w:p w:rsidR="003563AD" w:rsidRDefault="00251882">
      <w:pPr>
        <w:rPr>
          <w:noProof/>
        </w:rPr>
      </w:pPr>
      <w:r>
        <w:rPr>
          <w:noProof/>
        </w:rPr>
        <w:t>võttes arvesse Euroopa Komisjoni ettepanekut,</w:t>
      </w:r>
    </w:p>
    <w:p w:rsidR="003563AD" w:rsidRDefault="00251882">
      <w:pPr>
        <w:rPr>
          <w:noProof/>
        </w:rPr>
      </w:pPr>
      <w:r>
        <w:rPr>
          <w:noProof/>
        </w:rPr>
        <w:t xml:space="preserve">olles edastanud </w:t>
      </w:r>
      <w:r>
        <w:rPr>
          <w:noProof/>
        </w:rPr>
        <w:t>seadusandliku akti eelnõu liikmesriikide parlamentidele,</w:t>
      </w:r>
    </w:p>
    <w:p w:rsidR="003563AD" w:rsidRDefault="00251882">
      <w:pPr>
        <w:rPr>
          <w:noProof/>
        </w:rPr>
      </w:pPr>
      <w:r>
        <w:rPr>
          <w:noProof/>
        </w:rPr>
        <w:t>võttes arvesse Euroopa Majandus- ja Sotsiaalkomitee arvamust</w:t>
      </w:r>
      <w:r>
        <w:rPr>
          <w:rStyle w:val="FootnoteReference"/>
          <w:noProof/>
        </w:rPr>
        <w:footnoteReference w:id="21"/>
      </w:r>
      <w:r>
        <w:rPr>
          <w:noProof/>
        </w:rPr>
        <w:t>,</w:t>
      </w:r>
    </w:p>
    <w:p w:rsidR="003563AD" w:rsidRDefault="00251882">
      <w:pPr>
        <w:rPr>
          <w:noProof/>
        </w:rPr>
      </w:pPr>
      <w:r>
        <w:rPr>
          <w:noProof/>
        </w:rPr>
        <w:t>toimides seadusandliku tavamenetluse kohaselt</w:t>
      </w:r>
    </w:p>
    <w:p w:rsidR="003563AD" w:rsidRDefault="00251882">
      <w:pPr>
        <w:rPr>
          <w:noProof/>
        </w:rPr>
      </w:pPr>
      <w:r>
        <w:rPr>
          <w:noProof/>
        </w:rPr>
        <w:t>ning arvestades järgmist:</w:t>
      </w:r>
    </w:p>
    <w:p w:rsidR="003563AD" w:rsidRDefault="00251882">
      <w:pPr>
        <w:pStyle w:val="ManualConsidrant"/>
        <w:rPr>
          <w:noProof/>
        </w:rPr>
      </w:pPr>
      <w:r>
        <w:t>(1)</w:t>
      </w:r>
      <w:r>
        <w:tab/>
      </w:r>
      <w:r>
        <w:rPr>
          <w:noProof/>
        </w:rPr>
        <w:t>Väärtpaberistamine hõlmab tehinguid, mis võimaldavad laenuan</w:t>
      </w:r>
      <w:r>
        <w:rPr>
          <w:noProof/>
        </w:rPr>
        <w:t>djal, kelleks tavaliselt on krediidiasutus, refinantseerida laenude või nõuete kogum, näiteks kinnisvaralaenud, autoliisingud, tarbimislaenud või krediitkaardid, muutes need kaubeldavateks väärtpaberiteks. Laenuandja koondab ja struktureerib oma laenud ümb</w:t>
      </w:r>
      <w:r>
        <w:rPr>
          <w:noProof/>
        </w:rPr>
        <w:t>er portfelli ning jaotab need erinevate investorite jaoks eri riskikategooriatesse, võimaldades seega investoritele juurdepääsu investeeringutele laenudesse ja muudesse riskipositsioonidesse, millele neil tavapäraselt puuduks otsene juurdepääs. Investorite</w:t>
      </w:r>
      <w:r>
        <w:rPr>
          <w:noProof/>
        </w:rPr>
        <w:t>le teenitakse tulu aluseks olevate laenude rahavoogudest.</w:t>
      </w:r>
    </w:p>
    <w:p w:rsidR="003563AD" w:rsidRDefault="00251882">
      <w:pPr>
        <w:pStyle w:val="ManualConsidrant"/>
        <w:rPr>
          <w:noProof/>
        </w:rPr>
      </w:pPr>
      <w:r>
        <w:t>(2)</w:t>
      </w:r>
      <w:r>
        <w:tab/>
      </w:r>
      <w:r>
        <w:rPr>
          <w:noProof/>
        </w:rPr>
        <w:t>26. novembril 2014. aastal esitletud Euroopa investeerimiskavaga seoses teatas komisjon oma kavatsusest taaskäivitada kvaliteetse väärtpaberistamise turud, kordamata enne 2008. aasta finantskrii</w:t>
      </w:r>
      <w:r>
        <w:rPr>
          <w:noProof/>
        </w:rPr>
        <w:t>si tehtud vigu. Lihtsa, läbipaistva ja standarditud väärtpaberistamise turu loomine on kapitaliturgude liidu projekti oluline komponent ja aitab kaasa komisjoni esmatähtsale eesmärgile toetada töökohtade loomist ja majanduse jätkusuutliku kasvu taastamist.</w:t>
      </w:r>
    </w:p>
    <w:p w:rsidR="003563AD" w:rsidRDefault="00251882">
      <w:pPr>
        <w:pStyle w:val="ManualConsidrant"/>
        <w:rPr>
          <w:rFonts w:eastAsia="Calibri"/>
          <w:noProof/>
        </w:rPr>
      </w:pPr>
      <w:r>
        <w:t>(3)</w:t>
      </w:r>
      <w:r>
        <w:tab/>
      </w:r>
      <w:r>
        <w:rPr>
          <w:noProof/>
        </w:rPr>
        <w:t>Euroopa Liit ei kavatse väga keerukate, läbipaistmatute ja riskantsete väärtpaberistamistega kaasnevate riskide käsitlemiseks nõrgestada finantskriisi järel rakendatud õigusraamistikku. Oluline on tagada, et võetaks vastu eeskirjad, et lihtsaid, läbip</w:t>
      </w:r>
      <w:r>
        <w:rPr>
          <w:noProof/>
        </w:rPr>
        <w:t>aistvaid ja standarditud tooteid paremini eristada keerukatest, läbipaistmatutest ja riskantsetest instrumentidest ning kohaldada riskitundlikumat usaldatavusraamistikku.</w:t>
      </w:r>
    </w:p>
    <w:p w:rsidR="003563AD" w:rsidRDefault="00251882">
      <w:pPr>
        <w:pStyle w:val="ManualConsidrant"/>
        <w:rPr>
          <w:noProof/>
        </w:rPr>
      </w:pPr>
      <w:r>
        <w:t>(4)</w:t>
      </w:r>
      <w:r>
        <w:tab/>
      </w:r>
      <w:r>
        <w:rPr>
          <w:noProof/>
        </w:rPr>
        <w:t>Väärtpaberistamine on hästi toimivate finantsturgude oluline osa. Usaldusväärselt</w:t>
      </w:r>
      <w:r>
        <w:rPr>
          <w:noProof/>
        </w:rPr>
        <w:t xml:space="preserve"> struktureeritud väärtpaberistamine on oluline viis mitmekesistada rahastamisallikaid ja jaotada riske liidu finantssüsteemi sees tõhusamalt. See võimaldab finantssektori riski laiemalt jaotada ja võib aidata vabastada väärtpaberistamistehingu algataja bil</w:t>
      </w:r>
      <w:r>
        <w:rPr>
          <w:noProof/>
        </w:rPr>
        <w:t>ansimahtu, et anda majandusele täiendavaid laene. Üldiselt võib väärtpaberistamine finantssüsteemi tõhustada ja pakkuda täiendavaid investeerimisvõimalusi. Väärtpaberistamine võib luua silla krediidiasutuste ja kapitaliturgude vahel, tuues nii kaudset kasu</w:t>
      </w:r>
      <w:r>
        <w:rPr>
          <w:noProof/>
        </w:rPr>
        <w:t xml:space="preserve"> ettevõtjatele ja kodanikele (näiteks vähem kulukate laenude ja ettevõtluse rahastamise, kinnisvaralaenude ja krediitkaartide abil).</w:t>
      </w:r>
    </w:p>
    <w:p w:rsidR="003563AD" w:rsidRDefault="00251882">
      <w:pPr>
        <w:pStyle w:val="ManualConsidrant"/>
        <w:rPr>
          <w:noProof/>
        </w:rPr>
      </w:pPr>
      <w:r>
        <w:t>(5)</w:t>
      </w:r>
      <w:r>
        <w:tab/>
      </w:r>
      <w:r>
        <w:rPr>
          <w:noProof/>
        </w:rPr>
        <w:t>Lihtsate, läbipaistvate ja standarditud väärtpaberistamiste („standardväärtpaberistamised”) jaoks riskitundlikuma usald</w:t>
      </w:r>
      <w:r>
        <w:rPr>
          <w:noProof/>
        </w:rPr>
        <w:t xml:space="preserve">atavusraamistiku loomine eeldab liidult standardväärtpaberistamise selget määratlemist, kuna vastasel juhul kasutataks eri liiki väärtpaberistamisel eri liikmesriikides krediidiasutuste ja kindlustusandjate riskitundlikumat õiguskäsitlust. See tooks kaasa </w:t>
      </w:r>
      <w:r>
        <w:rPr>
          <w:noProof/>
        </w:rPr>
        <w:t>ebavõrdsed tingimused ja õigusliku arbitraaži.</w:t>
      </w:r>
    </w:p>
    <w:p w:rsidR="003563AD" w:rsidRDefault="00251882">
      <w:pPr>
        <w:pStyle w:val="ManualConsidrant"/>
        <w:rPr>
          <w:noProof/>
        </w:rPr>
      </w:pPr>
      <w:r>
        <w:t>(6)</w:t>
      </w:r>
      <w:r>
        <w:tab/>
      </w:r>
      <w:r>
        <w:rPr>
          <w:noProof/>
        </w:rPr>
        <w:t>On asjakohane määratleda kõik väärtpaberistamise põhimõisted kooskõlas liidu valdkondlikest õigusaktidest tulenevate olemasolevate määratlustega. Eelkõige on vaja väärtpaberistamise selget ja laiaulatuslik</w:t>
      </w:r>
      <w:r>
        <w:rPr>
          <w:noProof/>
        </w:rPr>
        <w:t>ku määratlust, et hõlmata kõik tehingud ja skeemid, millega positsiooni või nende kogumiga seonduv krediidirisk kantakse üle erineva nõudeõiguse järguga väärtpaberistamisseeriatele. Riskipositsiooni, mis loob otsese maksekohustuse füüsilise vara rahastamis</w:t>
      </w:r>
      <w:r>
        <w:rPr>
          <w:noProof/>
        </w:rPr>
        <w:t>eks või haldamiseks kasutatava tehingu või skeemi puhul, ei tuleks lugeda väärtpaberistamisest tulenevaks riskipositsiooniks, isegi kui sellel tehingul või skeemil on erineva nõudeõiguse järguga maksekohustused.</w:t>
      </w:r>
    </w:p>
    <w:p w:rsidR="003563AD" w:rsidRDefault="00251882">
      <w:pPr>
        <w:pStyle w:val="ManualConsidrant"/>
        <w:rPr>
          <w:noProof/>
          <w:szCs w:val="24"/>
        </w:rPr>
      </w:pPr>
      <w:r>
        <w:t>(7)</w:t>
      </w:r>
      <w:r>
        <w:tab/>
      </w:r>
      <w:r>
        <w:rPr>
          <w:noProof/>
        </w:rPr>
        <w:t>Nii rahvusvahelisel kui ka Euroopa tasan</w:t>
      </w:r>
      <w:r>
        <w:rPr>
          <w:noProof/>
        </w:rPr>
        <w:t xml:space="preserve">dil on juba tehtud palju tööd standardväärtpaberistamise kindlakstegemiseks ning komisjoni delegeeritud määrustes (EL) </w:t>
      </w:r>
      <w:r>
        <w:rPr>
          <w:noProof/>
          <w:vertAlign w:val="superscript"/>
        </w:rPr>
        <w:t xml:space="preserve"> </w:t>
      </w:r>
      <w:r>
        <w:rPr>
          <w:noProof/>
        </w:rPr>
        <w:t>2015/61</w:t>
      </w:r>
      <w:r>
        <w:rPr>
          <w:rStyle w:val="FootnoteReference"/>
          <w:noProof/>
        </w:rPr>
        <w:footnoteReference w:id="22"/>
      </w:r>
      <w:r>
        <w:rPr>
          <w:noProof/>
        </w:rPr>
        <w:t xml:space="preserve"> ja (EL) 2015/35</w:t>
      </w:r>
      <w:r>
        <w:rPr>
          <w:rStyle w:val="FootnoteReference"/>
          <w:noProof/>
        </w:rPr>
        <w:footnoteReference w:id="23"/>
      </w:r>
      <w:r>
        <w:rPr>
          <w:noProof/>
        </w:rPr>
        <w:t xml:space="preserve"> on juba sätestatud lihtsa, läbipaistva ja standarditud väärtpaberistamise kriteeriumid konkreetseteks eesmärki</w:t>
      </w:r>
      <w:r>
        <w:rPr>
          <w:noProof/>
        </w:rPr>
        <w:t>deks, millega seondub riskitundlikum usaldatavusnõuete käsitlus.</w:t>
      </w:r>
    </w:p>
    <w:p w:rsidR="003563AD" w:rsidRDefault="00251882">
      <w:pPr>
        <w:pStyle w:val="ManualConsidrant"/>
        <w:rPr>
          <w:noProof/>
        </w:rPr>
      </w:pPr>
      <w:r>
        <w:t>(8)</w:t>
      </w:r>
      <w:r>
        <w:tab/>
      </w:r>
      <w:r>
        <w:rPr>
          <w:noProof/>
        </w:rPr>
        <w:t>Tuginedes olemasolevatele kriteeriumidele, 23. juulil 2015 vastuvõetud BCBS-IOSCO kriteeriumidele lihtsate, läbipaistvate ja võrreldavate väärtpaberistamiste kindlakstegemiseks ning eelkõ</w:t>
      </w:r>
      <w:r>
        <w:rPr>
          <w:noProof/>
        </w:rPr>
        <w:t>ige 7. juulil 2015 avaldatud EBA nõuandele kvalifitseeruvate väärtpaberistamiste kohta, on oluline kehtestada standardväärtpaberistamise üldine ja sektoriüleselt kohaldatav määratlus.</w:t>
      </w:r>
    </w:p>
    <w:p w:rsidR="003563AD" w:rsidRDefault="00251882">
      <w:pPr>
        <w:pStyle w:val="ManualConsidrant"/>
        <w:rPr>
          <w:noProof/>
        </w:rPr>
      </w:pPr>
      <w:r>
        <w:t>(9)</w:t>
      </w:r>
      <w:r>
        <w:tab/>
      </w:r>
      <w:r>
        <w:rPr>
          <w:noProof/>
        </w:rPr>
        <w:t>Standardväärtpaberistamise kriteeriumide rakendamine kogu ELis ei to</w:t>
      </w:r>
      <w:r>
        <w:rPr>
          <w:noProof/>
        </w:rPr>
        <w:t>hiks kaasa tuua erisuguseid lähenemisviise. Sellised lähenemisviisid võiksid luua takistusi piiriülestele investoritele, sundides neid süvenema liikmesriikide raamistike üksikasjadesse ning õõnestades seega investorite usaldust standardväärtpaberistamise k</w:t>
      </w:r>
      <w:r>
        <w:rPr>
          <w:noProof/>
        </w:rPr>
        <w:t>riteeriumide vastu.</w:t>
      </w:r>
    </w:p>
    <w:p w:rsidR="003563AD" w:rsidRDefault="00251882">
      <w:pPr>
        <w:pStyle w:val="ManualConsidrant"/>
        <w:rPr>
          <w:noProof/>
          <w:szCs w:val="24"/>
        </w:rPr>
      </w:pPr>
      <w:r>
        <w:t>(10)</w:t>
      </w:r>
      <w:r>
        <w:tab/>
      </w:r>
      <w:r>
        <w:rPr>
          <w:noProof/>
        </w:rPr>
        <w:t>Pädevate asutuste koostöö on oluline, et tagada seda, et standardväärtpaberistamise nõudeid mõistetaks ühetaoliselt kogu liidus ning käsitleda võimalikke tõlgendusküsimusi. Kõnealust eesmärki silma pidades peaksid kolm Euroopa järelevalveasutust koordineer</w:t>
      </w:r>
      <w:r>
        <w:rPr>
          <w:noProof/>
        </w:rPr>
        <w:t>ima oma ja pädevate asutuste tööd Euroopa järelevalveasutuste ühiskomitee raames, et tagada sektoriülene ühtsus ja käsitleda praktilisi küsimusi, mis võivad tekkida seoses standardväärtpaberistamisega. Seda tehes tuleks niipalju kui võimalik küsida ka turu</w:t>
      </w:r>
      <w:r>
        <w:rPr>
          <w:noProof/>
        </w:rPr>
        <w:t>osaliste arvamust ja sellega arvestada. Nende arutelude tulemused tuleks teha Euroopa järelevalveasutuste veebisaitidel avalikkusele kättesaadavaks, et abistada väärtpaberistamistehingu algatajaid, sponsoreid, eriotstarbelisi väärtpaberistamisüksuseid ja i</w:t>
      </w:r>
      <w:r>
        <w:rPr>
          <w:noProof/>
        </w:rPr>
        <w:t>nvestoreid standardväärtpaberistamiste hindamisel enne nende emiteerimist või neisse investeerimist. Selline koostöömehhanism oleks eriti oluline käesoleva määruse rakendamisele eelneval ajal.</w:t>
      </w:r>
    </w:p>
    <w:p w:rsidR="003563AD" w:rsidRDefault="00251882">
      <w:pPr>
        <w:pStyle w:val="ManualConsidrant"/>
        <w:rPr>
          <w:noProof/>
        </w:rPr>
      </w:pPr>
      <w:r>
        <w:t>(11)</w:t>
      </w:r>
      <w:r>
        <w:tab/>
      </w:r>
      <w:r>
        <w:rPr>
          <w:noProof/>
        </w:rPr>
        <w:t xml:space="preserve">Väärtpaberistamisse investeerimise või väärtpaberistamise </w:t>
      </w:r>
      <w:r>
        <w:rPr>
          <w:noProof/>
        </w:rPr>
        <w:t>positsioonidega ei teki investoril ainult aluseks olevate laenude või aluspositsioonide krediidiriskid, vaid lisaks sellele võivad väärtpaberistamise struktureerimisest tekkida ka muud riskid, nagu näiteks agentuuririskid, mudelirisk, õiguslikud ja operats</w:t>
      </w:r>
      <w:r>
        <w:rPr>
          <w:noProof/>
        </w:rPr>
        <w:t xml:space="preserve">iooniriskid, vastaspoolerisk, vahendusrisk, likviidsusrisk, kontsentratsioonirisk ja operatiivset laadi riskid. Seetõttu on oluline, et institutsionaalsete investorite suhtes kohaldataks hoolsuskohustuse nõudeid, mis tagavad, et nad jaeinvestorite huvides </w:t>
      </w:r>
      <w:r>
        <w:rPr>
          <w:noProof/>
        </w:rPr>
        <w:t>hindavad õigesti väärtpaberistamise kõigist liikidest tulenevaid riske. Hoolsuskohustus saab seega ka suurendada usaldust turul ning üksikute väärtpaberistamistehingu algatajate, sponsorite ja investorite vahel. On oluline, et investorid täidaksid asjakoha</w:t>
      </w:r>
      <w:r>
        <w:rPr>
          <w:noProof/>
        </w:rPr>
        <w:t>st hoolsuskohustust ka standardväärtpaberistamise puhul. Nad saavad viia end kurssi väärtpaberistavate osapoolte avaldatud teabega, eelkõige standardväärtpaberistamise teate ja selles kontekstis avaldatud seonduva teabega, mis peaks investoritele andma kog</w:t>
      </w:r>
      <w:r>
        <w:rPr>
          <w:noProof/>
        </w:rPr>
        <w:t>u asjakohase teabe standardväärtpaberistamise kriteeriumide täitmise kohta. Institutsionaalsetel investoritel peaks olema võimalik asjakohasel määral tugineda standardväärtpaberistamise teatele ning väärtpaberistamistehingu algataja, sponsori ja eriotstarb</w:t>
      </w:r>
      <w:r>
        <w:rPr>
          <w:noProof/>
        </w:rPr>
        <w:t>elise väärtpaberistamisüksuse avaldatud teabele selle kohta, kas väärtpaberistamine vastab standardväärtpaberistamise nõuetele.</w:t>
      </w:r>
    </w:p>
    <w:p w:rsidR="003563AD" w:rsidRDefault="00251882">
      <w:pPr>
        <w:pStyle w:val="ManualConsidrant"/>
        <w:rPr>
          <w:noProof/>
        </w:rPr>
      </w:pPr>
      <w:r>
        <w:t>(12)</w:t>
      </w:r>
      <w:r>
        <w:tab/>
      </w:r>
      <w:r>
        <w:rPr>
          <w:noProof/>
        </w:rPr>
        <w:t xml:space="preserve">Oluline on, et riskipositsioone kaubeldavateks väärtpaberiteks muutvate väärtpaberistamistehingu algatajate, sponsorite ja </w:t>
      </w:r>
      <w:r>
        <w:rPr>
          <w:noProof/>
        </w:rPr>
        <w:t>algsete laenuandjate huvid ühtiksid investorite omadega. Selle saavutamiseks peaks väärtpaberistamistehingu algataja, sponsor või algne laenuandja säilitama märkimisväärse majandusliku huvi väärtpaberistamise aluspositsioonides. Seetõttu on oluline, et vää</w:t>
      </w:r>
      <w:r>
        <w:rPr>
          <w:noProof/>
        </w:rPr>
        <w:t>rtpaberistamistehingu algataja või sponsor säilitab kõnealuste alusriskide puhul olulise majandusliku netoriskipositsiooni. Üldisemalt ei peaks väärtpaberistamistehingud olema struktureeritud nii, et välditakse riski säilitamise nõude kohaldamist. Seda nõu</w:t>
      </w:r>
      <w:r>
        <w:rPr>
          <w:noProof/>
        </w:rPr>
        <w:t>et tuleks kohaldada igas olukorras, mil kohaldatakse väärtpaberistamise majandusliku sisu määratlust, olenemata kasutatud õiguslikust struktuurist või instrumentidest. Puudub vajadus säilitamisnõude mitmekordseks kohaldamiseks. Mis tahes väärtpaberistamise</w:t>
      </w:r>
      <w:r>
        <w:rPr>
          <w:noProof/>
        </w:rPr>
        <w:t xml:space="preserve"> korral on piisav, kui nõuet kohaldatakse üksnes väärtpaberistamistehingu algataja, sponsori või algse laenuandja suhtes. Samamoodi tuleks selliste väärtpaberistamistehingute korral, mille aluspositsioonide hulka kuuluvad ka muud väärtpaberistamise positsi</w:t>
      </w:r>
      <w:r>
        <w:rPr>
          <w:noProof/>
        </w:rPr>
        <w:t>oonid, kohaldada säilitamisnõuet üksnes investeeringu objektiks oleva väärtpaberistamise suhtes. Standardväärtpaberistamise teade osutab investoritele, et väärtpaberistamistehingu algatajad säilitavad alusriskide puhul olulise majandusliku netoriskipositsi</w:t>
      </w:r>
      <w:r>
        <w:rPr>
          <w:noProof/>
        </w:rPr>
        <w:t>ooni. Teatavaid erandeid tuleks teha juhul, kui väärtpaberistatud riskipositsioonidele on täies ulatuses, tingimusteta ja tagasivõtmatult andnud garantii eelkõige ametiasutused. Avaliku sektori vahenditest tagatiste või muude vahendite kujul antava toetuse</w:t>
      </w:r>
      <w:r>
        <w:rPr>
          <w:noProof/>
        </w:rPr>
        <w:t xml:space="preserve"> puhul ei piira käesoleva määruse sätted riigiabi eeskirjade kohaldamist.</w:t>
      </w:r>
    </w:p>
    <w:p w:rsidR="003563AD" w:rsidRDefault="00251882">
      <w:pPr>
        <w:pStyle w:val="ManualConsidrant"/>
        <w:rPr>
          <w:noProof/>
        </w:rPr>
      </w:pPr>
      <w:r>
        <w:t>(13)</w:t>
      </w:r>
      <w:r>
        <w:tab/>
      </w:r>
      <w:r>
        <w:rPr>
          <w:noProof/>
        </w:rPr>
        <w:t>Investorite suutlikkus täita hoolsuskohustust ja seega hinnata teadlikult asjaomase väärtpaberistamise instrumendi krediidivõimelisust sõltub nende juurdepääsust kõnealuseid ins</w:t>
      </w:r>
      <w:r>
        <w:rPr>
          <w:noProof/>
        </w:rPr>
        <w:t>trumente käsitlevale teabele. Oluline on luua olemasoleva õigustiku põhjal põhjalik süsteem, mille alusel saavad investorid juurdepääsu kogu asjakohasele teabele tehingute kogu kehtivusaja jooksul ning vähendada väärtpaberistamistehingu algatajate, sponsor</w:t>
      </w:r>
      <w:r>
        <w:rPr>
          <w:noProof/>
        </w:rPr>
        <w:t>ite ja eriotstarbeliste väärtpaberistamisüksuste aruandlusega seotud ülesandeid ning soodustada investorite pidevat, lihtsat ja vaba juurdepääsu usaldusväärsele teabele väärtpaberistamiste kohta.</w:t>
      </w:r>
    </w:p>
    <w:p w:rsidR="003563AD" w:rsidRDefault="00251882">
      <w:pPr>
        <w:pStyle w:val="ManualConsidrant"/>
        <w:rPr>
          <w:noProof/>
        </w:rPr>
      </w:pPr>
      <w:r>
        <w:t>(14)</w:t>
      </w:r>
      <w:r>
        <w:tab/>
      </w:r>
      <w:r>
        <w:rPr>
          <w:noProof/>
        </w:rPr>
        <w:t>Väärtpaberistamistehingu algatajad, sponsorid ja eriots</w:t>
      </w:r>
      <w:r>
        <w:rPr>
          <w:noProof/>
        </w:rPr>
        <w:t>tarbelised väärtpaberistamisüksused peavad investoritele esitatavas aruandes tegema kättesaadavaks kõik olulised andmed aluspositsioonide krediidikvaliteedi ja tulemusnäitajate kohta, sealhulgas andmed, mis võimaldavad investoritel teha selgelt kindlaks võ</w:t>
      </w:r>
      <w:r>
        <w:rPr>
          <w:noProof/>
        </w:rPr>
        <w:t>lgnike makseviivitusi ja lepinguliste kohustuste täitmatajätmist, võlgade restruktureerimist, võla kustutamist, restruktureerimist makseraskuste tõttu, tagasiostmist, maksepuhkuseid, kahju, mahakandmisi, sissenõutud summasid ning muid varade tootluse paran</w:t>
      </w:r>
      <w:r>
        <w:rPr>
          <w:noProof/>
        </w:rPr>
        <w:t>dusmeetmeid aluspositsioonide kogumis. Investoritele esitatavas aruandes tuleks avaldada ka andmed rahavoogude kohta, mille on tekitanud aluspositsioonid ja väärtpaberistamise emiteerimise kohustused, avalikustades sealhulgas eraldi väärtpaberistamise posi</w:t>
      </w:r>
      <w:r>
        <w:rPr>
          <w:noProof/>
        </w:rPr>
        <w:t>tsiooni tulu ja väljamaksed, st graafikujärgne põhisumma, graafikujärgne intress, ettemakstud põhisumma, tasumata intress ning lõivud ja tasud, ning kogu teave käivitavate sündmuste kohta, mis tingivad muutuse maksete hierarhias või vastaspoole asendamise,</w:t>
      </w:r>
      <w:r>
        <w:rPr>
          <w:noProof/>
        </w:rPr>
        <w:t xml:space="preserve"> ning ka iga seeria puhul kasutatavat krediidikvaliteedi parandamise summat ja vormi käsitlevad andmed. Ehkki lihtsad, läbipaistvad ja standarditud väärtpaberistamised on näidanud varasemalt häid tulemusi, ei tähenda väärtpaberistamise nõuete täitmine seda</w:t>
      </w:r>
      <w:r>
        <w:rPr>
          <w:noProof/>
        </w:rPr>
        <w:t>, et väärtpaberistamise positsioon oleks riskivaba ega ütle ka midagi väärtpaberistamise aluseks oleva krediidikvaliteedi kohta. Selle asemel tuleks mõista, et see viitab sellele, et ettevaatlik ja hoolas investor on suuteline analüüsima väärtpaberistamise</w:t>
      </w:r>
      <w:r>
        <w:rPr>
          <w:noProof/>
        </w:rPr>
        <w:t>ga kaasnevaid riske. Standardväärtpaberistamise nõudeid peaks olema kaht liiki: ühed pikaajalistele väärtpaberistamistele ja teised lühiajalistele väärtpaberistamistele (varaga tagatud kommertsväärtpaberid). Suures osas tuleks nende suhtes kohaldada sarnas</w:t>
      </w:r>
      <w:r>
        <w:rPr>
          <w:noProof/>
        </w:rPr>
        <w:t>eid nõudeid ja spetsiifilisi korrigeerimisi teha nimetatud kahe turusegmendi struktuursete näitajate kajastamiseks. Kõnealuste turgude toimimine erineb selle poolest, et varaga tagatud kommertsväärtpaberite programmid tuginevad varaga tagatud kommertsväärt</w:t>
      </w:r>
      <w:r>
        <w:rPr>
          <w:noProof/>
        </w:rPr>
        <w:t>paberite tehingutele, mis koosnevad lühiajalistest positsioonidest, mis tuleb tähtaegumise korral asendada. Lisaks peaksid standardväärtpaberistamise kriteeriumid kajastama ka varaga tagatud kommertsväärtpaberi emitentidele likviidsustoetust pakkuva sponso</w:t>
      </w:r>
      <w:r>
        <w:rPr>
          <w:noProof/>
        </w:rPr>
        <w:t>ri erirolli.</w:t>
      </w:r>
    </w:p>
    <w:p w:rsidR="003563AD" w:rsidRDefault="00251882">
      <w:pPr>
        <w:pStyle w:val="ManualConsidrant"/>
        <w:rPr>
          <w:iCs/>
          <w:noProof/>
          <w:szCs w:val="24"/>
        </w:rPr>
      </w:pPr>
      <w:r>
        <w:t>(15)</w:t>
      </w:r>
      <w:r>
        <w:tab/>
      </w:r>
      <w:r>
        <w:rPr>
          <w:noProof/>
        </w:rPr>
        <w:t>Käesolev ettepanek võimaldab standardväärtpaberistamiseks nimetada üksnes tegeliku müügiga seotud väärtpaberistamisi. Tegeliku müügiga seotud väärtpaberistamise puhul kantakse aluspositsioonide omandiõigus üle emitendist üksusele, kelleks</w:t>
      </w:r>
      <w:r>
        <w:rPr>
          <w:noProof/>
        </w:rPr>
        <w:t xml:space="preserve"> on eriotstarbeline väärtpaberistamisüksus või loovutatakse talle see tegelikult. Eriotstarbelisele väärtpaberistamisüksusele aluspositsioonide üleandmise suhtes ei tohiks müüja maksejõuetuse korral kehtida rangeid tagastamissätteid. Sellised ranged tagast</w:t>
      </w:r>
      <w:r>
        <w:rPr>
          <w:noProof/>
        </w:rPr>
        <w:t>amissätted hõlmavad muu hulgas sätteid, mille kohaselt müüja likvideerija saab aluspositsioonide müügi tühistada ainuüksi põhjusel, et müük toimus teataval ajal enne müüja maksejõuetuks kuulutamist, ja sätteid, mille kohaselt eriotstarbeline väärtpaberista</w:t>
      </w:r>
      <w:r>
        <w:rPr>
          <w:noProof/>
        </w:rPr>
        <w:t>misüksus saab sellist tühistamist ära hoida ainult juhul, kui ta suudab tõestada, et ta ei olnud müüja maksejõuetusest müügi ajal teadlik.</w:t>
      </w:r>
    </w:p>
    <w:p w:rsidR="003563AD" w:rsidRDefault="00251882">
      <w:pPr>
        <w:pStyle w:val="ManualConsidrant"/>
        <w:rPr>
          <w:iCs/>
          <w:noProof/>
          <w:szCs w:val="24"/>
        </w:rPr>
      </w:pPr>
      <w:r>
        <w:t>(16)</w:t>
      </w:r>
      <w:r>
        <w:tab/>
      </w:r>
      <w:r>
        <w:rPr>
          <w:noProof/>
        </w:rPr>
        <w:t>Selliste väärtpaberistamiste puhul, mis ei seondu tegeliku müügiga, ei kanta sellisele emitendist üksusele üle a</w:t>
      </w:r>
      <w:r>
        <w:rPr>
          <w:noProof/>
        </w:rPr>
        <w:t>luspositsioone, vaid pigem kantakse aluspositsioonidega seotud krediidirisk üle tuletislepingu või garantiiga. See tekitab täiendavat vastaspoole krediidiriski ning keerukus võib suureneda eelkõige seoses tuletislepingu sisuga. Seni ei ole rahvusvahelise e</w:t>
      </w:r>
      <w:r>
        <w:rPr>
          <w:noProof/>
        </w:rPr>
        <w:t xml:space="preserve">ga liidu tasandi analüüsidest piisanud, et määrata selliste väärtpaberistamise instrumentide liikide puhul kindlaks standardväärtpaberistamise kriteeriumid. Tulevikus oleks vaja hinnata, kas mõned sünteetilised väärtpaberistamised, millel on finantskriisi </w:t>
      </w:r>
      <w:r>
        <w:rPr>
          <w:noProof/>
        </w:rPr>
        <w:t>ajal läinud hästi, ning mis on lihtsad, läbipaistvad ja standarditud, võiksid seetõttu kvalifitseeruda standardväärtpaberistamiseks. Selle alusel hindab komisjon, kas väärtpaberistamised, mis ei seondu tegeliku müügiga, peaksid tulevases ettepanekus kandma</w:t>
      </w:r>
      <w:r>
        <w:rPr>
          <w:noProof/>
        </w:rPr>
        <w:t xml:space="preserve"> standardväärtpaberistamise nimetust.</w:t>
      </w:r>
    </w:p>
    <w:p w:rsidR="003563AD" w:rsidRDefault="00251882">
      <w:pPr>
        <w:pStyle w:val="ManualConsidrant"/>
        <w:rPr>
          <w:noProof/>
        </w:rPr>
      </w:pPr>
      <w:r>
        <w:t>(17)</w:t>
      </w:r>
      <w:r>
        <w:tab/>
      </w:r>
      <w:r>
        <w:rPr>
          <w:noProof/>
        </w:rPr>
        <w:t>Müüjalt eriotstarbelisele väärtpaberistamisüksusele ülekantavad aluspositsioonid peaksid vastama eelnevalt kindlaksmääratud ja selgelt määratletud sobivuskriteeriumidele, mis ei võimalda kõnealuste riskipositsioon</w:t>
      </w:r>
      <w:r>
        <w:rPr>
          <w:noProof/>
        </w:rPr>
        <w:t>ide puhul aktiivset portfelli valitsemist kaalutlusõiguse alusel. Kinnitusi ja tagatisi rikkuvate riskipositsioonide asendust ei tohiks põhimõtteliselt lugeda aktiivseks portfelli valitsemiseks.</w:t>
      </w:r>
    </w:p>
    <w:p w:rsidR="003563AD" w:rsidRDefault="00251882">
      <w:pPr>
        <w:pStyle w:val="ManualConsidrant"/>
        <w:rPr>
          <w:noProof/>
        </w:rPr>
      </w:pPr>
      <w:r>
        <w:t>(18)</w:t>
      </w:r>
      <w:r>
        <w:tab/>
      </w:r>
      <w:r>
        <w:rPr>
          <w:noProof/>
        </w:rPr>
        <w:t>Selle tagamiseks, et investorid täidaksid kindlalt hools</w:t>
      </w:r>
      <w:r>
        <w:rPr>
          <w:noProof/>
        </w:rPr>
        <w:t>uskohustust ja alusvaraga seotud riskide hindamise hõlbustamiseks on oluline, et väärtpaberistamistehingud oleksid tagatud riskipositsioonide kogumitega, mis on vara liigilt homogeensed, näiteks nagu eluasemelaenude kogumid, sama kategooria ettevõtjatele k</w:t>
      </w:r>
      <w:r>
        <w:rPr>
          <w:noProof/>
        </w:rPr>
        <w:t>apitalikulude või äritegevuse rahastamiseks antud ärilaenude, liisingute ja krediidilimiitide kogumid, laenu- või liisinguvõtjatele antud autolaenude ja -liisingute kogumid ning eraisikutele isikliku või perekonna või majapidamise poolse tarbimise eesmärgi</w:t>
      </w:r>
      <w:r>
        <w:rPr>
          <w:noProof/>
        </w:rPr>
        <w:t>l antud laenude ja krediidilimiitide kogumid.</w:t>
      </w:r>
    </w:p>
    <w:p w:rsidR="003563AD" w:rsidRDefault="00251882">
      <w:pPr>
        <w:pStyle w:val="ManualConsidrant"/>
        <w:rPr>
          <w:noProof/>
        </w:rPr>
      </w:pPr>
      <w:r>
        <w:t>(19)</w:t>
      </w:r>
      <w:r>
        <w:tab/>
      </w:r>
      <w:r>
        <w:rPr>
          <w:noProof/>
        </w:rPr>
        <w:t>Tähtis on vältida puhtalt „algata ja turusta” mudelite rakendamise kordumist. Sellistes olukordades kohaldavad laenuandjad krediiti andes puudulikke ja nõrku laenude väljastamise põhimõtteid, kuna nad teav</w:t>
      </w:r>
      <w:r>
        <w:rPr>
          <w:noProof/>
        </w:rPr>
        <w:t>ad ette, et seonduvad riskid müüakse lõpuks kolmandatele osapooltele. Väärtpaberistatavad riskipositsioonid peaksid olema algatatud väärtpaberistamistehingu algataja või algse laenuandja tavapärase äritegevuse käigus vastavalt väärtpaberite emissiooni taga</w:t>
      </w:r>
      <w:r>
        <w:rPr>
          <w:noProof/>
        </w:rPr>
        <w:t>mise standarditele, mis ei tohiks olla leebemad nendest, mida väärtpaberistamistehingu algataja või algne laenuandja kohaldab sarnaste, väärtpaberistamisele mitte kuuluvate riskipositsioonide algatamise suhtes. Väärtpaberite emissiooni tagamise standardite</w:t>
      </w:r>
      <w:r>
        <w:rPr>
          <w:noProof/>
        </w:rPr>
        <w:t xml:space="preserve"> olulised muudatused tuleks täies ulatuses avaldada võimalikele investoritele. Väärtpaberistamistehingu algatajal või algsel laenuandjal peaks olema piisav kogemus selliste riskipositsioonide algatamise vallas, mis sarnanevad väärtpaberistatud riskipositsi</w:t>
      </w:r>
      <w:r>
        <w:rPr>
          <w:noProof/>
        </w:rPr>
        <w:t>oonidele. Väärtpaberistamiste korral, mille aluspositsioonid on eluasemelaenud, ei tohiks laenude kogum sisaldada mis tahes laenu, mille turustamisel ja väljastamisel tugineti eeldusele, et laenu taotlejat, või kui see on kohaldatav, siis vahendajaid, teav</w:t>
      </w:r>
      <w:r>
        <w:rPr>
          <w:noProof/>
        </w:rPr>
        <w:t>itati sellest, et esitatud teave võib olla laenuandja poolt kontrollimata. Laenuvõtja krediidivõimelisuse hindamine peaks vajaduse korral olema kooskõlas Euroopa Parlamendi ja nõukogu direktiivides 2014/17/EL või 2008/48/EÜ sätestatud nõuetega või samaväär</w:t>
      </w:r>
      <w:r>
        <w:rPr>
          <w:noProof/>
        </w:rPr>
        <w:t>sete kolmandates riikides kehtivate nõuetega.</w:t>
      </w:r>
    </w:p>
    <w:p w:rsidR="003563AD" w:rsidRDefault="00251882">
      <w:pPr>
        <w:pStyle w:val="ManualConsidrant"/>
        <w:rPr>
          <w:noProof/>
        </w:rPr>
      </w:pPr>
      <w:r>
        <w:t>(20)</w:t>
      </w:r>
      <w:r>
        <w:tab/>
      </w:r>
      <w:r>
        <w:rPr>
          <w:noProof/>
        </w:rPr>
        <w:t>Kui väärtpaberistamistehingu algatajad, sponsorid ja eriotstarbelised väärtpaberistamisüksused soovivad oma väärtpaberistamiste suhtes kasutada standardväärtpaberistamise nimetust, peaksid nad teavitama in</w:t>
      </w:r>
      <w:r>
        <w:rPr>
          <w:noProof/>
        </w:rPr>
        <w:t>vestoreid, pädevaid asutusi ja ESMAt sellest, et väärtpaberistamine vastab standardväärtpaberistamise nõuetele. Seejärel peaks ESMA kandma selle tehingute loetellu, mis on teavitamise eesmärgil avaldatud ESMA veebisaidil. Väärtpaberistamise emiteerimise ka</w:t>
      </w:r>
      <w:r>
        <w:rPr>
          <w:noProof/>
        </w:rPr>
        <w:t>ndmine ESMA-le teatatud standardväärtpaberistamiste loetellu ei tähenda, et ESMA või mõni muu pädev asutus oleks kinnitanud, et väärtpaberistamine vastab standardväärtpaberistamise nõuetele. Standardväärtpaberistamise nõuete täitmise vastutus jääb üksnes v</w:t>
      </w:r>
      <w:r>
        <w:rPr>
          <w:noProof/>
        </w:rPr>
        <w:t>äärtpaberistamistehingu algatajate, sponsorite ja eriotstarbeliste väärtpaberistamisüksuste kanda. See tagab, et väärtpaberistamistehingu algatajad, sponsorid ja eriotstarbelised väärtpaberistamisüksused võtavad vastutuse oma väite eest, et väärtpaberistam</w:t>
      </w:r>
      <w:r>
        <w:rPr>
          <w:noProof/>
        </w:rPr>
        <w:t xml:space="preserve">ine on lihtne, läbipaistev ja standarditud ning et turul valitseb läbipaistvus. </w:t>
      </w:r>
    </w:p>
    <w:p w:rsidR="003563AD" w:rsidRDefault="00251882">
      <w:pPr>
        <w:pStyle w:val="ManualConsidrant"/>
        <w:rPr>
          <w:noProof/>
        </w:rPr>
      </w:pPr>
      <w:r>
        <w:t>(21)</w:t>
      </w:r>
      <w:r>
        <w:tab/>
      </w:r>
      <w:r>
        <w:rPr>
          <w:noProof/>
        </w:rPr>
        <w:t>Kui väärtpaberistamine ei vasta enam standardväärtpaberistamise nõuetele, peab väärtpaberistamistehingu algataja, sponsor ja eriotstarbeline väärtpaberistamisüksus teavit</w:t>
      </w:r>
      <w:r>
        <w:rPr>
          <w:noProof/>
        </w:rPr>
        <w:t>ama koheselt ESMAt. Lisaks, kui pädev asutus on standardväärtpaberistamisena teatatud väärtpaberistamise suhtes kehtestanud halduskaristusi või parandusmeetmeid, peaks kõnealune pädev asutus teavitama koheselt ESMAt, et viimane saaks selle oma standardväär</w:t>
      </w:r>
      <w:r>
        <w:rPr>
          <w:noProof/>
        </w:rPr>
        <w:t>tpaberistamise teadete loetelus ära märkida, mis võimaldab investoritel saada teavet selliste karistuste ja standardväärtpaberistamise teadete usaldusväärsuse kohta. Seega on väärtpaberistamistehingu algatajate, sponsorite ja eriotstarbeliste väärtpaberist</w:t>
      </w:r>
      <w:r>
        <w:rPr>
          <w:noProof/>
        </w:rPr>
        <w:t>amisüksuste huvides esitada läbimõeldud teateid, kuna need mõjutavad mainet.</w:t>
      </w:r>
    </w:p>
    <w:p w:rsidR="003563AD" w:rsidRDefault="00251882">
      <w:pPr>
        <w:pStyle w:val="ManualConsidrant"/>
        <w:rPr>
          <w:noProof/>
        </w:rPr>
      </w:pPr>
      <w:r>
        <w:t>(22)</w:t>
      </w:r>
      <w:r>
        <w:tab/>
      </w:r>
      <w:r>
        <w:rPr>
          <w:noProof/>
        </w:rPr>
        <w:t>Investorid peaksid investeeringutega seoses täitma hoolsuskohustust vastavalt kaasnevatele riskidele, kuid neil peaks olema võimalik tugineda standardväärtpaberistamise teate</w:t>
      </w:r>
      <w:r>
        <w:rPr>
          <w:noProof/>
        </w:rPr>
        <w:t>le ning väärtpaberistamistehingu algataja, sponsori ja eriotstarbelise väärtpaberistamisüksuse avaldatud teabele standardväärtpaberistamise nõuete täitmise kohta.</w:t>
      </w:r>
    </w:p>
    <w:p w:rsidR="003563AD" w:rsidRDefault="00251882">
      <w:pPr>
        <w:pStyle w:val="ManualConsidrant"/>
        <w:rPr>
          <w:noProof/>
        </w:rPr>
      </w:pPr>
      <w:r>
        <w:t>(23)</w:t>
      </w:r>
      <w:r>
        <w:tab/>
      </w:r>
      <w:r>
        <w:rPr>
          <w:noProof/>
        </w:rPr>
        <w:t xml:space="preserve">Kolmandate isikute osalus standardväärtpaberistamise nõuete täitmise kontrollis võib </w:t>
      </w:r>
      <w:r>
        <w:rPr>
          <w:noProof/>
        </w:rPr>
        <w:t>olla investorite, väärtpaberistamistehingu algatajate, sponsorite ja eriotstarbeliste väärtpaberistamisüksuste jaoks kasulik ning see võib aidata suurendada usaldust standardväärtpaberistamise turu vastu. Siiski on oluline, et investorid langetaksid oma hi</w:t>
      </w:r>
      <w:r>
        <w:rPr>
          <w:noProof/>
        </w:rPr>
        <w:t>nnangu ise, võtaksid vastutuse oma investeerimisotsuste eest ega tugineks mehaaniliselt sellistele kolmandatele isikutele.</w:t>
      </w:r>
    </w:p>
    <w:p w:rsidR="003563AD" w:rsidRDefault="00251882">
      <w:pPr>
        <w:pStyle w:val="ManualConsidrant"/>
        <w:rPr>
          <w:noProof/>
        </w:rPr>
      </w:pPr>
      <w:r>
        <w:t>(24)</w:t>
      </w:r>
      <w:r>
        <w:tab/>
      </w:r>
      <w:r>
        <w:rPr>
          <w:noProof/>
        </w:rPr>
        <w:t>Liikmesriigid peaksid määrama pädevad ametiasutused ning andma neile vajalikud järelevalve-, uurimis- ja karistamisvolitused. Ha</w:t>
      </w:r>
      <w:r>
        <w:rPr>
          <w:noProof/>
        </w:rPr>
        <w:t>lduskaristused ja parandusmeetmed tuleks põhimõtteliselt avaldada. Kuna investorid, väärtpaberistamistehingu algatajad, sponsorid, algsed laenuandjad ja eriotstarbelised väärtpaberistamisüksused võivad olla asutatud eri liikmesriikides ja nende üle järelev</w:t>
      </w:r>
      <w:r>
        <w:rPr>
          <w:noProof/>
        </w:rPr>
        <w:t>alvet teostada erinevad valdkondlikud pädevad asutused, tuleks vastastikuse teabevahetuse ja järelevalvetegevuse abistamise kaudu tagada tihe koostöö asjaomaste pädevate asutustega, sealhulgas Euroopa Keskpangaga kooskõlas nõukogu määrusega (EL) nr 1024/20</w:t>
      </w:r>
      <w:r>
        <w:rPr>
          <w:noProof/>
        </w:rPr>
        <w:t>13</w:t>
      </w:r>
      <w:r>
        <w:rPr>
          <w:rStyle w:val="FootnoteReference"/>
          <w:noProof/>
        </w:rPr>
        <w:footnoteReference w:id="24"/>
      </w:r>
      <w:r>
        <w:rPr>
          <w:noProof/>
        </w:rPr>
        <w:t xml:space="preserve"> ning Euroopa järelevalveasutustega.</w:t>
      </w:r>
    </w:p>
    <w:p w:rsidR="003563AD" w:rsidRDefault="00251882">
      <w:pPr>
        <w:pStyle w:val="ManualConsidrant"/>
        <w:rPr>
          <w:noProof/>
          <w:szCs w:val="24"/>
        </w:rPr>
      </w:pPr>
      <w:r>
        <w:t>(25)</w:t>
      </w:r>
      <w:r>
        <w:tab/>
      </w:r>
      <w:r>
        <w:rPr>
          <w:noProof/>
        </w:rPr>
        <w:t>Pädevad asutused peaksid oma järelevalvetegevust tihedalt kooskõlastama ja tagama oma otsuste ühtsuse, eelkõige käesoleva määruse rikkumise korral. Kui rikkumine seondub ebaõige või eksitava teatega, peaks rikku</w:t>
      </w:r>
      <w:r>
        <w:rPr>
          <w:noProof/>
        </w:rPr>
        <w:t>mise avastanud pädev asutus teavitama ka Euroopa järelevalveasutusi ning liikmesriikide asjaomaseid pädevaid asutusi. ESMA-l ning vajaduse korral Euroopa järelevalveasutuste ühiskomiteel peaks olema õigus kasutada oma siduva vahenduse volitusi.</w:t>
      </w:r>
    </w:p>
    <w:p w:rsidR="003563AD" w:rsidRDefault="00251882">
      <w:pPr>
        <w:pStyle w:val="ManualConsidrant"/>
        <w:rPr>
          <w:noProof/>
        </w:rPr>
      </w:pPr>
      <w:r>
        <w:t>(26)</w:t>
      </w:r>
      <w:r>
        <w:tab/>
      </w:r>
      <w:r>
        <w:rPr>
          <w:noProof/>
        </w:rPr>
        <w:t>Käesol</w:t>
      </w:r>
      <w:r>
        <w:rPr>
          <w:noProof/>
        </w:rPr>
        <w:t>eva määrusega soodustatakse mitmete väärtpaberistamise turu põhielementide ühtlustamist, piiramata seejuures väärtpaberistamise turgude tavade ja menetluste täiendavat turupõhist ühtlustamist. Seepärast on oluline, et turuosalised ja nende kutseliidud jätk</w:t>
      </w:r>
      <w:r>
        <w:rPr>
          <w:noProof/>
        </w:rPr>
        <w:t>aksid tööd turutavade täiendava standardimise ja eelkõige väärtpaberistamise dokumentatsiooni standardimise vallas. Komisjon jälgib hoolikalt turuosaliste standardimispüüdlusi ning koostab sellekohase aruande.</w:t>
      </w:r>
    </w:p>
    <w:p w:rsidR="003563AD" w:rsidRDefault="00251882">
      <w:pPr>
        <w:pStyle w:val="ManualConsidrant"/>
        <w:rPr>
          <w:noProof/>
          <w:szCs w:val="24"/>
        </w:rPr>
      </w:pPr>
      <w:r>
        <w:t>(27)</w:t>
      </w:r>
      <w:r>
        <w:tab/>
      </w:r>
      <w:r>
        <w:rPr>
          <w:noProof/>
        </w:rPr>
        <w:t>Eurofondide direktiivi, Solventsus II dir</w:t>
      </w:r>
      <w:r>
        <w:rPr>
          <w:noProof/>
        </w:rPr>
        <w:t>ektiivi, reitinguagentuuride määrust, AIFide valitsejate direktiivi ja Euroopa turu infrastruktuuri määrust muudetakse vastavalt, et tagada ELi õigusraamistiku kooskõla käesoleva määrusega seoses väärtpaberistamist käsitlevate sätetega, mille peamine eesmä</w:t>
      </w:r>
      <w:r>
        <w:rPr>
          <w:noProof/>
        </w:rPr>
        <w:t>rk on siseturu rajamine ja selle toimimine, eriti kõigile institutsionaalsetele investoritele siseturul võrdsete tingimuste loomine.</w:t>
      </w:r>
    </w:p>
    <w:p w:rsidR="003563AD" w:rsidRDefault="00251882">
      <w:pPr>
        <w:pStyle w:val="ManualConsidrant"/>
        <w:rPr>
          <w:noProof/>
          <w:szCs w:val="24"/>
        </w:rPr>
      </w:pPr>
      <w:r>
        <w:t>(28)</w:t>
      </w:r>
      <w:r>
        <w:tab/>
      </w:r>
      <w:r>
        <w:rPr>
          <w:noProof/>
        </w:rPr>
        <w:t>Määruse (EL) nr 648/2012 muudatustega seoses ei tohiks eriotstarbeliste väärtpaberistamisüksuste poolt sõlmitud börsiv</w:t>
      </w:r>
      <w:r>
        <w:rPr>
          <w:noProof/>
        </w:rPr>
        <w:t>äliste tuletislepingute suhtes kohaldada teatavate tingimuste täitmise korral kliiringukohustust. Seda seepärast, et eriotstarbeliste väärtpaberistamisüksustega sõlmitud börsiväliste tuletislepingute vastaspooled on võlausaldajad, kellel on tagatis väärtpa</w:t>
      </w:r>
      <w:r>
        <w:rPr>
          <w:noProof/>
        </w:rPr>
        <w:t>beristamise korra alusel tagatud ning piisav kaitse vastaspoole krediidiriski vastu on tavapäraselt olemas. Tuletisinstrumentide puhul, mida ei kliirita keskselt, tuleks nõutava tagatise taseme puhul võtta arvesse ka väärtpaberistamise korra eriomast struk</w:t>
      </w:r>
      <w:r>
        <w:rPr>
          <w:noProof/>
        </w:rPr>
        <w:t>tuuri ja sellega juba pakutud kaitset.</w:t>
      </w:r>
    </w:p>
    <w:p w:rsidR="003563AD" w:rsidRDefault="00251882">
      <w:pPr>
        <w:pStyle w:val="ManualConsidrant"/>
        <w:rPr>
          <w:noProof/>
          <w:szCs w:val="24"/>
        </w:rPr>
      </w:pPr>
      <w:r>
        <w:t>(29)</w:t>
      </w:r>
      <w:r>
        <w:tab/>
      </w:r>
      <w:r>
        <w:rPr>
          <w:noProof/>
        </w:rPr>
        <w:t>Pandikirju ja väärtpaberistamisi saab teataval määral vastastikku asendada. Seega tuleks selleks, et ennetada moonutamise või arbitraaži võimalusi väärtpaberistamiste ja pandikirjade kasutamise vahel, mis tulenev</w:t>
      </w:r>
      <w:r>
        <w:rPr>
          <w:noProof/>
        </w:rPr>
        <w:t>ad pandikirja üksuste või eriotstarbeliste väärtpaberistamisüksuste sõlmitud börsiväliste tuletislepingute erinevast käsitlemisest, muuta ka määrust (EL) nr 648/2012, et vabastada pandikirja üksused kliiringukohustusest ning tagada, et pandikirja üksuste s</w:t>
      </w:r>
      <w:r>
        <w:rPr>
          <w:noProof/>
        </w:rPr>
        <w:t>uhtes kohaldatakse samu kahepoolseid marginaale.</w:t>
      </w:r>
    </w:p>
    <w:p w:rsidR="003563AD" w:rsidRDefault="00251882">
      <w:pPr>
        <w:pStyle w:val="ManualConsidrant"/>
        <w:rPr>
          <w:noProof/>
          <w:szCs w:val="24"/>
        </w:rPr>
      </w:pPr>
      <w:r>
        <w:t>(30)</w:t>
      </w:r>
      <w:r>
        <w:tab/>
      </w:r>
      <w:r>
        <w:rPr>
          <w:noProof/>
        </w:rPr>
        <w:t>Riski säilitamise nõude täpsustamiseks tuleks komisjonile delegeerida õigus võtta kooskõlas Euroopa Liidu toimimise lepingu artikliga 290 vastu õigusakte seoses regulatiivsete tehniliste standardite vas</w:t>
      </w:r>
      <w:r>
        <w:rPr>
          <w:noProof/>
        </w:rPr>
        <w:t>tuvõtmisega, milles sätestatakse riski säilitamise menetlused, säilitamise taseme mõõtmine, säilitatud riskiga seonduvad teatavad keelud, riski säilitamine konsolideeritud alusel ning teatavate tehingute puhul kohaldatavad erandid. Arvestades EBA asjatundl</w:t>
      </w:r>
      <w:r>
        <w:rPr>
          <w:noProof/>
        </w:rPr>
        <w:t>ikkust delegeeritud õigusaktide alal peaks komisjon neid ekspertteadmisi kasutama delegeeritud õigusakte ette valmistades. EBA peaks tihedalt konsulteerima ülejäänud kahe Euroopa järelevalveasutusega.</w:t>
      </w:r>
    </w:p>
    <w:p w:rsidR="003563AD" w:rsidRDefault="00251882">
      <w:pPr>
        <w:pStyle w:val="ManualConsidrant"/>
        <w:rPr>
          <w:noProof/>
        </w:rPr>
      </w:pPr>
      <w:r>
        <w:t>(31)</w:t>
      </w:r>
      <w:r>
        <w:tab/>
      </w:r>
      <w:r>
        <w:rPr>
          <w:noProof/>
        </w:rPr>
        <w:t>Selleks et soodustada investorite pidevat, lihtsat</w:t>
      </w:r>
      <w:r>
        <w:rPr>
          <w:noProof/>
        </w:rPr>
        <w:t xml:space="preserve"> ja vaba juurdepääsu usaldusväärsele teabele väärtpaberistamiste kohta, tuleks komisjonile delegeerida sama õigus võtta vastu õigusakte seoses regulatiivsete tehniliste standardite vastuvõtmisega, milles käsitletakse võrreldavat teavet aluspositsioonide ja</w:t>
      </w:r>
      <w:r>
        <w:rPr>
          <w:noProof/>
        </w:rPr>
        <w:t xml:space="preserve"> investoritele korrapäraselt esitatavate aruannete kohta ning nõudeid, mis esitatakse veebisaidile, kus avaldatakse teave väärtpaberistamispositsioonide omanikele. Arvestades ESMA asjatundlikkust delegeeritud õigusaktide alal peaks komisjon neid eksperttea</w:t>
      </w:r>
      <w:r>
        <w:rPr>
          <w:noProof/>
        </w:rPr>
        <w:t>dmisi kasutama delegeeritud õigusakte ette valmistades. ESMA peaks tihedalt konsulteerima ülejäänud kahe Euroopa järelevalveasutusega.</w:t>
      </w:r>
    </w:p>
    <w:p w:rsidR="003563AD" w:rsidRDefault="00251882">
      <w:pPr>
        <w:pStyle w:val="ManualConsidrant"/>
        <w:rPr>
          <w:noProof/>
        </w:rPr>
      </w:pPr>
      <w:r>
        <w:t>(32)</w:t>
      </w:r>
      <w:r>
        <w:tab/>
      </w:r>
      <w:r>
        <w:rPr>
          <w:noProof/>
        </w:rPr>
        <w:t>Menetluse hõlbustamiseks investorite, väärtpaberistamistehingu algatajate, sponsorite ja eriotstarbeliste väärtpaber</w:t>
      </w:r>
      <w:r>
        <w:rPr>
          <w:noProof/>
        </w:rPr>
        <w:t>istamisüksuste jaoks tuleks komisjonile delegeerida sama õigus võtta vastu õigusakte seoses regulatiivsete tehniliste standardite vastuvõtmisega, milles käsitletakse standardväärtpaberistamise teadete vormi, kust investorid ja pädevad asutused saavad piisa</w:t>
      </w:r>
      <w:r>
        <w:rPr>
          <w:noProof/>
        </w:rPr>
        <w:t>valt teavet, et hinnata standardväärtpaberistamise nõuete täitmist. Arvestades ESMA asjatundlikkust delegeeritud õigusaktide alal peaks komisjon neid ekspertteadmisi kasutama delegeeritud õigusakte ette valmistades. ESMA peaks tihedalt konsulteerima ülejää</w:t>
      </w:r>
      <w:r>
        <w:rPr>
          <w:noProof/>
        </w:rPr>
        <w:t>nud kahe Euroopa järelevalveasutusega.</w:t>
      </w:r>
    </w:p>
    <w:p w:rsidR="003563AD" w:rsidRDefault="00251882">
      <w:pPr>
        <w:pStyle w:val="ManualConsidrant"/>
        <w:rPr>
          <w:noProof/>
        </w:rPr>
      </w:pPr>
      <w:r>
        <w:t>(33)</w:t>
      </w:r>
      <w:r>
        <w:tab/>
      </w:r>
      <w:r>
        <w:rPr>
          <w:noProof/>
        </w:rPr>
        <w:t>Pädevate asutuste koostöö ning teabevahetuse kohustuse täitmise tingimuste täpsustamiseks tuleks komisjonile delegeerida sama õigus võtta vastu õigusakte seoses regulatiivsete tehniliste standardite vastuvõtmiseg</w:t>
      </w:r>
      <w:r>
        <w:rPr>
          <w:noProof/>
        </w:rPr>
        <w:t>a, milles sätestatakse vahetatav teave ning teatamiskohustuse sisu ja ulatus. Arvestades ESMA asjatundlikkust delegeeritud õigusaktide alal peaks komisjon neid ekspertteadmisi kasutama delegeeritud õigusakte ette valmistades. ESMA peaks tihedalt konsulteer</w:t>
      </w:r>
      <w:r>
        <w:rPr>
          <w:noProof/>
        </w:rPr>
        <w:t>ima ülejäänud kahe Euroopa järelevalveasutusega.</w:t>
      </w:r>
    </w:p>
    <w:p w:rsidR="003563AD" w:rsidRDefault="00251882">
      <w:pPr>
        <w:pStyle w:val="ManualConsidrant"/>
        <w:rPr>
          <w:noProof/>
          <w:szCs w:val="24"/>
        </w:rPr>
      </w:pPr>
      <w:r>
        <w:t>(34)</w:t>
      </w:r>
      <w:r>
        <w:tab/>
      </w:r>
      <w:r>
        <w:rPr>
          <w:noProof/>
        </w:rPr>
        <w:t>Delegeeritud õigusaktide ettevalmistamisel ja koostamisel peaks komisjon tagama asjaomaste dokumentide sama- ja õigeaegse ning asjakohase edastamise Euroopa Parlamendile ja nõukogule.</w:t>
      </w:r>
    </w:p>
    <w:p w:rsidR="003563AD" w:rsidRDefault="00251882">
      <w:pPr>
        <w:pStyle w:val="ManualConsidrant"/>
        <w:rPr>
          <w:noProof/>
          <w:szCs w:val="24"/>
        </w:rPr>
      </w:pPr>
      <w:r>
        <w:t>(35)</w:t>
      </w:r>
      <w:r>
        <w:tab/>
      </w:r>
      <w:r>
        <w:rPr>
          <w:noProof/>
        </w:rPr>
        <w:t>Kuna käesolev</w:t>
      </w:r>
      <w:r>
        <w:rPr>
          <w:noProof/>
        </w:rPr>
        <w:t>a määruse eesmärke ei suuda liikmesriigid piisavalt saavutada, arvestades, et väärtpaberistamise turud töötavad üleilmselt ning kõigile väärtpaberistamisega seotud institutsionaalsetele investoritele ja üksustele tuleks siseturul luua võrdsed tingimused, k</w:t>
      </w:r>
      <w:r>
        <w:rPr>
          <w:noProof/>
        </w:rPr>
        <w:t>uid need on oma ulatuse ja mõju tõttu paremini saavutatavad liidu tasandil, võib liit võtta meetmeid kooskõlas Euroopa Liidu lepingu artiklis 5 sätestatud subsidiaarsuse põhimõttega. Kõnealuses artiklis sätestatud proportsionaalsuse põhimõtte kohaselt ei l</w:t>
      </w:r>
      <w:r>
        <w:rPr>
          <w:noProof/>
        </w:rPr>
        <w:t>ähe käesolev määrus nimetatud eesmärkide saavutamiseks vajalikust kaugemale.</w:t>
      </w:r>
    </w:p>
    <w:p w:rsidR="003563AD" w:rsidRDefault="00251882">
      <w:pPr>
        <w:pStyle w:val="ManualConsidrant"/>
        <w:rPr>
          <w:rFonts w:eastAsia="Calibri"/>
          <w:noProof/>
        </w:rPr>
      </w:pPr>
      <w:r>
        <w:t>(36)</w:t>
      </w:r>
      <w:r>
        <w:tab/>
      </w:r>
      <w:r>
        <w:rPr>
          <w:noProof/>
        </w:rPr>
        <w:t>Käesolevat määrust tuleks kohaldada väärtpaberistamiste suhtes, mille raames emiteeritakse väärtpaberid käesoleva määruse jõustumise kuupäeval või pärast seda.</w:t>
      </w:r>
    </w:p>
    <w:p w:rsidR="003563AD" w:rsidRDefault="00251882">
      <w:pPr>
        <w:pStyle w:val="ManualConsidrant"/>
        <w:rPr>
          <w:rFonts w:eastAsia="Calibri"/>
          <w:noProof/>
        </w:rPr>
      </w:pPr>
      <w:r>
        <w:t>(37)</w:t>
      </w:r>
      <w:r>
        <w:tab/>
      </w:r>
      <w:r>
        <w:rPr>
          <w:noProof/>
        </w:rPr>
        <w:t>Käesoleva</w:t>
      </w:r>
      <w:r>
        <w:rPr>
          <w:noProof/>
        </w:rPr>
        <w:t xml:space="preserve"> määruse jõustumise kuupäeva seisuga avatud väärtpaberistamise positsioonide puhul võivad väärtpaberistamistehingu algatajad, sponsorid ja eriotstarbelised väärtpaberistamisettevõtjad kasutada standardväärtpaberistamise nimetust juhul, kui väärtpaberistami</w:t>
      </w:r>
      <w:r>
        <w:rPr>
          <w:noProof/>
        </w:rPr>
        <w:t>ne vastab standardväärtpaberistamise nõuetele. Seetõttu peaks väärtpaberistamistehingu algatajatel, sponsoritel ja eriotstarbelistel väärtpaberistamisettevõtjatel olema võimalik esitada ESMA-le käesoleva määruse artikli 14 lõike 1 alusel standardväärtpaber</w:t>
      </w:r>
      <w:r>
        <w:rPr>
          <w:noProof/>
        </w:rPr>
        <w:t>istamise teade.</w:t>
      </w:r>
    </w:p>
    <w:p w:rsidR="003563AD" w:rsidRDefault="00251882">
      <w:pPr>
        <w:pStyle w:val="ManualConsidrant"/>
        <w:rPr>
          <w:rFonts w:eastAsia="Calibri"/>
          <w:noProof/>
        </w:rPr>
      </w:pPr>
      <w:r>
        <w:t>(38)</w:t>
      </w:r>
      <w:r>
        <w:tab/>
      </w:r>
      <w:r>
        <w:rPr>
          <w:noProof/>
        </w:rPr>
        <w:t>Hoolsuskohustuse nõuded on suures osas võetud üle kehtivast liidu õigusest ning neid tuleks seega kohaldada 1. jaanuaril 2011 või pärast seda kuupäeva emiteeritud väärtpaberistamiste suhtes ning enne nimetatud kuupäeva emiteeritud väär</w:t>
      </w:r>
      <w:r>
        <w:rPr>
          <w:noProof/>
        </w:rPr>
        <w:t>tpaberistamiste suhtes, juhul kui uued aluspositsioonid on lisatud või neid on asendatud pärast 31. detsembrit 2014. Komisjoni delegeeritud määruse (EL) nr 625/2014 asjaomaseid artikleid, milles täpsustatakse määruse (EL) nr 2013/575 artikli 4 lõike 1 punk</w:t>
      </w:r>
      <w:r>
        <w:rPr>
          <w:noProof/>
        </w:rPr>
        <w:t>tides 1 ja 2 määratletud krediidiasutuste ja investeerimisühingute suhtes kohaldatavaid riski säilitamise nõudeid, tuleks kohaldada seni, kuni jõustuvad käesoleva määruse kohased riski säilitamist käsitlevad regulatiivsed tehnilised standardid. Õiguskindlu</w:t>
      </w:r>
      <w:r>
        <w:rPr>
          <w:noProof/>
        </w:rPr>
        <w:t xml:space="preserve">se tagamiseks tuleks krediidiasutuste või investeerimisühingute, kindlustus- ja edasikindlustusandjate ning alternatiivsete investeerimisfondide valitsejate suhtes käesoleva määruse jõustumise kuupäeva seisuga avatud väärtpaberistamise positsioonide puhul </w:t>
      </w:r>
      <w:r>
        <w:rPr>
          <w:noProof/>
        </w:rPr>
        <w:t>kohaldada jätkuvalt määruse (EL) nr 575/2013 artiklit 405, komisjoni delegeeritud määruse (EL) nr 625/2014 peatükke 1–3 ja artiklit 22, komisjoni delegeeritud määruse (EL) 2015/35 artikleid 254 ja 255 ning komisjoni delegeeritud määruse (EL) nr 231/2013 ar</w:t>
      </w:r>
      <w:r>
        <w:rPr>
          <w:noProof/>
        </w:rPr>
        <w:t>tiklit 51. Selle tagamiseks, et väärtpaberistamistehingu algatajad, sponsorid ja eriotstarbelised väärtpaberistamisüksused täidaksid oma läbipaistvuskohustusi, teevad nad käesoleva määruse artikli 5 lõikes 4 osutatud veebisaidil kättesaadavaks delegeeritud</w:t>
      </w:r>
      <w:r>
        <w:rPr>
          <w:noProof/>
        </w:rPr>
        <w:t xml:space="preserve"> määruse 2015/3/EL I–VIII lisas esitatud teabe seni, kuni hakatakse kohaldama komisjoni poolt käesoleva määruse alusel vastu võetavaid regulatiivseid tehnilisi standardeid.</w:t>
      </w:r>
    </w:p>
    <w:p w:rsidR="003563AD" w:rsidRDefault="00251882">
      <w:pPr>
        <w:pStyle w:val="Formuledadoption"/>
        <w:rPr>
          <w:noProof/>
        </w:rPr>
      </w:pPr>
      <w:r>
        <w:rPr>
          <w:noProof/>
        </w:rPr>
        <w:t>ON VASTU VÕTNUD KÄESOLEVA MÄÄRUSE:</w:t>
      </w:r>
    </w:p>
    <w:p w:rsidR="003563AD" w:rsidRDefault="003563AD">
      <w:pPr>
        <w:rPr>
          <w:noProof/>
        </w:rPr>
      </w:pPr>
    </w:p>
    <w:p w:rsidR="003563AD" w:rsidRDefault="003563AD">
      <w:pPr>
        <w:keepNext/>
        <w:spacing w:after="360"/>
        <w:jc w:val="center"/>
        <w:rPr>
          <w:b/>
          <w:smallCaps/>
          <w:noProof/>
          <w:sz w:val="28"/>
        </w:rPr>
      </w:pPr>
    </w:p>
    <w:p w:rsidR="003563AD" w:rsidRDefault="00251882">
      <w:pPr>
        <w:pStyle w:val="ChapterTitle"/>
        <w:rPr>
          <w:noProof/>
        </w:rPr>
      </w:pPr>
      <w:r>
        <w:rPr>
          <w:noProof/>
        </w:rPr>
        <w:t>1. peatükk</w:t>
      </w:r>
    </w:p>
    <w:p w:rsidR="003563AD" w:rsidRDefault="00251882">
      <w:pPr>
        <w:pStyle w:val="ChapterTitle"/>
        <w:rPr>
          <w:noProof/>
        </w:rPr>
      </w:pPr>
      <w:r>
        <w:rPr>
          <w:noProof/>
        </w:rPr>
        <w:t xml:space="preserve">Üldsätted </w:t>
      </w:r>
    </w:p>
    <w:p w:rsidR="003563AD" w:rsidRDefault="003563AD">
      <w:pPr>
        <w:pStyle w:val="Titrearticle"/>
        <w:rPr>
          <w:noProof/>
        </w:rPr>
      </w:pPr>
    </w:p>
    <w:p w:rsidR="003563AD" w:rsidRDefault="00251882">
      <w:pPr>
        <w:pStyle w:val="Titrearticle"/>
        <w:rPr>
          <w:noProof/>
        </w:rPr>
      </w:pPr>
      <w:r>
        <w:rPr>
          <w:noProof/>
        </w:rPr>
        <w:t>Artikkel 1</w:t>
      </w:r>
    </w:p>
    <w:p w:rsidR="003563AD" w:rsidRDefault="00251882">
      <w:pPr>
        <w:pStyle w:val="Titrearticle"/>
        <w:rPr>
          <w:b/>
          <w:noProof/>
        </w:rPr>
      </w:pPr>
      <w:r>
        <w:rPr>
          <w:b/>
          <w:i w:val="0"/>
          <w:noProof/>
        </w:rPr>
        <w:t>Sisu ja regu</w:t>
      </w:r>
      <w:r>
        <w:rPr>
          <w:b/>
          <w:i w:val="0"/>
          <w:noProof/>
        </w:rPr>
        <w:t>leerimisala</w:t>
      </w:r>
    </w:p>
    <w:p w:rsidR="003563AD" w:rsidRDefault="00251882">
      <w:pPr>
        <w:pStyle w:val="ManualNumPar1"/>
        <w:rPr>
          <w:noProof/>
        </w:rPr>
      </w:pPr>
      <w:r>
        <w:t>1.</w:t>
      </w:r>
      <w:r>
        <w:tab/>
      </w:r>
      <w:r>
        <w:rPr>
          <w:noProof/>
        </w:rPr>
        <w:t>Käesolevas määruses sätestatakse väärtpaberistamise üldraamistik. Selles määratletakse väärtpaberistamine ning kehtestatakse hoolsuskohustuse, riski säilitamise ja läbipaistvusnõuded väärtpaberistamistes osalevatele isikutele, kelleks on näi</w:t>
      </w:r>
      <w:r>
        <w:rPr>
          <w:noProof/>
        </w:rPr>
        <w:t>teks institutsionaalsed investorid, väärtpaberistamistehingu algatajad, sponsorid, algsed laenuandjad ja eriotstarbelised väärtpaberistamisüksused. Samuti nähakse määrusega ette lihtsa, läbipaistva ja standarditud väärtpaberistamise ehk standardväärtpaberi</w:t>
      </w:r>
      <w:r>
        <w:rPr>
          <w:noProof/>
        </w:rPr>
        <w:t>stamise raamistik.</w:t>
      </w:r>
    </w:p>
    <w:p w:rsidR="003563AD" w:rsidRDefault="00251882">
      <w:pPr>
        <w:pStyle w:val="ManualNumPar1"/>
        <w:rPr>
          <w:noProof/>
        </w:rPr>
      </w:pPr>
      <w:r>
        <w:t>2.</w:t>
      </w:r>
      <w:r>
        <w:tab/>
      </w:r>
      <w:r>
        <w:rPr>
          <w:noProof/>
        </w:rPr>
        <w:t>Käesolevat määrust kohaldatakse institutsionaalsete investorite suhtes, kellel tekib väärtpaberistamisest tulenev riskipositsioon, ning väärtpaberistamistehingu algatajate, algsete laenuandjate, sponsorite ja eriotstarbeliste väärtpab</w:t>
      </w:r>
      <w:r>
        <w:rPr>
          <w:noProof/>
        </w:rPr>
        <w:t>eristamisüksuste suhtes.</w:t>
      </w:r>
    </w:p>
    <w:p w:rsidR="003563AD" w:rsidRDefault="00251882">
      <w:pPr>
        <w:pStyle w:val="Titrearticle"/>
        <w:rPr>
          <w:noProof/>
        </w:rPr>
      </w:pPr>
      <w:r>
        <w:rPr>
          <w:noProof/>
        </w:rPr>
        <w:t>Artikkel 2</w:t>
      </w:r>
    </w:p>
    <w:p w:rsidR="003563AD" w:rsidRDefault="00251882">
      <w:pPr>
        <w:spacing w:before="0" w:after="0"/>
        <w:jc w:val="center"/>
        <w:rPr>
          <w:b/>
          <w:noProof/>
        </w:rPr>
      </w:pPr>
      <w:r>
        <w:rPr>
          <w:b/>
          <w:noProof/>
        </w:rPr>
        <w:t>Mõisted</w:t>
      </w:r>
    </w:p>
    <w:p w:rsidR="003563AD" w:rsidRDefault="00251882">
      <w:pPr>
        <w:rPr>
          <w:noProof/>
          <w:szCs w:val="24"/>
        </w:rPr>
      </w:pPr>
      <w:r>
        <w:rPr>
          <w:noProof/>
        </w:rPr>
        <w:t>Käesolevas määruses kasutatakse järgmisi mõisteid:</w:t>
      </w:r>
    </w:p>
    <w:p w:rsidR="003563AD" w:rsidRDefault="00251882">
      <w:pPr>
        <w:pStyle w:val="Point0number"/>
        <w:numPr>
          <w:ilvl w:val="0"/>
          <w:numId w:val="26"/>
        </w:numPr>
        <w:rPr>
          <w:noProof/>
        </w:rPr>
      </w:pPr>
      <w:r>
        <w:rPr>
          <w:noProof/>
        </w:rPr>
        <w:t xml:space="preserve">„väärtpaberistamine” – tehing või skeem, millega riskipositsiooni või riskipositsioonide kogumiga seonduv krediidirisk kantakse üle erineva nõudeõiguse järguga </w:t>
      </w:r>
      <w:r>
        <w:rPr>
          <w:noProof/>
        </w:rPr>
        <w:t>väärtpaberistamisseeriatele ja millel on mõlemad järgmised tunnused:</w:t>
      </w:r>
    </w:p>
    <w:p w:rsidR="003563AD" w:rsidRDefault="00251882">
      <w:pPr>
        <w:pStyle w:val="Point1letter"/>
        <w:numPr>
          <w:ilvl w:val="3"/>
          <w:numId w:val="17"/>
        </w:numPr>
        <w:rPr>
          <w:noProof/>
        </w:rPr>
      </w:pPr>
      <w:r>
        <w:rPr>
          <w:noProof/>
        </w:rPr>
        <w:t>tehingu või skeemi raames tehtavad maksed sõltuvad riskipositsioonide või riskipositsioonide kogumi tulemusnäitajatest;</w:t>
      </w:r>
    </w:p>
    <w:p w:rsidR="003563AD" w:rsidRDefault="00251882">
      <w:pPr>
        <w:pStyle w:val="Point1letter"/>
        <w:numPr>
          <w:ilvl w:val="3"/>
          <w:numId w:val="17"/>
        </w:numPr>
        <w:rPr>
          <w:noProof/>
        </w:rPr>
      </w:pPr>
      <w:r>
        <w:rPr>
          <w:noProof/>
        </w:rPr>
        <w:t xml:space="preserve">kahjude jaotuse tehingu või skeemi kehtivusaja jooksul määrab see, </w:t>
      </w:r>
      <w:r>
        <w:rPr>
          <w:noProof/>
        </w:rPr>
        <w:t>kuidas väärtpaberistamisseeriad on allutatud;</w:t>
      </w:r>
    </w:p>
    <w:p w:rsidR="003563AD" w:rsidRDefault="00251882">
      <w:pPr>
        <w:pStyle w:val="Point0number"/>
        <w:numPr>
          <w:ilvl w:val="0"/>
          <w:numId w:val="17"/>
        </w:numPr>
        <w:rPr>
          <w:noProof/>
          <w:color w:val="000000"/>
        </w:rPr>
      </w:pPr>
      <w:r>
        <w:rPr>
          <w:noProof/>
        </w:rPr>
        <w:t xml:space="preserve">„eriotstarbeline väärtpaberistamisüksus” – äriühing, usaldusfond või muu juriidiline isik, kes ei ole väärtpaberistamistehingu algataja ega sponsor ja kes on loodud ühe või mitme väärtpaberistamise läbiviimise </w:t>
      </w:r>
      <w:r>
        <w:rPr>
          <w:noProof/>
        </w:rPr>
        <w:t>eesmärgil ja mille tegevus on piiratud selle eesmärgi saavutamiseks vajalikuga ja mille struktuuri eesmärk on eraldada eriotstarbelise väärtpaberistamisüksuse kohustused väärtpaberistamistehingu algataja kohustustest ning milles majanduslikku huvi omavad i</w:t>
      </w:r>
      <w:r>
        <w:rPr>
          <w:noProof/>
        </w:rPr>
        <w:t>sikud võivad oma osalust ilma piiranguteta pantida või vahetada;</w:t>
      </w:r>
    </w:p>
    <w:p w:rsidR="003563AD" w:rsidRDefault="00251882">
      <w:pPr>
        <w:pStyle w:val="Point0number"/>
        <w:numPr>
          <w:ilvl w:val="0"/>
          <w:numId w:val="17"/>
        </w:numPr>
        <w:rPr>
          <w:noProof/>
          <w:color w:val="000000"/>
        </w:rPr>
      </w:pPr>
      <w:r>
        <w:rPr>
          <w:noProof/>
          <w:color w:val="000000"/>
        </w:rPr>
        <w:t>„väärtpaberistamistehingu algataja” –üksus, mis:</w:t>
      </w:r>
    </w:p>
    <w:p w:rsidR="003563AD" w:rsidRDefault="00251882">
      <w:pPr>
        <w:pStyle w:val="Point1letter"/>
        <w:numPr>
          <w:ilvl w:val="3"/>
          <w:numId w:val="17"/>
        </w:numPr>
        <w:rPr>
          <w:noProof/>
        </w:rPr>
      </w:pPr>
      <w:r>
        <w:rPr>
          <w:noProof/>
        </w:rPr>
        <w:t>oli ise või endaga seotud üksuste kaudu otseselt või kaudselt seotud algse lepinguga, millega tekkisid võlgniku või potentsiaalse võlgniku koh</w:t>
      </w:r>
      <w:r>
        <w:rPr>
          <w:noProof/>
        </w:rPr>
        <w:t>ustused või potentsiaalsed kohustused, millest väärtpaberistatavad riskipositsioonid tulenevad, või</w:t>
      </w:r>
    </w:p>
    <w:p w:rsidR="003563AD" w:rsidRDefault="00251882">
      <w:pPr>
        <w:pStyle w:val="Point1letter"/>
        <w:numPr>
          <w:ilvl w:val="3"/>
          <w:numId w:val="17"/>
        </w:numPr>
        <w:rPr>
          <w:noProof/>
        </w:rPr>
      </w:pPr>
      <w:r>
        <w:rPr>
          <w:noProof/>
        </w:rPr>
        <w:t>enda arvel ostab kolmanda isiku suhtes olevad riskipositsioonid ja seejärel väärtpaberistab need;</w:t>
      </w:r>
    </w:p>
    <w:p w:rsidR="003563AD" w:rsidRDefault="00251882">
      <w:pPr>
        <w:pStyle w:val="Point0number"/>
        <w:numPr>
          <w:ilvl w:val="0"/>
          <w:numId w:val="17"/>
        </w:numPr>
        <w:rPr>
          <w:noProof/>
          <w:color w:val="000000"/>
        </w:rPr>
      </w:pPr>
      <w:r>
        <w:rPr>
          <w:noProof/>
          <w:color w:val="000000"/>
        </w:rPr>
        <w:t>„edasiväärtpaberistamine” – väärtpaberistamine, kus vähema</w:t>
      </w:r>
      <w:r>
        <w:rPr>
          <w:noProof/>
          <w:color w:val="000000"/>
        </w:rPr>
        <w:t>lt üks aluspositsioon on väärtpaberistamise positsioon;</w:t>
      </w:r>
    </w:p>
    <w:p w:rsidR="003563AD" w:rsidRDefault="00251882">
      <w:pPr>
        <w:pStyle w:val="Point0number"/>
        <w:numPr>
          <w:ilvl w:val="0"/>
          <w:numId w:val="17"/>
        </w:numPr>
        <w:rPr>
          <w:noProof/>
        </w:rPr>
      </w:pPr>
      <w:r>
        <w:rPr>
          <w:noProof/>
        </w:rPr>
        <w:t>„sponsor” – määruse (EL) nr 2013/575 artikli 4 lõike 1 punktides 1 ja 2 määratletud krediidiasutus või investeerimisühing, kes ei ole väärtpaberistamistehingu algataja, kes koostab varaga tagatud komm</w:t>
      </w:r>
      <w:r>
        <w:rPr>
          <w:noProof/>
        </w:rPr>
        <w:t>ertsväärtpaberite programmi või muu väärtpaberistamistehingu või -skeemi, mille alusel ostetakse kolmandatelt isikutelt riskipositsioone, ja haldab seda;</w:t>
      </w:r>
    </w:p>
    <w:p w:rsidR="003563AD" w:rsidRDefault="00251882">
      <w:pPr>
        <w:pStyle w:val="Point0number"/>
        <w:numPr>
          <w:ilvl w:val="0"/>
          <w:numId w:val="17"/>
        </w:numPr>
        <w:rPr>
          <w:noProof/>
        </w:rPr>
      </w:pPr>
      <w:r>
        <w:rPr>
          <w:noProof/>
        </w:rPr>
        <w:t>„väärtpaberistamisseeria” – lepingust tulenev krediidiriski segment, mis on seotud teatava riskiposits</w:t>
      </w:r>
      <w:r>
        <w:rPr>
          <w:noProof/>
        </w:rPr>
        <w:t>iooni või riskipositsioonide kogumiga, mille puhul positsiooniga ühes segmendis kaasneb suurem või väiksem krediidikahju risk kui sama suure positsiooniga teises segmendis, arvestamata krediidiriski kaitset, mida kolmandad isikud annavad vahetult kõnealuse</w:t>
      </w:r>
      <w:r>
        <w:rPr>
          <w:noProof/>
        </w:rPr>
        <w:t>s segmendis või muudes segmentides positsioone hoidvatele isikutele;</w:t>
      </w:r>
    </w:p>
    <w:p w:rsidR="003563AD" w:rsidRDefault="00251882">
      <w:pPr>
        <w:pStyle w:val="Point0number"/>
        <w:numPr>
          <w:ilvl w:val="0"/>
          <w:numId w:val="17"/>
        </w:numPr>
        <w:rPr>
          <w:noProof/>
        </w:rPr>
      </w:pPr>
      <w:r>
        <w:rPr>
          <w:noProof/>
        </w:rPr>
        <w:t>„varaga tagatud kommertsväärtpaberite programm” – väärtpaberistamise programm, mille raames emiteeritavateks väärtpaberiteks on valdavalt varaga tagatud kommertsväärtpaberid, mille esialg</w:t>
      </w:r>
      <w:r>
        <w:rPr>
          <w:noProof/>
        </w:rPr>
        <w:t>ne tähtaeg ei ole pikem kui üks aasta;</w:t>
      </w:r>
    </w:p>
    <w:p w:rsidR="003563AD" w:rsidRDefault="00251882">
      <w:pPr>
        <w:pStyle w:val="Point0number"/>
        <w:numPr>
          <w:ilvl w:val="0"/>
          <w:numId w:val="17"/>
        </w:numPr>
        <w:rPr>
          <w:noProof/>
          <w:szCs w:val="24"/>
        </w:rPr>
      </w:pPr>
      <w:r>
        <w:rPr>
          <w:noProof/>
        </w:rPr>
        <w:t>„varaga tagatud kommertsväärtpaberite tehing” – varaga tagatud kommertsväärtpaberite programmi raames toimuv väärtpaberistamine;</w:t>
      </w:r>
    </w:p>
    <w:p w:rsidR="003563AD" w:rsidRDefault="00251882">
      <w:pPr>
        <w:pStyle w:val="Point0number"/>
        <w:numPr>
          <w:ilvl w:val="0"/>
          <w:numId w:val="17"/>
        </w:numPr>
        <w:rPr>
          <w:noProof/>
          <w:color w:val="000000"/>
          <w:szCs w:val="24"/>
        </w:rPr>
      </w:pPr>
      <w:r>
        <w:rPr>
          <w:noProof/>
          <w:color w:val="000000"/>
        </w:rPr>
        <w:t>„traditsiooniline väärtpaberistamine” – väärtpaberistamine, mille käigus toimub väärtpab</w:t>
      </w:r>
      <w:r>
        <w:rPr>
          <w:noProof/>
          <w:color w:val="000000"/>
        </w:rPr>
        <w:t>eristatavate riskipositsioonide majanduslik loovutamine. See saavutatakse kas väärtpaberistatud riskipositsioonide omandiõiguse ülemineku teel väärtpaberistamistehingu algatanud krediidiasutuselt või investeerimisühingult eriotstarbelisele väärtpaberistami</w:t>
      </w:r>
      <w:r>
        <w:rPr>
          <w:noProof/>
          <w:color w:val="000000"/>
        </w:rPr>
        <w:t>süksusele või eriotstarbelise väärtpaberistamisüksuse kaudse osaluse meetodil. Emiteeritud väärtpaberitest ei tulene väärtpaberistamistehingu algatanud krediidiasutuse või investeerimisühingu jaoks maksekohustusi;</w:t>
      </w:r>
    </w:p>
    <w:p w:rsidR="003563AD" w:rsidRDefault="00251882">
      <w:pPr>
        <w:pStyle w:val="Point0number"/>
        <w:numPr>
          <w:ilvl w:val="0"/>
          <w:numId w:val="17"/>
        </w:numPr>
        <w:rPr>
          <w:noProof/>
          <w:color w:val="000000"/>
        </w:rPr>
      </w:pPr>
      <w:r>
        <w:rPr>
          <w:noProof/>
        </w:rPr>
        <w:t xml:space="preserve">„sünteetiline väärtpaberistamine” – </w:t>
      </w:r>
      <w:r>
        <w:rPr>
          <w:noProof/>
        </w:rPr>
        <w:t>väärtpaberistamine, mille käigus saavutatakse riski ülekandmine krediidituletisinstrumente või garantiisid kasutades ning väärtpaberistatavad riskipositsioonid jäävad väärtpaberistamistehingu algataja riskipositsioonideks;</w:t>
      </w:r>
    </w:p>
    <w:p w:rsidR="003563AD" w:rsidRDefault="00251882">
      <w:pPr>
        <w:pStyle w:val="Point0number"/>
        <w:numPr>
          <w:ilvl w:val="0"/>
          <w:numId w:val="17"/>
        </w:numPr>
        <w:rPr>
          <w:noProof/>
        </w:rPr>
      </w:pPr>
      <w:r>
        <w:rPr>
          <w:noProof/>
        </w:rPr>
        <w:t>„investor” – väärtpaberistamise k</w:t>
      </w:r>
      <w:r>
        <w:rPr>
          <w:noProof/>
        </w:rPr>
        <w:t>äigus emiteeritud väärtpabereid omav isik;</w:t>
      </w:r>
    </w:p>
    <w:p w:rsidR="003563AD" w:rsidRDefault="00251882">
      <w:pPr>
        <w:pStyle w:val="Point0number"/>
        <w:numPr>
          <w:ilvl w:val="0"/>
          <w:numId w:val="17"/>
        </w:numPr>
        <w:rPr>
          <w:noProof/>
          <w:szCs w:val="24"/>
        </w:rPr>
      </w:pPr>
      <w:r>
        <w:rPr>
          <w:noProof/>
        </w:rPr>
        <w:t>„institutsionaalsed investorid” – kindlustusandjad Euroopa Parlamendi ja nõukogu 25. novembri 2009. aasta direktiivi 2009/138/EÜ (kindlustus- ja edasikindlustustegevuse alustamise ja jätkamise kohta (Solventsus II</w:t>
      </w:r>
      <w:r>
        <w:rPr>
          <w:noProof/>
        </w:rPr>
        <w:t>)) artikli 13 lõike 1 tähenduses;</w:t>
      </w:r>
      <w:r>
        <w:rPr>
          <w:noProof/>
          <w:color w:val="000000"/>
        </w:rPr>
        <w:t xml:space="preserve"> edasikindlustusandjad direktiivi 2009/138/EÜ artikli 13 punkti 4 tähenduses; </w:t>
      </w:r>
      <w:r>
        <w:rPr>
          <w:noProof/>
        </w:rPr>
        <w:t>tööandjapensioni kogumisasutused, mis kuuluvad Euroopa Parlamendi ja nõukogu direktiivi 2003/41/EÜ</w:t>
      </w:r>
      <w:r>
        <w:rPr>
          <w:rStyle w:val="FootnoteReference"/>
          <w:noProof/>
        </w:rPr>
        <w:footnoteReference w:id="25"/>
      </w:r>
      <w:r>
        <w:rPr>
          <w:noProof/>
        </w:rPr>
        <w:t xml:space="preserve"> kohaldamisalasse vastavalt selle artiklile 2,</w:t>
      </w:r>
      <w:r>
        <w:rPr>
          <w:noProof/>
        </w:rPr>
        <w:t xml:space="preserve"> välja arvatud juhul, kui liikmesriik on vastavalt kõnealuse direktiivi artiklile 5 otsustanud kõnealust direktiivi kõnealuse asutuse suhtes tervikuna või osaliselt mitte kohaldada; alternatiivse investeerimisfondi (AIFi) valitseja Euroopa Parlamendi ja nõ</w:t>
      </w:r>
      <w:r>
        <w:rPr>
          <w:noProof/>
        </w:rPr>
        <w:t>ukogu direktiivi 2011/61/EL</w:t>
      </w:r>
      <w:r>
        <w:rPr>
          <w:rStyle w:val="FootnoteReference"/>
          <w:noProof/>
        </w:rPr>
        <w:footnoteReference w:id="26"/>
      </w:r>
      <w:r>
        <w:rPr>
          <w:noProof/>
        </w:rPr>
        <w:t xml:space="preserve"> artikli 4 lõike 1 punkti b tähenduses, kes valitseb ja/või turustab liidus AIFe; või eurofondi valitseja Euroopa Parlamendi ja nõukogu direktiivi 2009/65/EÜ</w:t>
      </w:r>
      <w:r>
        <w:rPr>
          <w:rStyle w:val="FootnoteReference"/>
          <w:noProof/>
        </w:rPr>
        <w:footnoteReference w:id="27"/>
      </w:r>
      <w:r>
        <w:rPr>
          <w:noProof/>
        </w:rPr>
        <w:t xml:space="preserve"> artikli 2 lõike 1 punkti b tähenduses; või siseselt valitsetav eurofo</w:t>
      </w:r>
      <w:r>
        <w:rPr>
          <w:noProof/>
        </w:rPr>
        <w:t xml:space="preserve">nd, mis on äriühinguna asutatud fond, mis on saanud tegevusloa kooskõlas direktiiviga 2009/65/EÜ ning mis ei ole määranud kõnealuse direktiivi alusel tegevusloa saanud fondivalitsejat; või krediidiasutused või investeerimisühingud määruse (EL) nr 2013/575 </w:t>
      </w:r>
      <w:r>
        <w:rPr>
          <w:noProof/>
        </w:rPr>
        <w:t>artikli 4 lõike 1 punktide 1 ja 2 tähenduses;</w:t>
      </w:r>
    </w:p>
    <w:p w:rsidR="003563AD" w:rsidRDefault="00251882">
      <w:pPr>
        <w:pStyle w:val="Point0number"/>
        <w:numPr>
          <w:ilvl w:val="0"/>
          <w:numId w:val="17"/>
        </w:numPr>
        <w:rPr>
          <w:noProof/>
          <w:color w:val="000000"/>
          <w:szCs w:val="24"/>
        </w:rPr>
      </w:pPr>
      <w:r>
        <w:rPr>
          <w:noProof/>
          <w:color w:val="000000"/>
        </w:rPr>
        <w:t>„maksete vahendaja” – üksus määruse nr 2013/575/EL artikli 142 lõike 1 punkti 8 tähenduses;</w:t>
      </w:r>
    </w:p>
    <w:p w:rsidR="003563AD" w:rsidRDefault="00251882">
      <w:pPr>
        <w:pStyle w:val="Point0number"/>
        <w:numPr>
          <w:ilvl w:val="0"/>
          <w:numId w:val="17"/>
        </w:numPr>
        <w:rPr>
          <w:noProof/>
        </w:rPr>
      </w:pPr>
      <w:r>
        <w:rPr>
          <w:noProof/>
        </w:rPr>
        <w:t>„likviidsuse tagamise tehing” – väärtpaberistamise positsioon, mis tuleneb lepingulisest kokkuleppest pakkuda rahastam</w:t>
      </w:r>
      <w:r>
        <w:rPr>
          <w:noProof/>
        </w:rPr>
        <w:t>ist, kindlustamaks rahavoogude õigeaegne laekumine investoritele;</w:t>
      </w:r>
    </w:p>
    <w:p w:rsidR="003563AD" w:rsidRDefault="00251882">
      <w:pPr>
        <w:pStyle w:val="Point0number"/>
        <w:numPr>
          <w:ilvl w:val="0"/>
          <w:numId w:val="17"/>
        </w:numPr>
        <w:rPr>
          <w:noProof/>
          <w:szCs w:val="24"/>
        </w:rPr>
      </w:pPr>
      <w:r>
        <w:rPr>
          <w:noProof/>
        </w:rPr>
        <w:t>„uuenev nõue” – riskipositsioon, mille puhul kliendi laenujäägil lubatakse kokkulepitud limiidi piires kõikuda olenevalt tema otsustest laenu võtta või seda tagasi maksta;</w:t>
      </w:r>
    </w:p>
    <w:p w:rsidR="003563AD" w:rsidRDefault="00251882">
      <w:pPr>
        <w:pStyle w:val="Point0number"/>
        <w:numPr>
          <w:ilvl w:val="0"/>
          <w:numId w:val="17"/>
        </w:numPr>
        <w:rPr>
          <w:noProof/>
        </w:rPr>
      </w:pPr>
      <w:r>
        <w:rPr>
          <w:noProof/>
        </w:rPr>
        <w:t>„uuenev väärtpaber</w:t>
      </w:r>
      <w:r>
        <w:rPr>
          <w:noProof/>
        </w:rPr>
        <w:t>istamine” – väärtpaberistamine, mille puhul väärtpaberistamise struktuur uueneb ise, kuna positsioonide kogumisse kas lisatakse või sealt kõrvaldatakse positsioone, sõltumata sellest, kas positsioonid uuenevad või mitte;</w:t>
      </w:r>
    </w:p>
    <w:p w:rsidR="003563AD" w:rsidRDefault="00251882">
      <w:pPr>
        <w:pStyle w:val="Point0number"/>
        <w:numPr>
          <w:ilvl w:val="0"/>
          <w:numId w:val="17"/>
        </w:numPr>
        <w:rPr>
          <w:noProof/>
        </w:rPr>
      </w:pPr>
      <w:r>
        <w:rPr>
          <w:noProof/>
        </w:rPr>
        <w:t>„ennetähtaegse amortiseerimise klau</w:t>
      </w:r>
      <w:r>
        <w:rPr>
          <w:noProof/>
        </w:rPr>
        <w:t>sel” – uuenevate nõuete või uueneva väärtpaberistamise puhul kasutatav lepingutingimus, millega nõutakse, et teatavate kindlaksmääratud sündmuste saabumisel tuleb investorite riskipositsioonid lunastada enne emiteeritud väärtpaberite esialgselt kokkulepitu</w:t>
      </w:r>
      <w:r>
        <w:rPr>
          <w:noProof/>
        </w:rPr>
        <w:t>d lõpptähtaega;</w:t>
      </w:r>
    </w:p>
    <w:p w:rsidR="003563AD" w:rsidRDefault="00251882">
      <w:pPr>
        <w:pStyle w:val="Point0number"/>
        <w:numPr>
          <w:ilvl w:val="0"/>
          <w:numId w:val="17"/>
        </w:numPr>
        <w:rPr>
          <w:noProof/>
        </w:rPr>
      </w:pPr>
      <w:r>
        <w:rPr>
          <w:noProof/>
        </w:rPr>
        <w:t>„esimese järjekoha kahju väärtpaberistamisseeria” – asjaomase väärtpaberistamise kõige madalama nõudeõiguse järguga väärtpaberistamisseeria, mis väärtpaberistatud riskipositsioonidele tekkiva kahju korral on esimene väärtpaberistamisseeria,</w:t>
      </w:r>
      <w:r>
        <w:rPr>
          <w:noProof/>
        </w:rPr>
        <w:t xml:space="preserve"> mis kahju kannab, pakkudes seeläbi kaitset teise järjekoha kahju väärtpaberistamisseeriale ja teisest kõrgema järjekoha kahju väärtpaberistamisseeriate olemasolu korral ka neile.</w:t>
      </w:r>
    </w:p>
    <w:p w:rsidR="003563AD" w:rsidRDefault="003563AD">
      <w:pPr>
        <w:rPr>
          <w:noProof/>
        </w:rPr>
      </w:pPr>
    </w:p>
    <w:p w:rsidR="003563AD" w:rsidRDefault="00251882">
      <w:pPr>
        <w:pStyle w:val="ChapterTitle"/>
        <w:rPr>
          <w:noProof/>
        </w:rPr>
      </w:pPr>
      <w:r>
        <w:rPr>
          <w:noProof/>
        </w:rPr>
        <w:t>2. peatükk</w:t>
      </w:r>
    </w:p>
    <w:p w:rsidR="003563AD" w:rsidRDefault="00251882">
      <w:pPr>
        <w:pStyle w:val="ChapterTitle"/>
        <w:rPr>
          <w:noProof/>
        </w:rPr>
      </w:pPr>
      <w:r>
        <w:rPr>
          <w:noProof/>
        </w:rPr>
        <w:t>Kõigi väärtpaberistamiste suhtes kohaldatavad sätted</w:t>
      </w:r>
    </w:p>
    <w:p w:rsidR="003563AD" w:rsidRDefault="00251882">
      <w:pPr>
        <w:pStyle w:val="Titrearticle"/>
        <w:rPr>
          <w:noProof/>
        </w:rPr>
      </w:pPr>
      <w:r>
        <w:rPr>
          <w:noProof/>
        </w:rPr>
        <w:t>Artikkel 3</w:t>
      </w:r>
    </w:p>
    <w:p w:rsidR="003563AD" w:rsidRDefault="00251882">
      <w:pPr>
        <w:ind w:left="2160" w:firstLine="720"/>
        <w:rPr>
          <w:b/>
          <w:noProof/>
        </w:rPr>
      </w:pPr>
      <w:r>
        <w:rPr>
          <w:b/>
          <w:noProof/>
        </w:rPr>
        <w:t>Institutsionaalsetele investoritele esitatavad hoolsuskohustuse nõuded</w:t>
      </w:r>
    </w:p>
    <w:p w:rsidR="003563AD" w:rsidRDefault="00251882">
      <w:pPr>
        <w:pStyle w:val="ManualNumPar1"/>
        <w:rPr>
          <w:noProof/>
        </w:rPr>
      </w:pPr>
      <w:r>
        <w:t>1.</w:t>
      </w:r>
      <w:r>
        <w:tab/>
      </w:r>
      <w:r>
        <w:rPr>
          <w:noProof/>
        </w:rPr>
        <w:t>Institutsionaalne investor kontrollib enne väärtpaberistamisest tuleneva riskipositsiooni tekkimist, et:</w:t>
      </w:r>
    </w:p>
    <w:p w:rsidR="003563AD" w:rsidRDefault="00251882">
      <w:pPr>
        <w:pStyle w:val="Point1letter"/>
        <w:numPr>
          <w:ilvl w:val="3"/>
          <w:numId w:val="17"/>
        </w:numPr>
        <w:rPr>
          <w:noProof/>
        </w:rPr>
      </w:pPr>
      <w:r>
        <w:rPr>
          <w:noProof/>
        </w:rPr>
        <w:t>juhul kui väärtpaberistamistehingu algataja või algne laenuandja ei ole kredi</w:t>
      </w:r>
      <w:r>
        <w:rPr>
          <w:noProof/>
        </w:rPr>
        <w:t>idiasutus või investeerimisühing määruse (EL) nr 575/2013 artikli 4 lõike 1 punktide 1 ja 2 tähenduses, annab algataja või algne laenuandja kõik oma laenud kindlate ja täpselt määratletud kriteeriumide alusel ning kõnealuste laenude heakskiitmise, laenutin</w:t>
      </w:r>
      <w:r>
        <w:rPr>
          <w:noProof/>
        </w:rPr>
        <w:t>gimuste muutmise, uuendamise ja finantseerimise kord on selgelt kindlaks määratud ning on olemas tõhusad süsteemid nende kriteeriumide ja protsesside rakendamiseks;</w:t>
      </w:r>
    </w:p>
    <w:p w:rsidR="003563AD" w:rsidRDefault="00251882">
      <w:pPr>
        <w:pStyle w:val="Point1letter"/>
        <w:numPr>
          <w:ilvl w:val="3"/>
          <w:numId w:val="17"/>
        </w:numPr>
        <w:rPr>
          <w:noProof/>
        </w:rPr>
      </w:pPr>
      <w:r>
        <w:rPr>
          <w:noProof/>
        </w:rPr>
        <w:t>väärtpaberistamistehingu algataja, sponsor või algne laenuandja säilitab olulise majandusli</w:t>
      </w:r>
      <w:r>
        <w:rPr>
          <w:noProof/>
        </w:rPr>
        <w:t>ku netohuvi käesoleva määruse artikli 4 kohaselt ning avalikustab selle institutsionaalsele investorile artikli 5 kohaselt;</w:t>
      </w:r>
    </w:p>
    <w:p w:rsidR="003563AD" w:rsidRDefault="00251882">
      <w:pPr>
        <w:pStyle w:val="Point1letter"/>
        <w:numPr>
          <w:ilvl w:val="3"/>
          <w:numId w:val="17"/>
        </w:numPr>
        <w:rPr>
          <w:noProof/>
        </w:rPr>
      </w:pPr>
      <w:r>
        <w:rPr>
          <w:noProof/>
        </w:rPr>
        <w:t>väärtpaberistamistehingu algataja, sponsor ja eriotstarbeline väärtpaberistamisüksus teevad käesoleva määruse artikliga 5 nõutud tea</w:t>
      </w:r>
      <w:r>
        <w:rPr>
          <w:noProof/>
        </w:rPr>
        <w:t>be kättesaadavaks vastavalt kõnealuses artiklis sätestatud sagedusele ja korrale;</w:t>
      </w:r>
    </w:p>
    <w:p w:rsidR="003563AD" w:rsidRDefault="00251882">
      <w:pPr>
        <w:pStyle w:val="ManualNumPar1"/>
        <w:rPr>
          <w:noProof/>
        </w:rPr>
      </w:pPr>
      <w:r>
        <w:t>2.</w:t>
      </w:r>
      <w:r>
        <w:tab/>
      </w:r>
      <w:r>
        <w:rPr>
          <w:noProof/>
        </w:rPr>
        <w:t>Enne väärtpaberistamisest tuleneva riskipositsiooni tekkimist teevad institutsionaalsed investorid hoolsuskohustuse nõuete kohase hindamise, mis vastab kaasnevatele riskid</w:t>
      </w:r>
      <w:r>
        <w:rPr>
          <w:noProof/>
        </w:rPr>
        <w:t>ele ja hõlmab vähemalt järgmisi aspekte:</w:t>
      </w:r>
    </w:p>
    <w:p w:rsidR="003563AD" w:rsidRDefault="00251882">
      <w:pPr>
        <w:pStyle w:val="Point1letter"/>
        <w:numPr>
          <w:ilvl w:val="3"/>
          <w:numId w:val="28"/>
        </w:numPr>
        <w:rPr>
          <w:noProof/>
        </w:rPr>
      </w:pPr>
      <w:r>
        <w:rPr>
          <w:noProof/>
        </w:rPr>
        <w:t>iga väärtpaberistamise positsiooni ja selle aluspositsioonide riskitunnused;</w:t>
      </w:r>
    </w:p>
    <w:p w:rsidR="003563AD" w:rsidRDefault="00251882">
      <w:pPr>
        <w:pStyle w:val="Point1letter"/>
        <w:numPr>
          <w:ilvl w:val="3"/>
          <w:numId w:val="17"/>
        </w:numPr>
        <w:rPr>
          <w:noProof/>
        </w:rPr>
      </w:pPr>
      <w:r>
        <w:rPr>
          <w:noProof/>
        </w:rPr>
        <w:t>väärtpaberistamise kõik struktuursed näitajad, mis võivad oluliselt mõjutada väärtpaberistamise positsiooni tulemusnäitajaid, näiteks lepi</w:t>
      </w:r>
      <w:r>
        <w:rPr>
          <w:noProof/>
        </w:rPr>
        <w:t>ngutest tulenev maksete hierarhia ning sellega seotud käivitavad tegurid, krediidikvaliteedi parandamine, likviidsuse parandamine, turuväärtust mõjutavad tegurid ja tehingupõhise makseviivituse määratlus;</w:t>
      </w:r>
    </w:p>
    <w:p w:rsidR="003563AD" w:rsidRDefault="00251882">
      <w:pPr>
        <w:pStyle w:val="Point1letter"/>
        <w:numPr>
          <w:ilvl w:val="3"/>
          <w:numId w:val="17"/>
        </w:numPr>
        <w:rPr>
          <w:noProof/>
        </w:rPr>
      </w:pPr>
      <w:r>
        <w:rPr>
          <w:noProof/>
        </w:rPr>
        <w:t>standardväärtpaberistamiseks nimetatud väärtpaberis</w:t>
      </w:r>
      <w:r>
        <w:rPr>
          <w:noProof/>
        </w:rPr>
        <w:t xml:space="preserve">tamiste puhul see, kas väärtpaberistamine vastab artiklites 7–10 või 11–14 sätestatud standardväärtpaberistamise nõuetele. Institutsionaalsed investorid võivad asjakohasel määral tugineda artikli 14 lõike 1 kohasele standardväärtpaberistamise teatele ning </w:t>
      </w:r>
      <w:r>
        <w:rPr>
          <w:noProof/>
        </w:rPr>
        <w:t>väärtpaberistamistehingu algataja, sponsori ja eriotstarbelise väärtpaberistamisüksuse avaldatud teabele standardväärtpaberistamise nõuete täitmise kohta.</w:t>
      </w:r>
    </w:p>
    <w:p w:rsidR="003563AD" w:rsidRDefault="00251882">
      <w:pPr>
        <w:pStyle w:val="ManualNumPar1"/>
        <w:rPr>
          <w:noProof/>
        </w:rPr>
      </w:pPr>
      <w:r>
        <w:t>3.</w:t>
      </w:r>
      <w:r>
        <w:tab/>
      </w:r>
      <w:r>
        <w:rPr>
          <w:noProof/>
        </w:rPr>
        <w:t>Institutsionaalsed investorid, kellel tekib väärtpaberistamisest tulenev riskipositsioon, teevad v</w:t>
      </w:r>
      <w:r>
        <w:rPr>
          <w:noProof/>
        </w:rPr>
        <w:t>ähemalt järgmist:</w:t>
      </w:r>
    </w:p>
    <w:p w:rsidR="003563AD" w:rsidRDefault="00251882">
      <w:pPr>
        <w:pStyle w:val="Point1letter"/>
        <w:numPr>
          <w:ilvl w:val="3"/>
          <w:numId w:val="29"/>
        </w:numPr>
        <w:rPr>
          <w:noProof/>
        </w:rPr>
      </w:pPr>
      <w:r>
        <w:rPr>
          <w:noProof/>
        </w:rPr>
        <w:t xml:space="preserve">kehtestavad kirjalikud menetlused, mis vastavad väärtpaberistamise positsiooni riskiprofiilile ning seonduvad vajaduse korral nende kauplemisportfelliga ja kauplemisega mitteseotud tegevusega, et jälgida pidevalt lõigete 1 ja 2 järgimist </w:t>
      </w:r>
      <w:r>
        <w:rPr>
          <w:noProof/>
        </w:rPr>
        <w:t>ning väärtpaberistamise positsiooni ja aluspositsioonide tulemusnäitajaid. Vajaduse korral hõlmavad kõnealused kirjalikud menetlused järelevalvet järgmiste aspektide üle: riskipositsiooni liik, selliste laenude osakaal (protsentides), mille tasumise tähtpä</w:t>
      </w:r>
      <w:r>
        <w:rPr>
          <w:noProof/>
        </w:rPr>
        <w:t>eva on ületatud rohkem kui 30, 60 ja 90 päeva, makseviivituse määrad, ennetähtaegse tasumise määrad, sissenõutud tagatistega laenud, sissenõudmismäärad, tagasiostmine, laenu muutmine, maksepuhkused, tagatiste liik ja kasutusaste, aluspositsioonide krediidi</w:t>
      </w:r>
      <w:r>
        <w:rPr>
          <w:noProof/>
        </w:rPr>
        <w:t>kvaliteedi astme või muu krediidivõimelisuse näitaja määramise sagedusjaotus, majandussektoripõhine ja geograafiline jaotus, laenu sagedusjaotus vastavalt väärtusele vööndites, mis aitavad teostada sobivat tundlikkusanalüüsi. Kui aluspositsioonid on ise vä</w:t>
      </w:r>
      <w:r>
        <w:rPr>
          <w:noProof/>
        </w:rPr>
        <w:t>ärtpaberistamised, teevad institutsionaalsed investorid järelevalvet ka kõnealuste väärtpaberistamiste aluspositsioonide üle;</w:t>
      </w:r>
    </w:p>
    <w:p w:rsidR="003563AD" w:rsidRDefault="00251882">
      <w:pPr>
        <w:pStyle w:val="Point1letter"/>
        <w:numPr>
          <w:ilvl w:val="3"/>
          <w:numId w:val="17"/>
        </w:numPr>
        <w:rPr>
          <w:noProof/>
        </w:rPr>
      </w:pPr>
      <w:r>
        <w:rPr>
          <w:noProof/>
        </w:rPr>
        <w:t>teevad seoses aluspositsioone toetavate rahavoogude ja tagatise väärtusega korrapäraselt stressiteste, mis on vastavuses väärtpabe</w:t>
      </w:r>
      <w:r>
        <w:rPr>
          <w:noProof/>
        </w:rPr>
        <w:t>ristamise positsiooni riski olemuse, ulatuse ja keerukusega;</w:t>
      </w:r>
    </w:p>
    <w:p w:rsidR="003563AD" w:rsidRDefault="00251882">
      <w:pPr>
        <w:pStyle w:val="Point1letter"/>
        <w:numPr>
          <w:ilvl w:val="3"/>
          <w:numId w:val="17"/>
        </w:numPr>
        <w:rPr>
          <w:noProof/>
        </w:rPr>
      </w:pPr>
      <w:r>
        <w:rPr>
          <w:noProof/>
        </w:rPr>
        <w:t>tagavad, et nende haldusorganile esitatava sisemise aruandluse tase on piisav selleks, et nad oleksid teadlikud väärtpaberistamise positsioonidest tulenevast olulisest riskist ja et neist investe</w:t>
      </w:r>
      <w:r>
        <w:rPr>
          <w:noProof/>
        </w:rPr>
        <w:t>eringutest tulenevad riskid on asjakohaselt juhitud;</w:t>
      </w:r>
    </w:p>
    <w:p w:rsidR="003563AD" w:rsidRDefault="00251882">
      <w:pPr>
        <w:pStyle w:val="Point1letter"/>
        <w:numPr>
          <w:ilvl w:val="3"/>
          <w:numId w:val="17"/>
        </w:numPr>
        <w:rPr>
          <w:noProof/>
        </w:rPr>
      </w:pPr>
      <w:r>
        <w:rPr>
          <w:noProof/>
        </w:rPr>
        <w:t>on võimelised oma pädevatele asutustele taotluse korral tõestama iga oma väärtpaberistamise positsiooni puhul, et neil on positsiooni ja selle aluspositsioonide kohta igakülgsed ja põhjalikud teadmised n</w:t>
      </w:r>
      <w:r>
        <w:rPr>
          <w:noProof/>
        </w:rPr>
        <w:t>ing et nad on rakendanud riskijuhtimiseks ja asjakohase teabe säilitamiseks kirjalikke eeskirju ja menetlusi.</w:t>
      </w:r>
    </w:p>
    <w:p w:rsidR="003563AD" w:rsidRDefault="00251882">
      <w:pPr>
        <w:keepNext/>
        <w:spacing w:before="360"/>
        <w:jc w:val="center"/>
        <w:rPr>
          <w:i/>
          <w:noProof/>
        </w:rPr>
      </w:pPr>
      <w:r>
        <w:rPr>
          <w:i/>
          <w:noProof/>
        </w:rPr>
        <w:t>Artikkel 4</w:t>
      </w:r>
    </w:p>
    <w:p w:rsidR="003563AD" w:rsidRDefault="00251882">
      <w:pPr>
        <w:ind w:left="2880" w:firstLine="720"/>
        <w:rPr>
          <w:b/>
          <w:noProof/>
        </w:rPr>
      </w:pPr>
      <w:r>
        <w:rPr>
          <w:b/>
          <w:noProof/>
        </w:rPr>
        <w:t>Riski säilitamine</w:t>
      </w:r>
    </w:p>
    <w:p w:rsidR="003563AD" w:rsidRDefault="00251882">
      <w:pPr>
        <w:pStyle w:val="ManualNumPar1"/>
        <w:rPr>
          <w:noProof/>
          <w:szCs w:val="24"/>
        </w:rPr>
      </w:pPr>
      <w:r>
        <w:t>1.</w:t>
      </w:r>
      <w:r>
        <w:tab/>
      </w:r>
      <w:r>
        <w:rPr>
          <w:noProof/>
        </w:rPr>
        <w:t>Väärtpaberistamistehingu algataja, sponsor või algne laenuandja säilitab väärtpaberistamises jätkuvalt olulise majandusliku netohuvi, mis ei ole väiksem kui 5 %. Kui väärtpaberistamistehingu algataja, sponsor või algne laenuandja ei ole omavahel kokku lepp</w:t>
      </w:r>
      <w:r>
        <w:rPr>
          <w:noProof/>
        </w:rPr>
        <w:t xml:space="preserve">inud, kes säilitab olulise majandusliku netohuvi, säilitab olulise majandusliku netohuvi tehingu algataja. </w:t>
      </w:r>
      <w:r>
        <w:rPr>
          <w:noProof/>
          <w:color w:val="000000"/>
        </w:rPr>
        <w:t xml:space="preserve">Säilitamisnõudeid ei kohaldata ühegi väärtpaberistamise suhtes mitmekordselt. </w:t>
      </w:r>
      <w:r>
        <w:rPr>
          <w:noProof/>
        </w:rPr>
        <w:t>Olulist majanduslikku netohuvi mõõdetakse tehingu algatamisel ja see mä</w:t>
      </w:r>
      <w:r>
        <w:rPr>
          <w:noProof/>
        </w:rPr>
        <w:t>äratakse kindlaks bilansiväliste kirjete tingliku väärtuse alusel. Olulist majanduslikku netohuvi ei jaotata eri liiki säilitajate vahel ja selle suhtes ei rakendata mingit krediidiriski maandamist ega muud riskimaandust.</w:t>
      </w:r>
    </w:p>
    <w:p w:rsidR="003563AD" w:rsidRDefault="00251882">
      <w:pPr>
        <w:ind w:left="850"/>
        <w:rPr>
          <w:noProof/>
          <w:szCs w:val="24"/>
        </w:rPr>
      </w:pPr>
      <w:r>
        <w:rPr>
          <w:noProof/>
        </w:rPr>
        <w:t xml:space="preserve">Käesoleva artikli kohaldamisel ei </w:t>
      </w:r>
      <w:r>
        <w:rPr>
          <w:noProof/>
        </w:rPr>
        <w:t>peeta üksust väärtpaberistamistehingu algatajaks, kui see üksus on loodud või tegutseb üksnes riskipositsioonide väärtpaberistamise eesmärgil.</w:t>
      </w:r>
    </w:p>
    <w:p w:rsidR="003563AD" w:rsidRDefault="00251882">
      <w:pPr>
        <w:pStyle w:val="ManualNumPar1"/>
        <w:rPr>
          <w:noProof/>
          <w:szCs w:val="24"/>
        </w:rPr>
      </w:pPr>
      <w:r>
        <w:t>2.</w:t>
      </w:r>
      <w:r>
        <w:tab/>
      </w:r>
      <w:r>
        <w:rPr>
          <w:noProof/>
        </w:rPr>
        <w:t>Vähemalt 5 % olulise majandusliku netohuvi säilitamisena artikli 1 tähenduses kvalifitseerub ainult järgmine:</w:t>
      </w:r>
    </w:p>
    <w:p w:rsidR="003563AD" w:rsidRDefault="00251882">
      <w:pPr>
        <w:pStyle w:val="Point1letter"/>
        <w:numPr>
          <w:ilvl w:val="3"/>
          <w:numId w:val="31"/>
        </w:numPr>
        <w:rPr>
          <w:noProof/>
        </w:rPr>
      </w:pPr>
      <w:r>
        <w:rPr>
          <w:noProof/>
        </w:rPr>
        <w:t>säilitatakse vähemalt 5 % iga investoritele müüdud või üle kantud väärtpaberistamisseeria nimiväärtusest;</w:t>
      </w:r>
    </w:p>
    <w:p w:rsidR="003563AD" w:rsidRDefault="00251882">
      <w:pPr>
        <w:pStyle w:val="Point1letter"/>
        <w:numPr>
          <w:ilvl w:val="3"/>
          <w:numId w:val="17"/>
        </w:numPr>
        <w:rPr>
          <w:noProof/>
        </w:rPr>
      </w:pPr>
      <w:r>
        <w:rPr>
          <w:noProof/>
        </w:rPr>
        <w:t xml:space="preserve">uueneva väärtpaberistamise või uuenevate nõuete väärtpaberistamise korral säilitatakse väärtpaberistamistehingu algataja huvi vähemalt 5 % ulatuses </w:t>
      </w:r>
      <w:r>
        <w:rPr>
          <w:noProof/>
        </w:rPr>
        <w:t>iga väärtpaberistatud riskipositsiooni nimiväärtusest;</w:t>
      </w:r>
    </w:p>
    <w:p w:rsidR="003563AD" w:rsidRDefault="00251882">
      <w:pPr>
        <w:pStyle w:val="Point1letter"/>
        <w:numPr>
          <w:ilvl w:val="3"/>
          <w:numId w:val="17"/>
        </w:numPr>
        <w:rPr>
          <w:noProof/>
        </w:rPr>
      </w:pPr>
      <w:r>
        <w:rPr>
          <w:noProof/>
        </w:rPr>
        <w:t>säilitatakse juhuslikult valitud riskipositsioonid, mis moodustavad vähemalt 5 % väärtpaberistatud riskipositsioonide nimiväärtusest, juhul kui sellised väärtpaberistamata riskipositsioonid oleksid vas</w:t>
      </w:r>
      <w:r>
        <w:rPr>
          <w:noProof/>
        </w:rPr>
        <w:t>tasel korral väärtpaberistamise käigus väärtpaberistatud, tingimusel, et potentsiaalselt väärtpaberistatud riskipositsioonide arv ei ole tehingu algatamisel väiksem kui 100;</w:t>
      </w:r>
    </w:p>
    <w:p w:rsidR="003563AD" w:rsidRDefault="00251882">
      <w:pPr>
        <w:pStyle w:val="Point1letter"/>
        <w:numPr>
          <w:ilvl w:val="3"/>
          <w:numId w:val="17"/>
        </w:numPr>
        <w:rPr>
          <w:noProof/>
        </w:rPr>
      </w:pPr>
      <w:r>
        <w:rPr>
          <w:noProof/>
        </w:rPr>
        <w:t>säilitatakse esimese järjekoha kahju väärtpaberistamisseeria, ning kui see ei mood</w:t>
      </w:r>
      <w:r>
        <w:rPr>
          <w:noProof/>
        </w:rPr>
        <w:t>usta 5 % väärtpaberistatud riskipositsioonide nimiväärtusest, siis vajaduse korral ka muud väärtpaberistamisseeriad, millel on sama või suurema riskiga riskiprofiil kui investoritele üle kantud või müüdud seeriatel ja mille tähtpäev ei saabu varem kui inve</w:t>
      </w:r>
      <w:r>
        <w:rPr>
          <w:noProof/>
        </w:rPr>
        <w:t>storitele üle kantud või müüdud seeriatel, nii et kokku säilitatakse vähemalt 5 % väärtpaberistatud riskipositsioonide nimiväärtusest;</w:t>
      </w:r>
    </w:p>
    <w:p w:rsidR="003563AD" w:rsidRDefault="00251882">
      <w:pPr>
        <w:pStyle w:val="Point1letter"/>
        <w:numPr>
          <w:ilvl w:val="3"/>
          <w:numId w:val="17"/>
        </w:numPr>
        <w:rPr>
          <w:noProof/>
        </w:rPr>
      </w:pPr>
      <w:r>
        <w:rPr>
          <w:noProof/>
        </w:rPr>
        <w:t>säilitatakse esimese järjekoha kahju riskipositsioon tasemel vähemalt 5 % igast väärtpaberistamise käigus väärtpaberistat</w:t>
      </w:r>
      <w:r>
        <w:rPr>
          <w:noProof/>
        </w:rPr>
        <w:t>ud riskipositsioonist.</w:t>
      </w:r>
    </w:p>
    <w:p w:rsidR="003563AD" w:rsidRDefault="00251882">
      <w:pPr>
        <w:pStyle w:val="ManualNumPar1"/>
        <w:rPr>
          <w:noProof/>
        </w:rPr>
      </w:pPr>
      <w:r>
        <w:t>3.</w:t>
      </w:r>
      <w:r>
        <w:tab/>
      </w:r>
      <w:r>
        <w:rPr>
          <w:noProof/>
        </w:rPr>
        <w:t>Kui liidus asutatud segafinantsvaldusettevõtja direktiivi 2002/87/EÜ tähenduses, liidus asutatud emaettevõtjana tegutsev krediidiasutus või ELi finantsvaldusettevõtja või mõni tema tütarettevõtja määruse (EL) nr 575/2013 tähenduse</w:t>
      </w:r>
      <w:r>
        <w:rPr>
          <w:noProof/>
        </w:rPr>
        <w:t>s väärtpaberistab kas väärtpaberistamistehingu algatajana või sponsorina riskipositsioone ühest või mitmest krediidiasutusest, investeerimisühingust või muust finantseerimisasutusest, mis on hõlmatud konsolideeritud järelevalvega, võib lõikes 1 osutatud nõ</w:t>
      </w:r>
      <w:r>
        <w:rPr>
          <w:noProof/>
        </w:rPr>
        <w:t>udeid täita asjaomase liidus asutatud emaettevõtjana tegutseva krediidiasutuse, finantsvaldusettevõtja või segafinantsvaldusettevõtja konsolideeritud olukorra põhjal.</w:t>
      </w:r>
    </w:p>
    <w:p w:rsidR="003563AD" w:rsidRDefault="00251882">
      <w:pPr>
        <w:ind w:left="850"/>
        <w:rPr>
          <w:noProof/>
          <w:color w:val="000000"/>
          <w:szCs w:val="24"/>
        </w:rPr>
      </w:pPr>
      <w:r>
        <w:rPr>
          <w:noProof/>
        </w:rPr>
        <w:t>Esimest lõiku kohaldatakse üksnes juhul, kui krediidiasutused, investeerimisühingud või f</w:t>
      </w:r>
      <w:r>
        <w:rPr>
          <w:noProof/>
        </w:rPr>
        <w:t>inantseerimisasutused, mis on need väärtpaberistatud riskipositsioonid loonud, täidavad direktiivi 36/2013/EL artiklis 79 sätestatud nõudeid ja annavad artikli 5 nõuete täitmiseks vajalikku teavet õigeaegselt väärtpaberistamistehingu algatajale või sponsor</w:t>
      </w:r>
      <w:r>
        <w:rPr>
          <w:noProof/>
        </w:rPr>
        <w:t>ile ning ELis emaettevõtjana tegutsevale krediidiasutusele või liidus asutatud finantsvaldusettevõtjale või segafinantsvaldusettevõtjale.</w:t>
      </w:r>
    </w:p>
    <w:p w:rsidR="003563AD" w:rsidRDefault="00251882">
      <w:pPr>
        <w:pStyle w:val="ManualNumPar1"/>
        <w:rPr>
          <w:noProof/>
        </w:rPr>
      </w:pPr>
      <w:r>
        <w:t>4.</w:t>
      </w:r>
      <w:r>
        <w:tab/>
      </w:r>
      <w:r>
        <w:rPr>
          <w:noProof/>
        </w:rPr>
        <w:t>Lõiget 1 ei kohaldata, kui väärtpaberistatud riskipositsioonid on nõuded järgmiste üksuste vastu või nõuded, millel</w:t>
      </w:r>
      <w:r>
        <w:rPr>
          <w:noProof/>
        </w:rPr>
        <w:t>e järgmised üksused on andnud täieulatusliku, tingimusteta ja tagasivõtmatu garantii:</w:t>
      </w:r>
    </w:p>
    <w:p w:rsidR="003563AD" w:rsidRDefault="00251882">
      <w:pPr>
        <w:pStyle w:val="Point1letter"/>
        <w:numPr>
          <w:ilvl w:val="3"/>
          <w:numId w:val="32"/>
        </w:numPr>
        <w:rPr>
          <w:noProof/>
        </w:rPr>
      </w:pPr>
      <w:r>
        <w:rPr>
          <w:noProof/>
        </w:rPr>
        <w:t>keskvalitsused või keskpangad;</w:t>
      </w:r>
    </w:p>
    <w:p w:rsidR="003563AD" w:rsidRDefault="00251882">
      <w:pPr>
        <w:pStyle w:val="Point1letter"/>
        <w:numPr>
          <w:ilvl w:val="3"/>
          <w:numId w:val="17"/>
        </w:numPr>
        <w:rPr>
          <w:noProof/>
        </w:rPr>
      </w:pPr>
      <w:r>
        <w:rPr>
          <w:noProof/>
        </w:rPr>
        <w:t>liikmesriikide piirkondlikud valitsused, kohalikud omavalitsused või avaliku sektori asutused määruse (EL) nr 575/2013 artikli 4 lõike 1 pu</w:t>
      </w:r>
      <w:r>
        <w:rPr>
          <w:noProof/>
        </w:rPr>
        <w:t>nkti 8 tähenduses;</w:t>
      </w:r>
    </w:p>
    <w:p w:rsidR="003563AD" w:rsidRDefault="00251882">
      <w:pPr>
        <w:pStyle w:val="Point1letter"/>
        <w:numPr>
          <w:ilvl w:val="3"/>
          <w:numId w:val="17"/>
        </w:numPr>
        <w:rPr>
          <w:noProof/>
        </w:rPr>
      </w:pPr>
      <w:r>
        <w:rPr>
          <w:noProof/>
        </w:rPr>
        <w:t>krediidiasutused ja investeerimisühingud, millele on määruse (EL) nr 575/2013 III osa II jaotise 2. peatüki alusel määratud riskikaal 50 % või vähem;</w:t>
      </w:r>
    </w:p>
    <w:p w:rsidR="003563AD" w:rsidRDefault="00251882">
      <w:pPr>
        <w:pStyle w:val="Point1letter"/>
        <w:numPr>
          <w:ilvl w:val="3"/>
          <w:numId w:val="17"/>
        </w:numPr>
        <w:rPr>
          <w:noProof/>
        </w:rPr>
      </w:pPr>
      <w:r>
        <w:rPr>
          <w:noProof/>
        </w:rPr>
        <w:t>määruse (EL) nr 575/2013 artiklis 117 loetletud mitmepoolsed arengupangad.</w:t>
      </w:r>
    </w:p>
    <w:p w:rsidR="003563AD" w:rsidRDefault="00251882">
      <w:pPr>
        <w:pStyle w:val="ManualNumPar1"/>
        <w:rPr>
          <w:noProof/>
        </w:rPr>
      </w:pPr>
      <w:r>
        <w:t>5.</w:t>
      </w:r>
      <w:r>
        <w:tab/>
      </w:r>
      <w:r>
        <w:rPr>
          <w:noProof/>
        </w:rPr>
        <w:t xml:space="preserve">Lõiget 1 </w:t>
      </w:r>
      <w:r>
        <w:rPr>
          <w:noProof/>
        </w:rPr>
        <w:t xml:space="preserve">ei kohaldata selgel, läbipaistval ja kättesaadaval indeksil põhinevate tehingute suhtes, mille puhul aluseks olevad üksused on samaväärsed nendega, mis moodustavad üksuste indeksi, millega kaubeldakse laialdaselt, või need on muud kaubeldavad väärtpaberid </w:t>
      </w:r>
      <w:r>
        <w:rPr>
          <w:noProof/>
        </w:rPr>
        <w:t>kui väärtpaberistamispositsioonid;</w:t>
      </w:r>
    </w:p>
    <w:p w:rsidR="003563AD" w:rsidRDefault="00251882">
      <w:pPr>
        <w:pStyle w:val="ManualNumPar1"/>
        <w:rPr>
          <w:noProof/>
        </w:rPr>
      </w:pPr>
      <w:r>
        <w:t>6.</w:t>
      </w:r>
      <w:r>
        <w:tab/>
      </w:r>
      <w:r>
        <w:rPr>
          <w:noProof/>
        </w:rPr>
        <w:t>Tihedas koostöös Euroopa Väärtpaberiturujärelevalve (ESMA) ning Euroopa Kindlustus- ja Tööandjapensionide Järelevalvega (EIOPA) töötab Euroopa Pangandusjärelevalve (EBA) välja regulatiivsete tehniliste standardite eeln</w:t>
      </w:r>
      <w:r>
        <w:rPr>
          <w:noProof/>
        </w:rPr>
        <w:t>õud, milles määratakse üksikasjalikumalt kindlaks riski säilitamise nõue, eelkõige järgmistes aspektides:</w:t>
      </w:r>
    </w:p>
    <w:p w:rsidR="003563AD" w:rsidRDefault="00251882">
      <w:pPr>
        <w:pStyle w:val="Point1letter"/>
        <w:numPr>
          <w:ilvl w:val="3"/>
          <w:numId w:val="33"/>
        </w:numPr>
        <w:rPr>
          <w:noProof/>
        </w:rPr>
      </w:pPr>
      <w:r>
        <w:rPr>
          <w:noProof/>
        </w:rPr>
        <w:t>lõike 2 alusel riski säilitamise kord, sealhulgas nõude täitmine riski säilitamise sünteetilise või tingimusliku vormi kaudu;</w:t>
      </w:r>
    </w:p>
    <w:p w:rsidR="003563AD" w:rsidRDefault="00251882">
      <w:pPr>
        <w:pStyle w:val="Point1letter"/>
        <w:numPr>
          <w:ilvl w:val="3"/>
          <w:numId w:val="17"/>
        </w:numPr>
        <w:rPr>
          <w:noProof/>
        </w:rPr>
      </w:pPr>
      <w:r>
        <w:rPr>
          <w:noProof/>
        </w:rPr>
        <w:t>lõikes 1 osutatud säilit</w:t>
      </w:r>
      <w:r>
        <w:rPr>
          <w:noProof/>
        </w:rPr>
        <w:t>amise taseme mõõtmine;</w:t>
      </w:r>
    </w:p>
    <w:p w:rsidR="003563AD" w:rsidRDefault="00251882">
      <w:pPr>
        <w:pStyle w:val="Point1letter"/>
        <w:numPr>
          <w:ilvl w:val="3"/>
          <w:numId w:val="17"/>
        </w:numPr>
        <w:rPr>
          <w:noProof/>
        </w:rPr>
      </w:pPr>
      <w:r>
        <w:rPr>
          <w:noProof/>
        </w:rPr>
        <w:t>säilitatud huvi riskimaanduse ja müügi keeld;</w:t>
      </w:r>
    </w:p>
    <w:p w:rsidR="003563AD" w:rsidRDefault="00251882">
      <w:pPr>
        <w:pStyle w:val="Point1letter"/>
        <w:numPr>
          <w:ilvl w:val="3"/>
          <w:numId w:val="17"/>
        </w:numPr>
        <w:rPr>
          <w:noProof/>
        </w:rPr>
      </w:pPr>
      <w:r>
        <w:rPr>
          <w:noProof/>
        </w:rPr>
        <w:t>lõike 3 kohaselt konsolideeritud alusel säilitamise tingimused;</w:t>
      </w:r>
    </w:p>
    <w:p w:rsidR="003563AD" w:rsidRDefault="00251882">
      <w:pPr>
        <w:pStyle w:val="Point1letter"/>
        <w:numPr>
          <w:ilvl w:val="3"/>
          <w:numId w:val="17"/>
        </w:numPr>
        <w:rPr>
          <w:noProof/>
        </w:rPr>
      </w:pPr>
      <w:r>
        <w:rPr>
          <w:noProof/>
        </w:rPr>
        <w:t>selgel, läbipaistval ja kättesaadaval indeksil põhinevatele tehingutele lõike 5 alusel antava vabastuse tingimused.</w:t>
      </w:r>
    </w:p>
    <w:p w:rsidR="003563AD" w:rsidRDefault="00251882">
      <w:pPr>
        <w:ind w:left="720"/>
        <w:rPr>
          <w:noProof/>
        </w:rPr>
      </w:pPr>
      <w:r>
        <w:rPr>
          <w:noProof/>
        </w:rPr>
        <w:t>EBA esi</w:t>
      </w:r>
      <w:r>
        <w:rPr>
          <w:noProof/>
        </w:rPr>
        <w:t>tab need regulatiivsete tehniliste standardite eelnõud komisjonile [</w:t>
      </w:r>
      <w:r>
        <w:rPr>
          <w:b/>
          <w:i/>
          <w:noProof/>
        </w:rPr>
        <w:t>kuus kuud pärast käesoleva määruse jõustumist</w:t>
      </w:r>
      <w:r>
        <w:rPr>
          <w:noProof/>
        </w:rPr>
        <w:t>].</w:t>
      </w:r>
    </w:p>
    <w:p w:rsidR="003563AD" w:rsidRDefault="00251882">
      <w:pPr>
        <w:ind w:left="720"/>
        <w:rPr>
          <w:noProof/>
          <w:szCs w:val="24"/>
        </w:rPr>
      </w:pPr>
      <w:r>
        <w:rPr>
          <w:noProof/>
          <w:color w:val="000000"/>
        </w:rPr>
        <w:t>Komisjonile antakse volitus võtta vastu esimeses lõigus osutatud regulatiivsed tehnilised standardid määruse (EL) nr 1093/2010 artiklites 10</w:t>
      </w:r>
      <w:r>
        <w:rPr>
          <w:noProof/>
          <w:color w:val="000000"/>
        </w:rPr>
        <w:t>–14 sätestatud korras.</w:t>
      </w:r>
    </w:p>
    <w:p w:rsidR="003563AD" w:rsidRDefault="00251882">
      <w:pPr>
        <w:keepNext/>
        <w:spacing w:before="360"/>
        <w:jc w:val="center"/>
        <w:rPr>
          <w:i/>
          <w:noProof/>
        </w:rPr>
      </w:pPr>
      <w:r>
        <w:rPr>
          <w:i/>
          <w:noProof/>
        </w:rPr>
        <w:t>Artikkel 5</w:t>
      </w:r>
    </w:p>
    <w:p w:rsidR="003563AD" w:rsidRDefault="00251882">
      <w:pPr>
        <w:ind w:left="1440" w:firstLine="720"/>
        <w:rPr>
          <w:b/>
          <w:noProof/>
        </w:rPr>
      </w:pPr>
      <w:r>
        <w:rPr>
          <w:b/>
          <w:noProof/>
        </w:rPr>
        <w:t xml:space="preserve">Väärtpaberistamistehingu algatajatele, sponsoritele ja eriotstarbelistele väärtpaberistamisüksustele kehtivad läbipaistvusnõuded </w:t>
      </w:r>
    </w:p>
    <w:p w:rsidR="003563AD" w:rsidRDefault="00251882">
      <w:pPr>
        <w:pStyle w:val="ManualNumPar1"/>
        <w:rPr>
          <w:noProof/>
        </w:rPr>
      </w:pPr>
      <w:r>
        <w:t>1.</w:t>
      </w:r>
      <w:r>
        <w:tab/>
      </w:r>
      <w:r>
        <w:rPr>
          <w:noProof/>
        </w:rPr>
        <w:t>Väärtpaberistamistehingu algataja, sponsor ja eriotstarbeline väärtpaberistamisüksus teev</w:t>
      </w:r>
      <w:r>
        <w:rPr>
          <w:noProof/>
        </w:rPr>
        <w:t>ad väärtpaberistamispositsioonide omanikele ja käesoleva määruse artiklis 15 osutatud pädevatele asutustele lõike 2 kohaselt kättesaadavaks vähemalt järgmise teabe:</w:t>
      </w:r>
    </w:p>
    <w:p w:rsidR="003563AD" w:rsidRDefault="00251882">
      <w:pPr>
        <w:pStyle w:val="Point1letter"/>
        <w:numPr>
          <w:ilvl w:val="3"/>
          <w:numId w:val="35"/>
        </w:numPr>
        <w:rPr>
          <w:noProof/>
        </w:rPr>
      </w:pPr>
      <w:r>
        <w:rPr>
          <w:noProof/>
        </w:rPr>
        <w:t xml:space="preserve">teave väärtpaberistamise aluseks olevate riskipositsioonide kohta kord kvartalis, varaga </w:t>
      </w:r>
      <w:r>
        <w:rPr>
          <w:noProof/>
        </w:rPr>
        <w:t>tagatud kommertsväärtpaberite puhul teave nende aluseks olevate nõuete või krediidinõuete kohta iga kuu;</w:t>
      </w:r>
    </w:p>
    <w:p w:rsidR="003563AD" w:rsidRDefault="00251882">
      <w:pPr>
        <w:pStyle w:val="Point1letter"/>
        <w:numPr>
          <w:ilvl w:val="3"/>
          <w:numId w:val="17"/>
        </w:numPr>
        <w:rPr>
          <w:noProof/>
        </w:rPr>
      </w:pPr>
      <w:r>
        <w:rPr>
          <w:noProof/>
        </w:rPr>
        <w:t>kui see on asjakohane, järgmised dokumendid, sealhulgas väärtpaberistamise maksehierarhia üksikasjalik kirjeldus:</w:t>
      </w:r>
    </w:p>
    <w:p w:rsidR="003563AD" w:rsidRDefault="00251882">
      <w:pPr>
        <w:ind w:left="1984" w:hanging="567"/>
        <w:rPr>
          <w:noProof/>
        </w:rPr>
      </w:pPr>
      <w:r>
        <w:rPr>
          <w:noProof/>
        </w:rPr>
        <w:t>i)</w:t>
      </w:r>
      <w:r>
        <w:rPr>
          <w:noProof/>
        </w:rPr>
        <w:tab/>
        <w:t xml:space="preserve">lõplik pakkumisdokument või </w:t>
      </w:r>
      <w:r>
        <w:rPr>
          <w:noProof/>
        </w:rPr>
        <w:t>prospekt koos tehingu lõpuleviimise dokumentidega, välja arvatud õiguslikud hinnangud;</w:t>
      </w:r>
    </w:p>
    <w:p w:rsidR="003563AD" w:rsidRDefault="00251882">
      <w:pPr>
        <w:ind w:left="1984" w:hanging="567"/>
        <w:rPr>
          <w:noProof/>
        </w:rPr>
      </w:pPr>
      <w:r>
        <w:rPr>
          <w:noProof/>
        </w:rPr>
        <w:t>ii)</w:t>
      </w:r>
      <w:r>
        <w:rPr>
          <w:noProof/>
        </w:rPr>
        <w:tab/>
        <w:t>traditsiooniliste väärtpaberistamiste puhul vara müügileping, edasiandmis-, asendamis- või ülekandmisleping ja mis tahes asjakohane usalduse kinnitus;</w:t>
      </w:r>
    </w:p>
    <w:p w:rsidR="003563AD" w:rsidRDefault="00251882">
      <w:pPr>
        <w:ind w:left="1984" w:hanging="567"/>
        <w:rPr>
          <w:noProof/>
        </w:rPr>
      </w:pPr>
      <w:r>
        <w:rPr>
          <w:noProof/>
        </w:rPr>
        <w:t>iii)</w:t>
      </w:r>
      <w:r>
        <w:rPr>
          <w:noProof/>
        </w:rPr>
        <w:tab/>
        <w:t>tuletisin</w:t>
      </w:r>
      <w:r>
        <w:rPr>
          <w:noProof/>
        </w:rPr>
        <w:t>strumendid ja tagatislepingud ning kõik asjakohased dokumendid tagatuskorra kohta, kui väärtpaberistatavad riskipositsioonid jäävad väärtpaberistamistehingu algataja riskipositsioonideks;</w:t>
      </w:r>
    </w:p>
    <w:p w:rsidR="003563AD" w:rsidRDefault="00251882">
      <w:pPr>
        <w:ind w:left="1984" w:hanging="567"/>
        <w:rPr>
          <w:noProof/>
        </w:rPr>
      </w:pPr>
      <w:r>
        <w:rPr>
          <w:noProof/>
        </w:rPr>
        <w:t>iv)</w:t>
      </w:r>
      <w:r>
        <w:rPr>
          <w:noProof/>
        </w:rPr>
        <w:tab/>
        <w:t>maksete vahendamise, maksete vahendamise tugiteenuse, haldus- ja</w:t>
      </w:r>
      <w:r>
        <w:rPr>
          <w:noProof/>
        </w:rPr>
        <w:t xml:space="preserve"> rahavoogude juhtimise lepingud;</w:t>
      </w:r>
    </w:p>
    <w:p w:rsidR="003563AD" w:rsidRDefault="00251882">
      <w:pPr>
        <w:ind w:left="1984" w:hanging="567"/>
        <w:rPr>
          <w:noProof/>
        </w:rPr>
      </w:pPr>
      <w:r>
        <w:rPr>
          <w:noProof/>
        </w:rPr>
        <w:t>v)</w:t>
      </w:r>
      <w:r>
        <w:rPr>
          <w:noProof/>
        </w:rPr>
        <w:tab/>
        <w:t>usaldusleping, tagamisleping, esindusleping, kontopangaleping, garanteeritud investeerimisleping, sätestatud tingimused või ühisusaldusfondi raamistik või põhisätete kokkulepe või õigusjõu poolest samaväärsed juriidilise</w:t>
      </w:r>
      <w:r>
        <w:rPr>
          <w:noProof/>
        </w:rPr>
        <w:t>d dokumendid;</w:t>
      </w:r>
    </w:p>
    <w:p w:rsidR="003563AD" w:rsidRDefault="00251882">
      <w:pPr>
        <w:ind w:left="1984" w:hanging="567"/>
        <w:rPr>
          <w:noProof/>
        </w:rPr>
      </w:pPr>
      <w:r>
        <w:rPr>
          <w:noProof/>
        </w:rPr>
        <w:t>vi)</w:t>
      </w:r>
      <w:r>
        <w:rPr>
          <w:noProof/>
        </w:rPr>
        <w:tab/>
        <w:t>mis tahes asjakohased lepingud võlausaldajate vahel, tuletisinstrumentide dokumendid, allutatud laenu lepingud, stardilaenulepingud ja likviidsusvahendi kokkulepped;</w:t>
      </w:r>
    </w:p>
    <w:p w:rsidR="003563AD" w:rsidRDefault="00251882">
      <w:pPr>
        <w:ind w:left="1984" w:hanging="567"/>
        <w:rPr>
          <w:noProof/>
        </w:rPr>
      </w:pPr>
      <w:r>
        <w:rPr>
          <w:noProof/>
        </w:rPr>
        <w:t>vii)</w:t>
      </w:r>
      <w:r>
        <w:rPr>
          <w:noProof/>
        </w:rPr>
        <w:tab/>
        <w:t>mis tahes muud alusdokumendid, mis on tehingu mõistmiseks esmatähts</w:t>
      </w:r>
      <w:r>
        <w:rPr>
          <w:noProof/>
        </w:rPr>
        <w:t>ad;</w:t>
      </w:r>
    </w:p>
    <w:p w:rsidR="003563AD" w:rsidRDefault="00251882">
      <w:pPr>
        <w:pStyle w:val="Point1letter"/>
        <w:numPr>
          <w:ilvl w:val="3"/>
          <w:numId w:val="17"/>
        </w:numPr>
        <w:rPr>
          <w:noProof/>
        </w:rPr>
      </w:pPr>
      <w:r>
        <w:rPr>
          <w:noProof/>
        </w:rPr>
        <w:t>kui ei ole koostatud prospekti kooskõlas Euroopa Parlamendi ja nõukogu direktiiviga 2003/71/EÜ,</w:t>
      </w:r>
      <w:r>
        <w:rPr>
          <w:rStyle w:val="FootnoteReference"/>
          <w:noProof/>
        </w:rPr>
        <w:footnoteReference w:id="28"/>
      </w:r>
      <w:r>
        <w:rPr>
          <w:noProof/>
        </w:rPr>
        <w:t xml:space="preserve"> siis väärtpaberistamistehingu kokkuvõte või väärtpaberistamise peamiste tunnuste ülevaade, sealhulgas vajaduse korral:</w:t>
      </w:r>
    </w:p>
    <w:p w:rsidR="003563AD" w:rsidRDefault="00251882">
      <w:pPr>
        <w:ind w:left="1984" w:hanging="567"/>
        <w:rPr>
          <w:noProof/>
        </w:rPr>
      </w:pPr>
      <w:r>
        <w:rPr>
          <w:noProof/>
        </w:rPr>
        <w:t>i)</w:t>
      </w:r>
      <w:r>
        <w:rPr>
          <w:noProof/>
        </w:rPr>
        <w:tab/>
        <w:t>tehingu struktuuri üksikasjad;</w:t>
      </w:r>
    </w:p>
    <w:p w:rsidR="003563AD" w:rsidRDefault="00251882">
      <w:pPr>
        <w:ind w:left="1984" w:hanging="567"/>
        <w:rPr>
          <w:noProof/>
        </w:rPr>
      </w:pPr>
      <w:r>
        <w:rPr>
          <w:noProof/>
        </w:rPr>
        <w:t>ii</w:t>
      </w:r>
      <w:r>
        <w:rPr>
          <w:noProof/>
        </w:rPr>
        <w:t>)</w:t>
      </w:r>
      <w:r>
        <w:rPr>
          <w:noProof/>
        </w:rPr>
        <w:tab/>
        <w:t>riskipositsiooni tunnused, rahavood, krediidikvaliteedi parandamise ja likviidsustoetuse näitajad;</w:t>
      </w:r>
    </w:p>
    <w:p w:rsidR="003563AD" w:rsidRDefault="00251882">
      <w:pPr>
        <w:ind w:left="1984" w:hanging="567"/>
        <w:rPr>
          <w:noProof/>
        </w:rPr>
      </w:pPr>
      <w:r>
        <w:rPr>
          <w:noProof/>
        </w:rPr>
        <w:t>iii)</w:t>
      </w:r>
      <w:r>
        <w:rPr>
          <w:noProof/>
        </w:rPr>
        <w:tab/>
        <w:t>üksikasjad väärtpaberistamispositsioonide omanike hääleõiguse kohta ning nende seos muude tagatud nõudega võlausaldajatega;</w:t>
      </w:r>
    </w:p>
    <w:p w:rsidR="003563AD" w:rsidRDefault="00251882">
      <w:pPr>
        <w:ind w:left="1984" w:hanging="567"/>
        <w:rPr>
          <w:noProof/>
        </w:rPr>
      </w:pPr>
      <w:r>
        <w:rPr>
          <w:noProof/>
        </w:rPr>
        <w:t>iv)</w:t>
      </w:r>
      <w:r>
        <w:rPr>
          <w:noProof/>
        </w:rPr>
        <w:tab/>
        <w:t>loetelu kõikidest punk</w:t>
      </w:r>
      <w:r>
        <w:rPr>
          <w:noProof/>
        </w:rPr>
        <w:t>ti b kohaselt esitatud dokumentides osutatud käivitavatest ja muudest sündmustest, mis võivad väärtpaberistamisinstrumendi tulemusnäitajaid oluliselt mõjutada;</w:t>
      </w:r>
    </w:p>
    <w:p w:rsidR="003563AD" w:rsidRDefault="00251882">
      <w:pPr>
        <w:ind w:left="1984" w:hanging="567"/>
        <w:rPr>
          <w:noProof/>
        </w:rPr>
      </w:pPr>
      <w:r>
        <w:rPr>
          <w:noProof/>
        </w:rPr>
        <w:t>v)</w:t>
      </w:r>
      <w:r>
        <w:rPr>
          <w:noProof/>
        </w:rPr>
        <w:tab/>
        <w:t>struktuuriskeemid, mis annavad ülevaate tehingust, rahavoogudest ja omandistruktuurist;</w:t>
      </w:r>
    </w:p>
    <w:p w:rsidR="003563AD" w:rsidRDefault="00251882">
      <w:pPr>
        <w:pStyle w:val="Point1letter"/>
        <w:numPr>
          <w:ilvl w:val="3"/>
          <w:numId w:val="17"/>
        </w:numPr>
        <w:rPr>
          <w:noProof/>
        </w:rPr>
      </w:pPr>
      <w:r>
        <w:rPr>
          <w:noProof/>
        </w:rPr>
        <w:t>stand</w:t>
      </w:r>
      <w:r>
        <w:rPr>
          <w:noProof/>
        </w:rPr>
        <w:t>ardväärtpaberistamise puhul käesoleva määruse artikli 14 lõikes 1 osutatud standardväärtpaberistamise teade;</w:t>
      </w:r>
    </w:p>
    <w:p w:rsidR="003563AD" w:rsidRDefault="00251882">
      <w:pPr>
        <w:pStyle w:val="Point1letter"/>
        <w:numPr>
          <w:ilvl w:val="3"/>
          <w:numId w:val="17"/>
        </w:numPr>
        <w:rPr>
          <w:noProof/>
        </w:rPr>
      </w:pPr>
      <w:r>
        <w:rPr>
          <w:noProof/>
        </w:rPr>
        <w:t>aruanded, mis esitatakse investoritele igas kvartalis või varaga tagatud kommertsväärtpaberite puhul iga kuu ning mis sisaldavad järgmist:</w:t>
      </w:r>
    </w:p>
    <w:p w:rsidR="003563AD" w:rsidRDefault="00251882">
      <w:pPr>
        <w:ind w:left="1984" w:hanging="567"/>
        <w:rPr>
          <w:noProof/>
        </w:rPr>
      </w:pPr>
      <w:r>
        <w:rPr>
          <w:noProof/>
        </w:rPr>
        <w:t>i)</w:t>
      </w:r>
      <w:r>
        <w:rPr>
          <w:noProof/>
        </w:rPr>
        <w:tab/>
        <w:t xml:space="preserve">kõik </w:t>
      </w:r>
      <w:r>
        <w:rPr>
          <w:noProof/>
        </w:rPr>
        <w:t>olulisemad andmed aluspositsioonide krediidikvaliteedi ja tulemusnäitajate kohta;</w:t>
      </w:r>
    </w:p>
    <w:p w:rsidR="003563AD" w:rsidRDefault="00251882">
      <w:pPr>
        <w:ind w:left="1984" w:hanging="567"/>
        <w:rPr>
          <w:rFonts w:cstheme="minorBidi"/>
          <w:bCs/>
          <w:noProof/>
        </w:rPr>
      </w:pPr>
      <w:r>
        <w:rPr>
          <w:noProof/>
        </w:rPr>
        <w:t>ii)</w:t>
      </w:r>
      <w:r>
        <w:rPr>
          <w:noProof/>
        </w:rPr>
        <w:tab/>
        <w:t>andmed rahavoogude kohta, mille on tekitanud aluspositsioonid ja väärtpaberistamise kohustised, välja arvatud varaga tagatud kommertsväärtpaberite puhul, ning teave käivi</w:t>
      </w:r>
      <w:r>
        <w:rPr>
          <w:noProof/>
        </w:rPr>
        <w:t>tavate sündmuste kohta, mis tingivad muutuse maksehierarhias või vastaspoole asendamise;</w:t>
      </w:r>
    </w:p>
    <w:p w:rsidR="003563AD" w:rsidRDefault="00251882">
      <w:pPr>
        <w:ind w:left="1984" w:hanging="567"/>
        <w:rPr>
          <w:noProof/>
        </w:rPr>
      </w:pPr>
      <w:r>
        <w:rPr>
          <w:noProof/>
        </w:rPr>
        <w:t>iii)</w:t>
      </w:r>
      <w:r>
        <w:rPr>
          <w:noProof/>
        </w:rPr>
        <w:tab/>
        <w:t>teave artikli 4 kohaselt säilitatud riski kohta ja artikli 3 kohaselt nõutav teave;</w:t>
      </w:r>
    </w:p>
    <w:p w:rsidR="003563AD" w:rsidRDefault="00251882">
      <w:pPr>
        <w:pStyle w:val="Point1letter"/>
        <w:numPr>
          <w:ilvl w:val="3"/>
          <w:numId w:val="17"/>
        </w:numPr>
        <w:rPr>
          <w:noProof/>
        </w:rPr>
      </w:pPr>
      <w:r>
        <w:rPr>
          <w:noProof/>
        </w:rPr>
        <w:t>vajaduse korral Euroopa Parlamendi ja nõukogu määruse (EL) nr 596/2014</w:t>
      </w:r>
      <w:r>
        <w:rPr>
          <w:rStyle w:val="FootnoteReference"/>
          <w:noProof/>
        </w:rPr>
        <w:footnoteReference w:id="29"/>
      </w:r>
      <w:r>
        <w:rPr>
          <w:noProof/>
        </w:rPr>
        <w:t xml:space="preserve"> artikl</w:t>
      </w:r>
      <w:r>
        <w:rPr>
          <w:noProof/>
        </w:rPr>
        <w:t>i 17 kohane teave siseteabe alusel kauplemise ja turuga manipuleerimise kohta;</w:t>
      </w:r>
    </w:p>
    <w:p w:rsidR="003563AD" w:rsidRDefault="00251882">
      <w:pPr>
        <w:pStyle w:val="Point1letter"/>
        <w:numPr>
          <w:ilvl w:val="3"/>
          <w:numId w:val="17"/>
        </w:numPr>
        <w:rPr>
          <w:noProof/>
        </w:rPr>
      </w:pPr>
      <w:r>
        <w:rPr>
          <w:noProof/>
        </w:rPr>
        <w:t>kui punkti f ei kohaldata, siis iga oluline sündmus, nagu:</w:t>
      </w:r>
    </w:p>
    <w:p w:rsidR="003563AD" w:rsidRDefault="00251882">
      <w:pPr>
        <w:ind w:left="1984" w:hanging="567"/>
        <w:rPr>
          <w:noProof/>
        </w:rPr>
      </w:pPr>
      <w:r>
        <w:rPr>
          <w:noProof/>
        </w:rPr>
        <w:t>i)</w:t>
      </w:r>
      <w:r>
        <w:rPr>
          <w:noProof/>
        </w:rPr>
        <w:tab/>
        <w:t>punkti b kohaselt esitatud dokumentides sätestatud kohustuste oluline rikkumine, kaasa arvatud iga sellise rikkumis</w:t>
      </w:r>
      <w:r>
        <w:rPr>
          <w:noProof/>
        </w:rPr>
        <w:t>e suhtes ette nähtud õiguskaitsevahend, erand või tagantjärele antud nõusolek;</w:t>
      </w:r>
    </w:p>
    <w:p w:rsidR="003563AD" w:rsidRDefault="00251882">
      <w:pPr>
        <w:ind w:left="1984" w:hanging="567"/>
        <w:rPr>
          <w:noProof/>
        </w:rPr>
      </w:pPr>
      <w:r>
        <w:rPr>
          <w:noProof/>
        </w:rPr>
        <w:t>ii)</w:t>
      </w:r>
      <w:r>
        <w:rPr>
          <w:noProof/>
        </w:rPr>
        <w:tab/>
        <w:t>struktuursete näitajate muutus, mis võib väärtpaberistamise tulemusnäitajaid oluliselt mõjutada;</w:t>
      </w:r>
    </w:p>
    <w:p w:rsidR="003563AD" w:rsidRDefault="00251882">
      <w:pPr>
        <w:ind w:left="1984" w:hanging="567"/>
        <w:rPr>
          <w:noProof/>
        </w:rPr>
      </w:pPr>
      <w:r>
        <w:rPr>
          <w:noProof/>
        </w:rPr>
        <w:t>iii)</w:t>
      </w:r>
      <w:r>
        <w:rPr>
          <w:noProof/>
        </w:rPr>
        <w:tab/>
        <w:t>väärtpaberistamise või aluspositsioonide riskitunnuste oluline muutumin</w:t>
      </w:r>
      <w:r>
        <w:rPr>
          <w:noProof/>
        </w:rPr>
        <w:t>e;</w:t>
      </w:r>
    </w:p>
    <w:p w:rsidR="003563AD" w:rsidRDefault="00251882">
      <w:pPr>
        <w:ind w:left="1984" w:hanging="567"/>
        <w:rPr>
          <w:noProof/>
        </w:rPr>
      </w:pPr>
      <w:r>
        <w:rPr>
          <w:noProof/>
        </w:rPr>
        <w:t>iv)</w:t>
      </w:r>
      <w:r>
        <w:rPr>
          <w:noProof/>
        </w:rPr>
        <w:tab/>
        <w:t>juhul kui standardväärtpaberistamiste puhul ei vasta väärtpaberistamine enam lihtsuse, läbipaistvuse ja standardsuse nõuetele või kui pädevad asutused on võtnud parandus- või haldusmeetmeid;</w:t>
      </w:r>
    </w:p>
    <w:p w:rsidR="003563AD" w:rsidRDefault="00251882">
      <w:pPr>
        <w:ind w:left="1984" w:hanging="567"/>
        <w:rPr>
          <w:noProof/>
        </w:rPr>
      </w:pPr>
      <w:r>
        <w:rPr>
          <w:noProof/>
        </w:rPr>
        <w:t>v)</w:t>
      </w:r>
      <w:r>
        <w:rPr>
          <w:noProof/>
        </w:rPr>
        <w:tab/>
        <w:t>iga oluline muudatus tehingu dokumentides.</w:t>
      </w:r>
    </w:p>
    <w:p w:rsidR="003563AD" w:rsidRDefault="00251882">
      <w:pPr>
        <w:ind w:left="850"/>
        <w:rPr>
          <w:noProof/>
        </w:rPr>
      </w:pPr>
      <w:r>
        <w:rPr>
          <w:noProof/>
        </w:rPr>
        <w:t>Punktides a,</w:t>
      </w:r>
      <w:r>
        <w:rPr>
          <w:noProof/>
        </w:rPr>
        <w:t xml:space="preserve"> b, c ja d kirjeldatud teave tehakse kättesaadavaks hiljemalt kohe pärast tehingu lõpuleviimist.</w:t>
      </w:r>
    </w:p>
    <w:p w:rsidR="003563AD" w:rsidRDefault="00251882">
      <w:pPr>
        <w:ind w:left="850"/>
        <w:rPr>
          <w:noProof/>
        </w:rPr>
      </w:pPr>
      <w:r>
        <w:rPr>
          <w:noProof/>
        </w:rPr>
        <w:t>Punktides a ja e kirjeldatud teave tehakse kättesaadavaks igas kvartalis samal ajahetkel hiljemalt üks kuu pärast intressimakse tasumise tähtpäeva. Varaga taga</w:t>
      </w:r>
      <w:r>
        <w:rPr>
          <w:noProof/>
        </w:rPr>
        <w:t>tud kommertsväärtpaberite väärtpaberistamise puhul tehakse punktides a ja e kirjeldatud teave kättesaadavaks iga kuu samal ajahetkel hiljemalt üks kuu pärast intressimakse tasumise tähtpäeva.</w:t>
      </w:r>
    </w:p>
    <w:p w:rsidR="003563AD" w:rsidRDefault="00251882">
      <w:pPr>
        <w:ind w:left="850"/>
        <w:rPr>
          <w:noProof/>
        </w:rPr>
      </w:pPr>
      <w:r>
        <w:rPr>
          <w:noProof/>
        </w:rPr>
        <w:t>Punktides f ja g kirjeldatud teave tehakse kättesaadavaks viivit</w:t>
      </w:r>
      <w:r>
        <w:rPr>
          <w:noProof/>
        </w:rPr>
        <w:t>amata.</w:t>
      </w:r>
    </w:p>
    <w:p w:rsidR="003563AD" w:rsidRDefault="00251882">
      <w:pPr>
        <w:pStyle w:val="ManualNumPar1"/>
        <w:rPr>
          <w:noProof/>
        </w:rPr>
      </w:pPr>
      <w:r>
        <w:t>2.</w:t>
      </w:r>
      <w:r>
        <w:tab/>
      </w:r>
      <w:r>
        <w:rPr>
          <w:noProof/>
        </w:rPr>
        <w:t>Väärtpaberistamistehingu algataja, sponsor ja eriotstarbeline väärtpaberistamisüksus võivad endi hulgast määrata ühe üksuse, kes täidab lõikest 1 tulenevad teabenõuded. Väärtpaberistamistehingu algataja, sponsor ja eriotstarbeline väärtpaberistam</w:t>
      </w:r>
      <w:r>
        <w:rPr>
          <w:noProof/>
        </w:rPr>
        <w:t>isüksus tagavad, et see teave on tasuta, õigeaegselt ja selgelt kättesaadav väärtpaberistamispositsiooni omanikule ja pädevatele asutustele. Lõikes 1 sätestatud nõudeid täitma määratud üksus teeb selle teabe kättesaadavaks veebisaidi kaudu, mis vastab järg</w:t>
      </w:r>
      <w:r>
        <w:rPr>
          <w:noProof/>
        </w:rPr>
        <w:t>mistele tingimustele:</w:t>
      </w:r>
    </w:p>
    <w:p w:rsidR="003563AD" w:rsidRDefault="00251882">
      <w:pPr>
        <w:pStyle w:val="Point1letter"/>
        <w:numPr>
          <w:ilvl w:val="3"/>
          <w:numId w:val="36"/>
        </w:numPr>
        <w:rPr>
          <w:noProof/>
        </w:rPr>
      </w:pPr>
      <w:r>
        <w:rPr>
          <w:noProof/>
        </w:rPr>
        <w:t>sisaldab hästi toimivat andmekvaliteedi kontrolli süsteemi;</w:t>
      </w:r>
    </w:p>
    <w:p w:rsidR="003563AD" w:rsidRDefault="00251882">
      <w:pPr>
        <w:pStyle w:val="Point1letter"/>
        <w:numPr>
          <w:ilvl w:val="3"/>
          <w:numId w:val="17"/>
        </w:numPr>
        <w:rPr>
          <w:noProof/>
        </w:rPr>
      </w:pPr>
      <w:r>
        <w:rPr>
          <w:noProof/>
        </w:rPr>
        <w:t>vastab asjakohastele juhtimisstandarditele ja tagab piisava organisatsioonistruktuuri haldamise ja toimimise, nii et oleks tagatud järjepidevus ja nõuetekohane toimimine;</w:t>
      </w:r>
    </w:p>
    <w:p w:rsidR="003563AD" w:rsidRDefault="00251882">
      <w:pPr>
        <w:pStyle w:val="Point1letter"/>
        <w:numPr>
          <w:ilvl w:val="3"/>
          <w:numId w:val="17"/>
        </w:numPr>
        <w:rPr>
          <w:noProof/>
        </w:rPr>
      </w:pPr>
      <w:r>
        <w:rPr>
          <w:noProof/>
        </w:rPr>
        <w:t>sel</w:t>
      </w:r>
      <w:r>
        <w:rPr>
          <w:noProof/>
        </w:rPr>
        <w:t>les on loodud asjakohased süsteemid, kontrollimeetmed ja menetlused, et veebileht saaks täita oma ülesandeid usaldusväärselt ja turvaliselt ning et operatsiooniriski allikad oleksid kindlaks tehtud;</w:t>
      </w:r>
    </w:p>
    <w:p w:rsidR="003563AD" w:rsidRDefault="00251882">
      <w:pPr>
        <w:pStyle w:val="Point1letter"/>
        <w:numPr>
          <w:ilvl w:val="3"/>
          <w:numId w:val="17"/>
        </w:numPr>
        <w:rPr>
          <w:noProof/>
        </w:rPr>
      </w:pPr>
      <w:r>
        <w:rPr>
          <w:noProof/>
        </w:rPr>
        <w:t>see sisaldab süsteeme, mis tagavad saadud teabe kaitse ja</w:t>
      </w:r>
      <w:r>
        <w:rPr>
          <w:noProof/>
        </w:rPr>
        <w:t xml:space="preserve"> tervikluse ning teabe viivitamatu salvestamise; </w:t>
      </w:r>
    </w:p>
    <w:p w:rsidR="003563AD" w:rsidRDefault="00251882">
      <w:pPr>
        <w:pStyle w:val="Point1letter"/>
        <w:numPr>
          <w:ilvl w:val="3"/>
          <w:numId w:val="17"/>
        </w:numPr>
        <w:rPr>
          <w:noProof/>
        </w:rPr>
      </w:pPr>
      <w:r>
        <w:rPr>
          <w:noProof/>
        </w:rPr>
        <w:t>tagab, et teave on kättesaadav vähemalt 5 aastat pärast väärtpaberistamise lõpptähtaega.</w:t>
      </w:r>
    </w:p>
    <w:p w:rsidR="003563AD" w:rsidRDefault="00251882">
      <w:pPr>
        <w:ind w:left="720"/>
        <w:rPr>
          <w:noProof/>
        </w:rPr>
      </w:pPr>
      <w:r>
        <w:rPr>
          <w:noProof/>
        </w:rPr>
        <w:t>Käesoleva artikli alusel teabe edastamise eest vastutav üksus ning asukoht, kus teave kättesaadavaks tehakse, märgita</w:t>
      </w:r>
      <w:r>
        <w:rPr>
          <w:noProof/>
        </w:rPr>
        <w:t>kse väärtpaberistamisdokumentidesse.</w:t>
      </w:r>
    </w:p>
    <w:p w:rsidR="003563AD" w:rsidRDefault="00251882">
      <w:pPr>
        <w:pStyle w:val="ManualNumPar1"/>
        <w:rPr>
          <w:noProof/>
        </w:rPr>
      </w:pPr>
      <w:r>
        <w:t>3.</w:t>
      </w:r>
      <w:r>
        <w:tab/>
      </w:r>
      <w:r>
        <w:rPr>
          <w:noProof/>
        </w:rPr>
        <w:t>ESMA töötab tihedas koostöös EBA ja EIOPAga välja regulatiivsete tehniliste standardite eelnõud, milles täpsustatakse järgmine:</w:t>
      </w:r>
    </w:p>
    <w:p w:rsidR="003563AD" w:rsidRDefault="00251882">
      <w:pPr>
        <w:pStyle w:val="Point1letter"/>
        <w:numPr>
          <w:ilvl w:val="3"/>
          <w:numId w:val="37"/>
        </w:numPr>
        <w:rPr>
          <w:noProof/>
        </w:rPr>
      </w:pPr>
      <w:r>
        <w:rPr>
          <w:noProof/>
        </w:rPr>
        <w:t>teave, mida tehingu algataja, sponsor või eriotstarbeline väärtpaberistamisüksus peaks e</w:t>
      </w:r>
      <w:r>
        <w:rPr>
          <w:noProof/>
        </w:rPr>
        <w:t>sitama, et täita lõike 1 punktidest a ja d tulenevaid kohustusi, ja teabe esitusvorming standardvormidena;</w:t>
      </w:r>
    </w:p>
    <w:p w:rsidR="003563AD" w:rsidRDefault="00251882">
      <w:pPr>
        <w:pStyle w:val="Point1letter"/>
        <w:numPr>
          <w:ilvl w:val="3"/>
          <w:numId w:val="17"/>
        </w:numPr>
        <w:rPr>
          <w:noProof/>
        </w:rPr>
      </w:pPr>
      <w:r>
        <w:rPr>
          <w:noProof/>
        </w:rPr>
        <w:t>nõuded, millele peab vastama lõikes 2 osutatud veebisait, millel teave tehakse väärtpaberistamispositsioonide omanikele kättesaadavaks, eelkõige järg</w:t>
      </w:r>
      <w:r>
        <w:rPr>
          <w:noProof/>
        </w:rPr>
        <w:t>mistes küsimustes:</w:t>
      </w:r>
    </w:p>
    <w:p w:rsidR="003563AD" w:rsidRDefault="00251882">
      <w:pPr>
        <w:pStyle w:val="Tiret2"/>
        <w:numPr>
          <w:ilvl w:val="0"/>
          <w:numId w:val="19"/>
        </w:numPr>
        <w:rPr>
          <w:noProof/>
        </w:rPr>
      </w:pPr>
      <w:r>
        <w:rPr>
          <w:noProof/>
        </w:rPr>
        <w:t>veebisaidi juhtimisstruktuur ja teabele juurdepääsu üksikasjad;</w:t>
      </w:r>
    </w:p>
    <w:p w:rsidR="003563AD" w:rsidRDefault="00251882">
      <w:pPr>
        <w:pStyle w:val="Tiret2"/>
        <w:numPr>
          <w:ilvl w:val="0"/>
          <w:numId w:val="21"/>
        </w:numPr>
        <w:rPr>
          <w:noProof/>
        </w:rPr>
      </w:pPr>
      <w:r>
        <w:rPr>
          <w:noProof/>
        </w:rPr>
        <w:t>sisekord, millega tagatakse veebisaidi ja salvestatud teabe tõrgeteta toimimine, operatiivne stabiilsus ja terviklus;</w:t>
      </w:r>
    </w:p>
    <w:p w:rsidR="003563AD" w:rsidRDefault="00251882">
      <w:pPr>
        <w:pStyle w:val="Tiret2"/>
        <w:numPr>
          <w:ilvl w:val="0"/>
          <w:numId w:val="21"/>
        </w:numPr>
        <w:rPr>
          <w:noProof/>
        </w:rPr>
      </w:pPr>
      <w:r>
        <w:rPr>
          <w:noProof/>
        </w:rPr>
        <w:t xml:space="preserve">kehtestatud menetlused, millega tagatakse teabe </w:t>
      </w:r>
      <w:r>
        <w:rPr>
          <w:noProof/>
        </w:rPr>
        <w:t>kvaliteet ja täpsus.</w:t>
      </w:r>
    </w:p>
    <w:p w:rsidR="003563AD" w:rsidRDefault="00251882">
      <w:pPr>
        <w:autoSpaceDE w:val="0"/>
        <w:autoSpaceDN w:val="0"/>
        <w:adjustRightInd w:val="0"/>
        <w:spacing w:before="60" w:after="60"/>
        <w:ind w:left="850"/>
        <w:rPr>
          <w:noProof/>
          <w:color w:val="000000"/>
          <w:szCs w:val="24"/>
        </w:rPr>
      </w:pPr>
      <w:r>
        <w:rPr>
          <w:noProof/>
        </w:rPr>
        <w:t>ESMA esitab need regulatiivsete tehniliste standardite eelnõud komisjonile [</w:t>
      </w:r>
      <w:r>
        <w:rPr>
          <w:b/>
          <w:i/>
          <w:noProof/>
        </w:rPr>
        <w:t>üks aasta pärast käesoleva määruse jõustumist</w:t>
      </w:r>
      <w:r>
        <w:rPr>
          <w:noProof/>
        </w:rPr>
        <w:t>].</w:t>
      </w:r>
    </w:p>
    <w:p w:rsidR="003563AD" w:rsidRDefault="00251882">
      <w:pPr>
        <w:autoSpaceDE w:val="0"/>
        <w:autoSpaceDN w:val="0"/>
        <w:adjustRightInd w:val="0"/>
        <w:spacing w:before="60" w:after="60"/>
        <w:ind w:left="850"/>
        <w:rPr>
          <w:noProof/>
          <w:color w:val="000000"/>
          <w:szCs w:val="24"/>
        </w:rPr>
      </w:pPr>
      <w:r>
        <w:rPr>
          <w:noProof/>
          <w:color w:val="000000"/>
        </w:rPr>
        <w:t>Komisjonile antakse delegeeritud volitused võtta vastu käesolevas lõigus osutatud regulatiivsed tehnilised stan</w:t>
      </w:r>
      <w:r>
        <w:rPr>
          <w:noProof/>
          <w:color w:val="000000"/>
        </w:rPr>
        <w:t>dardid määruse (EL) nr 1095/2010 artiklites 10–14 sätestatud korras.</w:t>
      </w:r>
    </w:p>
    <w:p w:rsidR="003563AD" w:rsidRDefault="003563AD">
      <w:pPr>
        <w:pStyle w:val="ChapterTitle"/>
        <w:rPr>
          <w:noProof/>
        </w:rPr>
      </w:pPr>
    </w:p>
    <w:p w:rsidR="003563AD" w:rsidRDefault="00251882">
      <w:pPr>
        <w:pStyle w:val="ChapterTitle"/>
        <w:rPr>
          <w:noProof/>
        </w:rPr>
      </w:pPr>
      <w:r>
        <w:rPr>
          <w:noProof/>
        </w:rPr>
        <w:t>3. peatükk</w:t>
      </w:r>
    </w:p>
    <w:p w:rsidR="003563AD" w:rsidRDefault="00251882">
      <w:pPr>
        <w:pStyle w:val="ChapterTitle"/>
        <w:rPr>
          <w:noProof/>
        </w:rPr>
      </w:pPr>
      <w:r>
        <w:rPr>
          <w:noProof/>
        </w:rPr>
        <w:t>Lihtne, läbipaistev ja standarditud väärtpaberistamine</w:t>
      </w:r>
    </w:p>
    <w:p w:rsidR="003563AD" w:rsidRDefault="00251882">
      <w:pPr>
        <w:pStyle w:val="Titrearticle"/>
        <w:rPr>
          <w:noProof/>
        </w:rPr>
      </w:pPr>
      <w:r>
        <w:rPr>
          <w:noProof/>
        </w:rPr>
        <w:t>Artikkel 6</w:t>
      </w:r>
    </w:p>
    <w:p w:rsidR="003563AD" w:rsidRDefault="00251882">
      <w:pPr>
        <w:pStyle w:val="Titrearticle"/>
        <w:rPr>
          <w:b/>
          <w:noProof/>
        </w:rPr>
      </w:pPr>
      <w:r>
        <w:rPr>
          <w:b/>
          <w:i w:val="0"/>
          <w:noProof/>
        </w:rPr>
        <w:t>Nimetuse „lihtne, läbipaistev ja standarditud väärtpaberistamine” kasutamine</w:t>
      </w:r>
    </w:p>
    <w:p w:rsidR="003563AD" w:rsidRDefault="00251882">
      <w:pPr>
        <w:rPr>
          <w:noProof/>
        </w:rPr>
      </w:pPr>
      <w:r>
        <w:rPr>
          <w:noProof/>
        </w:rPr>
        <w:t xml:space="preserve">Väärtpaberistamistehingu </w:t>
      </w:r>
      <w:r>
        <w:rPr>
          <w:noProof/>
        </w:rPr>
        <w:t>algatajad, sponsorid ja eriotstarbelised väärtpaberistamisüksused kasutavad oma väärtpaberistamise suhtes nimetust „lihtne, läbipaistev ja standarditud väärtpaberistamine” (edaspidi „standardväärtpaberistamine”) või muud nimetust, mis otseselt või kaudselt</w:t>
      </w:r>
      <w:r>
        <w:rPr>
          <w:noProof/>
        </w:rPr>
        <w:t xml:space="preserve"> viitab neile mõistetele, üksnes juhul, kui see väärtpaberistamine vastab kõikidele käesoleva määruse 1. või 2. jao nõuetele ja kui nad on artikli 14 lõike 1 alusel sellest ESMA-le teatanud.</w:t>
      </w:r>
    </w:p>
    <w:p w:rsidR="003563AD" w:rsidRDefault="003563AD">
      <w:pPr>
        <w:rPr>
          <w:noProof/>
        </w:rPr>
      </w:pPr>
    </w:p>
    <w:p w:rsidR="003563AD" w:rsidRDefault="00251882">
      <w:pPr>
        <w:pStyle w:val="SectionTitle"/>
        <w:rPr>
          <w:noProof/>
        </w:rPr>
      </w:pPr>
      <w:r>
        <w:rPr>
          <w:noProof/>
        </w:rPr>
        <w:t>1. jagu</w:t>
      </w:r>
    </w:p>
    <w:p w:rsidR="003563AD" w:rsidRDefault="00251882">
      <w:pPr>
        <w:pStyle w:val="SectionTitle"/>
        <w:rPr>
          <w:noProof/>
        </w:rPr>
      </w:pPr>
      <w:r>
        <w:rPr>
          <w:noProof/>
        </w:rPr>
        <w:t>Standardväärtpaberistamise üldnõuded</w:t>
      </w:r>
    </w:p>
    <w:p w:rsidR="003563AD" w:rsidRDefault="00251882">
      <w:pPr>
        <w:pStyle w:val="Titrearticle"/>
        <w:rPr>
          <w:noProof/>
        </w:rPr>
      </w:pPr>
      <w:r>
        <w:rPr>
          <w:noProof/>
        </w:rPr>
        <w:t>Artikkel 7</w:t>
      </w:r>
    </w:p>
    <w:p w:rsidR="003563AD" w:rsidRDefault="00251882">
      <w:pPr>
        <w:pStyle w:val="Titrearticle"/>
        <w:rPr>
          <w:b/>
          <w:noProof/>
        </w:rPr>
      </w:pPr>
      <w:r>
        <w:rPr>
          <w:b/>
          <w:i w:val="0"/>
          <w:noProof/>
        </w:rPr>
        <w:t xml:space="preserve">Lihtne, </w:t>
      </w:r>
      <w:r>
        <w:rPr>
          <w:b/>
          <w:i w:val="0"/>
          <w:noProof/>
        </w:rPr>
        <w:t>läbipaistev ja standarditud väärtpaberistamine</w:t>
      </w:r>
    </w:p>
    <w:p w:rsidR="003563AD" w:rsidRDefault="00251882">
      <w:pPr>
        <w:rPr>
          <w:noProof/>
        </w:rPr>
      </w:pPr>
      <w:r>
        <w:rPr>
          <w:noProof/>
        </w:rPr>
        <w:t>Väärtpaberistamisi (välja arvatud varaga tagatud kommertsväärtpaberite puhul), mis vastavad käesoleva määruse artiklite 8, 9 ja 10 nõuetele, peetakse standardväärtpaberistamiseks.</w:t>
      </w:r>
    </w:p>
    <w:p w:rsidR="003563AD" w:rsidRDefault="00251882">
      <w:pPr>
        <w:pStyle w:val="Titrearticle"/>
        <w:rPr>
          <w:noProof/>
        </w:rPr>
      </w:pPr>
      <w:r>
        <w:rPr>
          <w:noProof/>
        </w:rPr>
        <w:t>Artikkel 8</w:t>
      </w:r>
    </w:p>
    <w:p w:rsidR="003563AD" w:rsidRDefault="00251882">
      <w:pPr>
        <w:pStyle w:val="Titrearticle"/>
        <w:rPr>
          <w:b/>
          <w:noProof/>
        </w:rPr>
      </w:pPr>
      <w:r>
        <w:rPr>
          <w:b/>
          <w:i w:val="0"/>
          <w:noProof/>
        </w:rPr>
        <w:t xml:space="preserve">Lihtsusega seotud </w:t>
      </w:r>
      <w:r>
        <w:rPr>
          <w:b/>
          <w:i w:val="0"/>
          <w:noProof/>
        </w:rPr>
        <w:t>nõuded</w:t>
      </w:r>
    </w:p>
    <w:p w:rsidR="003563AD" w:rsidRDefault="00251882">
      <w:pPr>
        <w:pStyle w:val="ManualNumPar1"/>
        <w:rPr>
          <w:b/>
          <w:noProof/>
          <w:szCs w:val="24"/>
        </w:rPr>
      </w:pPr>
      <w:r>
        <w:t>1.</w:t>
      </w:r>
      <w:r>
        <w:tab/>
      </w:r>
      <w:r>
        <w:rPr>
          <w:noProof/>
        </w:rPr>
        <w:t>Eriotstarbeline väärtpaberistamisüksus peab olema omandanud aluspositsioonid müügi või loovutamise teel viisil, mis on müüja või mis tahes kolmanda isiku vastu täitmisele pööratav, sealhulgas ka müüja maksejõuetuse korral. Eriotstarbelisele väärt</w:t>
      </w:r>
      <w:r>
        <w:rPr>
          <w:noProof/>
        </w:rPr>
        <w:t>paberistamisüksusele aluspositsioonide üleandmise suhtes ei tohi müüja maksejõuetuse korral kehtida mingeid rangeid tagastamissätteid. Kui aluspositsioonide üleandmine toimub loovutamise teel ja see viiakse lõpule hiljem kui tehingu sulgemise ajal, peaksid</w:t>
      </w:r>
      <w:r>
        <w:rPr>
          <w:noProof/>
        </w:rPr>
        <w:t xml:space="preserve"> sellist lõpuleviimist käivitavad sündmused hõlmama vähemalt järgmist: </w:t>
      </w:r>
    </w:p>
    <w:p w:rsidR="003563AD" w:rsidRDefault="00251882">
      <w:pPr>
        <w:pStyle w:val="Point1letter"/>
        <w:numPr>
          <w:ilvl w:val="3"/>
          <w:numId w:val="7"/>
        </w:numPr>
        <w:rPr>
          <w:noProof/>
        </w:rPr>
      </w:pPr>
      <w:r>
        <w:rPr>
          <w:noProof/>
        </w:rPr>
        <w:t xml:space="preserve">müüja krediidikvaliteedi oluline halvenemine; </w:t>
      </w:r>
    </w:p>
    <w:p w:rsidR="003563AD" w:rsidRDefault="00251882">
      <w:pPr>
        <w:pStyle w:val="Point1letter"/>
        <w:numPr>
          <w:ilvl w:val="3"/>
          <w:numId w:val="17"/>
        </w:numPr>
        <w:rPr>
          <w:noProof/>
        </w:rPr>
      </w:pPr>
      <w:r>
        <w:rPr>
          <w:noProof/>
        </w:rPr>
        <w:t>müüja makseviivitus või maksejõuetus ning</w:t>
      </w:r>
    </w:p>
    <w:p w:rsidR="003563AD" w:rsidRDefault="00251882">
      <w:pPr>
        <w:pStyle w:val="Point1letter"/>
        <w:numPr>
          <w:ilvl w:val="3"/>
          <w:numId w:val="17"/>
        </w:numPr>
        <w:rPr>
          <w:noProof/>
        </w:rPr>
      </w:pPr>
      <w:r>
        <w:rPr>
          <w:noProof/>
        </w:rPr>
        <w:t>müüjapoolne lepinguliste kohustuste rikkumine ilma seda heastamata.</w:t>
      </w:r>
    </w:p>
    <w:p w:rsidR="003563AD" w:rsidRDefault="00251882">
      <w:pPr>
        <w:pStyle w:val="ManualNumPar1"/>
        <w:rPr>
          <w:noProof/>
        </w:rPr>
      </w:pPr>
      <w:r>
        <w:t>2.</w:t>
      </w:r>
      <w:r>
        <w:tab/>
      </w:r>
      <w:r>
        <w:rPr>
          <w:noProof/>
        </w:rPr>
        <w:t xml:space="preserve">Müüja esitab kinnitused </w:t>
      </w:r>
      <w:r>
        <w:rPr>
          <w:noProof/>
        </w:rPr>
        <w:t>ja tagatised selle kohta, et tema parima teadmise kohaselt ei ole väärtpaberistamisse kaasatavad aluspositsioonid koormatud ega muul viisil sellises olukorras, mis võib ettenähtavalt kahjustada müügi või loovutamise täitmisele pööratavust.</w:t>
      </w:r>
    </w:p>
    <w:p w:rsidR="003563AD" w:rsidRDefault="00251882">
      <w:pPr>
        <w:pStyle w:val="ManualNumPar1"/>
        <w:rPr>
          <w:noProof/>
        </w:rPr>
      </w:pPr>
      <w:r>
        <w:t>3.</w:t>
      </w:r>
      <w:r>
        <w:tab/>
      </w:r>
      <w:r>
        <w:rPr>
          <w:noProof/>
        </w:rPr>
        <w:t>Müüjalt eriot</w:t>
      </w:r>
      <w:r>
        <w:rPr>
          <w:noProof/>
        </w:rPr>
        <w:t>starbelisele väärtpaberistamisüksusele üle antavad aluspositsioonid peavad vastama ette kindlaks määratud ja selgelt piiritletud sobivuskriteeriumidele, mis ei võimalda nende positsioonide puhul aktiivset portfelli valitsemist kaalutlusõiguse alusel.</w:t>
      </w:r>
    </w:p>
    <w:p w:rsidR="003563AD" w:rsidRDefault="00251882">
      <w:pPr>
        <w:pStyle w:val="ManualNumPar1"/>
        <w:rPr>
          <w:noProof/>
        </w:rPr>
      </w:pPr>
      <w:r>
        <w:t>4.</w:t>
      </w:r>
      <w:r>
        <w:tab/>
      </w:r>
      <w:r>
        <w:rPr>
          <w:noProof/>
        </w:rPr>
        <w:t>Vä</w:t>
      </w:r>
      <w:r>
        <w:rPr>
          <w:noProof/>
        </w:rPr>
        <w:t>ärtpaberistamine tagatakse vara liigi poolest homogeensete aluspositsioonide kogumiga. Aluspositsioonid peavad olema lepinguliselt siduvad ja täitmisele pööratavad kohustused, mis annavad võlgniku suhtes täieliku regressiõiguse ning näevad ette kindlapiiri</w:t>
      </w:r>
      <w:r>
        <w:rPr>
          <w:noProof/>
        </w:rPr>
        <w:t>lised perioodilised maksevood seoses rendi-, põhisumma- või intressimaksetega või on seotud muu õigusega saada neid makseid tagavatelt varadelt tulu. Aluspositsioonid ei sisaldada vabalt võõrandatavaid väärtpabereid direktiivi 2014/65/EL tähenduses.</w:t>
      </w:r>
    </w:p>
    <w:p w:rsidR="003563AD" w:rsidRDefault="00251882">
      <w:pPr>
        <w:pStyle w:val="ManualNumPar1"/>
        <w:rPr>
          <w:noProof/>
        </w:rPr>
      </w:pPr>
      <w:r>
        <w:t>5.</w:t>
      </w:r>
      <w:r>
        <w:tab/>
      </w:r>
      <w:r>
        <w:rPr>
          <w:noProof/>
        </w:rPr>
        <w:t>Alu</w:t>
      </w:r>
      <w:r>
        <w:rPr>
          <w:noProof/>
        </w:rPr>
        <w:t>spositsioonid ei sisalda väärtpaberistamisi.</w:t>
      </w:r>
    </w:p>
    <w:p w:rsidR="003563AD" w:rsidRDefault="00251882">
      <w:pPr>
        <w:pStyle w:val="ManualNumPar1"/>
        <w:rPr>
          <w:noProof/>
        </w:rPr>
      </w:pPr>
      <w:r>
        <w:t>6.</w:t>
      </w:r>
      <w:r>
        <w:tab/>
      </w:r>
      <w:r>
        <w:rPr>
          <w:noProof/>
        </w:rPr>
        <w:t>Aluspositsioonid algatatakse väärtpaberistamistehingu algataja või algse laenuandja tavapärase äritegevuse käigus vastavalt laenude väljastamise standarditele, mis on vähemalt sama ranged nagu need, mida tehi</w:t>
      </w:r>
      <w:r>
        <w:rPr>
          <w:noProof/>
        </w:rPr>
        <w:t>ngu algataja või algne laenuandja kohaldab samalaadsete väärtpaberistamata riskipositsioonide algatamise suhtes. Olulised muudatused laenude väljastamise standardites tuleb potentsiaalsetele investoritele täielikult teatavaks teha. Väärtpaberistamiste korr</w:t>
      </w:r>
      <w:r>
        <w:rPr>
          <w:noProof/>
        </w:rPr>
        <w:t>al, mille aluspositsioonideks on eluasemelaenud, ei või laenude kogum sisaldada ühtegi laenu, mille turustamisel ja väljastamisel on tuginetud eeldusele, et laenu taotlejale või (kui see on kohaldatav) vahendajatele on teatatud, et esitatud teave võib olla</w:t>
      </w:r>
      <w:r>
        <w:rPr>
          <w:noProof/>
        </w:rPr>
        <w:t xml:space="preserve"> laenuandja poolt kontrollimata. Laenuvõtja krediidivõimelisuse hindamine peab vastama Euroopa Parlamendi ja nõukogu direktiivi 2014/17/EL artikli 18 lõigetele 1–4, lõike 5 punktile a ja lõikele 6 või Euroopa Parlamendi ja nõukogu direktiivi 2008/48/EÜ art</w:t>
      </w:r>
      <w:r>
        <w:rPr>
          <w:noProof/>
        </w:rPr>
        <w:t>iklile 8 või kolmandate riikide samaväärsetele nõuetele. Väärtpaberistamistehingu algatajal või algsel laenuandjal peab olema asjatundlikkus väärtpaberistatavate riskipositsioonidega samalaadsete riskipositsioonide algatamise alal.</w:t>
      </w:r>
    </w:p>
    <w:p w:rsidR="003563AD" w:rsidRDefault="00251882">
      <w:pPr>
        <w:pStyle w:val="ManualNumPar1"/>
        <w:rPr>
          <w:noProof/>
        </w:rPr>
      </w:pPr>
      <w:r>
        <w:t>7.</w:t>
      </w:r>
      <w:r>
        <w:tab/>
      </w:r>
      <w:r>
        <w:rPr>
          <w:noProof/>
        </w:rPr>
        <w:t>Aluspositsioonide hul</w:t>
      </w:r>
      <w:r>
        <w:rPr>
          <w:noProof/>
        </w:rPr>
        <w:t>ka ei tohi nende eriotstarbelisele väärtpaberistamisüksusele üleandmise hetkel kuuluda makseviivituses olevaid riskipositsioone määruse (EL) nr 575/2013 artikli 178 lõike 1 tähenduses ega riskipositsioone halvenenud krediidikvaliteediga võlgniku või garant</w:t>
      </w:r>
      <w:r>
        <w:rPr>
          <w:noProof/>
        </w:rPr>
        <w:t>iiandja suhtes, kes tehingu algataja või algse laenuandja parima teadmise kohaselt:</w:t>
      </w:r>
    </w:p>
    <w:p w:rsidR="003563AD" w:rsidRDefault="00251882">
      <w:pPr>
        <w:pStyle w:val="Point1letter"/>
        <w:numPr>
          <w:ilvl w:val="3"/>
          <w:numId w:val="7"/>
        </w:numPr>
        <w:rPr>
          <w:noProof/>
        </w:rPr>
      </w:pPr>
      <w:r>
        <w:rPr>
          <w:noProof/>
        </w:rPr>
        <w:t>on välja kuulutanud maksejõuetuse, leppinud oma võlausaldajatega kokku võla kustutamises või tagasimaksegraafiku muutmises või kelle võlausaldajatele on kohus andnud täitmi</w:t>
      </w:r>
      <w:r>
        <w:rPr>
          <w:noProof/>
        </w:rPr>
        <w:t>sele pööramise õiguse või õiguse saada olulisi hüvitisi kahjude eest makse tegemata jätmise tulemusel kolme aasta jooksul enne väärtpaberistamistehingu algatamise kuupäeva;</w:t>
      </w:r>
    </w:p>
    <w:p w:rsidR="003563AD" w:rsidRDefault="00251882">
      <w:pPr>
        <w:pStyle w:val="Point1letter"/>
        <w:numPr>
          <w:ilvl w:val="3"/>
          <w:numId w:val="17"/>
        </w:numPr>
        <w:rPr>
          <w:noProof/>
        </w:rPr>
      </w:pPr>
      <w:r>
        <w:rPr>
          <w:noProof/>
        </w:rPr>
        <w:t>on kantud ametlikku halva krediidiajalooga isikute registrisse;</w:t>
      </w:r>
    </w:p>
    <w:p w:rsidR="003563AD" w:rsidRDefault="00251882">
      <w:pPr>
        <w:pStyle w:val="Point1letter"/>
        <w:numPr>
          <w:ilvl w:val="3"/>
          <w:numId w:val="17"/>
        </w:numPr>
        <w:rPr>
          <w:noProof/>
        </w:rPr>
      </w:pPr>
      <w:r>
        <w:rPr>
          <w:noProof/>
        </w:rPr>
        <w:t>on saanud krediidik</w:t>
      </w:r>
      <w:r>
        <w:rPr>
          <w:noProof/>
        </w:rPr>
        <w:t>valiteedi hinnangu või krediidikvaliteedi astme, mis näitab, et lepingus kokkulepitud maksete tegemata jätmise risk on oluliselt suurem kui keskmisel võlgnikul selles jurisdiktsioonis seda liiki laenude puhul.</w:t>
      </w:r>
    </w:p>
    <w:p w:rsidR="003563AD" w:rsidRDefault="00251882">
      <w:pPr>
        <w:pStyle w:val="ManualNumPar1"/>
        <w:rPr>
          <w:noProof/>
          <w:szCs w:val="24"/>
        </w:rPr>
      </w:pPr>
      <w:r>
        <w:t>8.</w:t>
      </w:r>
      <w:r>
        <w:tab/>
      </w:r>
      <w:r>
        <w:rPr>
          <w:noProof/>
        </w:rPr>
        <w:t>Võlgnikud või garantiiandjad peavad riskipo</w:t>
      </w:r>
      <w:r>
        <w:rPr>
          <w:noProof/>
        </w:rPr>
        <w:t>sitsioonide üleandmise hetkeks olema teinud vähemalt ühe makse, välja arvatud uueneva väärtpaberistamise korral, mis on tagatud isikliku arvelduskrediidi, krediitkaardi nõuete, klientide vastu olevate nõuete, kaupleja fondi rahastamiseks võetud laenude või</w:t>
      </w:r>
      <w:r>
        <w:rPr>
          <w:noProof/>
        </w:rPr>
        <w:t xml:space="preserve"> ühes osas tasutavate riskipositsioonidega.</w:t>
      </w:r>
    </w:p>
    <w:p w:rsidR="003563AD" w:rsidRDefault="00251882">
      <w:pPr>
        <w:pStyle w:val="ManualNumPar1"/>
        <w:rPr>
          <w:noProof/>
        </w:rPr>
      </w:pPr>
      <w:r>
        <w:t>9.</w:t>
      </w:r>
      <w:r>
        <w:tab/>
      </w:r>
      <w:r>
        <w:rPr>
          <w:noProof/>
        </w:rPr>
        <w:t>Tagasimaksed väärtpaberistamispositsiooni omanikele ei tohi olulisel määral sõltuda aluspositsioone tagavate varade müügist. See ei välista siiski selliste varade hilisemat pikendamist või refinantseerimist;</w:t>
      </w:r>
    </w:p>
    <w:p w:rsidR="003563AD" w:rsidRDefault="00251882">
      <w:pPr>
        <w:pStyle w:val="Titrearticle"/>
        <w:rPr>
          <w:noProof/>
        </w:rPr>
      </w:pPr>
      <w:r>
        <w:rPr>
          <w:noProof/>
        </w:rPr>
        <w:t>Artikkel 9</w:t>
      </w:r>
    </w:p>
    <w:p w:rsidR="003563AD" w:rsidRDefault="00251882">
      <w:pPr>
        <w:pStyle w:val="Titrearticle"/>
        <w:rPr>
          <w:b/>
          <w:noProof/>
        </w:rPr>
      </w:pPr>
      <w:r>
        <w:rPr>
          <w:b/>
          <w:i w:val="0"/>
          <w:noProof/>
        </w:rPr>
        <w:t>Standardsusega seotud nõuded</w:t>
      </w:r>
    </w:p>
    <w:p w:rsidR="003563AD" w:rsidRDefault="00251882">
      <w:pPr>
        <w:pStyle w:val="ManualNumPar1"/>
        <w:rPr>
          <w:noProof/>
        </w:rPr>
      </w:pPr>
      <w:r>
        <w:t>1.</w:t>
      </w:r>
      <w:r>
        <w:tab/>
      </w:r>
      <w:r>
        <w:rPr>
          <w:noProof/>
        </w:rPr>
        <w:t>Väärtpaberistamistehingu algataja, sponsor või algne laenuandja peab käesoleva määruse artikli 4 kohaselt täitma riski säilitamise nõude.</w:t>
      </w:r>
    </w:p>
    <w:p w:rsidR="003563AD" w:rsidRDefault="00251882">
      <w:pPr>
        <w:pStyle w:val="ManualNumPar1"/>
        <w:rPr>
          <w:noProof/>
        </w:rPr>
      </w:pPr>
      <w:r>
        <w:t>2.</w:t>
      </w:r>
      <w:r>
        <w:tab/>
      </w:r>
      <w:r>
        <w:rPr>
          <w:noProof/>
        </w:rPr>
        <w:t xml:space="preserve">Väärtpaberistamisest tulenev intressi- ja valuutarisk peavad olema </w:t>
      </w:r>
      <w:r>
        <w:rPr>
          <w:noProof/>
        </w:rPr>
        <w:t>maandatud ja sel otstarbel võetud meetmed tuleb avalikustada. Aluspositsioonide hulka ei tohi kuuluda tuletisinstrumendid, välja arvatud üksnes valuuta- ja intressiriski maandamise otstarbel. Need tuletisinstrumendid emiteeritakse ja dokumenteeritakse üldi</w:t>
      </w:r>
      <w:r>
        <w:rPr>
          <w:noProof/>
        </w:rPr>
        <w:t>ste rahvusvahelise rahanduse standardite kohaselt.</w:t>
      </w:r>
    </w:p>
    <w:p w:rsidR="003563AD" w:rsidRDefault="00251882">
      <w:pPr>
        <w:pStyle w:val="ManualNumPar1"/>
        <w:rPr>
          <w:noProof/>
        </w:rPr>
      </w:pPr>
      <w:r>
        <w:t>3.</w:t>
      </w:r>
      <w:r>
        <w:tab/>
      </w:r>
      <w:r>
        <w:rPr>
          <w:noProof/>
        </w:rPr>
        <w:t>Kõik väärtpaberistatud varade ja kohustiste puhul korraldatud näitajaga seotud intressimaksed peavad põhinema üldkasutatavatel turu intressimääradel, mitte aga keerukatel valemitel või tuletisinstrument</w:t>
      </w:r>
      <w:r>
        <w:rPr>
          <w:noProof/>
        </w:rPr>
        <w:t>idel.</w:t>
      </w:r>
    </w:p>
    <w:p w:rsidR="003563AD" w:rsidRDefault="00251882">
      <w:pPr>
        <w:pStyle w:val="ManualNumPar1"/>
        <w:rPr>
          <w:noProof/>
        </w:rPr>
      </w:pPr>
      <w:r>
        <w:t>4.</w:t>
      </w:r>
      <w:r>
        <w:tab/>
      </w:r>
      <w:r>
        <w:rPr>
          <w:noProof/>
        </w:rPr>
        <w:t>Kui väärtpaberistamisele ei ole ette nähtud uuenevat perioodi või kui uuenev periood on lõppenud ja kui on kätte toimetatud täitmisele pööramise teade või kiirendatud menetluse teade, ei tohi ükski olulisem rahasumma jääda eriotstarbelisest väärtp</w:t>
      </w:r>
      <w:r>
        <w:rPr>
          <w:noProof/>
        </w:rPr>
        <w:t>aberistamisüksusest üle kandmata ning aluspositsioonidest laekuvad põhisumma maksed lähevad väärtpaberistamispositsioonide järjestikuse amortiseerimise kaudu üle investoritele vastavalt väärtpaberistamispositsioonide nõudeõiguse järgule. Väärtpaberistamisp</w:t>
      </w:r>
      <w:r>
        <w:rPr>
          <w:noProof/>
        </w:rPr>
        <w:t>ositsioonide tagasimaksmine ei tohi toimuda nende ümberpööratud nõudeõiguse järjekorras ning tehingute puhul, milles esineb mittejärjestikune maksehierarhia, nähakse ette tulemusnäitajatega seotud käivitavad sündmused, sealhulgas vähemalt aluspositsioonide</w:t>
      </w:r>
      <w:r>
        <w:rPr>
          <w:noProof/>
        </w:rPr>
        <w:t xml:space="preserve"> krediidikvaliteedi halvenemine allapoole eelnevalt kindlaks määratud künnist. Ühegi sättega ei tohi olla ette nähtud aluspositsioonide automaatset likvideerimist turuväärtuse alusel.</w:t>
      </w:r>
    </w:p>
    <w:p w:rsidR="003563AD" w:rsidRDefault="00251882">
      <w:pPr>
        <w:pStyle w:val="ManualNumPar1"/>
        <w:rPr>
          <w:noProof/>
        </w:rPr>
      </w:pPr>
      <w:r>
        <w:t>5.</w:t>
      </w:r>
      <w:r>
        <w:tab/>
      </w:r>
      <w:r>
        <w:rPr>
          <w:noProof/>
        </w:rPr>
        <w:t>Kui väärtpaberistamisele on ette nähtud uuenev periood, peavad tehing</w:t>
      </w:r>
      <w:r>
        <w:rPr>
          <w:noProof/>
        </w:rPr>
        <w:t>u dokumentide hulka kuuluma asjakohased ennetähtaegset amortiseerimist tingivad sündmused või sündmused, mis käivitavad uueneva perioodi lõppemise, sealhulgas vähemalt järgmine:</w:t>
      </w:r>
    </w:p>
    <w:p w:rsidR="003563AD" w:rsidRDefault="00251882">
      <w:pPr>
        <w:pStyle w:val="Point1letter"/>
        <w:numPr>
          <w:ilvl w:val="3"/>
          <w:numId w:val="40"/>
        </w:numPr>
        <w:rPr>
          <w:noProof/>
        </w:rPr>
      </w:pPr>
      <w:r>
        <w:rPr>
          <w:noProof/>
        </w:rPr>
        <w:t>aluspositsioonide krediidikvaliteedi halvenemine eelnevalt kindlaks määratud k</w:t>
      </w:r>
      <w:r>
        <w:rPr>
          <w:noProof/>
        </w:rPr>
        <w:t>ünniseni või allapoole seda;</w:t>
      </w:r>
    </w:p>
    <w:p w:rsidR="003563AD" w:rsidRDefault="00251882">
      <w:pPr>
        <w:pStyle w:val="Point1letter"/>
        <w:numPr>
          <w:ilvl w:val="3"/>
          <w:numId w:val="17"/>
        </w:numPr>
        <w:rPr>
          <w:noProof/>
        </w:rPr>
      </w:pPr>
      <w:r>
        <w:rPr>
          <w:noProof/>
        </w:rPr>
        <w:t>leiab aset väärtpaberistamistehingu algataja või maksete vahendaja maksejõuetusega seotud sündmus;</w:t>
      </w:r>
    </w:p>
    <w:p w:rsidR="003563AD" w:rsidRDefault="00251882">
      <w:pPr>
        <w:pStyle w:val="Point1letter"/>
        <w:numPr>
          <w:ilvl w:val="3"/>
          <w:numId w:val="17"/>
        </w:numPr>
        <w:rPr>
          <w:noProof/>
        </w:rPr>
      </w:pPr>
      <w:r>
        <w:rPr>
          <w:noProof/>
        </w:rPr>
        <w:t xml:space="preserve">eriotstarbelise väärtpaberistamisüksuse valduses olevate aluspositsioonide väärtus langeb allapoole eelnevalt kindlaks määratud </w:t>
      </w:r>
      <w:r>
        <w:rPr>
          <w:noProof/>
        </w:rPr>
        <w:t>künnist (ennetähtaegne amortiseerimine);</w:t>
      </w:r>
    </w:p>
    <w:p w:rsidR="003563AD" w:rsidRDefault="00251882">
      <w:pPr>
        <w:pStyle w:val="Point1letter"/>
        <w:numPr>
          <w:ilvl w:val="3"/>
          <w:numId w:val="17"/>
        </w:numPr>
        <w:rPr>
          <w:noProof/>
        </w:rPr>
      </w:pPr>
      <w:r>
        <w:rPr>
          <w:noProof/>
        </w:rPr>
        <w:t>ei suudeta tekitada piisaval hulgal uusi aluspositsioone, mis vastaksid eelnevalt kindlaks määratud krediidikvaliteedile (sündmus, mis käivitab uueneva perioodi lõppemise)</w:t>
      </w:r>
    </w:p>
    <w:p w:rsidR="003563AD" w:rsidRDefault="00251882">
      <w:pPr>
        <w:pStyle w:val="ManualNumPar1"/>
        <w:rPr>
          <w:noProof/>
        </w:rPr>
      </w:pPr>
      <w:r>
        <w:t>6.</w:t>
      </w:r>
      <w:r>
        <w:tab/>
      </w:r>
      <w:r>
        <w:rPr>
          <w:noProof/>
        </w:rPr>
        <w:t>Tehingu dokumentides peavad olema selgel</w:t>
      </w:r>
      <w:r>
        <w:rPr>
          <w:noProof/>
        </w:rPr>
        <w:t>t märgitud:</w:t>
      </w:r>
    </w:p>
    <w:p w:rsidR="003563AD" w:rsidRDefault="00251882">
      <w:pPr>
        <w:pStyle w:val="Point1letter"/>
        <w:numPr>
          <w:ilvl w:val="3"/>
          <w:numId w:val="41"/>
        </w:numPr>
        <w:rPr>
          <w:noProof/>
        </w:rPr>
      </w:pPr>
      <w:r>
        <w:rPr>
          <w:noProof/>
        </w:rPr>
        <w:t>lepingulised kohustused, ülesanded ja vastutus, mis lasuvad maksete vahendajal ja tema juhtkonnal, kellel peab olema asjatundlikkus aluspositsioonide maksete vahendamise alal, ning kui see on asjakohane, ka need, mis lasuvad usaldusisikul ja mu</w:t>
      </w:r>
      <w:r>
        <w:rPr>
          <w:noProof/>
        </w:rPr>
        <w:t>udel kõrvalteenuste osutajatel;</w:t>
      </w:r>
    </w:p>
    <w:p w:rsidR="003563AD" w:rsidRDefault="00251882">
      <w:pPr>
        <w:pStyle w:val="Point1letter"/>
        <w:numPr>
          <w:ilvl w:val="3"/>
          <w:numId w:val="17"/>
        </w:numPr>
        <w:rPr>
          <w:noProof/>
        </w:rPr>
      </w:pPr>
      <w:r>
        <w:rPr>
          <w:noProof/>
        </w:rPr>
        <w:t>protsessid ja ülesanded, mida on vaja tagamaks, et maksete vahendaja makseviivitus või maksejõuetus ei too kaasa maksete vahendamise lõppemist;</w:t>
      </w:r>
    </w:p>
    <w:p w:rsidR="003563AD" w:rsidRDefault="00251882">
      <w:pPr>
        <w:pStyle w:val="Point1letter"/>
        <w:numPr>
          <w:ilvl w:val="3"/>
          <w:numId w:val="17"/>
        </w:numPr>
        <w:rPr>
          <w:noProof/>
        </w:rPr>
      </w:pPr>
      <w:r>
        <w:rPr>
          <w:noProof/>
        </w:rPr>
        <w:t>sätted selle kohta, et tuletistehingu vastaspooled, likviidsuse pakkujad ja kont</w:t>
      </w:r>
      <w:r>
        <w:rPr>
          <w:noProof/>
        </w:rPr>
        <w:t>opank asendatakse nende makseviivituse, maksejõuetuse ja muude kindlaksmääratud sündmuste korral, kui see on asjakohane.</w:t>
      </w:r>
    </w:p>
    <w:p w:rsidR="003563AD" w:rsidRDefault="00251882">
      <w:pPr>
        <w:ind w:left="850"/>
        <w:rPr>
          <w:noProof/>
        </w:rPr>
      </w:pPr>
      <w:r>
        <w:rPr>
          <w:noProof/>
        </w:rPr>
        <w:t>Strateegia, menetlused ja riskijuhtimise kontrollimeetmed dokumenteeritakse korralikult ja kehtestatakse tõhusad süsteemid.</w:t>
      </w:r>
    </w:p>
    <w:p w:rsidR="003563AD" w:rsidRDefault="00251882">
      <w:pPr>
        <w:pStyle w:val="ManualNumPar1"/>
        <w:rPr>
          <w:noProof/>
        </w:rPr>
      </w:pPr>
      <w:r>
        <w:t>7.</w:t>
      </w:r>
      <w:r>
        <w:tab/>
      </w:r>
      <w:r>
        <w:rPr>
          <w:noProof/>
        </w:rPr>
        <w:t xml:space="preserve">Tehingu </w:t>
      </w:r>
      <w:r>
        <w:rPr>
          <w:noProof/>
        </w:rPr>
        <w:t>dokumentides peavad selgelt ja järjepidevalt olema sätestatud määratlused, õiguskaitsevahendid ja meetmed võlgnike viivisseisundi või makseviivituse, võla restruktureerimise, võla kustutamise, makseraskuste tõttu restruktureerimise, maksepuhkuste, kahjumi,</w:t>
      </w:r>
      <w:r>
        <w:rPr>
          <w:noProof/>
        </w:rPr>
        <w:t xml:space="preserve"> mahakandmiste ja sissenõudmiste puhuks ning muud vara tootluse parandamise meetmed. Dokumentides nähakse selgelt ette maksehierarhia, käivitavad sündmused, muudatused maksehierarhias pärast käivitavaid sündmusi ning kohustus sellistest sündmustest teatada</w:t>
      </w:r>
      <w:r>
        <w:rPr>
          <w:noProof/>
        </w:rPr>
        <w:t>. Igast muudatusest maksehierarhias tuleb teatada selle toimumise ajal.</w:t>
      </w:r>
    </w:p>
    <w:p w:rsidR="003563AD" w:rsidRDefault="00251882">
      <w:pPr>
        <w:pStyle w:val="ManualNumPar1"/>
        <w:rPr>
          <w:noProof/>
        </w:rPr>
      </w:pPr>
      <w:r>
        <w:t>8.</w:t>
      </w:r>
      <w:r>
        <w:tab/>
      </w:r>
      <w:r>
        <w:rPr>
          <w:noProof/>
        </w:rPr>
        <w:t>Tehingu dokumendid peavad sisaldama selgeid sätteid, mis võimaldavad õigeaegselt lahendada konflikte eri kategooria investorite vahel; hääleõigus peab olema selgelt kindlaks määratu</w:t>
      </w:r>
      <w:r>
        <w:rPr>
          <w:noProof/>
        </w:rPr>
        <w:t>d ja investorite vahel jaotatud ning usaldusisiku ja muude investorite ees usaldusülesandeid täitvate üksuste kohustused peavad olema selgelt piiritletud.</w:t>
      </w:r>
    </w:p>
    <w:p w:rsidR="003563AD" w:rsidRDefault="00251882">
      <w:pPr>
        <w:pStyle w:val="Titrearticle"/>
        <w:rPr>
          <w:noProof/>
        </w:rPr>
      </w:pPr>
      <w:r>
        <w:rPr>
          <w:noProof/>
        </w:rPr>
        <w:t>Artikkel 10</w:t>
      </w:r>
    </w:p>
    <w:p w:rsidR="003563AD" w:rsidRDefault="00251882">
      <w:pPr>
        <w:pStyle w:val="Titrearticle"/>
        <w:rPr>
          <w:b/>
          <w:noProof/>
        </w:rPr>
      </w:pPr>
      <w:r>
        <w:rPr>
          <w:b/>
          <w:i w:val="0"/>
          <w:noProof/>
        </w:rPr>
        <w:t>Läbipaistvusega seotud nõuded</w:t>
      </w:r>
    </w:p>
    <w:p w:rsidR="003563AD" w:rsidRDefault="00251882">
      <w:pPr>
        <w:pStyle w:val="ManualNumPar1"/>
        <w:rPr>
          <w:noProof/>
        </w:rPr>
      </w:pPr>
      <w:r>
        <w:t>1.</w:t>
      </w:r>
      <w:r>
        <w:tab/>
      </w:r>
      <w:r>
        <w:rPr>
          <w:noProof/>
        </w:rPr>
        <w:t>Väärtpaberistamistehingu algataja, sponsor ja eriotstarb</w:t>
      </w:r>
      <w:r>
        <w:rPr>
          <w:noProof/>
        </w:rPr>
        <w:t>eline väärtpaberistamisüksus teevad investorile enne investeerimist kättesaadavaks andmed varasemate staatiliste ja dünaamiliste tulemusnäitajate kohta makseviivituste ja kahjumi alal, näiteks andmed viivisseisundi ja makseviivituste kohta, selliste riskip</w:t>
      </w:r>
      <w:r>
        <w:rPr>
          <w:noProof/>
        </w:rPr>
        <w:t>ositsioonide puhul, mis on põhimõtteliselt sarnased väärtpaberistatavate positsioonidega. Need andmed peavad mittejaenõuete puhul käima vähemalt seitsme aasta kohta ja jaenõuete puhul vähemalt viie aasta kohta.</w:t>
      </w:r>
      <w:r>
        <w:rPr>
          <w:noProof/>
          <w:color w:val="000000"/>
        </w:rPr>
        <w:t xml:space="preserve"> </w:t>
      </w:r>
      <w:r>
        <w:rPr>
          <w:noProof/>
        </w:rPr>
        <w:t>Asjaolud, mille põhjal väidetakse, et positsi</w:t>
      </w:r>
      <w:r>
        <w:rPr>
          <w:noProof/>
        </w:rPr>
        <w:t>oonid on sarnased, tuleb teha avalikuks.</w:t>
      </w:r>
    </w:p>
    <w:p w:rsidR="003563AD" w:rsidRDefault="00251882">
      <w:pPr>
        <w:pStyle w:val="ManualNumPar1"/>
        <w:rPr>
          <w:noProof/>
        </w:rPr>
      </w:pPr>
      <w:r>
        <w:t>2.</w:t>
      </w:r>
      <w:r>
        <w:tab/>
      </w:r>
      <w:r>
        <w:rPr>
          <w:noProof/>
        </w:rPr>
        <w:t>Enne väärtpaberistamisest tulenevate väärtpaberite emiteerimist teostab asjakohane sõltumatu osapool aluspositsioonide valimi väliskontrolli, sealhulgas kontrollib, et aluspositsioonide kohta avalikustatud andmed</w:t>
      </w:r>
      <w:r>
        <w:rPr>
          <w:noProof/>
        </w:rPr>
        <w:t xml:space="preserve"> on 95 % usaldusnivooga täpsed.</w:t>
      </w:r>
    </w:p>
    <w:p w:rsidR="003563AD" w:rsidRDefault="00251882">
      <w:pPr>
        <w:pStyle w:val="ManualNumPar1"/>
        <w:rPr>
          <w:noProof/>
        </w:rPr>
      </w:pPr>
      <w:r>
        <w:t>3.</w:t>
      </w:r>
      <w:r>
        <w:tab/>
      </w:r>
      <w:r>
        <w:rPr>
          <w:noProof/>
        </w:rPr>
        <w:t>Väärtpaberistamistehingu algataja või sponsor esitab investoritele nii enne väärtpaberistamise hinnakujundust kui ka jooksvalt kohustise rahavoo mudeli.</w:t>
      </w:r>
    </w:p>
    <w:p w:rsidR="003563AD" w:rsidRDefault="00251882">
      <w:pPr>
        <w:pStyle w:val="ManualNumPar1"/>
        <w:rPr>
          <w:noProof/>
        </w:rPr>
      </w:pPr>
      <w:r>
        <w:t>4.</w:t>
      </w:r>
      <w:r>
        <w:tab/>
      </w:r>
      <w:r>
        <w:rPr>
          <w:noProof/>
        </w:rPr>
        <w:t>Väärtpaberistamistehingu algataja, sponsor ja eriotstarbeline vää</w:t>
      </w:r>
      <w:r>
        <w:rPr>
          <w:noProof/>
        </w:rPr>
        <w:t>rtpaberistamisüksus vastutavad üheskoos käesoleva määruse artikli 5 täitmise eest ning teevad potentsiaalsetele investoritele enne hinnakujundust kättesaadavaks kogu artikli 5 lõike 1 punktis a nõutud teabe. Väärtpaberistamistehingu algataja, sponsor ja er</w:t>
      </w:r>
      <w:r>
        <w:rPr>
          <w:noProof/>
        </w:rPr>
        <w:t>iotstarbeline väärtpaberistamisüksus teevad artikli 5 lõike 1 punktides b–e nõutud teabe enne hinnakujundust kättesaadavaks vähemalt kavandina või esialgsel kujul, kui see on direktiivi 2003/71/EÜ artikli 3 alusel lubatav. Väärtpaberistamistehingu algataja</w:t>
      </w:r>
      <w:r>
        <w:rPr>
          <w:noProof/>
        </w:rPr>
        <w:t>, sponsor ja eriotstarbeline väärtpaberistamisüksus teevad lõplikud dokumendid investoritele kättesaadavaks hiljemalt 15 päeva pärast tehingu lõpuleviimist.</w:t>
      </w:r>
    </w:p>
    <w:p w:rsidR="003563AD" w:rsidRDefault="00251882">
      <w:pPr>
        <w:pStyle w:val="SectionTitle"/>
        <w:rPr>
          <w:noProof/>
        </w:rPr>
      </w:pPr>
      <w:r>
        <w:rPr>
          <w:noProof/>
        </w:rPr>
        <w:t>2. jagu</w:t>
      </w:r>
    </w:p>
    <w:p w:rsidR="003563AD" w:rsidRDefault="00251882">
      <w:pPr>
        <w:pStyle w:val="SectionTitle"/>
        <w:rPr>
          <w:noProof/>
        </w:rPr>
      </w:pPr>
      <w:r>
        <w:rPr>
          <w:noProof/>
        </w:rPr>
        <w:t>Varaga tagatud kommertsväärtpaberite väärtpaberistamise nõuded</w:t>
      </w:r>
    </w:p>
    <w:p w:rsidR="003563AD" w:rsidRDefault="00251882">
      <w:pPr>
        <w:pStyle w:val="Titrearticle"/>
        <w:rPr>
          <w:noProof/>
        </w:rPr>
      </w:pPr>
      <w:r>
        <w:rPr>
          <w:noProof/>
        </w:rPr>
        <w:t>Artikkel 11</w:t>
      </w:r>
    </w:p>
    <w:p w:rsidR="003563AD" w:rsidRDefault="00251882">
      <w:pPr>
        <w:pStyle w:val="Titrearticle"/>
        <w:rPr>
          <w:b/>
          <w:noProof/>
        </w:rPr>
      </w:pPr>
      <w:r>
        <w:rPr>
          <w:b/>
          <w:i w:val="0"/>
          <w:noProof/>
        </w:rPr>
        <w:t>Varaga tagatud k</w:t>
      </w:r>
      <w:r>
        <w:rPr>
          <w:b/>
          <w:i w:val="0"/>
          <w:noProof/>
        </w:rPr>
        <w:t>ommertsväärtpaberite lihtne, läbipaistev ja standarditud väärtpaberistamine</w:t>
      </w:r>
    </w:p>
    <w:p w:rsidR="003563AD" w:rsidRDefault="00251882">
      <w:pPr>
        <w:spacing w:before="0" w:after="200" w:line="276" w:lineRule="auto"/>
        <w:jc w:val="left"/>
        <w:rPr>
          <w:noProof/>
          <w:szCs w:val="24"/>
        </w:rPr>
      </w:pPr>
      <w:r>
        <w:rPr>
          <w:noProof/>
        </w:rPr>
        <w:t>Varaga tagatud kommertsväärtpaberite väärtpaberistamine loetakse standardväärtpaberistamiseks, kui varaga tagatud kommertsväärtpaberite programm vastab käesoleva määruse artikli 13</w:t>
      </w:r>
      <w:r>
        <w:rPr>
          <w:noProof/>
        </w:rPr>
        <w:t xml:space="preserve"> nõuetele ja kõik selle programmi piires tehtud tehingud vastavad artikli 12 nõuetele.</w:t>
      </w:r>
    </w:p>
    <w:p w:rsidR="003563AD" w:rsidRDefault="00251882">
      <w:pPr>
        <w:pStyle w:val="Titrearticle"/>
        <w:rPr>
          <w:noProof/>
        </w:rPr>
      </w:pPr>
      <w:r>
        <w:rPr>
          <w:noProof/>
        </w:rPr>
        <w:t>Artikkel 12</w:t>
      </w:r>
    </w:p>
    <w:p w:rsidR="003563AD" w:rsidRDefault="00251882">
      <w:pPr>
        <w:pStyle w:val="Titrearticle"/>
        <w:rPr>
          <w:b/>
          <w:noProof/>
        </w:rPr>
      </w:pPr>
      <w:r>
        <w:rPr>
          <w:b/>
          <w:i w:val="0"/>
          <w:noProof/>
        </w:rPr>
        <w:t>Tehingu taseme nõuded</w:t>
      </w:r>
    </w:p>
    <w:p w:rsidR="003563AD" w:rsidRDefault="00251882">
      <w:pPr>
        <w:pStyle w:val="ManualNumPar1"/>
        <w:rPr>
          <w:noProof/>
        </w:rPr>
      </w:pPr>
      <w:r>
        <w:t>1.</w:t>
      </w:r>
      <w:r>
        <w:tab/>
      </w:r>
      <w:r>
        <w:rPr>
          <w:noProof/>
        </w:rPr>
        <w:t>Varaga tagatud kommertsväärtpaberite programmi raames tehtav tehing peab vastama käesoleva peatüki 1. jao nõuetele, välja arvatud ar</w:t>
      </w:r>
      <w:r>
        <w:rPr>
          <w:noProof/>
        </w:rPr>
        <w:t>tikkel 7, artikli 8 lõiked 4 ja 6, artikli 9 lõiked 3, 4, 5, 6 ja 8 ning artikli 10 lõige 3. Käesoleva jao kohaldamisel tähistavad artikli 8 lõike 7 kohased mõisted „väärtpaberistamistehingu algataja” ja „algne laenuandja” müüjat.</w:t>
      </w:r>
    </w:p>
    <w:p w:rsidR="003563AD" w:rsidRDefault="00251882">
      <w:pPr>
        <w:pStyle w:val="ManualNumPar1"/>
        <w:rPr>
          <w:noProof/>
        </w:rPr>
      </w:pPr>
      <w:r>
        <w:t>2.</w:t>
      </w:r>
      <w:r>
        <w:tab/>
      </w:r>
      <w:r>
        <w:rPr>
          <w:noProof/>
        </w:rPr>
        <w:t>Varaga tagatud kommert</w:t>
      </w:r>
      <w:r>
        <w:rPr>
          <w:noProof/>
        </w:rPr>
        <w:t>sväärtpaberite programmi raames tehtavad tehingud tagatakse selliste aluspositsioonide kogumiga, mis on vara liigi poolest homogeensed ja mille järelejäänud kaalutud keskmine tähtaeg ei ole rohkem kui kaks aastat ja millest mitte ühegi järelejäänud tähtaeg</w:t>
      </w:r>
      <w:r>
        <w:rPr>
          <w:noProof/>
        </w:rPr>
        <w:t xml:space="preserve"> ei ole üle kolme aasta. Aluspositsioonid ei sisaldada laene, mis on tagatud elamu- või ärikinnisvarale seatud hüpoteegiga, ega täielikult tagatud eluasemelaene, nagu on osutatud määruse (EL) nr 575/2013 artikli 129 lõike 1 punktis e. Aluspositsioonid peav</w:t>
      </w:r>
      <w:r>
        <w:rPr>
          <w:noProof/>
        </w:rPr>
        <w:t>ad sisaldama lepinguliselt siduvaid ja täitmisele pööratavaid kohustisi, mis annavad võlgniku suhtes täieliku regressiõiguse ning näevad ette kindlapiirilised perioodilised maksevood seoses rendi-, põhisumma- või intressimaksetega või on seotud muu õiguseg</w:t>
      </w:r>
      <w:r>
        <w:rPr>
          <w:noProof/>
        </w:rPr>
        <w:t>a saada neid makseid tagavatelt varadelt tulu. Aluspositsioonid ei sisaldada vabalt võõrandatavaid väärtpabereid direktiivi 2014/65/EL tähenduses.</w:t>
      </w:r>
    </w:p>
    <w:p w:rsidR="003563AD" w:rsidRDefault="00251882">
      <w:pPr>
        <w:pStyle w:val="ManualNumPar1"/>
        <w:rPr>
          <w:noProof/>
        </w:rPr>
      </w:pPr>
      <w:r>
        <w:t>3.</w:t>
      </w:r>
      <w:r>
        <w:tab/>
      </w:r>
      <w:r>
        <w:rPr>
          <w:noProof/>
        </w:rPr>
        <w:t xml:space="preserve">Kõik väärtpaberistamistehingu varade ja kohustiste puhul korraldatud näitajaga seotud intressimaksed </w:t>
      </w:r>
      <w:r>
        <w:rPr>
          <w:noProof/>
        </w:rPr>
        <w:t>peavad põhinema üldkasutatavatel turu intressimääradel, mitte aga keerukatel valemitel või tuletisinstrumentidel.</w:t>
      </w:r>
    </w:p>
    <w:p w:rsidR="003563AD" w:rsidRDefault="00251882">
      <w:pPr>
        <w:pStyle w:val="ManualNumPar1"/>
        <w:rPr>
          <w:noProof/>
        </w:rPr>
      </w:pPr>
      <w:r>
        <w:t>4.</w:t>
      </w:r>
      <w:r>
        <w:tab/>
      </w:r>
      <w:r>
        <w:rPr>
          <w:noProof/>
        </w:rPr>
        <w:t>Müüja makseviivituse või kiirendatud menetluse korral ei tohi ükski olulisem rahasumma jääda eriotstarbelisest väärtpaberistamisüksusest ül</w:t>
      </w:r>
      <w:r>
        <w:rPr>
          <w:noProof/>
        </w:rPr>
        <w:t>e kandmata ning aluspositsioonidest laekuvad põhisumma maksed lähevad väärtpaberistamispositsioonide järjestikuse tasumise kaudu üle väärtpaberistamispositsioone omavatele investoritele vastavalt väärtpaberistamispositsioonide nõudeõiguse järgule. Ühegi sä</w:t>
      </w:r>
      <w:r>
        <w:rPr>
          <w:noProof/>
        </w:rPr>
        <w:t>ttega ei tohi olla ette nähtud aluspositsioonide automaatset likvideerimist turuväärtuse alusel.</w:t>
      </w:r>
    </w:p>
    <w:p w:rsidR="003563AD" w:rsidRDefault="00251882">
      <w:pPr>
        <w:pStyle w:val="ManualNumPar1"/>
        <w:rPr>
          <w:noProof/>
        </w:rPr>
      </w:pPr>
      <w:r>
        <w:t>5.</w:t>
      </w:r>
      <w:r>
        <w:tab/>
      </w:r>
      <w:r>
        <w:rPr>
          <w:noProof/>
        </w:rPr>
        <w:t>Aluspositsioonid algatatakse müüja tavapärase äritegevuse käigus vastavalt laenude väljastamise standarditele, mis on vähemalt sama ranged nagu need, mida m</w:t>
      </w:r>
      <w:r>
        <w:rPr>
          <w:noProof/>
        </w:rPr>
        <w:t>üüja rakendab samalaadsete väärtpaberistamata riskipositsioonide algatamise suhtes. Olulised muudatused laenude väljastamise standardites tuleb potentsiaalsetele investoritele täielikult teatavaks teha. Väärtpaberistamiste korral, mille aluspositsioonideks</w:t>
      </w:r>
      <w:r>
        <w:rPr>
          <w:noProof/>
        </w:rPr>
        <w:t xml:space="preserve"> on eluasemelaenud, ei või laenude kogum sisaldada ühtegi laenu, mille turustamisel ja väljastamisel on tuginetud eeldusele, et laenu taotlejale või (kui see on kohaldatav) vahendajatele on teatatud, et esitatud teave võib olla laenuandja poolt kontrollima</w:t>
      </w:r>
      <w:r>
        <w:rPr>
          <w:noProof/>
        </w:rPr>
        <w:t>ta. Müüjal peab olema asjatundlikkus väärtpaberistatavate riskipositsioonidega samalaadsete riskipositsioonide algatamise alal.</w:t>
      </w:r>
    </w:p>
    <w:p w:rsidR="003563AD" w:rsidRDefault="00251882">
      <w:pPr>
        <w:pStyle w:val="ManualNumPar1"/>
        <w:rPr>
          <w:noProof/>
        </w:rPr>
      </w:pPr>
      <w:r>
        <w:t>6.</w:t>
      </w:r>
      <w:r>
        <w:tab/>
      </w:r>
      <w:r>
        <w:rPr>
          <w:noProof/>
        </w:rPr>
        <w:t>Tehingu dokumentides tuleb märkida sündmused, mis käivitavad uueneva perioodi lõppemise, sealhulgas vähemalt järgmine:</w:t>
      </w:r>
    </w:p>
    <w:p w:rsidR="003563AD" w:rsidRDefault="00251882">
      <w:pPr>
        <w:pStyle w:val="Point1letter"/>
        <w:numPr>
          <w:ilvl w:val="3"/>
          <w:numId w:val="44"/>
        </w:numPr>
        <w:rPr>
          <w:noProof/>
        </w:rPr>
      </w:pPr>
      <w:r>
        <w:rPr>
          <w:noProof/>
        </w:rPr>
        <w:t>aluspo</w:t>
      </w:r>
      <w:r>
        <w:rPr>
          <w:noProof/>
        </w:rPr>
        <w:t>sitsioonide krediidikvaliteedi halvenemine eelnevalt kindlaks määratud künniseni või allapoole seda;</w:t>
      </w:r>
    </w:p>
    <w:p w:rsidR="003563AD" w:rsidRDefault="00251882">
      <w:pPr>
        <w:pStyle w:val="Point1letter"/>
        <w:numPr>
          <w:ilvl w:val="3"/>
          <w:numId w:val="17"/>
        </w:numPr>
        <w:rPr>
          <w:noProof/>
        </w:rPr>
      </w:pPr>
      <w:r>
        <w:rPr>
          <w:noProof/>
        </w:rPr>
        <w:t>leiab aset müüja või maksete vahendaja maksejõuetusega seotud sündmus;</w:t>
      </w:r>
    </w:p>
    <w:p w:rsidR="003563AD" w:rsidRDefault="00251882">
      <w:pPr>
        <w:pStyle w:val="Point1letter"/>
        <w:numPr>
          <w:ilvl w:val="3"/>
          <w:numId w:val="17"/>
        </w:numPr>
        <w:rPr>
          <w:noProof/>
        </w:rPr>
      </w:pPr>
      <w:r>
        <w:rPr>
          <w:noProof/>
        </w:rPr>
        <w:t>ei suudeta luua piisavalt uusi aluspositsioone, mis vastaksid eelnevalt kindlaks mää</w:t>
      </w:r>
      <w:r>
        <w:rPr>
          <w:noProof/>
        </w:rPr>
        <w:t>ratud krediidikvaliteedile.</w:t>
      </w:r>
    </w:p>
    <w:p w:rsidR="003563AD" w:rsidRDefault="00251882">
      <w:pPr>
        <w:pStyle w:val="ManualNumPar1"/>
        <w:rPr>
          <w:noProof/>
        </w:rPr>
      </w:pPr>
      <w:r>
        <w:t>7.</w:t>
      </w:r>
      <w:r>
        <w:tab/>
      </w:r>
      <w:r>
        <w:rPr>
          <w:noProof/>
        </w:rPr>
        <w:t>Tehingu dokumentides peavad olema selgelt märgitud:</w:t>
      </w:r>
    </w:p>
    <w:p w:rsidR="003563AD" w:rsidRDefault="00251882">
      <w:pPr>
        <w:pStyle w:val="Point1letter"/>
        <w:numPr>
          <w:ilvl w:val="3"/>
          <w:numId w:val="45"/>
        </w:numPr>
        <w:rPr>
          <w:noProof/>
        </w:rPr>
      </w:pPr>
      <w:r>
        <w:rPr>
          <w:noProof/>
        </w:rPr>
        <w:t>lepingulised kohustused, ülesanded ja vastutus, mis lasuvad sponsoril, maksete vahendajal ja tema juhtkonnal, kellel peab olema asjatundlikkus aluspositsioonide maksete vahe</w:t>
      </w:r>
      <w:r>
        <w:rPr>
          <w:noProof/>
        </w:rPr>
        <w:t>ndamise alal, ning kui see on asjakohane, ka need, mis lasuvad usaldusisikul ja muudel kõrvalteenuste osutajatel;</w:t>
      </w:r>
    </w:p>
    <w:p w:rsidR="003563AD" w:rsidRDefault="00251882">
      <w:pPr>
        <w:pStyle w:val="Point1letter"/>
        <w:numPr>
          <w:ilvl w:val="3"/>
          <w:numId w:val="17"/>
        </w:numPr>
        <w:rPr>
          <w:noProof/>
        </w:rPr>
      </w:pPr>
      <w:r>
        <w:rPr>
          <w:noProof/>
        </w:rPr>
        <w:t>protsessid ja ülesanded, mida on vaja tagamaks, et maksete vahendaja makseviivitus või maksejõuetus ei too kaasa maksete vahendamise lõppemist</w:t>
      </w:r>
      <w:r>
        <w:rPr>
          <w:noProof/>
        </w:rPr>
        <w:t>;</w:t>
      </w:r>
    </w:p>
    <w:p w:rsidR="003563AD" w:rsidRDefault="00251882">
      <w:pPr>
        <w:pStyle w:val="Point1letter"/>
        <w:numPr>
          <w:ilvl w:val="3"/>
          <w:numId w:val="17"/>
        </w:numPr>
        <w:rPr>
          <w:noProof/>
        </w:rPr>
      </w:pPr>
      <w:r>
        <w:rPr>
          <w:noProof/>
        </w:rPr>
        <w:t>sätted selle kohta, et tuletistehingu vastaspooled ja kontopank asendatakse nende makseviivituse, maksejõuetuse ja muude kindlaksmääratud sündmuste korral, kui see on asjakohane.</w:t>
      </w:r>
    </w:p>
    <w:p w:rsidR="003563AD" w:rsidRDefault="00251882">
      <w:pPr>
        <w:pStyle w:val="Point1letter"/>
        <w:numPr>
          <w:ilvl w:val="3"/>
          <w:numId w:val="17"/>
        </w:numPr>
        <w:rPr>
          <w:noProof/>
        </w:rPr>
      </w:pPr>
      <w:r>
        <w:rPr>
          <w:noProof/>
        </w:rPr>
        <w:t>Sponsor täidab oma hoolsuskohustust ja kontrollib, et müüja täidab usaldusv</w:t>
      </w:r>
      <w:r>
        <w:rPr>
          <w:noProof/>
        </w:rPr>
        <w:t>äärse laenude väljastamise standardeid, tal on maksete vahendamise võimekus ja sissenõudmismenetlused, mis vastavad määruse (EL) nr 575/2013 artikli 259 lõike 3 punktides i–m sätestatud nõuetele või kolmandate riikide samaväärsetele nõuetele.</w:t>
      </w:r>
    </w:p>
    <w:p w:rsidR="003563AD" w:rsidRDefault="00251882">
      <w:pPr>
        <w:ind w:left="850"/>
        <w:rPr>
          <w:noProof/>
        </w:rPr>
      </w:pPr>
      <w:r>
        <w:rPr>
          <w:noProof/>
        </w:rPr>
        <w:t>Strateegia, m</w:t>
      </w:r>
      <w:r>
        <w:rPr>
          <w:noProof/>
        </w:rPr>
        <w:t>enetlused ja riskijuhtimise kontrollimeetmed dokumenteeritakse korralikult ja kehtestatakse tõhusad süsteemid.</w:t>
      </w:r>
    </w:p>
    <w:p w:rsidR="003563AD" w:rsidRDefault="00251882">
      <w:pPr>
        <w:pStyle w:val="Titrearticle"/>
        <w:rPr>
          <w:noProof/>
        </w:rPr>
      </w:pPr>
      <w:r>
        <w:rPr>
          <w:noProof/>
        </w:rPr>
        <w:t>Artikkel 13</w:t>
      </w:r>
    </w:p>
    <w:p w:rsidR="003563AD" w:rsidRDefault="00251882">
      <w:pPr>
        <w:pStyle w:val="Titrearticle"/>
        <w:rPr>
          <w:b/>
          <w:noProof/>
        </w:rPr>
      </w:pPr>
      <w:r>
        <w:rPr>
          <w:b/>
          <w:i w:val="0"/>
          <w:noProof/>
        </w:rPr>
        <w:t>Programmi taseme nõuded</w:t>
      </w:r>
    </w:p>
    <w:p w:rsidR="003563AD" w:rsidRDefault="003563AD">
      <w:pPr>
        <w:ind w:left="850"/>
        <w:rPr>
          <w:noProof/>
        </w:rPr>
      </w:pPr>
    </w:p>
    <w:p w:rsidR="003563AD" w:rsidRDefault="00251882">
      <w:pPr>
        <w:pStyle w:val="ManualNumPar1"/>
        <w:rPr>
          <w:noProof/>
        </w:rPr>
      </w:pPr>
      <w:r>
        <w:t>1.</w:t>
      </w:r>
      <w:r>
        <w:tab/>
      </w:r>
      <w:r>
        <w:rPr>
          <w:noProof/>
        </w:rPr>
        <w:t>Kõik varaga tagatud kommertsväärtpaberite programmi raames tehtavad tehingud peavad vastama käesoleva mää</w:t>
      </w:r>
      <w:r>
        <w:rPr>
          <w:noProof/>
        </w:rPr>
        <w:t>ruse artikli 12 nõuetele.</w:t>
      </w:r>
    </w:p>
    <w:p w:rsidR="003563AD" w:rsidRDefault="00251882">
      <w:pPr>
        <w:pStyle w:val="ManualNumPar1"/>
        <w:rPr>
          <w:noProof/>
        </w:rPr>
      </w:pPr>
      <w:r>
        <w:t>2.</w:t>
      </w:r>
      <w:r>
        <w:tab/>
      </w:r>
      <w:r>
        <w:rPr>
          <w:noProof/>
        </w:rPr>
        <w:t xml:space="preserve">Väärtpaberistamistehingu algataja, sponsor või algne laenuandja peab käesoleva määruse artikli 4 kohaselt täitma riski säilitamise nõude. </w:t>
      </w:r>
    </w:p>
    <w:p w:rsidR="003563AD" w:rsidRDefault="00251882">
      <w:pPr>
        <w:pStyle w:val="ManualNumPar1"/>
        <w:rPr>
          <w:noProof/>
        </w:rPr>
      </w:pPr>
      <w:r>
        <w:t>3.</w:t>
      </w:r>
      <w:r>
        <w:tab/>
      </w:r>
      <w:r>
        <w:rPr>
          <w:noProof/>
        </w:rPr>
        <w:t>Varaga tagatud kommertsväärtpaberite programm ei kujuta endast edasiväärtpaberistamis</w:t>
      </w:r>
      <w:r>
        <w:rPr>
          <w:noProof/>
        </w:rPr>
        <w:t>t ja krediidikvaliteedi parandamisega ei looda programmi tasandil teist väärtpaberistamisseeriate kihti.</w:t>
      </w:r>
    </w:p>
    <w:p w:rsidR="003563AD" w:rsidRDefault="00251882">
      <w:pPr>
        <w:pStyle w:val="ManualNumPar1"/>
        <w:rPr>
          <w:noProof/>
        </w:rPr>
      </w:pPr>
      <w:r>
        <w:t>4.</w:t>
      </w:r>
      <w:r>
        <w:tab/>
      </w:r>
      <w:r>
        <w:rPr>
          <w:noProof/>
        </w:rPr>
        <w:t>Varadega kaetud kommertsväärtpaberite programmi sponsoriks peab olema direktiivi 2013/36/EL alusel järelevalve alla kuuluv krediidiasutus. Sponsor p</w:t>
      </w:r>
      <w:r>
        <w:rPr>
          <w:noProof/>
        </w:rPr>
        <w:t xml:space="preserve">eab olema likviidsuse tagamise tehingu pakkuja ja ta peab toetama varaga tagatud kommertsväärtpaberite programmi raames tehingu tasandil kõiki väärtpaberistamispositsioone ning katma kõik likviidsus- ja krediidiriskid, väärtpaberistatud riskipositsioonide </w:t>
      </w:r>
      <w:r>
        <w:rPr>
          <w:noProof/>
        </w:rPr>
        <w:t>olulisemad lahjendusriskid ning kõik muud tehingukulud ja kogu programmi ulatuses tekkivad kulud.</w:t>
      </w:r>
    </w:p>
    <w:p w:rsidR="003563AD" w:rsidRDefault="00251882">
      <w:pPr>
        <w:pStyle w:val="ManualNumPar1"/>
        <w:rPr>
          <w:noProof/>
        </w:rPr>
      </w:pPr>
      <w:r>
        <w:t>5.</w:t>
      </w:r>
      <w:r>
        <w:tab/>
      </w:r>
      <w:r>
        <w:rPr>
          <w:noProof/>
        </w:rPr>
        <w:t xml:space="preserve">Varaga tagatud kommertsväärtpaberite programmi emiteeritud väärtpaberite puhul ei tohi olla ette nähtud tagasiostuvõimalusi, pikendusklausleid ega muid </w:t>
      </w:r>
      <w:r>
        <w:rPr>
          <w:noProof/>
        </w:rPr>
        <w:t>klausleid, mis mõjutavad nende lõpptähtaegu.</w:t>
      </w:r>
    </w:p>
    <w:p w:rsidR="003563AD" w:rsidRDefault="00251882">
      <w:pPr>
        <w:pStyle w:val="ManualNumPar1"/>
        <w:rPr>
          <w:noProof/>
        </w:rPr>
      </w:pPr>
      <w:r>
        <w:t>6.</w:t>
      </w:r>
      <w:r>
        <w:tab/>
      </w:r>
      <w:r>
        <w:rPr>
          <w:noProof/>
        </w:rPr>
        <w:t>Varaga tagatud kommertsväärtpaberite programmi raames tekkiv intressi- ja valuutarisk peavad olema maandatud ja sel otstarbel võetud meetmed tuleb avalikustada. Tuletisinstrumente kasutatakse üksnes programmi</w:t>
      </w:r>
      <w:r>
        <w:rPr>
          <w:noProof/>
        </w:rPr>
        <w:t xml:space="preserve"> tasandil valuuta- ja intressiriski maandamise otstarbel. Need tuletisinstrumendid dokumenteeritakse üldiste rahvusvahelise rahanduse standardite kohaselt.</w:t>
      </w:r>
    </w:p>
    <w:p w:rsidR="003563AD" w:rsidRDefault="00251882">
      <w:pPr>
        <w:pStyle w:val="ManualNumPar1"/>
        <w:rPr>
          <w:noProof/>
        </w:rPr>
      </w:pPr>
      <w:r>
        <w:t>7.</w:t>
      </w:r>
      <w:r>
        <w:tab/>
      </w:r>
      <w:r>
        <w:rPr>
          <w:noProof/>
        </w:rPr>
        <w:t>Programmiga seotud dokumentides tuleb selgesti ära näidata:</w:t>
      </w:r>
    </w:p>
    <w:p w:rsidR="003563AD" w:rsidRDefault="00251882">
      <w:pPr>
        <w:pStyle w:val="Point1letter"/>
        <w:numPr>
          <w:ilvl w:val="3"/>
          <w:numId w:val="47"/>
        </w:numPr>
        <w:rPr>
          <w:noProof/>
        </w:rPr>
      </w:pPr>
      <w:r>
        <w:rPr>
          <w:noProof/>
        </w:rPr>
        <w:t>usaldusisiku kohustused ja muude inve</w:t>
      </w:r>
      <w:r>
        <w:rPr>
          <w:noProof/>
        </w:rPr>
        <w:t>storite ees usaldusülesandeid täitvate üksuste kohustused;</w:t>
      </w:r>
    </w:p>
    <w:p w:rsidR="003563AD" w:rsidRDefault="00251882">
      <w:pPr>
        <w:pStyle w:val="Point1letter"/>
        <w:numPr>
          <w:ilvl w:val="3"/>
          <w:numId w:val="17"/>
        </w:numPr>
        <w:rPr>
          <w:noProof/>
        </w:rPr>
      </w:pPr>
      <w:r>
        <w:rPr>
          <w:noProof/>
        </w:rPr>
        <w:t>sätted, mis aitavad õigeaegselt lahendada konflikte sponsori ja väärtpaberistamispositsioonide omanike vahel;</w:t>
      </w:r>
    </w:p>
    <w:p w:rsidR="003563AD" w:rsidRDefault="00251882">
      <w:pPr>
        <w:pStyle w:val="Point1letter"/>
        <w:numPr>
          <w:ilvl w:val="3"/>
          <w:numId w:val="17"/>
        </w:numPr>
        <w:rPr>
          <w:noProof/>
        </w:rPr>
      </w:pPr>
      <w:r>
        <w:rPr>
          <w:noProof/>
        </w:rPr>
        <w:t>lepingulised kohustused, ülesanded ja vastutus, mis lasuvad sponsoril ja tema juhtkonna</w:t>
      </w:r>
      <w:r>
        <w:rPr>
          <w:noProof/>
        </w:rPr>
        <w:t>l, kellel peab olema asjatundlikkus laenude väljastamise alal, ning kui see on asjakohane, ka need, mis lasuvad usaldusisikul ja muudel kõrvalteenuste osutajatel;</w:t>
      </w:r>
    </w:p>
    <w:p w:rsidR="003563AD" w:rsidRDefault="00251882">
      <w:pPr>
        <w:pStyle w:val="Point1letter"/>
        <w:numPr>
          <w:ilvl w:val="3"/>
          <w:numId w:val="17"/>
        </w:numPr>
        <w:rPr>
          <w:noProof/>
        </w:rPr>
      </w:pPr>
      <w:r>
        <w:rPr>
          <w:noProof/>
        </w:rPr>
        <w:t xml:space="preserve"> protsessid ja ülesanded, mida on vaja tagamaks, et maksete vahendaja makseviivitus või makse</w:t>
      </w:r>
      <w:r>
        <w:rPr>
          <w:noProof/>
        </w:rPr>
        <w:t>jõuetus ei too kaasa maksete vahendamise lõppemist;</w:t>
      </w:r>
    </w:p>
    <w:p w:rsidR="003563AD" w:rsidRDefault="00251882">
      <w:pPr>
        <w:pStyle w:val="Point1letter"/>
        <w:numPr>
          <w:ilvl w:val="3"/>
          <w:numId w:val="17"/>
        </w:numPr>
        <w:rPr>
          <w:noProof/>
        </w:rPr>
      </w:pPr>
      <w:r>
        <w:rPr>
          <w:noProof/>
        </w:rPr>
        <w:t>sätted tuletistehingu vastaspoolte ja kontopanga asendamise kohta varaga tagatud kommertsväärtpaberite programmi tasandil nende makseviivituse, maksejõuetuse ja muude kindlaksmääratud sündmuste korral, ku</w:t>
      </w:r>
      <w:r>
        <w:rPr>
          <w:noProof/>
        </w:rPr>
        <w:t>i see on asjakohane;</w:t>
      </w:r>
    </w:p>
    <w:p w:rsidR="003563AD" w:rsidRDefault="00251882">
      <w:pPr>
        <w:pStyle w:val="Point1letter"/>
        <w:numPr>
          <w:ilvl w:val="3"/>
          <w:numId w:val="17"/>
        </w:numPr>
        <w:rPr>
          <w:noProof/>
        </w:rPr>
      </w:pPr>
      <w:r>
        <w:rPr>
          <w:noProof/>
        </w:rPr>
        <w:t>asjaolu, et kindlaksmääratud sündmuste, sponsori makseviivituse või maksejõuetuse korral on ette nähtud heastamismeetmed, et saavutada vastavalt vajadusele kas rahastamiskohustuse tagatus või likviidsuse tagamise tehingu pakkuja asenda</w:t>
      </w:r>
      <w:r>
        <w:rPr>
          <w:noProof/>
        </w:rPr>
        <w:t xml:space="preserve">mine. Juhul kui likviidsuse tagamise tehingu pakkuja ei uuenda rahastamiskohustust 30 päeva jooksul pärast selle aegumist, võetakse likviidsusvahendid kasutusele, tähtaeguvad väärtpaberid lunastatakse ning enam ei osteta riskipositsioone ega amortiseerita </w:t>
      </w:r>
      <w:r>
        <w:rPr>
          <w:noProof/>
        </w:rPr>
        <w:t>olemasolevaid aluspositsioone.</w:t>
      </w:r>
    </w:p>
    <w:p w:rsidR="003563AD" w:rsidRDefault="00251882">
      <w:pPr>
        <w:ind w:left="850"/>
        <w:rPr>
          <w:noProof/>
        </w:rPr>
      </w:pPr>
      <w:r>
        <w:rPr>
          <w:noProof/>
        </w:rPr>
        <w:t>Strateegia, menetlused ja riskijuhtimise kontrollimeetmed dokumenteeritakse korralikult ja kehtestatakse tõhusad süsteemid.</w:t>
      </w:r>
    </w:p>
    <w:p w:rsidR="003563AD" w:rsidRDefault="00251882">
      <w:pPr>
        <w:pStyle w:val="ManualNumPar1"/>
        <w:rPr>
          <w:i/>
          <w:noProof/>
        </w:rPr>
      </w:pPr>
      <w:r>
        <w:t>8.</w:t>
      </w:r>
      <w:r>
        <w:tab/>
      </w:r>
      <w:r>
        <w:rPr>
          <w:noProof/>
        </w:rPr>
        <w:t>Väärtpaberistamistehingu algataja, sponsor ja eriotstarbeline väärtpaberistamisüksus vastutavad üh</w:t>
      </w:r>
      <w:r>
        <w:rPr>
          <w:noProof/>
        </w:rPr>
        <w:t xml:space="preserve">eskoos varaga tagatud kommertsväärtpaberite programmi tasandil käesoleva määruse artikli 5 täitmise eest ning teevad potentsiaalsetele investoritele enne hinnakujundust kättesaadavaks kogu artikli 5 lõike 1 punktis a nõutud teabe. Väärtpaberistamistehingu </w:t>
      </w:r>
      <w:r>
        <w:rPr>
          <w:noProof/>
        </w:rPr>
        <w:t>algataja, sponsor ja eriotstarbeline väärtpaberistamisüksus teevad artikli 5 lõike 1 punktides b–e nõutud teabe enne hinnakujundust kättesaadavaks vähemalt kavandina või esialgsel kujul, kui see on direktiivi 2003/71/EÜ artikli 3 alusel lubatav. Väärtpaber</w:t>
      </w:r>
      <w:r>
        <w:rPr>
          <w:noProof/>
        </w:rPr>
        <w:t>istamistehingu algataja, sponsor ja eriotstarbeline väärtpaberistamisüksus teevad lõplikud dokumendid investoritele kättesaadavaks hiljemalt 15 päeva pärast tehingu lõpuleviimist.</w:t>
      </w:r>
    </w:p>
    <w:p w:rsidR="003563AD" w:rsidRDefault="00251882">
      <w:pPr>
        <w:pStyle w:val="Titrearticle"/>
        <w:rPr>
          <w:noProof/>
        </w:rPr>
      </w:pPr>
      <w:r>
        <w:rPr>
          <w:noProof/>
        </w:rPr>
        <w:t>Artikkel 14</w:t>
      </w:r>
    </w:p>
    <w:p w:rsidR="003563AD" w:rsidRDefault="00251882">
      <w:pPr>
        <w:pStyle w:val="Titrearticle"/>
        <w:rPr>
          <w:b/>
          <w:noProof/>
        </w:rPr>
      </w:pPr>
      <w:r>
        <w:rPr>
          <w:b/>
          <w:i w:val="0"/>
          <w:noProof/>
        </w:rPr>
        <w:t>Standardväärtpaberistamise teade ja hoolsuskohustus</w:t>
      </w:r>
    </w:p>
    <w:p w:rsidR="003563AD" w:rsidRDefault="00251882">
      <w:pPr>
        <w:pStyle w:val="ManualNumPar1"/>
        <w:rPr>
          <w:noProof/>
        </w:rPr>
      </w:pPr>
      <w:r>
        <w:t>1.</w:t>
      </w:r>
      <w:r>
        <w:tab/>
      </w:r>
      <w:r>
        <w:rPr>
          <w:noProof/>
        </w:rPr>
        <w:t>Väärtpabe</w:t>
      </w:r>
      <w:r>
        <w:rPr>
          <w:noProof/>
        </w:rPr>
        <w:t>ristamistehingu algatajad, sponsorid ja eriotstarbelised väärtpaberistamisüksused teatavad käesoleva artikli lõikes 5 osutatud vormi abil ühiselt ESMA-le, et väärtpaberistamine vastab käesoleva määruse artiklite 7–10 või artiklite 11–13 tingimustele (edasp</w:t>
      </w:r>
      <w:r>
        <w:rPr>
          <w:noProof/>
        </w:rPr>
        <w:t>idi „standardväärtpaberistamise teade”). ESMA avaldab standardväärtpaberistamise teate lõike 4 alusel oma ametlikul veebisaidil. Samuti teatavad nad sellest oma pädevale asutusele. Väärtpaberistamistehingu algataja, sponsor ja eriotstarbeline väärtpaberist</w:t>
      </w:r>
      <w:r>
        <w:rPr>
          <w:noProof/>
        </w:rPr>
        <w:t>amisüksus nimetavad endi hulgast ühe üksuse, kellest saab investorite ja pädevate asutuste jaoks esmane kontaktpunkt.</w:t>
      </w:r>
    </w:p>
    <w:p w:rsidR="003563AD" w:rsidRDefault="00251882">
      <w:pPr>
        <w:pStyle w:val="ManualNumPar1"/>
        <w:rPr>
          <w:noProof/>
        </w:rPr>
      </w:pPr>
      <w:r>
        <w:t>2.</w:t>
      </w:r>
      <w:r>
        <w:tab/>
      </w:r>
      <w:r>
        <w:rPr>
          <w:noProof/>
        </w:rPr>
        <w:t>Kui väärtpaberistamistehingu algataja või algne laenuandja ei ole krediidiasutus või investeerimisühing määruse (EL) nr 575/2013 artikl</w:t>
      </w:r>
      <w:r>
        <w:rPr>
          <w:noProof/>
        </w:rPr>
        <w:t>i 4 lõike 1 punktide 1 ja 2 tähenduses, tuleb lõike 1 kohasele teatele lisada järgmine:</w:t>
      </w:r>
    </w:p>
    <w:p w:rsidR="003563AD" w:rsidRDefault="00251882">
      <w:pPr>
        <w:pStyle w:val="Point1letter"/>
        <w:numPr>
          <w:ilvl w:val="3"/>
          <w:numId w:val="49"/>
        </w:numPr>
        <w:rPr>
          <w:noProof/>
        </w:rPr>
      </w:pPr>
      <w:r>
        <w:rPr>
          <w:noProof/>
        </w:rPr>
        <w:t>väärtpaberistamistehingu algataja või algse laenuandja kinnitus selle kohta, et ta annab laene kindlate ja täpselt määratletud kriteeriumide alusel, et laenu heakskiitm</w:t>
      </w:r>
      <w:r>
        <w:rPr>
          <w:noProof/>
        </w:rPr>
        <w:t>ise, laenutingimuste muutmise, uuendamise ja finantseerimise kord on selgelt kindlaks määratud ning et tehingu algatajal või algsel laenuandjal on olemas tõhusad süsteemid nende protsesside rakendamiseks;</w:t>
      </w:r>
    </w:p>
    <w:p w:rsidR="003563AD" w:rsidRDefault="00251882">
      <w:pPr>
        <w:pStyle w:val="Point1letter"/>
        <w:numPr>
          <w:ilvl w:val="3"/>
          <w:numId w:val="17"/>
        </w:numPr>
        <w:rPr>
          <w:noProof/>
        </w:rPr>
      </w:pPr>
      <w:r>
        <w:rPr>
          <w:noProof/>
        </w:rPr>
        <w:t xml:space="preserve">avaldus selle kohta, kas punktis a nimetatud </w:t>
      </w:r>
      <w:r>
        <w:rPr>
          <w:noProof/>
        </w:rPr>
        <w:t>elementide suhtes teostatakse järelevalvet.</w:t>
      </w:r>
    </w:p>
    <w:p w:rsidR="003563AD" w:rsidRDefault="00251882">
      <w:pPr>
        <w:pStyle w:val="ManualNumPar1"/>
        <w:rPr>
          <w:noProof/>
        </w:rPr>
      </w:pPr>
      <w:r>
        <w:t>3.</w:t>
      </w:r>
      <w:r>
        <w:tab/>
      </w:r>
      <w:r>
        <w:rPr>
          <w:noProof/>
        </w:rPr>
        <w:t>Väärtpaberistamistehingu algataja, sponsor ja eriotstarbeline väärtpaberistamisüksus teatavad viivitamata ESMA-le ja oma pädevale asutusele, kui väärtpaberistamine ei vasta enam käesoleva määruse artiklite 7–1</w:t>
      </w:r>
      <w:r>
        <w:rPr>
          <w:noProof/>
        </w:rPr>
        <w:t>0 või artiklite 11–13 nõuetele.</w:t>
      </w:r>
    </w:p>
    <w:p w:rsidR="003563AD" w:rsidRDefault="00251882">
      <w:pPr>
        <w:pStyle w:val="ManualNumPar1"/>
        <w:rPr>
          <w:noProof/>
        </w:rPr>
      </w:pPr>
      <w:r>
        <w:t>4.</w:t>
      </w:r>
      <w:r>
        <w:tab/>
      </w:r>
      <w:r>
        <w:rPr>
          <w:noProof/>
        </w:rPr>
        <w:t xml:space="preserve">ESMA hoiab oma ametlikul veebisaidil loetelu kõikidest väärtpaberistamisest, mille kohta tehingu algatajad, sponsorid ja eriotstarbelised väärtpaberistamisüksused on teatanud, et need vastavad käesoleva määruse artiklite </w:t>
      </w:r>
      <w:r>
        <w:rPr>
          <w:noProof/>
        </w:rPr>
        <w:t>7–10 või artiklite 11–13 nõuetele. ESMA ajakohastab seda loetelu, kui pädeva asutuse otsuse või väärtpaberistamistehingu algataja, sponsori või eriotstarbelise väärtpaberistamisüksuse teate kohaselt ei saa väärtpaberistamist enam pidada standardväärtpaberi</w:t>
      </w:r>
      <w:r>
        <w:rPr>
          <w:noProof/>
        </w:rPr>
        <w:t>stamiseks. Kui pädev asutus on artikli 17 kohaselt määranud halduskaristuse või parandusmeetme, teatab ta sellest viivitamata ESMA-le.</w:t>
      </w:r>
      <w:r>
        <w:rPr>
          <w:noProof/>
          <w:color w:val="000000"/>
        </w:rPr>
        <w:t xml:space="preserve"> </w:t>
      </w:r>
      <w:r>
        <w:rPr>
          <w:noProof/>
        </w:rPr>
        <w:t>ESMA märgib viivitamata loetellu, et pädev asutus on seoses asjaomase väärtpaberistamisega määranud halduskaristuse või p</w:t>
      </w:r>
      <w:r>
        <w:rPr>
          <w:noProof/>
        </w:rPr>
        <w:t>arandusmeetme.</w:t>
      </w:r>
    </w:p>
    <w:p w:rsidR="003563AD" w:rsidRDefault="00251882">
      <w:pPr>
        <w:pStyle w:val="ManualNumPar1"/>
        <w:rPr>
          <w:noProof/>
        </w:rPr>
      </w:pPr>
      <w:r>
        <w:t>5.</w:t>
      </w:r>
      <w:r>
        <w:tab/>
      </w:r>
      <w:r>
        <w:rPr>
          <w:noProof/>
        </w:rPr>
        <w:t>Tihedas koostöös EBA ja EIOPAga töötab ESMA välja regulatiivsete tehniliste standardite eelnõud, milles nähakse täpsemalt ette teave, mida väärtpaberistamistehingu algataja, sponsor ja eriotstarbeline väärtpaberistamisüksus esitavad, et t</w:t>
      </w:r>
      <w:r>
        <w:rPr>
          <w:noProof/>
        </w:rPr>
        <w:t>äita oma lõikest 1 tulenevaid kohustusi, ning sätestatakse teabe esitusvorming standardvormidena.</w:t>
      </w:r>
    </w:p>
    <w:p w:rsidR="003563AD" w:rsidRDefault="00251882">
      <w:pPr>
        <w:ind w:left="850"/>
        <w:rPr>
          <w:noProof/>
        </w:rPr>
      </w:pPr>
      <w:r>
        <w:rPr>
          <w:noProof/>
        </w:rPr>
        <w:t>ESMA esitab need regulatiivsete tehniliste standardite eelnõud komisjonile [</w:t>
      </w:r>
      <w:r>
        <w:rPr>
          <w:b/>
          <w:i/>
          <w:noProof/>
        </w:rPr>
        <w:t>12 kuud pärast käesoleva määruse jõustumist</w:t>
      </w:r>
      <w:r>
        <w:rPr>
          <w:noProof/>
        </w:rPr>
        <w:t>].</w:t>
      </w:r>
    </w:p>
    <w:p w:rsidR="003563AD" w:rsidRDefault="00251882">
      <w:pPr>
        <w:ind w:left="850"/>
        <w:rPr>
          <w:noProof/>
        </w:rPr>
      </w:pPr>
      <w:r>
        <w:rPr>
          <w:noProof/>
        </w:rPr>
        <w:t>Komisjonile antakse delegeeritud vol</w:t>
      </w:r>
      <w:r>
        <w:rPr>
          <w:noProof/>
        </w:rPr>
        <w:t>itused võtta vastu käesolevas lõigus osutatud regulatiivsed tehnilised standardid määruse (EL) nr 1095/2010 artiklites 10–14 sätestatud korras.</w:t>
      </w:r>
    </w:p>
    <w:p w:rsidR="003563AD" w:rsidRDefault="003563AD">
      <w:pPr>
        <w:ind w:left="1440" w:firstLine="720"/>
        <w:rPr>
          <w:b/>
          <w:noProof/>
        </w:rPr>
      </w:pPr>
    </w:p>
    <w:p w:rsidR="003563AD" w:rsidRDefault="00251882">
      <w:pPr>
        <w:pStyle w:val="ChapterTitle"/>
        <w:rPr>
          <w:noProof/>
        </w:rPr>
      </w:pPr>
      <w:r>
        <w:rPr>
          <w:noProof/>
        </w:rPr>
        <w:t>4. peatükk</w:t>
      </w:r>
    </w:p>
    <w:p w:rsidR="003563AD" w:rsidRDefault="00251882">
      <w:pPr>
        <w:pStyle w:val="ChapterTitle"/>
        <w:rPr>
          <w:noProof/>
        </w:rPr>
      </w:pPr>
      <w:r>
        <w:rPr>
          <w:noProof/>
        </w:rPr>
        <w:t xml:space="preserve">Järelevalve </w:t>
      </w:r>
    </w:p>
    <w:p w:rsidR="003563AD" w:rsidRDefault="00251882">
      <w:pPr>
        <w:pStyle w:val="Titrearticle"/>
        <w:rPr>
          <w:noProof/>
        </w:rPr>
      </w:pPr>
      <w:r>
        <w:rPr>
          <w:noProof/>
        </w:rPr>
        <w:t>Artikkel 15</w:t>
      </w:r>
    </w:p>
    <w:p w:rsidR="003563AD" w:rsidRDefault="00251882">
      <w:pPr>
        <w:ind w:left="2160" w:firstLine="720"/>
        <w:rPr>
          <w:b/>
          <w:noProof/>
        </w:rPr>
      </w:pPr>
      <w:r>
        <w:rPr>
          <w:b/>
          <w:noProof/>
        </w:rPr>
        <w:t>Pädevate asutuste määramine</w:t>
      </w:r>
    </w:p>
    <w:p w:rsidR="003563AD" w:rsidRDefault="00251882">
      <w:pPr>
        <w:pStyle w:val="ManualNumPar1"/>
        <w:rPr>
          <w:noProof/>
        </w:rPr>
      </w:pPr>
      <w:r>
        <w:t>1.</w:t>
      </w:r>
      <w:r>
        <w:tab/>
      </w:r>
      <w:r>
        <w:rPr>
          <w:noProof/>
        </w:rPr>
        <w:t xml:space="preserve">Käesoleva määruse artiklis 3 sätestatud </w:t>
      </w:r>
      <w:r>
        <w:rPr>
          <w:noProof/>
        </w:rPr>
        <w:t>kohustuste täitmise tagavad järgmised pädevad asutused vastavalt volitustele, mis on neile antud asjakohaste õigusaktidega:</w:t>
      </w:r>
    </w:p>
    <w:p w:rsidR="003563AD" w:rsidRDefault="00251882">
      <w:pPr>
        <w:pStyle w:val="Point1letter"/>
        <w:numPr>
          <w:ilvl w:val="3"/>
          <w:numId w:val="51"/>
        </w:numPr>
        <w:rPr>
          <w:rFonts w:asciiTheme="minorHAnsi" w:hAnsiTheme="minorHAnsi" w:cstheme="minorBidi"/>
          <w:noProof/>
          <w:sz w:val="22"/>
        </w:rPr>
      </w:pPr>
      <w:r>
        <w:rPr>
          <w:noProof/>
        </w:rPr>
        <w:t>kindlustus- ja edasikindlustusandjate puhul pädev asutus, mis on määratud direktiivi 2009/138/EÜ artikli 13 lõike 10 kohaselt;</w:t>
      </w:r>
    </w:p>
    <w:p w:rsidR="003563AD" w:rsidRDefault="00251882">
      <w:pPr>
        <w:pStyle w:val="Point1letter"/>
        <w:numPr>
          <w:ilvl w:val="3"/>
          <w:numId w:val="17"/>
        </w:numPr>
        <w:rPr>
          <w:noProof/>
        </w:rPr>
      </w:pPr>
      <w:r>
        <w:rPr>
          <w:noProof/>
        </w:rPr>
        <w:t>alter</w:t>
      </w:r>
      <w:r>
        <w:rPr>
          <w:noProof/>
        </w:rPr>
        <w:t>natiivsete investeerimisfondide valitsejate puhul vastutav pädev asutus, mis on määratud direktiivi 2011/61/EL artikli 44 kohaselt;</w:t>
      </w:r>
    </w:p>
    <w:p w:rsidR="003563AD" w:rsidRDefault="00251882">
      <w:pPr>
        <w:pStyle w:val="Point1letter"/>
        <w:numPr>
          <w:ilvl w:val="3"/>
          <w:numId w:val="17"/>
        </w:numPr>
        <w:rPr>
          <w:noProof/>
        </w:rPr>
      </w:pPr>
      <w:r>
        <w:rPr>
          <w:noProof/>
        </w:rPr>
        <w:t>eurofondide ja nende fondivalitsejate puhul pädev asutus, mis on määratud direktiivi 2009/65/EÜ artikli 97 kohaselt;</w:t>
      </w:r>
    </w:p>
    <w:p w:rsidR="003563AD" w:rsidRDefault="00251882">
      <w:pPr>
        <w:pStyle w:val="Point1letter"/>
        <w:numPr>
          <w:ilvl w:val="3"/>
          <w:numId w:val="17"/>
        </w:numPr>
        <w:rPr>
          <w:noProof/>
        </w:rPr>
      </w:pPr>
      <w:r>
        <w:rPr>
          <w:noProof/>
        </w:rPr>
        <w:t>tööandj</w:t>
      </w:r>
      <w:r>
        <w:rPr>
          <w:noProof/>
        </w:rPr>
        <w:t>apensioni kogumisasutuste puhul pädev asutus, mis on määratud direktiivi 2003/41/EÜ artikli 6 punkti g kohaselt;</w:t>
      </w:r>
    </w:p>
    <w:p w:rsidR="003563AD" w:rsidRDefault="00251882">
      <w:pPr>
        <w:pStyle w:val="Point1letter"/>
        <w:numPr>
          <w:ilvl w:val="3"/>
          <w:numId w:val="17"/>
        </w:numPr>
        <w:rPr>
          <w:noProof/>
        </w:rPr>
      </w:pPr>
      <w:r>
        <w:rPr>
          <w:noProof/>
        </w:rPr>
        <w:t>krediidiasutuste või investeerimisühingute puhul pädev asutus, mis on määratud direktiivi 2013/36/EL artikli 4 kohaselt, sealhulgas EKP vastava</w:t>
      </w:r>
      <w:r>
        <w:rPr>
          <w:noProof/>
        </w:rPr>
        <w:t>lt nõukogu määrusele (EL) nr 1024/2013.</w:t>
      </w:r>
    </w:p>
    <w:p w:rsidR="003563AD" w:rsidRDefault="00251882">
      <w:pPr>
        <w:pStyle w:val="ManualNumPar1"/>
        <w:rPr>
          <w:noProof/>
        </w:rPr>
      </w:pPr>
      <w:r>
        <w:t>2.</w:t>
      </w:r>
      <w:r>
        <w:tab/>
      </w:r>
      <w:r>
        <w:rPr>
          <w:noProof/>
        </w:rPr>
        <w:t>Pädevad asutused, mis vastutavad sponsorite järelevalve eest vastavalt direktiivi 2013/36/EL artiklile 4, sealhulgas EKP vastavalt nõukogu määrusele (EL) nr 1024/2013, tagavad, et sponsorid täidavad käesoleva määr</w:t>
      </w:r>
      <w:r>
        <w:rPr>
          <w:noProof/>
        </w:rPr>
        <w:t>use artiklites 4–14 sätestatud kohustusi.</w:t>
      </w:r>
    </w:p>
    <w:p w:rsidR="003563AD" w:rsidRDefault="00251882">
      <w:pPr>
        <w:pStyle w:val="ManualNumPar1"/>
        <w:rPr>
          <w:noProof/>
        </w:rPr>
      </w:pPr>
      <w:r>
        <w:t>3.</w:t>
      </w:r>
      <w:r>
        <w:tab/>
      </w:r>
      <w:r>
        <w:rPr>
          <w:noProof/>
        </w:rPr>
        <w:t>Kui väärtpaberistamistehingu algatajad, algsed laenuandjad ja eriotstarbelised väärtpaberistamisüksused on direktiivi 2013/36/EL, määruse (EL) nr 1024/2013, direktiivi 2009/138/EÜ, direktiivi 2003/41/EÜ, direkti</w:t>
      </w:r>
      <w:r>
        <w:rPr>
          <w:noProof/>
        </w:rPr>
        <w:t>ivi 2011/61/EL või direktiivi 2009/65/EÜ alusel järelevalve alla kuuluvad üksused, tagavad nende õigusaktide kohaselt määratud asjaomased pädevad asutused, sealhulgas EKP vastavalt nõukogu määrusele (EL) nr 1024/2013, käesoleva määruse artiklites 4–14 säte</w:t>
      </w:r>
      <w:r>
        <w:rPr>
          <w:noProof/>
        </w:rPr>
        <w:t>statud kohustuste täitmise.</w:t>
      </w:r>
    </w:p>
    <w:p w:rsidR="003563AD" w:rsidRDefault="00251882">
      <w:pPr>
        <w:pStyle w:val="ManualNumPar1"/>
        <w:rPr>
          <w:noProof/>
        </w:rPr>
      </w:pPr>
      <w:r>
        <w:t>4.</w:t>
      </w:r>
      <w:r>
        <w:tab/>
      </w:r>
      <w:r>
        <w:rPr>
          <w:noProof/>
        </w:rPr>
        <w:t xml:space="preserve">Üksuste jaoks, mis ei ole hõlmatud lõikes 3 osutatud liidu õigusaktidega, määravad liikmesriigid ühe või mitu pädevat asutust, et tagada käesoleva määruse artiklite 4–14 täitmine. Liikmesriigid teatavad komisjonile, ESMA-le, </w:t>
      </w:r>
      <w:r>
        <w:rPr>
          <w:noProof/>
        </w:rPr>
        <w:t>EBA-le ja EIOPA-le ning teiste liikmesriikide pädevatele asutustele pädeva asutuse määramisest käesoleva lõike alusel.</w:t>
      </w:r>
    </w:p>
    <w:p w:rsidR="003563AD" w:rsidRDefault="00251882">
      <w:pPr>
        <w:pStyle w:val="ManualNumPar1"/>
        <w:rPr>
          <w:noProof/>
        </w:rPr>
      </w:pPr>
      <w:r>
        <w:t>5.</w:t>
      </w:r>
      <w:r>
        <w:tab/>
      </w:r>
      <w:r>
        <w:rPr>
          <w:noProof/>
        </w:rPr>
        <w:t>ESMA avaldab oma veebisaidil käesolevas artiklis osutatud pädevate asutuste loetelu ning ajakohastab seda.</w:t>
      </w:r>
    </w:p>
    <w:p w:rsidR="003563AD" w:rsidRDefault="00251882">
      <w:pPr>
        <w:pStyle w:val="Titrearticle"/>
        <w:rPr>
          <w:noProof/>
          <w:szCs w:val="24"/>
        </w:rPr>
      </w:pPr>
      <w:r>
        <w:rPr>
          <w:noProof/>
        </w:rPr>
        <w:t>Artikkel 16</w:t>
      </w:r>
    </w:p>
    <w:p w:rsidR="003563AD" w:rsidRDefault="00251882">
      <w:pPr>
        <w:ind w:left="2880" w:firstLine="720"/>
        <w:rPr>
          <w:b/>
          <w:noProof/>
        </w:rPr>
      </w:pPr>
      <w:r>
        <w:rPr>
          <w:b/>
          <w:noProof/>
        </w:rPr>
        <w:t>Pädevate asutus</w:t>
      </w:r>
      <w:r>
        <w:rPr>
          <w:b/>
          <w:noProof/>
        </w:rPr>
        <w:t>te volitused</w:t>
      </w:r>
    </w:p>
    <w:p w:rsidR="003563AD" w:rsidRDefault="00251882">
      <w:pPr>
        <w:pStyle w:val="ManualNumPar1"/>
        <w:rPr>
          <w:noProof/>
          <w:szCs w:val="24"/>
        </w:rPr>
      </w:pPr>
      <w:r>
        <w:t>1.</w:t>
      </w:r>
      <w:r>
        <w:tab/>
      </w:r>
      <w:r>
        <w:rPr>
          <w:noProof/>
        </w:rPr>
        <w:t>Iga liikmesriik tagab, et artikli 15 lõigete 2–4 kohaselt määratud pädeval asutusel on järelevalve-, uurimis- ja karistamisvolitused, mis on vajalikud tema käesolevast määrusest tulenevate ülesannete täitmiseks.</w:t>
      </w:r>
    </w:p>
    <w:p w:rsidR="003563AD" w:rsidRDefault="00251882">
      <w:pPr>
        <w:pStyle w:val="ManualNumPar1"/>
        <w:rPr>
          <w:noProof/>
        </w:rPr>
      </w:pPr>
      <w:r>
        <w:t>2.</w:t>
      </w:r>
      <w:r>
        <w:tab/>
      </w:r>
      <w:r>
        <w:rPr>
          <w:noProof/>
        </w:rPr>
        <w:t>Pädev asutus vaatab regul</w:t>
      </w:r>
      <w:r>
        <w:rPr>
          <w:noProof/>
        </w:rPr>
        <w:t>aarselt üle väärtpaberistamistehingu algatajate, sponsorite, eriotstarbeliste väärtpaberistamisüksuste ja algsete laenuandjate poolt käesoleva määruse järgimiseks rakendatud korra, protsessid ja mehhanismid.</w:t>
      </w:r>
    </w:p>
    <w:p w:rsidR="003563AD" w:rsidRDefault="00251882">
      <w:pPr>
        <w:pStyle w:val="ManualNumPar1"/>
        <w:rPr>
          <w:noProof/>
        </w:rPr>
      </w:pPr>
      <w:r>
        <w:t>3.</w:t>
      </w:r>
      <w:r>
        <w:tab/>
      </w:r>
      <w:r>
        <w:rPr>
          <w:noProof/>
        </w:rPr>
        <w:t>Pädevad asutused tagavad, et väärtpaberistami</w:t>
      </w:r>
      <w:r>
        <w:rPr>
          <w:noProof/>
        </w:rPr>
        <w:t xml:space="preserve">stehingu algatajad, sponsorid, eriotstarbelised väärtpaberistamisüksused ja algsed laenuandjad hindavad ja käsitlevad riske, mis tulenevad väärtpaberistamistehingutest, sealhulgas maineriske, asjakohaste eeskirjade ja menetluste kaudu. </w:t>
      </w:r>
    </w:p>
    <w:p w:rsidR="003563AD" w:rsidRDefault="00251882">
      <w:pPr>
        <w:pStyle w:val="Titrearticle"/>
        <w:rPr>
          <w:noProof/>
          <w:szCs w:val="24"/>
        </w:rPr>
      </w:pPr>
      <w:r>
        <w:rPr>
          <w:noProof/>
        </w:rPr>
        <w:t>Artikkel 17</w:t>
      </w:r>
    </w:p>
    <w:p w:rsidR="003563AD" w:rsidRDefault="00251882">
      <w:pPr>
        <w:ind w:left="1440" w:firstLine="720"/>
        <w:rPr>
          <w:b/>
          <w:noProof/>
        </w:rPr>
      </w:pPr>
      <w:r>
        <w:rPr>
          <w:b/>
          <w:noProof/>
        </w:rPr>
        <w:t>Haldusk</w:t>
      </w:r>
      <w:r>
        <w:rPr>
          <w:b/>
          <w:noProof/>
        </w:rPr>
        <w:t>aristused ja parandusmeetmed</w:t>
      </w:r>
    </w:p>
    <w:p w:rsidR="003563AD" w:rsidRDefault="00251882">
      <w:pPr>
        <w:pStyle w:val="ManualNumPar1"/>
        <w:rPr>
          <w:noProof/>
        </w:rPr>
      </w:pPr>
      <w:r>
        <w:t>1.</w:t>
      </w:r>
      <w:r>
        <w:tab/>
      </w:r>
      <w:r>
        <w:rPr>
          <w:noProof/>
        </w:rPr>
        <w:t>Ilma et see piiraks liikmesriikide õigust sätestada ja määrata käesoleva määruse artikli 19 kohaselt kriminaalkaristusi, näevad liikmesriigid ette õigusnormid, millega kehtestatakse asjakohased halduskaristused ja/või parand</w:t>
      </w:r>
      <w:r>
        <w:rPr>
          <w:noProof/>
        </w:rPr>
        <w:t>usmeetmed, mida kohaldatakse olukordades, kus:</w:t>
      </w:r>
    </w:p>
    <w:p w:rsidR="003563AD" w:rsidRDefault="00251882">
      <w:pPr>
        <w:pStyle w:val="Point1letter"/>
        <w:numPr>
          <w:ilvl w:val="3"/>
          <w:numId w:val="54"/>
        </w:numPr>
        <w:rPr>
          <w:noProof/>
        </w:rPr>
      </w:pPr>
      <w:r>
        <w:rPr>
          <w:noProof/>
        </w:rPr>
        <w:t>väärtpaberistamistehingu algataja, sponsor või algne laenuandja on jätnud täitmata artikli 4 nõuded;</w:t>
      </w:r>
    </w:p>
    <w:p w:rsidR="003563AD" w:rsidRDefault="00251882">
      <w:pPr>
        <w:pStyle w:val="Point1letter"/>
        <w:numPr>
          <w:ilvl w:val="3"/>
          <w:numId w:val="17"/>
        </w:numPr>
        <w:rPr>
          <w:noProof/>
        </w:rPr>
      </w:pPr>
      <w:r>
        <w:rPr>
          <w:noProof/>
        </w:rPr>
        <w:t xml:space="preserve">väärtpaberistamistehingu algataja, sponsor ja eriotstarbeline väärtpaberistamisüksus on jätnud täitmata </w:t>
      </w:r>
      <w:r>
        <w:rPr>
          <w:noProof/>
        </w:rPr>
        <w:t>artikli 5 nõuded;</w:t>
      </w:r>
    </w:p>
    <w:p w:rsidR="003563AD" w:rsidRDefault="00251882">
      <w:pPr>
        <w:pStyle w:val="Point1letter"/>
        <w:numPr>
          <w:ilvl w:val="3"/>
          <w:numId w:val="17"/>
        </w:numPr>
        <w:rPr>
          <w:noProof/>
        </w:rPr>
      </w:pPr>
      <w:r>
        <w:rPr>
          <w:noProof/>
        </w:rPr>
        <w:t>väärtpaberistamistehingu algataja, sponsor ja eriotstarbeline väärtpaberistamisüksus on jätnud täitmata käesoleva määruse artiklite 7–10 või artiklite 11–13 nõuded.</w:t>
      </w:r>
    </w:p>
    <w:p w:rsidR="003563AD" w:rsidRDefault="00251882">
      <w:pPr>
        <w:ind w:left="720"/>
        <w:rPr>
          <w:noProof/>
        </w:rPr>
      </w:pPr>
      <w:r>
        <w:rPr>
          <w:noProof/>
        </w:rPr>
        <w:t xml:space="preserve">Liikmesriigid tagavad ka, et halduskaristused ja/või parandusmeetmed </w:t>
      </w:r>
      <w:r>
        <w:rPr>
          <w:noProof/>
        </w:rPr>
        <w:t>rakendatakse tegelikult.</w:t>
      </w:r>
    </w:p>
    <w:p w:rsidR="003563AD" w:rsidRDefault="00251882">
      <w:pPr>
        <w:pStyle w:val="ManualNumPar1"/>
        <w:rPr>
          <w:noProof/>
          <w:szCs w:val="24"/>
        </w:rPr>
      </w:pPr>
      <w:r>
        <w:t>2.</w:t>
      </w:r>
      <w:r>
        <w:tab/>
      </w:r>
      <w:r>
        <w:rPr>
          <w:noProof/>
        </w:rPr>
        <w:t>Need karistused ja meetmed peavad olema tõhusad, proportsionaalsed ja hoiatavad ning nende hulka peavad kuuluma vähemalt järgmised:</w:t>
      </w:r>
    </w:p>
    <w:p w:rsidR="003563AD" w:rsidRDefault="00251882">
      <w:pPr>
        <w:pStyle w:val="Point1letter"/>
        <w:numPr>
          <w:ilvl w:val="3"/>
          <w:numId w:val="55"/>
        </w:numPr>
        <w:rPr>
          <w:noProof/>
          <w:szCs w:val="24"/>
        </w:rPr>
      </w:pPr>
      <w:r>
        <w:rPr>
          <w:noProof/>
        </w:rPr>
        <w:t>avalik teadaanne, milles on nimetatud asjaomane füüsiline või juriidiline isik ning rikkumise la</w:t>
      </w:r>
      <w:r>
        <w:rPr>
          <w:noProof/>
        </w:rPr>
        <w:t>ad vastavalt artiklile 22;</w:t>
      </w:r>
    </w:p>
    <w:p w:rsidR="003563AD" w:rsidRDefault="00251882">
      <w:pPr>
        <w:pStyle w:val="Point1letter"/>
        <w:numPr>
          <w:ilvl w:val="3"/>
          <w:numId w:val="7"/>
        </w:numPr>
        <w:rPr>
          <w:noProof/>
          <w:szCs w:val="24"/>
        </w:rPr>
      </w:pPr>
      <w:r>
        <w:rPr>
          <w:noProof/>
          <w:color w:val="000000"/>
        </w:rPr>
        <w:t>korraldus, millega nõutakse, et füüsiline või juriidiline isik lõpetaks sellise tegevuse ja hoiduks selle tegevuse kordamisest;</w:t>
      </w:r>
    </w:p>
    <w:p w:rsidR="003563AD" w:rsidRDefault="00251882">
      <w:pPr>
        <w:pStyle w:val="Point1letter"/>
        <w:numPr>
          <w:ilvl w:val="3"/>
          <w:numId w:val="7"/>
        </w:numPr>
        <w:rPr>
          <w:noProof/>
          <w:szCs w:val="24"/>
        </w:rPr>
      </w:pPr>
      <w:r>
        <w:rPr>
          <w:noProof/>
          <w:color w:val="000000"/>
        </w:rPr>
        <w:t>väärtpaberistamistehingu algataja, sponsori või eriotstarbelise väärtpaberistamisüksuse juhtorgani li</w:t>
      </w:r>
      <w:r>
        <w:rPr>
          <w:noProof/>
          <w:color w:val="000000"/>
        </w:rPr>
        <w:t>ikmele või muule vastutavale füüsilisele isikule kehtestatud ajutine keeld täita sellistes ettevõtetes juhtimisülesandeid;</w:t>
      </w:r>
    </w:p>
    <w:p w:rsidR="003563AD" w:rsidRDefault="00251882">
      <w:pPr>
        <w:pStyle w:val="Point1letter"/>
        <w:numPr>
          <w:ilvl w:val="3"/>
          <w:numId w:val="7"/>
        </w:numPr>
        <w:rPr>
          <w:noProof/>
          <w:szCs w:val="24"/>
        </w:rPr>
      </w:pPr>
      <w:r>
        <w:rPr>
          <w:noProof/>
        </w:rPr>
        <w:t>lõike 1 punktis c osutatud rikkumise korral väärtpaberistamistehingu algatajale, sponsorile või eriotstarbelisele väärtpaberistamisük</w:t>
      </w:r>
      <w:r>
        <w:rPr>
          <w:noProof/>
        </w:rPr>
        <w:t>susele kehtestatud ajutine keeld tõendada ise, et tema väärtpaberistamine vastab käesoleva määruse artiklite 7–10 või artiklite 11–13 nõuetele;</w:t>
      </w:r>
    </w:p>
    <w:p w:rsidR="003563AD" w:rsidRDefault="00251882">
      <w:pPr>
        <w:pStyle w:val="Point1letter"/>
        <w:numPr>
          <w:ilvl w:val="3"/>
          <w:numId w:val="7"/>
        </w:numPr>
        <w:rPr>
          <w:noProof/>
          <w:szCs w:val="24"/>
        </w:rPr>
      </w:pPr>
      <w:r>
        <w:rPr>
          <w:noProof/>
          <w:color w:val="000000"/>
        </w:rPr>
        <w:t>maksimaalne haldustrahv vähemalt 5 000 000 eurot või liikmesriikides, mille vääring ei ole euro, vastav summa se</w:t>
      </w:r>
      <w:r>
        <w:rPr>
          <w:noProof/>
          <w:color w:val="000000"/>
        </w:rPr>
        <w:t>lle riigi vääringus [</w:t>
      </w:r>
      <w:r>
        <w:rPr>
          <w:b/>
          <w:i/>
          <w:noProof/>
          <w:color w:val="000000"/>
        </w:rPr>
        <w:t>käesoleva määruse jõustumise kuupäeval</w:t>
      </w:r>
      <w:r>
        <w:rPr>
          <w:noProof/>
          <w:color w:val="000000"/>
        </w:rPr>
        <w:t>];</w:t>
      </w:r>
    </w:p>
    <w:p w:rsidR="003563AD" w:rsidRDefault="00251882">
      <w:pPr>
        <w:pStyle w:val="Point1letter"/>
        <w:numPr>
          <w:ilvl w:val="3"/>
          <w:numId w:val="7"/>
        </w:numPr>
        <w:rPr>
          <w:noProof/>
          <w:szCs w:val="24"/>
        </w:rPr>
      </w:pPr>
      <w:r>
        <w:rPr>
          <w:noProof/>
          <w:color w:val="000000"/>
        </w:rPr>
        <w:t>või juriidilise isiku puhul punktis e osutatud maksimaalne haldustrahv kuni 10 % juriidilise isiku aastasest kogukäibest vastavalt uusimale kättesaadavale juhtorgani poolt heaks kiidetud aastaar</w:t>
      </w:r>
      <w:r>
        <w:rPr>
          <w:noProof/>
          <w:color w:val="000000"/>
        </w:rPr>
        <w:t>uandele; kui juriidiline isik on emaettevõtja või selle emaettevõtja tütarettevõtja, kes peab koostama konsolideeritud finantsaruandeid vastavalt direktiivile 2013/34/EL, siis on asjakohaseks aastaseks kogukäibeks asjakohaste raamatupidamisõigusnormide koh</w:t>
      </w:r>
      <w:r>
        <w:rPr>
          <w:noProof/>
          <w:color w:val="000000"/>
        </w:rPr>
        <w:t>aselt aastane kogukäive või vastav tululiik uusima kättesaadava konsolideeritud raamatupidamisaruande järgi, mille on heaks kiitnud kõrgeima taseme emaettevõtja juhtorgan;</w:t>
      </w:r>
    </w:p>
    <w:p w:rsidR="003563AD" w:rsidRDefault="00251882">
      <w:pPr>
        <w:pStyle w:val="Point1letter"/>
        <w:numPr>
          <w:ilvl w:val="3"/>
          <w:numId w:val="7"/>
        </w:numPr>
        <w:rPr>
          <w:noProof/>
          <w:szCs w:val="24"/>
        </w:rPr>
      </w:pPr>
      <w:r>
        <w:rPr>
          <w:noProof/>
          <w:color w:val="000000"/>
        </w:rPr>
        <w:t xml:space="preserve">maksimaalne haldustrahv, mis on vähemalt kaks korda nii suur kui rikkumisest saadud </w:t>
      </w:r>
      <w:r>
        <w:rPr>
          <w:noProof/>
          <w:color w:val="000000"/>
        </w:rPr>
        <w:t>kasu, kui selle kasu suurust on võimalik kindlaks teha, isegi kui see ületab punktides e ja f sätestatud maksimumsummasid.</w:t>
      </w:r>
    </w:p>
    <w:p w:rsidR="003563AD" w:rsidRDefault="00251882">
      <w:pPr>
        <w:pStyle w:val="ManualNumPar1"/>
        <w:rPr>
          <w:noProof/>
        </w:rPr>
      </w:pPr>
      <w:r>
        <w:t>3.</w:t>
      </w:r>
      <w:r>
        <w:tab/>
      </w:r>
      <w:r>
        <w:rPr>
          <w:noProof/>
        </w:rPr>
        <w:t>Pidades silmas, et esimese lõigu sätteid kohaldatakse juriidiliste isikute suhtes, tagavad liikmesriigid lisaks, et pädevad asutus</w:t>
      </w:r>
      <w:r>
        <w:rPr>
          <w:noProof/>
        </w:rPr>
        <w:t>ed kohaldavad lõikes 2 sätestatud halduskaristusi ja parandusmeetmeid juhtorgani liikmete ja teiste isikute suhtes, kes on riikliku õiguse alusel selle rikkumise eest vastutavad.</w:t>
      </w:r>
    </w:p>
    <w:p w:rsidR="003563AD" w:rsidRDefault="00251882">
      <w:pPr>
        <w:pStyle w:val="ManualNumPar1"/>
        <w:rPr>
          <w:noProof/>
        </w:rPr>
      </w:pPr>
      <w:r>
        <w:t>4.</w:t>
      </w:r>
      <w:r>
        <w:tab/>
      </w:r>
      <w:r>
        <w:rPr>
          <w:noProof/>
        </w:rPr>
        <w:t>Liikmesriigid tagavad, et iga otsus, millega määratakse lõikes 2 sätestatu</w:t>
      </w:r>
      <w:r>
        <w:rPr>
          <w:noProof/>
        </w:rPr>
        <w:t>d halduskaristused või parandusmeetmed, on nõuetekohaselt põhjendatud ja et seda võib kohtusse edasi kaevata.</w:t>
      </w:r>
    </w:p>
    <w:p w:rsidR="003563AD" w:rsidRDefault="00251882">
      <w:pPr>
        <w:pStyle w:val="Titrearticle"/>
        <w:rPr>
          <w:noProof/>
          <w:szCs w:val="24"/>
        </w:rPr>
      </w:pPr>
      <w:r>
        <w:rPr>
          <w:noProof/>
        </w:rPr>
        <w:t>Artikkel 18</w:t>
      </w:r>
    </w:p>
    <w:p w:rsidR="003563AD" w:rsidRDefault="00251882">
      <w:pPr>
        <w:ind w:left="720" w:firstLine="720"/>
        <w:rPr>
          <w:b/>
          <w:noProof/>
        </w:rPr>
      </w:pPr>
      <w:r>
        <w:rPr>
          <w:b/>
          <w:noProof/>
        </w:rPr>
        <w:t>Halduskaristuste ja parandusmeetmete määramise volituste kasutamine</w:t>
      </w:r>
    </w:p>
    <w:p w:rsidR="003563AD" w:rsidRDefault="00251882">
      <w:pPr>
        <w:pStyle w:val="ManualNumPar1"/>
        <w:rPr>
          <w:noProof/>
        </w:rPr>
      </w:pPr>
      <w:r>
        <w:t>1.</w:t>
      </w:r>
      <w:r>
        <w:tab/>
      </w:r>
      <w:r>
        <w:rPr>
          <w:noProof/>
        </w:rPr>
        <w:t>Pädevad asutused kasutavad oma volitusi artiklis 17 osutatud ha</w:t>
      </w:r>
      <w:r>
        <w:rPr>
          <w:noProof/>
        </w:rPr>
        <w:t>lduskaristuste ja parandusmeetmete määramisel kooskõlas oma riigisisese õigusraamistikuga:</w:t>
      </w:r>
    </w:p>
    <w:p w:rsidR="003563AD" w:rsidRDefault="00251882">
      <w:pPr>
        <w:pStyle w:val="Point1letter"/>
        <w:numPr>
          <w:ilvl w:val="3"/>
          <w:numId w:val="57"/>
        </w:numPr>
        <w:rPr>
          <w:noProof/>
        </w:rPr>
      </w:pPr>
      <w:r>
        <w:rPr>
          <w:noProof/>
          <w:color w:val="000000"/>
        </w:rPr>
        <w:t>vahetult;</w:t>
      </w:r>
    </w:p>
    <w:p w:rsidR="003563AD" w:rsidRDefault="00251882">
      <w:pPr>
        <w:pStyle w:val="Point1letter"/>
        <w:numPr>
          <w:ilvl w:val="3"/>
          <w:numId w:val="7"/>
        </w:numPr>
        <w:rPr>
          <w:noProof/>
        </w:rPr>
      </w:pPr>
      <w:r>
        <w:rPr>
          <w:noProof/>
          <w:color w:val="000000"/>
        </w:rPr>
        <w:t>koostöös teiste asutustega;</w:t>
      </w:r>
    </w:p>
    <w:p w:rsidR="003563AD" w:rsidRDefault="00251882">
      <w:pPr>
        <w:pStyle w:val="Point1letter"/>
        <w:numPr>
          <w:ilvl w:val="3"/>
          <w:numId w:val="7"/>
        </w:numPr>
        <w:rPr>
          <w:noProof/>
        </w:rPr>
      </w:pPr>
      <w:r>
        <w:rPr>
          <w:noProof/>
          <w:color w:val="000000"/>
        </w:rPr>
        <w:t>suunates küsimuse pädevatele kohtuasutustele.</w:t>
      </w:r>
    </w:p>
    <w:p w:rsidR="003563AD" w:rsidRDefault="00251882">
      <w:pPr>
        <w:pStyle w:val="ManualNumPar1"/>
        <w:rPr>
          <w:noProof/>
        </w:rPr>
      </w:pPr>
      <w:r>
        <w:t>2.</w:t>
      </w:r>
      <w:r>
        <w:tab/>
      </w:r>
      <w:r>
        <w:rPr>
          <w:noProof/>
        </w:rPr>
        <w:t>Kui pädevad asutused määravad kindlaks käesoleva määruse artikli 17 alusel mää</w:t>
      </w:r>
      <w:r>
        <w:rPr>
          <w:noProof/>
        </w:rPr>
        <w:t>ratava halduskaristuse või parandusmeetme liiki ja taset, võtavad nad seejuures arvesse kõiki asjakohaseid asjaolusid, sealhulgas vajaduse korral järgmist:</w:t>
      </w:r>
    </w:p>
    <w:p w:rsidR="003563AD" w:rsidRDefault="00251882">
      <w:pPr>
        <w:pStyle w:val="Point1letter"/>
        <w:numPr>
          <w:ilvl w:val="3"/>
          <w:numId w:val="58"/>
        </w:numPr>
        <w:rPr>
          <w:noProof/>
        </w:rPr>
      </w:pPr>
      <w:r>
        <w:rPr>
          <w:noProof/>
          <w:color w:val="000000"/>
        </w:rPr>
        <w:t>rikkumise olulisus, raskus ja kestus;</w:t>
      </w:r>
    </w:p>
    <w:p w:rsidR="003563AD" w:rsidRDefault="00251882">
      <w:pPr>
        <w:pStyle w:val="Point1letter"/>
        <w:numPr>
          <w:ilvl w:val="3"/>
          <w:numId w:val="17"/>
        </w:numPr>
        <w:rPr>
          <w:noProof/>
        </w:rPr>
      </w:pPr>
      <w:r>
        <w:rPr>
          <w:noProof/>
          <w:color w:val="000000"/>
        </w:rPr>
        <w:t>rikkumise toime pannud füüsilise või juriidilise isiku vastutu</w:t>
      </w:r>
      <w:r>
        <w:rPr>
          <w:noProof/>
          <w:color w:val="000000"/>
        </w:rPr>
        <w:t>se ulatus;</w:t>
      </w:r>
    </w:p>
    <w:p w:rsidR="003563AD" w:rsidRDefault="00251882">
      <w:pPr>
        <w:pStyle w:val="Point1letter"/>
        <w:numPr>
          <w:ilvl w:val="3"/>
          <w:numId w:val="17"/>
        </w:numPr>
        <w:rPr>
          <w:noProof/>
        </w:rPr>
      </w:pPr>
      <w:r>
        <w:rPr>
          <w:noProof/>
          <w:color w:val="000000"/>
        </w:rPr>
        <w:t>vastutava füüsilise või juriidilise isiku finantsseisundi tugevus, mida näitab vastutava juriidilise isiku kogukäive või vastutava füüsilise isiku aastasissetulek ja netovara;</w:t>
      </w:r>
    </w:p>
    <w:p w:rsidR="003563AD" w:rsidRDefault="00251882">
      <w:pPr>
        <w:pStyle w:val="Point1letter"/>
        <w:numPr>
          <w:ilvl w:val="3"/>
          <w:numId w:val="17"/>
        </w:numPr>
        <w:rPr>
          <w:noProof/>
        </w:rPr>
      </w:pPr>
      <w:r>
        <w:rPr>
          <w:noProof/>
          <w:color w:val="000000"/>
        </w:rPr>
        <w:t>vastutava füüsilise või juriidilise isiku saadud kasu või välditud ka</w:t>
      </w:r>
      <w:r>
        <w:rPr>
          <w:noProof/>
          <w:color w:val="000000"/>
        </w:rPr>
        <w:t>hju suurus, niivõrd kui seda on võimalik kindlaks teha;</w:t>
      </w:r>
    </w:p>
    <w:p w:rsidR="003563AD" w:rsidRDefault="00251882">
      <w:pPr>
        <w:pStyle w:val="Point1letter"/>
        <w:numPr>
          <w:ilvl w:val="3"/>
          <w:numId w:val="17"/>
        </w:numPr>
        <w:rPr>
          <w:noProof/>
        </w:rPr>
      </w:pPr>
      <w:r>
        <w:rPr>
          <w:noProof/>
          <w:color w:val="000000"/>
        </w:rPr>
        <w:t>rikkumisega kolmandatele isikutele tekitatud kahju, niivõrd kui seda on võimalik kindlaks teha;</w:t>
      </w:r>
    </w:p>
    <w:p w:rsidR="003563AD" w:rsidRDefault="00251882">
      <w:pPr>
        <w:pStyle w:val="Point1letter"/>
        <w:numPr>
          <w:ilvl w:val="3"/>
          <w:numId w:val="17"/>
        </w:numPr>
        <w:rPr>
          <w:noProof/>
        </w:rPr>
      </w:pPr>
      <w:r>
        <w:rPr>
          <w:noProof/>
          <w:color w:val="000000"/>
        </w:rPr>
        <w:t>see, millises ulatuses teeb vastutav füüsiline või juriidiline isik pädeva asutusega koostööd, ilma et s</w:t>
      </w:r>
      <w:r>
        <w:rPr>
          <w:noProof/>
          <w:color w:val="000000"/>
        </w:rPr>
        <w:t>ee piiraks vajadust tagada selle isiku teenitud kasumi või välditud kahju loovutamine;</w:t>
      </w:r>
    </w:p>
    <w:p w:rsidR="003563AD" w:rsidRDefault="00251882">
      <w:pPr>
        <w:pStyle w:val="Point1letter"/>
        <w:numPr>
          <w:ilvl w:val="3"/>
          <w:numId w:val="17"/>
        </w:numPr>
        <w:rPr>
          <w:noProof/>
        </w:rPr>
      </w:pPr>
      <w:r>
        <w:rPr>
          <w:noProof/>
        </w:rPr>
        <w:t>vastutava füüsilise või juriidilise isiku varasemad rikkumised.</w:t>
      </w:r>
    </w:p>
    <w:p w:rsidR="003563AD" w:rsidRDefault="00251882">
      <w:pPr>
        <w:pStyle w:val="Titrearticle"/>
        <w:rPr>
          <w:noProof/>
        </w:rPr>
      </w:pPr>
      <w:r>
        <w:rPr>
          <w:noProof/>
        </w:rPr>
        <w:t>Artikkel 19</w:t>
      </w:r>
    </w:p>
    <w:p w:rsidR="003563AD" w:rsidRDefault="00251882">
      <w:pPr>
        <w:ind w:left="2880" w:firstLine="720"/>
        <w:rPr>
          <w:b/>
          <w:noProof/>
        </w:rPr>
      </w:pPr>
      <w:r>
        <w:rPr>
          <w:b/>
          <w:noProof/>
        </w:rPr>
        <w:t>Kriminaalkaristuste kehtestamine</w:t>
      </w:r>
    </w:p>
    <w:p w:rsidR="003563AD" w:rsidRDefault="00251882">
      <w:pPr>
        <w:pStyle w:val="ManualNumPar1"/>
        <w:rPr>
          <w:noProof/>
        </w:rPr>
      </w:pPr>
      <w:r>
        <w:t>1.</w:t>
      </w:r>
      <w:r>
        <w:tab/>
      </w:r>
      <w:r>
        <w:rPr>
          <w:noProof/>
        </w:rPr>
        <w:t xml:space="preserve">Liikmesriigid võivad otsustada mitte kehtestada </w:t>
      </w:r>
      <w:r>
        <w:rPr>
          <w:noProof/>
        </w:rPr>
        <w:t>halduskaristusi või parandusmeetmeid käsitlevaid õigusnorme selliste rikkumiste suhtes, mille suhtes kohaldatakse siseriiklikus õiguses kriminaalkaristusi.</w:t>
      </w:r>
    </w:p>
    <w:p w:rsidR="003563AD" w:rsidRDefault="00251882">
      <w:pPr>
        <w:pStyle w:val="ManualNumPar1"/>
        <w:rPr>
          <w:noProof/>
        </w:rPr>
      </w:pPr>
      <w:r>
        <w:t>2.</w:t>
      </w:r>
      <w:r>
        <w:tab/>
      </w:r>
      <w:r>
        <w:rPr>
          <w:noProof/>
        </w:rPr>
        <w:t>Kui liikmesriigid on lõike 1 alusel otsustanud kehtestada käesoleva määruse artikli 17 lõikes 1 o</w:t>
      </w:r>
      <w:r>
        <w:rPr>
          <w:noProof/>
        </w:rPr>
        <w:t>sutatud rikkumiste eest kriminaalkaristused, tagavad nad, et on olemas asjakohased meetmed, et pädevatel asutustel oleksid kõik vajalikud volitused suhelda oma jurisdiktsiooni piires kohtute, prokuratuuri või kriminaalõigusasutustega ning saada konkreetset</w:t>
      </w:r>
      <w:r>
        <w:rPr>
          <w:noProof/>
        </w:rPr>
        <w:t xml:space="preserve"> teavet artikli 17 lõikes 1 osutatud rikkumiste asjus algatatud kriminaaluurimiste või menetluste kohta ning anda sama teavet teistele pädevatele asutustele, ESMA-le, EBA-le ja EIOPA-le, et täita käesoleva määruse alusel oma koostöökohustust.</w:t>
      </w:r>
    </w:p>
    <w:p w:rsidR="003563AD" w:rsidRDefault="00251882">
      <w:pPr>
        <w:pStyle w:val="Titrearticle"/>
        <w:rPr>
          <w:noProof/>
        </w:rPr>
      </w:pPr>
      <w:r>
        <w:rPr>
          <w:noProof/>
        </w:rPr>
        <w:t>Artikkel 20</w:t>
      </w:r>
    </w:p>
    <w:p w:rsidR="003563AD" w:rsidRDefault="00251882">
      <w:pPr>
        <w:ind w:left="2880" w:firstLine="720"/>
        <w:rPr>
          <w:b/>
          <w:noProof/>
        </w:rPr>
      </w:pPr>
      <w:r>
        <w:rPr>
          <w:b/>
          <w:noProof/>
        </w:rPr>
        <w:t>T</w:t>
      </w:r>
      <w:r>
        <w:rPr>
          <w:b/>
          <w:noProof/>
        </w:rPr>
        <w:t>eatamiskohustus</w:t>
      </w:r>
    </w:p>
    <w:p w:rsidR="003563AD" w:rsidRDefault="00251882">
      <w:pPr>
        <w:rPr>
          <w:noProof/>
        </w:rPr>
      </w:pPr>
      <w:r>
        <w:rPr>
          <w:noProof/>
        </w:rPr>
        <w:t>Liikmesriigid teatavad komisjonile, ESMA-le, EBA-le ja EIOPA-le oma õigus- ja haldusnormidest, millega käesolevat peatükki rakendatakse, sealhulgas asjaomastest kriminaalõigusnormidest, [</w:t>
      </w:r>
      <w:r>
        <w:rPr>
          <w:b/>
          <w:i/>
          <w:noProof/>
        </w:rPr>
        <w:t>ühe aasta jooksul pärast käesoleva määruse jõustumist</w:t>
      </w:r>
      <w:r>
        <w:rPr>
          <w:noProof/>
        </w:rPr>
        <w:t>]. Liikmesriigid teatavad komisjonile, ESMA-le, EBA-le ja EIOPA-le kõikidest nende õigusnormide hilisematest muudatustest ilma asjatult viivitamata.</w:t>
      </w:r>
    </w:p>
    <w:p w:rsidR="003563AD" w:rsidRDefault="00251882">
      <w:pPr>
        <w:pStyle w:val="Titrearticle"/>
        <w:rPr>
          <w:noProof/>
        </w:rPr>
      </w:pPr>
      <w:r>
        <w:rPr>
          <w:noProof/>
        </w:rPr>
        <w:t>Artikkel 21</w:t>
      </w:r>
    </w:p>
    <w:p w:rsidR="003563AD" w:rsidRDefault="00251882">
      <w:pPr>
        <w:rPr>
          <w:b/>
          <w:noProof/>
        </w:rPr>
      </w:pPr>
      <w:r>
        <w:rPr>
          <w:b/>
          <w:noProof/>
        </w:rPr>
        <w:t>Pädevate asutuste ja Euroopa järelevalveasutuste koostöö</w:t>
      </w:r>
    </w:p>
    <w:p w:rsidR="003563AD" w:rsidRDefault="00251882">
      <w:pPr>
        <w:pStyle w:val="ManualNumPar1"/>
        <w:rPr>
          <w:noProof/>
        </w:rPr>
      </w:pPr>
      <w:r>
        <w:t>1.</w:t>
      </w:r>
      <w:r>
        <w:tab/>
      </w:r>
      <w:r>
        <w:rPr>
          <w:noProof/>
        </w:rPr>
        <w:t>Käesoleva määruse artiklis 15 osuta</w:t>
      </w:r>
      <w:r>
        <w:rPr>
          <w:noProof/>
        </w:rPr>
        <w:t>tud pädevad asutused ning ESMA, EBA ja EIOPA teevad üksteisega tihedat koostööd ja vahetavad teavet, et täita artiklitest 16–19 tulenevaid ülesandeid ning eelkõige teha kindlaks ja heastada käesoleva määruse rikkumised.</w:t>
      </w:r>
    </w:p>
    <w:p w:rsidR="003563AD" w:rsidRDefault="00251882">
      <w:pPr>
        <w:pStyle w:val="ManualNumPar1"/>
        <w:rPr>
          <w:noProof/>
        </w:rPr>
      </w:pPr>
      <w:r>
        <w:t>2.</w:t>
      </w:r>
      <w:r>
        <w:tab/>
      </w:r>
      <w:r>
        <w:rPr>
          <w:noProof/>
        </w:rPr>
        <w:t>Pädevad asutused võivad teha koos</w:t>
      </w:r>
      <w:r>
        <w:rPr>
          <w:noProof/>
        </w:rPr>
        <w:t>tööd ka kolmandate riikide pädevate asutustega, et kasutada oma karistuste määramise volitusi ja aidata kaasa rahaliste karistuste sissenõudmisele.</w:t>
      </w:r>
    </w:p>
    <w:p w:rsidR="003563AD" w:rsidRDefault="00251882">
      <w:pPr>
        <w:pStyle w:val="ManualNumPar1"/>
        <w:rPr>
          <w:noProof/>
          <w:szCs w:val="24"/>
        </w:rPr>
      </w:pPr>
      <w:r>
        <w:t>3.</w:t>
      </w:r>
      <w:r>
        <w:tab/>
      </w:r>
      <w:r>
        <w:rPr>
          <w:noProof/>
        </w:rPr>
        <w:t>Kui pädev asutus leiab või kui tal on põhjust uskuda, et käesolevat määrust on rikutud, teatab ta oma jär</w:t>
      </w:r>
      <w:r>
        <w:rPr>
          <w:noProof/>
        </w:rPr>
        <w:t>eldustest teise pädeva asutuse järelevalve alla kuuluva väärtpaberistamistehingu algataja, sponsori, algse laenuandja, eriotstarbelise väärtpaberistamisüksuse või investori pädevale järelevalveasutusele piisava üksikasjalikkusega. Asjaomased pädevad asutus</w:t>
      </w:r>
      <w:r>
        <w:rPr>
          <w:noProof/>
        </w:rPr>
        <w:t>ed koordineerivad oma järelevalvet tihedalt ja tagavad oma otsuste ühtsuse.</w:t>
      </w:r>
    </w:p>
    <w:p w:rsidR="003563AD" w:rsidRDefault="00251882">
      <w:pPr>
        <w:pStyle w:val="ManualNumPar1"/>
        <w:rPr>
          <w:noProof/>
          <w:szCs w:val="24"/>
        </w:rPr>
      </w:pPr>
      <w:r>
        <w:t>4.</w:t>
      </w:r>
      <w:r>
        <w:tab/>
      </w:r>
      <w:r>
        <w:rPr>
          <w:noProof/>
        </w:rPr>
        <w:t>Eeskätt juhtudel, kui lõikes 3 osutatud rikkumine puudutab ebaõiget või eksitavat teavitust käesoleva määruse artikli 14 lõike 1 alusel, peab selle rikkumise avastanud pädev asu</w:t>
      </w:r>
      <w:r>
        <w:rPr>
          <w:noProof/>
        </w:rPr>
        <w:t>tus teatama rikkumisest viivitamata ka ESMA-le, EBA-le ja EIOPA-le.</w:t>
      </w:r>
    </w:p>
    <w:p w:rsidR="003563AD" w:rsidRDefault="00251882">
      <w:pPr>
        <w:pStyle w:val="ManualNumPar1"/>
        <w:rPr>
          <w:noProof/>
          <w:szCs w:val="24"/>
        </w:rPr>
      </w:pPr>
      <w:r>
        <w:t>5.</w:t>
      </w:r>
      <w:r>
        <w:tab/>
      </w:r>
      <w:r>
        <w:rPr>
          <w:noProof/>
        </w:rPr>
        <w:t>Kui pädev asutus saab lõikes 3 osutatud teabe, võtab ta kõik vajalikud meetmed, et kõrvaldada avastatud rikkumine ja teatada sellest teistele asjaomastele pädevatele asutustele, eelkõig</w:t>
      </w:r>
      <w:r>
        <w:rPr>
          <w:noProof/>
        </w:rPr>
        <w:t>e väärtpaberistamistehingu algataja, sponsori, eriotstarbelise väärtpaberistamisüksuse ning väärtpaberistamispositsiooni omaniku (kui see on teada) pädevatele asutustele. Kui pädevad asutused on eriarvamusel, võib küsimuse suunata ESMA-le ning sel juhul ko</w:t>
      </w:r>
      <w:r>
        <w:rPr>
          <w:noProof/>
        </w:rPr>
        <w:t>haldatakse määruse (EL) nr 1095/2010 artiklis 19 ja vajaduse korral artiklis 20 sätestatud korda.</w:t>
      </w:r>
    </w:p>
    <w:p w:rsidR="003563AD" w:rsidRDefault="00251882">
      <w:pPr>
        <w:pStyle w:val="ManualNumPar1"/>
        <w:rPr>
          <w:noProof/>
        </w:rPr>
      </w:pPr>
      <w:r>
        <w:t>6.</w:t>
      </w:r>
      <w:r>
        <w:tab/>
      </w:r>
      <w:r>
        <w:rPr>
          <w:noProof/>
        </w:rPr>
        <w:t>Tihedas koostöös EBA ja EIOPAga töötab ESMA välja regulatiivsete tehniliste standardite eelnõud, et näha täpsemalt ette lõikest 1 tulenev üldine koostöökoh</w:t>
      </w:r>
      <w:r>
        <w:rPr>
          <w:noProof/>
        </w:rPr>
        <w:t>ustus ja vahetatav teave, aga ka lõigetest 3 ja 4 tulenev teatamiskohustus.</w:t>
      </w:r>
    </w:p>
    <w:p w:rsidR="003563AD" w:rsidRDefault="00251882">
      <w:pPr>
        <w:ind w:left="780"/>
        <w:rPr>
          <w:noProof/>
          <w:color w:val="000000"/>
        </w:rPr>
      </w:pPr>
      <w:r>
        <w:rPr>
          <w:noProof/>
        </w:rPr>
        <w:t>Tihedas koostöös EBA ja EIOPAga esitab ESMA need regulatiivsete tehniliste standardite eelnõud komisjonile [</w:t>
      </w:r>
      <w:r>
        <w:rPr>
          <w:b/>
          <w:i/>
          <w:noProof/>
          <w:color w:val="000000"/>
        </w:rPr>
        <w:t>kaksteist kuud pärast käesoleva määruse jõustumist</w:t>
      </w:r>
      <w:r>
        <w:rPr>
          <w:noProof/>
        </w:rPr>
        <w:t>].</w:t>
      </w:r>
    </w:p>
    <w:p w:rsidR="003563AD" w:rsidRDefault="00251882">
      <w:pPr>
        <w:ind w:left="780"/>
        <w:rPr>
          <w:noProof/>
        </w:rPr>
      </w:pPr>
      <w:r>
        <w:rPr>
          <w:noProof/>
        </w:rPr>
        <w:t>Komisjonile antakse</w:t>
      </w:r>
      <w:r>
        <w:rPr>
          <w:noProof/>
        </w:rPr>
        <w:t xml:space="preserve"> volitus võtta vastu esimeses lõigus osutatud regulatiivsed tehnilised standardid määruse (EL) nr 1095/2010 artiklites 10–14 sätestatud korras.</w:t>
      </w:r>
    </w:p>
    <w:p w:rsidR="003563AD" w:rsidRDefault="00251882">
      <w:pPr>
        <w:pStyle w:val="Titrearticle"/>
        <w:rPr>
          <w:noProof/>
          <w:szCs w:val="24"/>
        </w:rPr>
      </w:pPr>
      <w:r>
        <w:rPr>
          <w:noProof/>
        </w:rPr>
        <w:t>Artikkel 22</w:t>
      </w:r>
    </w:p>
    <w:p w:rsidR="003563AD" w:rsidRDefault="00251882">
      <w:pPr>
        <w:ind w:left="1440" w:firstLine="720"/>
        <w:rPr>
          <w:b/>
          <w:noProof/>
        </w:rPr>
      </w:pPr>
      <w:r>
        <w:rPr>
          <w:b/>
          <w:noProof/>
        </w:rPr>
        <w:t>Halduskaristuste ja parandusmeetmete avaldamine</w:t>
      </w:r>
    </w:p>
    <w:p w:rsidR="003563AD" w:rsidRDefault="00251882">
      <w:pPr>
        <w:pStyle w:val="ManualNumPar1"/>
        <w:rPr>
          <w:noProof/>
        </w:rPr>
      </w:pPr>
      <w:r>
        <w:t>1.</w:t>
      </w:r>
      <w:r>
        <w:tab/>
      </w:r>
      <w:r>
        <w:rPr>
          <w:noProof/>
        </w:rPr>
        <w:t>Liikmesriigid tagavad, et pädevad asutused avalda</w:t>
      </w:r>
      <w:r>
        <w:rPr>
          <w:noProof/>
        </w:rPr>
        <w:t>vad ilma asjatult viivitamata oma ametlikul veebilehel iga otsuse, millega määratakse halduskaristus või parandusmeede artikli 4 või 5 või artikli 14 lõike 1 rikkumise eest, pärast seda, kui isikule, kellele karistus või meede on määratud, on sellest otsus</w:t>
      </w:r>
      <w:r>
        <w:rPr>
          <w:noProof/>
        </w:rPr>
        <w:t>est teatatud.</w:t>
      </w:r>
    </w:p>
    <w:p w:rsidR="003563AD" w:rsidRDefault="00251882">
      <w:pPr>
        <w:pStyle w:val="ManualNumPar1"/>
        <w:rPr>
          <w:noProof/>
        </w:rPr>
      </w:pPr>
      <w:r>
        <w:t>2.</w:t>
      </w:r>
      <w:r>
        <w:tab/>
      </w:r>
      <w:r>
        <w:rPr>
          <w:noProof/>
        </w:rPr>
        <w:t>Lõike 1 alusel tuleb avaldada vähemalt teave rikkumise liigi ja laadi kohta, vastutavad isikud ning määratud karistused või meetmed.</w:t>
      </w:r>
    </w:p>
    <w:p w:rsidR="003563AD" w:rsidRDefault="00251882">
      <w:pPr>
        <w:pStyle w:val="ManualNumPar1"/>
        <w:rPr>
          <w:noProof/>
          <w:szCs w:val="24"/>
        </w:rPr>
      </w:pPr>
      <w:r>
        <w:t>3.</w:t>
      </w:r>
      <w:r>
        <w:tab/>
      </w:r>
      <w:r>
        <w:rPr>
          <w:noProof/>
        </w:rPr>
        <w:t>Kui pädev asutus on iga üksikjuhtumit eraldi hinnates jõudnud järeldusele, et juriidilise isiku identit</w:t>
      </w:r>
      <w:r>
        <w:rPr>
          <w:noProof/>
        </w:rPr>
        <w:t>eedi või füüsilise isiku isikuandmete avaldamine on ebaproportsionaalne, või kui pädev asutus leiab, et nende andmete avaldamine ohustab finantsturgude stabiilsust või käimasolevat uurimist, tagavad liikmesriigid, et pädevad asutused toimivad ühel järgmist</w:t>
      </w:r>
      <w:r>
        <w:rPr>
          <w:noProof/>
        </w:rPr>
        <w:t>est viisidest:</w:t>
      </w:r>
    </w:p>
    <w:p w:rsidR="003563AD" w:rsidRDefault="00251882">
      <w:pPr>
        <w:pStyle w:val="Point1letter"/>
        <w:numPr>
          <w:ilvl w:val="3"/>
          <w:numId w:val="62"/>
        </w:numPr>
        <w:rPr>
          <w:noProof/>
        </w:rPr>
      </w:pPr>
      <w:r>
        <w:rPr>
          <w:noProof/>
        </w:rPr>
        <w:t>lükkavad halduskaristuse või parandusmeetme määramise otsuse avaldamise edasi, kuni vastava teabe avaldamisest hoidumise põhjused lakkavad olemast; või</w:t>
      </w:r>
    </w:p>
    <w:p w:rsidR="003563AD" w:rsidRDefault="00251882">
      <w:pPr>
        <w:pStyle w:val="Point1letter"/>
        <w:numPr>
          <w:ilvl w:val="3"/>
          <w:numId w:val="17"/>
        </w:numPr>
        <w:rPr>
          <w:noProof/>
        </w:rPr>
      </w:pPr>
      <w:r>
        <w:rPr>
          <w:noProof/>
        </w:rPr>
        <w:t>avaldavad halduskaristuse või parandusmeetme määramise otsuse, jättes sellest mõistlikuks</w:t>
      </w:r>
      <w:r>
        <w:rPr>
          <w:noProof/>
        </w:rPr>
        <w:t xml:space="preserve"> ajavahemikus välja otsuse adressaadi identiteedi ja isikuandmed, kui on ette näha, et selle aja jooksul lakkavad anonüümse avaldamise põhjused olemast, ning tingimusel, et niisuguse anonüümse avaldamise puhul on tagatud asjaomaste isikuandmete tegelik kai</w:t>
      </w:r>
      <w:r>
        <w:rPr>
          <w:noProof/>
        </w:rPr>
        <w:t>tse; või</w:t>
      </w:r>
    </w:p>
    <w:p w:rsidR="003563AD" w:rsidRDefault="00251882">
      <w:pPr>
        <w:pStyle w:val="Point1letter"/>
        <w:numPr>
          <w:ilvl w:val="3"/>
          <w:numId w:val="17"/>
        </w:numPr>
        <w:rPr>
          <w:noProof/>
        </w:rPr>
      </w:pPr>
      <w:r>
        <w:rPr>
          <w:noProof/>
        </w:rPr>
        <w:t xml:space="preserve"> jätavad halduskaristuse või parandusmeetme määramise otsuse avaldamata, kui punktides a ja b sätestatud võimalusi peetakse ebapiisavaks, et tagada</w:t>
      </w:r>
    </w:p>
    <w:p w:rsidR="003563AD" w:rsidRDefault="00251882">
      <w:pPr>
        <w:pStyle w:val="Point2"/>
        <w:rPr>
          <w:noProof/>
        </w:rPr>
      </w:pPr>
      <w:r>
        <w:rPr>
          <w:noProof/>
        </w:rPr>
        <w:t>i)</w:t>
      </w:r>
      <w:r>
        <w:rPr>
          <w:noProof/>
        </w:rPr>
        <w:tab/>
        <w:t>et finantsturgude stabiilsust ei seataks ohtu;</w:t>
      </w:r>
    </w:p>
    <w:p w:rsidR="003563AD" w:rsidRDefault="00251882">
      <w:pPr>
        <w:pStyle w:val="Point2"/>
        <w:rPr>
          <w:noProof/>
        </w:rPr>
      </w:pPr>
      <w:r>
        <w:rPr>
          <w:noProof/>
        </w:rPr>
        <w:t>ii)</w:t>
      </w:r>
      <w:r>
        <w:rPr>
          <w:noProof/>
        </w:rPr>
        <w:tab/>
        <w:t>sellise otsuse avaldamise proportsionaalsus v</w:t>
      </w:r>
      <w:r>
        <w:rPr>
          <w:noProof/>
        </w:rPr>
        <w:t>ähem oluliseks peetava meetme puhul.</w:t>
      </w:r>
    </w:p>
    <w:p w:rsidR="003563AD" w:rsidRDefault="00251882">
      <w:pPr>
        <w:pStyle w:val="ManualNumPar1"/>
        <w:rPr>
          <w:noProof/>
        </w:rPr>
      </w:pPr>
      <w:r>
        <w:t>4.</w:t>
      </w:r>
      <w:r>
        <w:tab/>
      </w:r>
      <w:r>
        <w:rPr>
          <w:noProof/>
        </w:rPr>
        <w:t>Kui on otsustatud avaldada karistus või meede anonüümselt, võib asjaomaste andmete avaldamise edasi lükata. Kui halduskaristuse või parandusmeetme määramise otsuse võib asjaomastele kohtuasutustele edasi kaevata, lis</w:t>
      </w:r>
      <w:r>
        <w:rPr>
          <w:noProof/>
        </w:rPr>
        <w:t>avad pädevad asutused ühtlasi viivitamata oma ametlikule veebisaidile selle teabe ja kogu edaspidise teabe sellise edasikaebamise tulemuste kohta. Samuti avaldatakse kohtu otsus, millega tühistatakse halduskaristuse või parandusmeetme määramise otsus.</w:t>
      </w:r>
    </w:p>
    <w:p w:rsidR="003563AD" w:rsidRDefault="00251882">
      <w:pPr>
        <w:pStyle w:val="ManualNumPar1"/>
        <w:rPr>
          <w:noProof/>
        </w:rPr>
      </w:pPr>
      <w:r>
        <w:t>5.</w:t>
      </w:r>
      <w:r>
        <w:tab/>
      </w:r>
      <w:r>
        <w:rPr>
          <w:noProof/>
        </w:rPr>
        <w:t>P</w:t>
      </w:r>
      <w:r>
        <w:rPr>
          <w:noProof/>
        </w:rPr>
        <w:t>ädevad asutused tagavad, et käesoleva artikli lõigete 1–4 kohaselt avaldatud otsused jäävad nende ametlikule veebisaidile vähemalt viieks aastaks alates nende avaldamisest. Avaldatud andmete hulgas esinevaid isikuandmeid hoitakse pädeva asutuse ametlikul v</w:t>
      </w:r>
      <w:r>
        <w:rPr>
          <w:noProof/>
        </w:rPr>
        <w:t>eebisaidil üksnes sellise aja jooksul, mis on kooskõlas kohaldatavate andmekaitsenormidega.</w:t>
      </w:r>
    </w:p>
    <w:p w:rsidR="003563AD" w:rsidRDefault="00251882">
      <w:pPr>
        <w:pStyle w:val="ManualNumPar1"/>
        <w:rPr>
          <w:noProof/>
          <w:szCs w:val="24"/>
        </w:rPr>
      </w:pPr>
      <w:r>
        <w:t>6.</w:t>
      </w:r>
      <w:r>
        <w:tab/>
      </w:r>
      <w:r>
        <w:rPr>
          <w:noProof/>
        </w:rPr>
        <w:t>Pädevad asutused teatavad ESMA-le, EBA-le ja EIOPA-le kõikidest määratud halduskaristustest ja parandusmeetmetest, sealhulgas vajaduse korral nende edasikaebamis</w:t>
      </w:r>
      <w:r>
        <w:rPr>
          <w:noProof/>
        </w:rPr>
        <w:t xml:space="preserve">est ja selle tulemustest. Liikmesriigid tagavad, et pädevatele asutustele teatatakse määratud kriminaalkaristustest ja nendega seotud lõppotsustest ning et nad esitavad selle teabe ESMA-le, EBA-le või EIOPA-le. </w:t>
      </w:r>
    </w:p>
    <w:p w:rsidR="003563AD" w:rsidRDefault="00251882">
      <w:pPr>
        <w:pStyle w:val="ManualNumPar1"/>
        <w:rPr>
          <w:noProof/>
          <w:szCs w:val="24"/>
        </w:rPr>
      </w:pPr>
      <w:r>
        <w:t>7.</w:t>
      </w:r>
      <w:r>
        <w:tab/>
      </w:r>
      <w:r>
        <w:rPr>
          <w:noProof/>
        </w:rPr>
        <w:t>ESMA, EBA ja EIOPA üheskoos haldavad neil</w:t>
      </w:r>
      <w:r>
        <w:rPr>
          <w:noProof/>
        </w:rPr>
        <w:t>e teatatud halduskaristuste ja parandusmeetmete keskandmebaasi. Sellele andmebaasile pääsevad ligi ainult pädevad asutused ja seda ajakohastatakse pädevate asutuste poolt lõike 6 kohaselt antud teabe põhjal.</w:t>
      </w:r>
    </w:p>
    <w:p w:rsidR="003563AD" w:rsidRDefault="00251882">
      <w:pPr>
        <w:pStyle w:val="PartTitle"/>
        <w:rPr>
          <w:noProof/>
        </w:rPr>
      </w:pPr>
      <w:r>
        <w:rPr>
          <w:noProof/>
        </w:rPr>
        <w:t>III JAOTIS</w:t>
      </w:r>
    </w:p>
    <w:p w:rsidR="003563AD" w:rsidRDefault="00251882">
      <w:pPr>
        <w:pStyle w:val="ChapterTitle"/>
        <w:rPr>
          <w:noProof/>
        </w:rPr>
      </w:pPr>
      <w:r>
        <w:rPr>
          <w:noProof/>
        </w:rPr>
        <w:t>MUUDATUSED</w:t>
      </w:r>
    </w:p>
    <w:p w:rsidR="003563AD" w:rsidRDefault="00251882">
      <w:pPr>
        <w:pStyle w:val="Titrearticle"/>
        <w:rPr>
          <w:noProof/>
        </w:rPr>
      </w:pPr>
      <w:r>
        <w:rPr>
          <w:noProof/>
        </w:rPr>
        <w:t>Artikkel 23</w:t>
      </w:r>
    </w:p>
    <w:p w:rsidR="003563AD" w:rsidRDefault="00251882">
      <w:pPr>
        <w:ind w:left="2160" w:firstLine="720"/>
        <w:rPr>
          <w:b/>
          <w:noProof/>
        </w:rPr>
      </w:pPr>
      <w:r>
        <w:rPr>
          <w:b/>
          <w:noProof/>
        </w:rPr>
        <w:t>Direktiivi 200</w:t>
      </w:r>
      <w:r>
        <w:rPr>
          <w:b/>
          <w:noProof/>
        </w:rPr>
        <w:t>9/65/EÜ muutmine</w:t>
      </w:r>
    </w:p>
    <w:p w:rsidR="003563AD" w:rsidRDefault="00251882">
      <w:pPr>
        <w:ind w:left="850" w:hanging="850"/>
        <w:rPr>
          <w:noProof/>
        </w:rPr>
      </w:pPr>
      <w:r>
        <w:rPr>
          <w:noProof/>
        </w:rPr>
        <w:t>Direktiivi 2009/65/EÜ artikkel 50a tunnistatakse kehtetuks.</w:t>
      </w:r>
    </w:p>
    <w:p w:rsidR="003563AD" w:rsidRDefault="00251882">
      <w:pPr>
        <w:pStyle w:val="Titrearticle"/>
        <w:rPr>
          <w:noProof/>
        </w:rPr>
      </w:pPr>
      <w:r>
        <w:rPr>
          <w:noProof/>
        </w:rPr>
        <w:t>Artikkel 24</w:t>
      </w:r>
    </w:p>
    <w:p w:rsidR="003563AD" w:rsidRDefault="00251882">
      <w:pPr>
        <w:ind w:left="2160" w:firstLine="720"/>
        <w:rPr>
          <w:b/>
          <w:noProof/>
        </w:rPr>
      </w:pPr>
      <w:r>
        <w:rPr>
          <w:b/>
          <w:noProof/>
        </w:rPr>
        <w:t>Direktiivi 2009/138/EÜ muutmine</w:t>
      </w:r>
    </w:p>
    <w:p w:rsidR="003563AD" w:rsidRDefault="00251882">
      <w:pPr>
        <w:ind w:left="850" w:hanging="850"/>
        <w:rPr>
          <w:noProof/>
        </w:rPr>
      </w:pPr>
      <w:r>
        <w:rPr>
          <w:noProof/>
        </w:rPr>
        <w:t>Direktiivi 2009/138/EÜ muudetakse järgmiselt.</w:t>
      </w:r>
    </w:p>
    <w:p w:rsidR="003563AD" w:rsidRDefault="00251882">
      <w:pPr>
        <w:pStyle w:val="Point1number"/>
        <w:numPr>
          <w:ilvl w:val="2"/>
          <w:numId w:val="63"/>
        </w:numPr>
        <w:rPr>
          <w:noProof/>
        </w:rPr>
      </w:pPr>
      <w:r>
        <w:rPr>
          <w:noProof/>
        </w:rPr>
        <w:t>Artikli 135 lõiked 2 ja 3 asendatakse järgmisega:</w:t>
      </w:r>
    </w:p>
    <w:p w:rsidR="003563AD" w:rsidRDefault="00251882">
      <w:pPr>
        <w:ind w:left="1417" w:firstLine="23"/>
        <w:rPr>
          <w:noProof/>
        </w:rPr>
      </w:pPr>
      <w:r>
        <w:rPr>
          <w:noProof/>
        </w:rPr>
        <w:t xml:space="preserve">„2. Komisjon võtab kooskõlas artikliga </w:t>
      </w:r>
      <w:r>
        <w:rPr>
          <w:noProof/>
        </w:rPr>
        <w:t xml:space="preserve">301a vastu delegeeritud õigusaktid, milles sätestatakse selliste olukordade kirjeldused, mille puhul võib kehtestada proportsionaalse täiendava kapitalinõude, kui [väärtpaberistamise] määruse artiklites 3 ja 4 sätestatud nõuded on jäetud täitmata, ilma et </w:t>
      </w:r>
      <w:r>
        <w:rPr>
          <w:noProof/>
        </w:rPr>
        <w:t>see piiraks artikli 101 lõike 3 kohaldamist.</w:t>
      </w:r>
    </w:p>
    <w:p w:rsidR="003563AD" w:rsidRDefault="00251882">
      <w:pPr>
        <w:ind w:left="1417" w:firstLine="23"/>
        <w:rPr>
          <w:noProof/>
        </w:rPr>
      </w:pPr>
      <w:r>
        <w:rPr>
          <w:noProof/>
        </w:rPr>
        <w:t>3. Selleks et tagada järjekindel ühtlustamine seoses lõikega 2, töötab Euroopa Kindlustus- ja Tööandjapensionide Järelevalve, kui artiklist 301b ei tulene teisiti, välja regulatiivsete tehniliste standardite eel</w:t>
      </w:r>
      <w:r>
        <w:rPr>
          <w:noProof/>
        </w:rPr>
        <w:t>nõud, et täpsustada nimetatud punktis osutatud proportsionaalse täiendava kapitalinõude arvutamise metoodikat.</w:t>
      </w:r>
    </w:p>
    <w:p w:rsidR="003563AD" w:rsidRDefault="00251882">
      <w:pPr>
        <w:ind w:left="1417" w:firstLine="23"/>
        <w:rPr>
          <w:noProof/>
          <w:color w:val="000000"/>
          <w:szCs w:val="24"/>
        </w:rPr>
      </w:pPr>
      <w:r>
        <w:rPr>
          <w:noProof/>
          <w:color w:val="000000"/>
        </w:rPr>
        <w:t>Komisjonile antakse õigus võtta vastu esimeses lõigus osutatud regulatiivsed tehnilised standardid kooskõlas määruse (EL) nr 1094/2010 artikliteg</w:t>
      </w:r>
      <w:r>
        <w:rPr>
          <w:noProof/>
          <w:color w:val="000000"/>
        </w:rPr>
        <w:t>a 10–14.”</w:t>
      </w:r>
    </w:p>
    <w:p w:rsidR="003563AD" w:rsidRDefault="00251882">
      <w:pPr>
        <w:pStyle w:val="Point1number"/>
        <w:numPr>
          <w:ilvl w:val="2"/>
          <w:numId w:val="17"/>
        </w:numPr>
        <w:rPr>
          <w:noProof/>
        </w:rPr>
      </w:pPr>
      <w:r>
        <w:rPr>
          <w:noProof/>
        </w:rPr>
        <w:t>Artikli 308b lõige 11 tunnistatakse kehtetuks.</w:t>
      </w:r>
    </w:p>
    <w:p w:rsidR="003563AD" w:rsidRDefault="00251882">
      <w:pPr>
        <w:pStyle w:val="Titrearticle"/>
        <w:rPr>
          <w:noProof/>
        </w:rPr>
      </w:pPr>
      <w:r>
        <w:rPr>
          <w:noProof/>
        </w:rPr>
        <w:t>Artikkel 25</w:t>
      </w:r>
    </w:p>
    <w:p w:rsidR="003563AD" w:rsidRDefault="00251882">
      <w:pPr>
        <w:ind w:left="720" w:firstLine="720"/>
        <w:rPr>
          <w:b/>
          <w:noProof/>
        </w:rPr>
      </w:pPr>
      <w:r>
        <w:rPr>
          <w:b/>
          <w:noProof/>
        </w:rPr>
        <w:t>Määruse (EÜ) nr 2009/1060 muutmine</w:t>
      </w:r>
    </w:p>
    <w:p w:rsidR="003563AD" w:rsidRDefault="00251882">
      <w:pPr>
        <w:ind w:left="850" w:hanging="850"/>
        <w:rPr>
          <w:noProof/>
        </w:rPr>
      </w:pPr>
      <w:r>
        <w:rPr>
          <w:noProof/>
        </w:rPr>
        <w:t>Määrust (EÜ) nr 2009/1060 muudetakse järgmiselt.</w:t>
      </w:r>
    </w:p>
    <w:p w:rsidR="003563AD" w:rsidRDefault="00251882">
      <w:pPr>
        <w:pStyle w:val="Point1number"/>
        <w:numPr>
          <w:ilvl w:val="2"/>
          <w:numId w:val="64"/>
        </w:numPr>
        <w:spacing w:before="0" w:after="200" w:line="276" w:lineRule="auto"/>
        <w:jc w:val="left"/>
        <w:rPr>
          <w:noProof/>
          <w:szCs w:val="24"/>
        </w:rPr>
      </w:pPr>
      <w:r>
        <w:rPr>
          <w:noProof/>
        </w:rPr>
        <w:t xml:space="preserve">Põhjendustes 22 ja 41, artiklis 8c ja II lisa punktis 1 asendatakse sõnad „struktureeritud finantsinstrument” sõnadega „väärtpaberistamise instrument”. </w:t>
      </w:r>
    </w:p>
    <w:p w:rsidR="003563AD" w:rsidRDefault="00251882">
      <w:pPr>
        <w:pStyle w:val="Point1number"/>
        <w:numPr>
          <w:ilvl w:val="2"/>
          <w:numId w:val="17"/>
        </w:numPr>
        <w:rPr>
          <w:noProof/>
        </w:rPr>
      </w:pPr>
      <w:r>
        <w:rPr>
          <w:noProof/>
        </w:rPr>
        <w:t>Põhjendustes 34 ja 40, artikli 8 lõikes 4, artiklis 8c, artikli 10 lõikes 3, artikli 39 lõikes 4, I lis</w:t>
      </w:r>
      <w:r>
        <w:rPr>
          <w:noProof/>
        </w:rPr>
        <w:t xml:space="preserve">a A jao punkti 2 lõikes 5, I lisa B jao punktis 5, II lisa pealkirjas ja punktis 2, III lisa I osa punktides 8, 24 ja 45 ning III lisa III osa punktis 8 asendatakse sõnad „struktureeritud finantsinstrumendid” sõnadega „väärtpaberistamise instrumendid”. </w:t>
      </w:r>
    </w:p>
    <w:p w:rsidR="003563AD" w:rsidRDefault="00251882">
      <w:pPr>
        <w:pStyle w:val="Point1number"/>
        <w:numPr>
          <w:ilvl w:val="2"/>
          <w:numId w:val="17"/>
        </w:numPr>
        <w:rPr>
          <w:noProof/>
          <w:szCs w:val="24"/>
        </w:rPr>
      </w:pPr>
      <w:r>
        <w:rPr>
          <w:noProof/>
        </w:rPr>
        <w:t>Ar</w:t>
      </w:r>
      <w:r>
        <w:rPr>
          <w:noProof/>
        </w:rPr>
        <w:t>tikli 1 teine lõik asendatakse järgmisega:</w:t>
      </w:r>
    </w:p>
    <w:p w:rsidR="003563AD" w:rsidRDefault="00251882">
      <w:pPr>
        <w:ind w:left="1417" w:firstLine="23"/>
        <w:rPr>
          <w:noProof/>
        </w:rPr>
      </w:pPr>
      <w:r>
        <w:rPr>
          <w:noProof/>
        </w:rPr>
        <w:t>„Käesoleva määrusega kehtestatakse liidus asutatud emitentide ja seotud kolmandate isikute kohustused seoses väärtpaberistamise instrumentidega.”</w:t>
      </w:r>
    </w:p>
    <w:p w:rsidR="003563AD" w:rsidRDefault="00251882">
      <w:pPr>
        <w:pStyle w:val="Point1number"/>
        <w:numPr>
          <w:ilvl w:val="2"/>
          <w:numId w:val="17"/>
        </w:numPr>
        <w:rPr>
          <w:noProof/>
          <w:szCs w:val="24"/>
        </w:rPr>
      </w:pPr>
      <w:r>
        <w:rPr>
          <w:noProof/>
        </w:rPr>
        <w:t>Artikli 3 punkt l asendatakse järgmisega:</w:t>
      </w:r>
    </w:p>
    <w:p w:rsidR="003563AD" w:rsidRDefault="00251882">
      <w:pPr>
        <w:ind w:left="1417"/>
        <w:rPr>
          <w:noProof/>
        </w:rPr>
      </w:pPr>
      <w:r>
        <w:rPr>
          <w:noProof/>
        </w:rPr>
        <w:t xml:space="preserve">„(l) „väärtpaberistamise </w:t>
      </w:r>
      <w:r>
        <w:rPr>
          <w:noProof/>
        </w:rPr>
        <w:t>instrument” – finantsinstrument või muu vara, mis tekib [käesoleva] määruse artikli 2 punktis 1 osutatud väärtpaberistamise tehingu või skeemi tulemusena;”</w:t>
      </w:r>
    </w:p>
    <w:p w:rsidR="003563AD" w:rsidRDefault="00251882">
      <w:pPr>
        <w:pStyle w:val="Titrearticle"/>
        <w:rPr>
          <w:noProof/>
        </w:rPr>
      </w:pPr>
      <w:r>
        <w:rPr>
          <w:noProof/>
        </w:rPr>
        <w:t>Artikkel 26</w:t>
      </w:r>
    </w:p>
    <w:p w:rsidR="003563AD" w:rsidRDefault="00251882">
      <w:pPr>
        <w:ind w:left="2160" w:firstLine="720"/>
        <w:rPr>
          <w:b/>
          <w:noProof/>
        </w:rPr>
      </w:pPr>
      <w:r>
        <w:rPr>
          <w:b/>
          <w:noProof/>
        </w:rPr>
        <w:t>Direktiivi 2011/61/EL muutmine</w:t>
      </w:r>
    </w:p>
    <w:p w:rsidR="003563AD" w:rsidRDefault="00251882">
      <w:pPr>
        <w:rPr>
          <w:noProof/>
        </w:rPr>
      </w:pPr>
      <w:r>
        <w:rPr>
          <w:noProof/>
        </w:rPr>
        <w:t>Direktiivi 2011/61/EL artikkel 17 tunnistatakse kehtetuks</w:t>
      </w:r>
      <w:r>
        <w:rPr>
          <w:noProof/>
        </w:rPr>
        <w:t>.</w:t>
      </w:r>
    </w:p>
    <w:p w:rsidR="003563AD" w:rsidRDefault="00251882">
      <w:pPr>
        <w:pStyle w:val="Titrearticle"/>
        <w:rPr>
          <w:noProof/>
        </w:rPr>
      </w:pPr>
      <w:r>
        <w:rPr>
          <w:noProof/>
        </w:rPr>
        <w:t>Artikkel 27</w:t>
      </w:r>
    </w:p>
    <w:p w:rsidR="003563AD" w:rsidRDefault="00251882">
      <w:pPr>
        <w:ind w:left="2160" w:firstLine="720"/>
        <w:rPr>
          <w:b/>
          <w:noProof/>
        </w:rPr>
      </w:pPr>
      <w:r>
        <w:rPr>
          <w:b/>
          <w:noProof/>
        </w:rPr>
        <w:t>Määruse (EL) nr 648/2012 muutmine</w:t>
      </w:r>
    </w:p>
    <w:p w:rsidR="003563AD" w:rsidRDefault="00251882">
      <w:pPr>
        <w:ind w:left="850" w:hanging="850"/>
        <w:rPr>
          <w:noProof/>
        </w:rPr>
      </w:pPr>
      <w:r>
        <w:rPr>
          <w:noProof/>
        </w:rPr>
        <w:t>Määrust nr 648/2012/EL muudetakse järgmiselt.</w:t>
      </w:r>
    </w:p>
    <w:p w:rsidR="003563AD" w:rsidRDefault="00251882">
      <w:pPr>
        <w:pStyle w:val="Point1number"/>
        <w:numPr>
          <w:ilvl w:val="2"/>
          <w:numId w:val="65"/>
        </w:numPr>
        <w:rPr>
          <w:noProof/>
        </w:rPr>
      </w:pPr>
      <w:r>
        <w:rPr>
          <w:noProof/>
        </w:rPr>
        <w:t>Artiklile 2 lisatakse punktid 30 ja 31:</w:t>
      </w:r>
    </w:p>
    <w:p w:rsidR="003563AD" w:rsidRDefault="00251882">
      <w:pPr>
        <w:ind w:left="1417" w:firstLine="23"/>
        <w:rPr>
          <w:noProof/>
        </w:rPr>
      </w:pPr>
      <w:r>
        <w:rPr>
          <w:noProof/>
        </w:rPr>
        <w:t>„30) „Pandikiri” – võlakiri, mis vastab määruse (EL) nr 575/2013 artikli 129 nõuetele.</w:t>
      </w:r>
    </w:p>
    <w:p w:rsidR="003563AD" w:rsidRDefault="00251882">
      <w:pPr>
        <w:ind w:left="1417" w:firstLine="23"/>
        <w:rPr>
          <w:noProof/>
        </w:rPr>
      </w:pPr>
      <w:r>
        <w:rPr>
          <w:noProof/>
        </w:rPr>
        <w:t>31) „Pandikirja üksus” – pandikirja</w:t>
      </w:r>
      <w:r>
        <w:rPr>
          <w:noProof/>
        </w:rPr>
        <w:t xml:space="preserve"> emitent või tagatiste kogum.”</w:t>
      </w:r>
    </w:p>
    <w:p w:rsidR="003563AD" w:rsidRDefault="00251882">
      <w:pPr>
        <w:pStyle w:val="Point1number"/>
        <w:numPr>
          <w:ilvl w:val="2"/>
          <w:numId w:val="17"/>
        </w:numPr>
        <w:spacing w:before="0" w:after="200"/>
        <w:rPr>
          <w:noProof/>
          <w:color w:val="000000"/>
          <w:szCs w:val="24"/>
        </w:rPr>
      </w:pPr>
      <w:r>
        <w:rPr>
          <w:noProof/>
        </w:rPr>
        <w:t>Artiklile 4 lisatakse lõiked 5 ja 6:</w:t>
      </w:r>
    </w:p>
    <w:p w:rsidR="003563AD" w:rsidRDefault="00251882">
      <w:pPr>
        <w:ind w:left="1417" w:firstLine="23"/>
        <w:rPr>
          <w:noProof/>
        </w:rPr>
      </w:pPr>
      <w:r>
        <w:rPr>
          <w:noProof/>
        </w:rPr>
        <w:t>„5. Artikli 4 lõiget 1 ei kohaldata seoses börsiväliste tuletislepingutega, mille on sõlminud pandikirja üksus seoses pandikirjaga või eriotstarbeline väärtpaberistamisüksuse seoses väärtp</w:t>
      </w:r>
      <w:r>
        <w:rPr>
          <w:noProof/>
        </w:rPr>
        <w:t>aberistamisega [väärtpaberistamise] määruse tähenduses, tingimusel et:</w:t>
      </w:r>
    </w:p>
    <w:p w:rsidR="003563AD" w:rsidRDefault="00251882">
      <w:pPr>
        <w:spacing w:before="0" w:after="200"/>
        <w:ind w:left="1417" w:firstLine="23"/>
        <w:rPr>
          <w:noProof/>
          <w:color w:val="000000"/>
          <w:szCs w:val="24"/>
        </w:rPr>
      </w:pPr>
      <w:r>
        <w:rPr>
          <w:noProof/>
          <w:color w:val="000000"/>
        </w:rPr>
        <w:t xml:space="preserve">a) eriotstarbelise väärtpaberistamisüksuse puhul emiteerib viimane väärtpaberistamisi, mis vastavad [väärtpaberistamise] määruse artiklite 7–10 või artiklite 11–13 ja artikli 6 </w:t>
      </w:r>
      <w:r>
        <w:rPr>
          <w:noProof/>
          <w:color w:val="000000"/>
        </w:rPr>
        <w:t>nõuetele;</w:t>
      </w:r>
    </w:p>
    <w:p w:rsidR="003563AD" w:rsidRDefault="00251882">
      <w:pPr>
        <w:spacing w:before="0" w:after="200"/>
        <w:ind w:left="1417" w:firstLine="23"/>
        <w:rPr>
          <w:noProof/>
          <w:color w:val="000000"/>
          <w:szCs w:val="24"/>
        </w:rPr>
      </w:pPr>
      <w:r>
        <w:rPr>
          <w:noProof/>
          <w:color w:val="000000"/>
        </w:rPr>
        <w:t>b) börsivälist tuletislepingut kasutatakse üksnes intressimäärade või valuutade mittevastavuste maandamiseks pandikirja või väärtpaberistamise puhul ning</w:t>
      </w:r>
    </w:p>
    <w:p w:rsidR="003563AD" w:rsidRDefault="00251882">
      <w:pPr>
        <w:spacing w:before="0" w:after="200"/>
        <w:ind w:left="1417" w:firstLine="23"/>
        <w:rPr>
          <w:noProof/>
          <w:color w:val="000000"/>
          <w:szCs w:val="24"/>
        </w:rPr>
      </w:pPr>
      <w:r>
        <w:rPr>
          <w:noProof/>
          <w:color w:val="000000"/>
        </w:rPr>
        <w:t>c) pandikirjade või väärtpaberistamise kord maandab piisaval määral vastaspoole krediidirisk</w:t>
      </w:r>
      <w:r>
        <w:rPr>
          <w:noProof/>
          <w:color w:val="000000"/>
        </w:rPr>
        <w:t>i seoses börsiväliste tuletislepingutega, mille on sõlminud pandikirja üksus või eriotstarbeline väärtpaberistamisüksus seoses pandikirja või väärtpaberistamisega.</w:t>
      </w:r>
    </w:p>
    <w:p w:rsidR="003563AD" w:rsidRDefault="00251882">
      <w:pPr>
        <w:autoSpaceDE w:val="0"/>
        <w:autoSpaceDN w:val="0"/>
        <w:adjustRightInd w:val="0"/>
        <w:spacing w:before="0" w:after="0"/>
        <w:ind w:left="1417" w:firstLine="23"/>
        <w:rPr>
          <w:noProof/>
          <w:color w:val="000000"/>
          <w:szCs w:val="24"/>
        </w:rPr>
      </w:pPr>
      <w:r>
        <w:rPr>
          <w:noProof/>
          <w:color w:val="000000"/>
        </w:rPr>
        <w:t>6. Käesoleva artikli ühetaolise kohaldamise tagamiseks ning võttes arvesse õigusliku arbitra</w:t>
      </w:r>
      <w:r>
        <w:rPr>
          <w:noProof/>
          <w:color w:val="000000"/>
        </w:rPr>
        <w:t>aži ennetamise vajadust, töötavad Euroopa järelevalveasutused välja regulatiivsete tehniliste standardite eelnõud, et täpsustada kriteeriume selle kindlaksmääramiseks, milline pandikirjade või väärtpaberistamise kord vähendab piisaval määral vastaspoole kr</w:t>
      </w:r>
      <w:r>
        <w:rPr>
          <w:noProof/>
          <w:color w:val="000000"/>
        </w:rPr>
        <w:t>ediidiriski lõike 5 tähenduses.</w:t>
      </w:r>
    </w:p>
    <w:p w:rsidR="003563AD" w:rsidRDefault="003563AD">
      <w:pPr>
        <w:autoSpaceDE w:val="0"/>
        <w:autoSpaceDN w:val="0"/>
        <w:adjustRightInd w:val="0"/>
        <w:spacing w:before="0" w:after="0"/>
        <w:ind w:left="1417" w:firstLine="23"/>
        <w:rPr>
          <w:noProof/>
          <w:color w:val="000000"/>
          <w:szCs w:val="24"/>
        </w:rPr>
      </w:pPr>
    </w:p>
    <w:p w:rsidR="003563AD" w:rsidRDefault="00251882">
      <w:pPr>
        <w:autoSpaceDE w:val="0"/>
        <w:autoSpaceDN w:val="0"/>
        <w:adjustRightInd w:val="0"/>
        <w:spacing w:before="0" w:after="0"/>
        <w:ind w:left="1417" w:firstLine="23"/>
        <w:rPr>
          <w:noProof/>
          <w:color w:val="000000"/>
          <w:szCs w:val="24"/>
        </w:rPr>
      </w:pPr>
      <w:r>
        <w:rPr>
          <w:noProof/>
          <w:color w:val="000000"/>
        </w:rPr>
        <w:t>Euroopa järelevalveasutused esitavad kõnealused regulatiivsete tehniliste standardite eelnõud komisjonile [</w:t>
      </w:r>
      <w:r>
        <w:rPr>
          <w:b/>
          <w:i/>
          <w:noProof/>
          <w:color w:val="000000"/>
        </w:rPr>
        <w:t>hiljemalt kuus kuud pärast käesoleva määruse jõustumist</w:t>
      </w:r>
      <w:r>
        <w:rPr>
          <w:noProof/>
          <w:color w:val="000000"/>
        </w:rPr>
        <w:t>].</w:t>
      </w:r>
    </w:p>
    <w:p w:rsidR="003563AD" w:rsidRDefault="00251882">
      <w:pPr>
        <w:autoSpaceDE w:val="0"/>
        <w:autoSpaceDN w:val="0"/>
        <w:adjustRightInd w:val="0"/>
        <w:spacing w:before="0" w:after="0"/>
        <w:ind w:left="1417" w:firstLine="23"/>
        <w:rPr>
          <w:noProof/>
          <w:color w:val="000000"/>
          <w:szCs w:val="24"/>
        </w:rPr>
      </w:pPr>
      <w:r>
        <w:rPr>
          <w:noProof/>
          <w:color w:val="000000"/>
        </w:rPr>
        <w:t>Komisjonile antakse õigus võtta vastu esimeses lõigus osut</w:t>
      </w:r>
      <w:r>
        <w:rPr>
          <w:noProof/>
          <w:color w:val="000000"/>
        </w:rPr>
        <w:t>atud regulatiivsed tehnilised standardid kooskõlas määruse (EL) nr 1095/2010 artiklitega 10–14.”</w:t>
      </w:r>
    </w:p>
    <w:p w:rsidR="003563AD" w:rsidRDefault="00251882">
      <w:pPr>
        <w:pStyle w:val="Point1number"/>
        <w:numPr>
          <w:ilvl w:val="2"/>
          <w:numId w:val="17"/>
        </w:numPr>
        <w:rPr>
          <w:noProof/>
        </w:rPr>
      </w:pPr>
      <w:r>
        <w:rPr>
          <w:noProof/>
        </w:rPr>
        <w:t>Artikli 11 lõige 15 asendatakse järgmisega:</w:t>
      </w:r>
    </w:p>
    <w:p w:rsidR="003563AD" w:rsidRDefault="00251882">
      <w:pPr>
        <w:spacing w:before="0" w:after="200"/>
        <w:ind w:left="1417" w:firstLine="23"/>
        <w:rPr>
          <w:noProof/>
          <w:color w:val="000000"/>
          <w:szCs w:val="24"/>
        </w:rPr>
      </w:pPr>
      <w:r>
        <w:rPr>
          <w:noProof/>
          <w:color w:val="000000"/>
        </w:rPr>
        <w:t xml:space="preserve">„15. Käesoleva artikli ühetaolise kohaldamise tagamiseks töötavad Euroopa järelevalveasutused välja ühised </w:t>
      </w:r>
      <w:r>
        <w:rPr>
          <w:noProof/>
          <w:color w:val="000000"/>
        </w:rPr>
        <w:t>regulatiivsete tehniliste standardite eelnõud, milles täpsustatakse järgmine:</w:t>
      </w:r>
    </w:p>
    <w:p w:rsidR="003563AD" w:rsidRDefault="00251882">
      <w:pPr>
        <w:spacing w:before="0" w:after="200"/>
        <w:ind w:left="1417" w:firstLine="23"/>
        <w:rPr>
          <w:noProof/>
          <w:color w:val="000000"/>
          <w:szCs w:val="24"/>
        </w:rPr>
      </w:pPr>
      <w:r>
        <w:rPr>
          <w:noProof/>
          <w:color w:val="000000"/>
        </w:rPr>
        <w:t>a) riskijuhtimise protsess, sh tagatise tase ja liik ning eraldamiskord, mida on vaja lõike 3 täitmiseks;</w:t>
      </w:r>
    </w:p>
    <w:p w:rsidR="003563AD" w:rsidRDefault="00251882">
      <w:pPr>
        <w:spacing w:before="0" w:after="200"/>
        <w:ind w:left="1440"/>
        <w:rPr>
          <w:noProof/>
          <w:color w:val="000000"/>
          <w:szCs w:val="24"/>
        </w:rPr>
      </w:pPr>
      <w:r>
        <w:rPr>
          <w:noProof/>
          <w:color w:val="000000"/>
        </w:rPr>
        <w:t>b) menetlus, mida vastaspooled ja asjaomased pädevad asutused peavad jär</w:t>
      </w:r>
      <w:r>
        <w:rPr>
          <w:noProof/>
          <w:color w:val="000000"/>
        </w:rPr>
        <w:t>gima, kui nad kohaldavad lõigetes 6–10 nimetatud erandeid;</w:t>
      </w:r>
    </w:p>
    <w:p w:rsidR="003563AD" w:rsidRDefault="00251882">
      <w:pPr>
        <w:spacing w:before="0" w:after="200"/>
        <w:ind w:left="1440"/>
        <w:rPr>
          <w:noProof/>
          <w:color w:val="000000"/>
          <w:szCs w:val="24"/>
        </w:rPr>
      </w:pPr>
      <w:r>
        <w:rPr>
          <w:noProof/>
          <w:color w:val="000000"/>
        </w:rPr>
        <w:t xml:space="preserve">c) lõigetes 5–10 osutatud kohaldatavad kriteeriumid, sealhulgas eelkõige selle kohta, mida tuleks pidada praktiliseks ja õiguslikuks takistuseks omavahendite kohesele ülekandmisele või võlgnevuste </w:t>
      </w:r>
      <w:r>
        <w:rPr>
          <w:noProof/>
          <w:color w:val="000000"/>
        </w:rPr>
        <w:t>tagasimaksmisele vastaspoolte vahel.</w:t>
      </w:r>
    </w:p>
    <w:p w:rsidR="003563AD" w:rsidRDefault="00251882">
      <w:pPr>
        <w:spacing w:before="0" w:after="200"/>
        <w:ind w:left="1440"/>
        <w:rPr>
          <w:strike/>
          <w:noProof/>
          <w:color w:val="000000"/>
          <w:szCs w:val="24"/>
        </w:rPr>
      </w:pPr>
      <w:r>
        <w:rPr>
          <w:noProof/>
          <w:color w:val="000000"/>
        </w:rPr>
        <w:t>Tagatise tase ja liik, mis on nõutavad seoses börsiväliste tuletislepingutega, mille on sõlminud pandikirja üksus seoses pandikirjaga või eriotstarbeline väärtpaberistamisüksus seoses sellise väärtpaberistamisega [käeso</w:t>
      </w:r>
      <w:r>
        <w:rPr>
          <w:noProof/>
          <w:color w:val="000000"/>
        </w:rPr>
        <w:t>leva määruse] tähenduses, mis vastab käesoleva määruse artikli 4 lõike 5 tingimustele ja [väärtpaberistamise] määruse artiklite 7–10 või artiklite 11–13 ja artikli 6 nõuetele, määratakse kindlaks, võttes arvesse takistusi, millega puututakse kokku tagatist</w:t>
      </w:r>
      <w:r>
        <w:rPr>
          <w:noProof/>
          <w:color w:val="000000"/>
        </w:rPr>
        <w:t>e vahetamisel seoses olemasolevate tagatiskokkulepetega pandikirja või väärtpaberistamise raames.</w:t>
      </w:r>
    </w:p>
    <w:p w:rsidR="003563AD" w:rsidRDefault="00251882">
      <w:pPr>
        <w:spacing w:before="0" w:after="200"/>
        <w:ind w:left="1440"/>
        <w:rPr>
          <w:noProof/>
          <w:color w:val="000000"/>
          <w:szCs w:val="24"/>
        </w:rPr>
      </w:pPr>
      <w:r>
        <w:rPr>
          <w:noProof/>
          <w:color w:val="000000"/>
        </w:rPr>
        <w:t>Euroopa järelevalveasutused esitavad kõnealused regulatiivsete tehniliste standardite eelnõud komisjonile [</w:t>
      </w:r>
      <w:r>
        <w:rPr>
          <w:b/>
          <w:i/>
          <w:noProof/>
          <w:color w:val="000000"/>
        </w:rPr>
        <w:t>hiljemalt kuus kuud pärast käesoleva määruse jõustu</w:t>
      </w:r>
      <w:r>
        <w:rPr>
          <w:b/>
          <w:i/>
          <w:noProof/>
          <w:color w:val="000000"/>
        </w:rPr>
        <w:t>mist</w:t>
      </w:r>
      <w:r>
        <w:rPr>
          <w:noProof/>
          <w:color w:val="000000"/>
        </w:rPr>
        <w:t>].</w:t>
      </w:r>
    </w:p>
    <w:p w:rsidR="003563AD" w:rsidRDefault="00251882">
      <w:pPr>
        <w:spacing w:before="0" w:after="200"/>
        <w:ind w:left="1440"/>
        <w:rPr>
          <w:noProof/>
          <w:szCs w:val="24"/>
        </w:rPr>
      </w:pPr>
      <w:r>
        <w:rPr>
          <w:noProof/>
          <w:color w:val="000000"/>
        </w:rPr>
        <w:t>Sõltuvalt vastaspoole õiguslikust vormist delegeeritakse komisjonile õigus võtta vastu esimeses lõigus osutatud regulatiivsed tehnilised standardid kooskõlas määruste (EL) nr 1093/2010, (EL) nr 1094/2010 või (EL) nr 1095/2010 artiklitega 10–14.”</w:t>
      </w:r>
    </w:p>
    <w:p w:rsidR="003563AD" w:rsidRDefault="00251882">
      <w:pPr>
        <w:pStyle w:val="Titrearticle"/>
        <w:rPr>
          <w:noProof/>
        </w:rPr>
      </w:pPr>
      <w:r>
        <w:rPr>
          <w:noProof/>
        </w:rPr>
        <w:t>Art</w:t>
      </w:r>
      <w:r>
        <w:rPr>
          <w:noProof/>
        </w:rPr>
        <w:t>ikkel 28</w:t>
      </w:r>
    </w:p>
    <w:p w:rsidR="003563AD" w:rsidRDefault="00251882">
      <w:pPr>
        <w:ind w:left="2880" w:firstLine="720"/>
        <w:rPr>
          <w:b/>
          <w:noProof/>
        </w:rPr>
      </w:pPr>
      <w:r>
        <w:rPr>
          <w:b/>
          <w:noProof/>
        </w:rPr>
        <w:t xml:space="preserve">Üleminekusätted </w:t>
      </w:r>
    </w:p>
    <w:p w:rsidR="003563AD" w:rsidRDefault="00251882">
      <w:pPr>
        <w:pStyle w:val="ManualNumPar1"/>
        <w:rPr>
          <w:noProof/>
        </w:rPr>
      </w:pPr>
      <w:r>
        <w:t>1.</w:t>
      </w:r>
      <w:r>
        <w:tab/>
      </w:r>
      <w:r>
        <w:rPr>
          <w:noProof/>
        </w:rPr>
        <w:t>Käesolevat määrust kohaldatakse [</w:t>
      </w:r>
      <w:r>
        <w:rPr>
          <w:b/>
          <w:i/>
          <w:noProof/>
        </w:rPr>
        <w:t>käesoleva määruse jõustumise kuupäev</w:t>
      </w:r>
      <w:r>
        <w:rPr>
          <w:noProof/>
        </w:rPr>
        <w:t>] või pärast seda emiteeritud väärtpaberite väärtpaberistamise suhtes, kohaldades lõikeid 2–6.</w:t>
      </w:r>
    </w:p>
    <w:p w:rsidR="003563AD" w:rsidRDefault="00251882">
      <w:pPr>
        <w:pStyle w:val="ManualNumPar1"/>
        <w:rPr>
          <w:noProof/>
        </w:rPr>
      </w:pPr>
      <w:r>
        <w:t>2.</w:t>
      </w:r>
      <w:r>
        <w:tab/>
      </w:r>
      <w:r>
        <w:rPr>
          <w:noProof/>
        </w:rPr>
        <w:t>[</w:t>
      </w:r>
      <w:r>
        <w:rPr>
          <w:b/>
          <w:i/>
          <w:noProof/>
        </w:rPr>
        <w:t>Käesoleva määruse jõustumise kuupäev</w:t>
      </w:r>
      <w:r>
        <w:rPr>
          <w:noProof/>
        </w:rPr>
        <w:t>] seisuga avatud väärtp</w:t>
      </w:r>
      <w:r>
        <w:rPr>
          <w:noProof/>
        </w:rPr>
        <w:t xml:space="preserve">aberistamise positsioonide puhul võivad algatajad, sponsorid ja eriotstarbelised väärtpaberistamisüksused kasutada tähistust „STS” või muud tähistust, mis osutab otseselt või kaudselt neile mõistetele, tingimusel et käesoleva määruse artiklis 6 sätestatud </w:t>
      </w:r>
      <w:r>
        <w:rPr>
          <w:noProof/>
        </w:rPr>
        <w:t>nõuded on täidetud.</w:t>
      </w:r>
    </w:p>
    <w:p w:rsidR="003563AD" w:rsidRDefault="00251882">
      <w:pPr>
        <w:pStyle w:val="ManualNumPar1"/>
        <w:rPr>
          <w:noProof/>
        </w:rPr>
      </w:pPr>
      <w:r>
        <w:t>3.</w:t>
      </w:r>
      <w:r>
        <w:tab/>
      </w:r>
      <w:r>
        <w:rPr>
          <w:noProof/>
        </w:rPr>
        <w:t>Käesoleva määruse artiklit 3 kohaldatakse 1. jaanuaril 2011 või pärast seda emiteeritud väärtpaberite väärtpaberistamise suhtes ning enne nimetatud kuupäeva emiteeritud väärtpaberistamiste suhtes, juhul kui uued aluspositsioonid on l</w:t>
      </w:r>
      <w:r>
        <w:rPr>
          <w:noProof/>
        </w:rPr>
        <w:t>isatud või asendatud pärast 31. detsembrit 2014.</w:t>
      </w:r>
    </w:p>
    <w:p w:rsidR="003563AD" w:rsidRDefault="00251882">
      <w:pPr>
        <w:pStyle w:val="ManualNumPar1"/>
        <w:rPr>
          <w:noProof/>
        </w:rPr>
      </w:pPr>
      <w:r>
        <w:t>4.</w:t>
      </w:r>
      <w:r>
        <w:tab/>
      </w:r>
      <w:r>
        <w:rPr>
          <w:noProof/>
        </w:rPr>
        <w:t>[</w:t>
      </w:r>
      <w:r>
        <w:rPr>
          <w:b/>
          <w:i/>
          <w:noProof/>
        </w:rPr>
        <w:t>Käesoleva määruse jõustumise kuupäev</w:t>
      </w:r>
      <w:r>
        <w:rPr>
          <w:noProof/>
        </w:rPr>
        <w:t>] seisuga avatud väärtpaberistamise positsioonide puhul kohaldatakse määruse (EL) nr 2013/575 artikli 4 lõike 1 punktides 1 ja 2 määratletud krediidiasutuste või inves</w:t>
      </w:r>
      <w:r>
        <w:rPr>
          <w:noProof/>
        </w:rPr>
        <w:t>teerimisühingute, direktiivi 2009/138/EÜ artikli 13 punktis 1 määratletud kindlustusandjate, direktiivi 2009/138/EÜ artikli 13 punktis 4 määratletud edasikindlustusandjate ning direktiivi 2011/61/EL artikli 4 lõike 1 punktis b määratletud alternatiivsete i</w:t>
      </w:r>
      <w:r>
        <w:rPr>
          <w:noProof/>
        </w:rPr>
        <w:t>nvesteerimisfondide valitsejate suhtes jätkuvalt määruse (EL) nr 575/2013 artiklit 405, komisjoni delegeeritud määruse (EL) nr 625/2014 peatükke 1–3 ja artiklit 22, komisjoni delegeeritud määruse (EL) 2015/35 artikleid 254 ja 255 ning komisjoni delegeeritu</w:t>
      </w:r>
      <w:r>
        <w:rPr>
          <w:noProof/>
        </w:rPr>
        <w:t>d määruse (EL) nr 231/2013 artiklit 51, versioonides, mis kehtivad [</w:t>
      </w:r>
      <w:r>
        <w:rPr>
          <w:b/>
          <w:i/>
          <w:noProof/>
        </w:rPr>
        <w:t>käesoleva määruse jõustumise kuupäevale eelnev päev</w:t>
      </w:r>
      <w:r>
        <w:rPr>
          <w:noProof/>
        </w:rPr>
        <w:t>] seisuga</w:t>
      </w:r>
      <w:r>
        <w:rPr>
          <w:i/>
          <w:noProof/>
        </w:rPr>
        <w:t>.</w:t>
      </w:r>
    </w:p>
    <w:p w:rsidR="003563AD" w:rsidRDefault="00251882">
      <w:pPr>
        <w:pStyle w:val="ManualNumPar1"/>
        <w:rPr>
          <w:noProof/>
        </w:rPr>
      </w:pPr>
      <w:r>
        <w:t>5.</w:t>
      </w:r>
      <w:r>
        <w:tab/>
      </w:r>
      <w:r>
        <w:rPr>
          <w:noProof/>
        </w:rPr>
        <w:t>Kuni hetkeni, mil komisjoni poolt käesoleva määruse artikli 4 lõike 6 alusel vastu võetavad regulatiivsed tehnilised standa</w:t>
      </w:r>
      <w:r>
        <w:rPr>
          <w:noProof/>
        </w:rPr>
        <w:t>rdid muutuvad kohaldatavateks, kohaldavad algatajad, sponsorid või algne laenuandja käesoleva määruse artiklis 4 sätestatud kohustuste täitmisel komisjoni delegeeritud määruse (EL) nr 625/2014 peatükke 1–3 ja artiklit 22 väärtpaberistamiste suhtes, mille v</w:t>
      </w:r>
      <w:r>
        <w:rPr>
          <w:noProof/>
        </w:rPr>
        <w:t>äärtpaberid on emiteeritud [</w:t>
      </w:r>
      <w:r>
        <w:rPr>
          <w:b/>
          <w:i/>
          <w:noProof/>
        </w:rPr>
        <w:t>käesoleva määruse jõustumise kuupäev</w:t>
      </w:r>
      <w:r>
        <w:rPr>
          <w:noProof/>
        </w:rPr>
        <w:t>] või pärast seda.</w:t>
      </w:r>
    </w:p>
    <w:p w:rsidR="003563AD" w:rsidRDefault="00251882">
      <w:pPr>
        <w:pStyle w:val="ManualNumPar1"/>
        <w:rPr>
          <w:noProof/>
        </w:rPr>
      </w:pPr>
      <w:r>
        <w:t>6.</w:t>
      </w:r>
      <w:r>
        <w:tab/>
      </w:r>
      <w:r>
        <w:rPr>
          <w:noProof/>
        </w:rPr>
        <w:t xml:space="preserve">Kuni hetkeni, mil komisjoni poolt käesoleva määruse artikli 5 lõike 3 alusel vastu võetavad regulatiivsed tehnilised standardid muutuvad kohaldatavateks, teevad </w:t>
      </w:r>
      <w:r>
        <w:rPr>
          <w:noProof/>
        </w:rPr>
        <w:t>algatajad, sponsorid ja eriotstarbelised väärtpaberistamisüksused artikli 5 lõikes 2 osutatud veebisaidil kättesaadavaks komisjoni delegeeritud määruse (EL) nr 2015/3 I-VIII lisas esitatud teabe, et täita käesoleva määruse artikli 5 lõike 1 punktides a–e s</w:t>
      </w:r>
      <w:r>
        <w:rPr>
          <w:noProof/>
        </w:rPr>
        <w:t>ätestatud kohustusi.</w:t>
      </w:r>
    </w:p>
    <w:p w:rsidR="003563AD" w:rsidRDefault="00251882">
      <w:pPr>
        <w:pStyle w:val="Titrearticle"/>
        <w:rPr>
          <w:noProof/>
        </w:rPr>
      </w:pPr>
      <w:r>
        <w:rPr>
          <w:noProof/>
        </w:rPr>
        <w:t>Artikkel 29</w:t>
      </w:r>
    </w:p>
    <w:p w:rsidR="003563AD" w:rsidRDefault="00251882">
      <w:pPr>
        <w:pStyle w:val="Titrearticle"/>
        <w:rPr>
          <w:b/>
          <w:noProof/>
        </w:rPr>
      </w:pPr>
      <w:r>
        <w:rPr>
          <w:b/>
          <w:i w:val="0"/>
          <w:noProof/>
        </w:rPr>
        <w:t>Aruanded</w:t>
      </w:r>
    </w:p>
    <w:p w:rsidR="003563AD" w:rsidRDefault="00251882">
      <w:pPr>
        <w:pStyle w:val="ManualNumPar1"/>
        <w:rPr>
          <w:rFonts w:asciiTheme="majorBidi" w:hAnsiTheme="majorBidi" w:cstheme="majorBidi"/>
          <w:noProof/>
        </w:rPr>
      </w:pPr>
      <w:r>
        <w:t>1.</w:t>
      </w:r>
      <w:r>
        <w:tab/>
      </w:r>
      <w:r>
        <w:rPr>
          <w:noProof/>
        </w:rPr>
        <w:t>EBA avaldab tihedas koostöös ESMA ja EIOPAga hiljemalt [</w:t>
      </w:r>
      <w:r>
        <w:rPr>
          <w:b/>
          <w:i/>
          <w:noProof/>
        </w:rPr>
        <w:t>kaks aastat pärast käesoleva määruse jõustumist</w:t>
      </w:r>
      <w:r>
        <w:rPr>
          <w:noProof/>
        </w:rPr>
        <w:t xml:space="preserve">] ja seejärel iga kolme aasta tagant </w:t>
      </w:r>
      <w:r>
        <w:rPr>
          <w:rFonts w:asciiTheme="majorBidi" w:hAnsiTheme="majorBidi" w:cstheme="majorBidi"/>
          <w:noProof/>
        </w:rPr>
        <w:t xml:space="preserve">aruande käesoleva määruse artiklitega 6–14 kehtestatud lihtsa, </w:t>
      </w:r>
      <w:r>
        <w:rPr>
          <w:rFonts w:asciiTheme="majorBidi" w:hAnsiTheme="majorBidi" w:cstheme="majorBidi"/>
          <w:noProof/>
        </w:rPr>
        <w:t>läbipaistva ja standarditud väärtpaberistamise nõuete rakendamise kohta.</w:t>
      </w:r>
    </w:p>
    <w:p w:rsidR="003563AD" w:rsidRDefault="00251882">
      <w:pPr>
        <w:pStyle w:val="ManualNumPar1"/>
        <w:rPr>
          <w:noProof/>
        </w:rPr>
      </w:pPr>
      <w:r>
        <w:t>2.</w:t>
      </w:r>
      <w:r>
        <w:tab/>
      </w:r>
      <w:r>
        <w:rPr>
          <w:noProof/>
        </w:rPr>
        <w:t>Aruanne sisaldab ka hinnangut pädevate asutuste võetud meetmete, oluliste riskide ja võimalike uute nõrkade kohtade ning selliste meetmete kohta, mida turuosalised on võtnud väärtp</w:t>
      </w:r>
      <w:r>
        <w:rPr>
          <w:noProof/>
        </w:rPr>
        <w:t>aberistamise dokumentatsiooni täiendavaks standardimiseks.</w:t>
      </w:r>
    </w:p>
    <w:p w:rsidR="003563AD" w:rsidRDefault="00251882">
      <w:pPr>
        <w:pStyle w:val="ManualNumPar1"/>
        <w:rPr>
          <w:rFonts w:asciiTheme="majorBidi" w:hAnsiTheme="majorBidi" w:cstheme="majorBidi"/>
          <w:noProof/>
        </w:rPr>
      </w:pPr>
      <w:r>
        <w:t>3.</w:t>
      </w:r>
      <w:r>
        <w:tab/>
      </w:r>
      <w:r>
        <w:rPr>
          <w:noProof/>
        </w:rPr>
        <w:t>ESMA avaldab tihedas koostöös EBA ja EIOPAga hiljemalt [</w:t>
      </w:r>
      <w:r>
        <w:rPr>
          <w:b/>
          <w:i/>
          <w:noProof/>
        </w:rPr>
        <w:t>kolm aastat pärast käesoleva määruse jõustumist</w:t>
      </w:r>
      <w:r>
        <w:rPr>
          <w:noProof/>
        </w:rPr>
        <w:t>] aruande käesoleva määruse artiklis 5 sätestatud läbipaistvusnõuete täitmise ning liidu vä</w:t>
      </w:r>
      <w:r>
        <w:rPr>
          <w:noProof/>
        </w:rPr>
        <w:t>ärtpaberistamisturu läbipaistvuse taseme kohta.</w:t>
      </w:r>
    </w:p>
    <w:p w:rsidR="003563AD" w:rsidRDefault="00251882">
      <w:pPr>
        <w:pStyle w:val="Titrearticle"/>
        <w:rPr>
          <w:noProof/>
        </w:rPr>
      </w:pPr>
      <w:r>
        <w:rPr>
          <w:noProof/>
        </w:rPr>
        <w:t>Artikkel 30</w:t>
      </w:r>
    </w:p>
    <w:p w:rsidR="003563AD" w:rsidRDefault="00251882">
      <w:pPr>
        <w:pStyle w:val="Titrearticle"/>
        <w:rPr>
          <w:b/>
          <w:i w:val="0"/>
          <w:noProof/>
        </w:rPr>
      </w:pPr>
      <w:r>
        <w:rPr>
          <w:b/>
          <w:i w:val="0"/>
          <w:noProof/>
        </w:rPr>
        <w:t>Läbivaatamine</w:t>
      </w:r>
    </w:p>
    <w:p w:rsidR="003563AD" w:rsidRDefault="00251882">
      <w:pPr>
        <w:rPr>
          <w:noProof/>
          <w:color w:val="000000"/>
        </w:rPr>
      </w:pPr>
      <w:r>
        <w:rPr>
          <w:noProof/>
        </w:rPr>
        <w:t>Hiljemalt [</w:t>
      </w:r>
      <w:r>
        <w:rPr>
          <w:b/>
          <w:i/>
          <w:noProof/>
        </w:rPr>
        <w:t>neli aastat pärast käesoleva määruse jõustumist</w:t>
      </w:r>
      <w:r>
        <w:rPr>
          <w:noProof/>
        </w:rPr>
        <w:t>] esitab komisjon Euroopa Parlamendile ja nõukogule aruande käesoleva määruse toimimise kohta, lisades sellele vajaduse korr</w:t>
      </w:r>
      <w:r>
        <w:rPr>
          <w:noProof/>
        </w:rPr>
        <w:t>al seadusandliku ettepaneku.</w:t>
      </w:r>
    </w:p>
    <w:p w:rsidR="003563AD" w:rsidRDefault="00251882">
      <w:pPr>
        <w:pStyle w:val="Titrearticle"/>
        <w:rPr>
          <w:noProof/>
        </w:rPr>
      </w:pPr>
      <w:r>
        <w:rPr>
          <w:noProof/>
        </w:rPr>
        <w:t>Artikkel 31</w:t>
      </w:r>
    </w:p>
    <w:p w:rsidR="003563AD" w:rsidRDefault="00251882">
      <w:pPr>
        <w:ind w:left="2880" w:firstLine="720"/>
        <w:rPr>
          <w:b/>
          <w:noProof/>
        </w:rPr>
      </w:pPr>
      <w:r>
        <w:rPr>
          <w:b/>
          <w:noProof/>
        </w:rPr>
        <w:t>Jõustumine</w:t>
      </w:r>
    </w:p>
    <w:p w:rsidR="003563AD" w:rsidRDefault="00251882">
      <w:pPr>
        <w:rPr>
          <w:noProof/>
        </w:rPr>
      </w:pPr>
      <w:r>
        <w:rPr>
          <w:noProof/>
        </w:rPr>
        <w:t xml:space="preserve">Käesolev määrus jõustub kahekümnendal päeval pärast selle avaldamist </w:t>
      </w:r>
      <w:r>
        <w:rPr>
          <w:i/>
          <w:noProof/>
        </w:rPr>
        <w:t>Euroopa Liidu Teatajas</w:t>
      </w:r>
      <w:r>
        <w:rPr>
          <w:noProof/>
        </w:rPr>
        <w:t>.</w:t>
      </w:r>
    </w:p>
    <w:p w:rsidR="003563AD" w:rsidRDefault="00251882">
      <w:pPr>
        <w:pStyle w:val="Applicationdirecte"/>
        <w:rPr>
          <w:noProof/>
        </w:rPr>
      </w:pPr>
      <w:r>
        <w:rPr>
          <w:noProof/>
        </w:rPr>
        <w:t>Käesolev määrus on tervikuna siduv ja vahetult kohaldatav kõikides liikmesriikides.</w:t>
      </w:r>
    </w:p>
    <w:p w:rsidR="003563AD" w:rsidRDefault="00251882">
      <w:pPr>
        <w:pStyle w:val="Fait"/>
        <w:rPr>
          <w:noProof/>
        </w:rPr>
      </w:pPr>
      <w:r>
        <w:rPr>
          <w:noProof/>
        </w:rPr>
        <w:t>Brüssel,</w:t>
      </w:r>
    </w:p>
    <w:p w:rsidR="003563AD" w:rsidRDefault="00251882">
      <w:pPr>
        <w:pStyle w:val="Institutionquisigne"/>
        <w:rPr>
          <w:noProof/>
        </w:rPr>
      </w:pPr>
      <w:r>
        <w:rPr>
          <w:noProof/>
        </w:rPr>
        <w:t>Euroopa Parlamendi</w:t>
      </w:r>
      <w:r>
        <w:rPr>
          <w:noProof/>
        </w:rPr>
        <w:t xml:space="preserve"> nimel</w:t>
      </w:r>
      <w:r>
        <w:rPr>
          <w:noProof/>
        </w:rPr>
        <w:tab/>
        <w:t>Nõukogu nimel</w:t>
      </w:r>
    </w:p>
    <w:p w:rsidR="003563AD" w:rsidRDefault="00251882">
      <w:pPr>
        <w:pStyle w:val="Personnequisigne"/>
        <w:rPr>
          <w:noProof/>
        </w:rPr>
      </w:pPr>
      <w:r>
        <w:rPr>
          <w:noProof/>
        </w:rPr>
        <w:t>president</w:t>
      </w:r>
      <w:r>
        <w:rPr>
          <w:noProof/>
        </w:rPr>
        <w:tab/>
        <w:t>eesistuja</w:t>
      </w:r>
    </w:p>
    <w:p w:rsidR="003563AD" w:rsidRDefault="003563AD">
      <w:pPr>
        <w:rPr>
          <w:noProof/>
        </w:rPr>
        <w:sectPr w:rsidR="003563AD">
          <w:pgSz w:w="11907" w:h="16839"/>
          <w:pgMar w:top="1134" w:right="1417" w:bottom="1134" w:left="1417" w:header="709" w:footer="709" w:gutter="0"/>
          <w:cols w:space="708"/>
          <w:docGrid w:linePitch="360"/>
        </w:sectPr>
      </w:pPr>
    </w:p>
    <w:p w:rsidR="003563AD" w:rsidRDefault="00251882">
      <w:pPr>
        <w:pStyle w:val="Fichefinanciretitre"/>
        <w:rPr>
          <w:noProof/>
        </w:rPr>
      </w:pPr>
      <w:r>
        <w:rPr>
          <w:noProof/>
        </w:rPr>
        <w:t>FINANTSSELGITUS</w:t>
      </w:r>
    </w:p>
    <w:p w:rsidR="003563AD" w:rsidRDefault="00251882">
      <w:pPr>
        <w:pStyle w:val="ManualHeading1"/>
        <w:rPr>
          <w:noProof/>
        </w:rPr>
      </w:pPr>
      <w:r>
        <w:rPr>
          <w:noProof/>
        </w:rPr>
        <w:t>1.</w:t>
      </w:r>
      <w:r>
        <w:rPr>
          <w:noProof/>
        </w:rPr>
        <w:tab/>
        <w:t xml:space="preserve">ETTEPANEKU/ALGATUSE RAAMISTIK </w:t>
      </w:r>
    </w:p>
    <w:p w:rsidR="003563AD" w:rsidRDefault="00251882">
      <w:pPr>
        <w:pStyle w:val="ManualHeading2"/>
        <w:rPr>
          <w:b w:val="0"/>
          <w:noProof/>
        </w:rPr>
      </w:pPr>
      <w:r>
        <w:rPr>
          <w:noProof/>
        </w:rPr>
        <w:tab/>
      </w:r>
      <w:r>
        <w:rPr>
          <w:b w:val="0"/>
          <w:noProof/>
        </w:rPr>
        <w:t>1.1.</w:t>
      </w:r>
      <w:r>
        <w:rPr>
          <w:noProof/>
        </w:rPr>
        <w:tab/>
      </w:r>
      <w:r>
        <w:rPr>
          <w:b w:val="0"/>
          <w:noProof/>
        </w:rPr>
        <w:t xml:space="preserve">Ettepaneku/algatuse nimetus </w:t>
      </w:r>
    </w:p>
    <w:p w:rsidR="003563AD" w:rsidRDefault="00251882">
      <w:pPr>
        <w:pStyle w:val="ManualHeading2"/>
        <w:rPr>
          <w:b w:val="0"/>
          <w:noProof/>
        </w:rPr>
      </w:pPr>
      <w:r>
        <w:rPr>
          <w:noProof/>
        </w:rPr>
        <w:tab/>
      </w:r>
      <w:r>
        <w:rPr>
          <w:b w:val="0"/>
          <w:noProof/>
        </w:rPr>
        <w:t>1.2.</w:t>
      </w:r>
      <w:r>
        <w:rPr>
          <w:noProof/>
        </w:rPr>
        <w:tab/>
      </w:r>
      <w:r>
        <w:rPr>
          <w:b w:val="0"/>
          <w:noProof/>
        </w:rPr>
        <w:t>Asjaomased poliitikavaldkonnad vastavalt tegevuspõhise juhtimise ja eelarvestamise (ABM/ABB) struktuurile</w:t>
      </w:r>
    </w:p>
    <w:p w:rsidR="003563AD" w:rsidRDefault="00251882">
      <w:pPr>
        <w:pStyle w:val="ManualHeading2"/>
        <w:rPr>
          <w:b w:val="0"/>
          <w:noProof/>
        </w:rPr>
      </w:pPr>
      <w:r>
        <w:rPr>
          <w:noProof/>
        </w:rPr>
        <w:tab/>
      </w:r>
      <w:r>
        <w:rPr>
          <w:b w:val="0"/>
          <w:noProof/>
        </w:rPr>
        <w:t>1.3.</w:t>
      </w:r>
      <w:r>
        <w:rPr>
          <w:noProof/>
        </w:rPr>
        <w:tab/>
      </w:r>
      <w:r>
        <w:rPr>
          <w:b w:val="0"/>
          <w:noProof/>
        </w:rPr>
        <w:t xml:space="preserve">Ettepaneku/algatuse liik </w:t>
      </w:r>
    </w:p>
    <w:p w:rsidR="003563AD" w:rsidRDefault="00251882">
      <w:pPr>
        <w:pStyle w:val="ManualHeading2"/>
        <w:rPr>
          <w:b w:val="0"/>
          <w:noProof/>
        </w:rPr>
      </w:pPr>
      <w:r>
        <w:rPr>
          <w:noProof/>
        </w:rPr>
        <w:tab/>
      </w:r>
      <w:r>
        <w:rPr>
          <w:b w:val="0"/>
          <w:noProof/>
        </w:rPr>
        <w:t>1.4.</w:t>
      </w:r>
      <w:r>
        <w:rPr>
          <w:noProof/>
        </w:rPr>
        <w:tab/>
      </w:r>
      <w:r>
        <w:rPr>
          <w:b w:val="0"/>
          <w:noProof/>
        </w:rPr>
        <w:t xml:space="preserve">Eesmärgid </w:t>
      </w:r>
    </w:p>
    <w:p w:rsidR="003563AD" w:rsidRDefault="00251882">
      <w:pPr>
        <w:pStyle w:val="ManualHeading2"/>
        <w:rPr>
          <w:b w:val="0"/>
          <w:noProof/>
        </w:rPr>
      </w:pPr>
      <w:r>
        <w:rPr>
          <w:noProof/>
        </w:rPr>
        <w:tab/>
      </w:r>
      <w:r>
        <w:rPr>
          <w:b w:val="0"/>
          <w:noProof/>
        </w:rPr>
        <w:t>1.5.</w:t>
      </w:r>
      <w:r>
        <w:rPr>
          <w:noProof/>
        </w:rPr>
        <w:tab/>
      </w:r>
      <w:r>
        <w:rPr>
          <w:b w:val="0"/>
          <w:noProof/>
        </w:rPr>
        <w:t xml:space="preserve">Ettepaneku/algatuse põhjendus </w:t>
      </w:r>
    </w:p>
    <w:p w:rsidR="003563AD" w:rsidRDefault="00251882">
      <w:pPr>
        <w:pStyle w:val="ManualHeading2"/>
        <w:rPr>
          <w:b w:val="0"/>
          <w:noProof/>
        </w:rPr>
      </w:pPr>
      <w:r>
        <w:rPr>
          <w:noProof/>
        </w:rPr>
        <w:tab/>
      </w:r>
      <w:r>
        <w:rPr>
          <w:b w:val="0"/>
          <w:noProof/>
        </w:rPr>
        <w:t>1.6.</w:t>
      </w:r>
      <w:r>
        <w:rPr>
          <w:noProof/>
        </w:rPr>
        <w:tab/>
      </w:r>
      <w:r>
        <w:rPr>
          <w:b w:val="0"/>
          <w:noProof/>
        </w:rPr>
        <w:t xml:space="preserve">Meetme kestus ja finantsmõju </w:t>
      </w:r>
    </w:p>
    <w:p w:rsidR="003563AD" w:rsidRDefault="00251882">
      <w:pPr>
        <w:pStyle w:val="ManualHeading2"/>
        <w:rPr>
          <w:b w:val="0"/>
          <w:noProof/>
        </w:rPr>
      </w:pPr>
      <w:r>
        <w:rPr>
          <w:noProof/>
        </w:rPr>
        <w:tab/>
      </w:r>
      <w:r>
        <w:rPr>
          <w:b w:val="0"/>
          <w:noProof/>
        </w:rPr>
        <w:t>1.7.</w:t>
      </w:r>
      <w:r>
        <w:rPr>
          <w:noProof/>
        </w:rPr>
        <w:tab/>
      </w:r>
      <w:r>
        <w:rPr>
          <w:b w:val="0"/>
          <w:noProof/>
        </w:rPr>
        <w:t xml:space="preserve">Kavandatud eelarve täitmise viisid </w:t>
      </w:r>
    </w:p>
    <w:p w:rsidR="003563AD" w:rsidRDefault="00251882">
      <w:pPr>
        <w:pStyle w:val="ManualHeading1"/>
        <w:rPr>
          <w:noProof/>
        </w:rPr>
      </w:pPr>
      <w:r>
        <w:rPr>
          <w:noProof/>
        </w:rPr>
        <w:t>2.</w:t>
      </w:r>
      <w:r>
        <w:rPr>
          <w:noProof/>
        </w:rPr>
        <w:tab/>
        <w:t xml:space="preserve">MAJANDAMISMEETMED </w:t>
      </w:r>
    </w:p>
    <w:p w:rsidR="003563AD" w:rsidRDefault="00251882">
      <w:pPr>
        <w:pStyle w:val="ManualHeading2"/>
        <w:rPr>
          <w:b w:val="0"/>
          <w:noProof/>
        </w:rPr>
      </w:pPr>
      <w:r>
        <w:rPr>
          <w:noProof/>
        </w:rPr>
        <w:tab/>
      </w:r>
      <w:r>
        <w:rPr>
          <w:b w:val="0"/>
          <w:noProof/>
        </w:rPr>
        <w:t>2.1.</w:t>
      </w:r>
      <w:r>
        <w:rPr>
          <w:noProof/>
        </w:rPr>
        <w:tab/>
      </w:r>
      <w:r>
        <w:rPr>
          <w:b w:val="0"/>
          <w:noProof/>
        </w:rPr>
        <w:t xml:space="preserve">Järelevalve ja aruandluse eeskirjad </w:t>
      </w:r>
    </w:p>
    <w:p w:rsidR="003563AD" w:rsidRDefault="00251882">
      <w:pPr>
        <w:pStyle w:val="ManualHeading2"/>
        <w:rPr>
          <w:b w:val="0"/>
          <w:noProof/>
        </w:rPr>
      </w:pPr>
      <w:r>
        <w:rPr>
          <w:noProof/>
        </w:rPr>
        <w:tab/>
      </w:r>
      <w:r>
        <w:rPr>
          <w:b w:val="0"/>
          <w:noProof/>
        </w:rPr>
        <w:t>2.2.</w:t>
      </w:r>
      <w:r>
        <w:rPr>
          <w:noProof/>
        </w:rPr>
        <w:tab/>
      </w:r>
      <w:r>
        <w:rPr>
          <w:b w:val="0"/>
          <w:noProof/>
        </w:rPr>
        <w:t xml:space="preserve">Juhtimis- ja kontrollisüsteem </w:t>
      </w:r>
    </w:p>
    <w:p w:rsidR="003563AD" w:rsidRDefault="00251882">
      <w:pPr>
        <w:pStyle w:val="ManualHeading2"/>
        <w:rPr>
          <w:b w:val="0"/>
          <w:noProof/>
        </w:rPr>
      </w:pPr>
      <w:r>
        <w:rPr>
          <w:noProof/>
        </w:rPr>
        <w:tab/>
      </w:r>
      <w:r>
        <w:rPr>
          <w:b w:val="0"/>
          <w:noProof/>
        </w:rPr>
        <w:t>2.3.</w:t>
      </w:r>
      <w:r>
        <w:rPr>
          <w:noProof/>
        </w:rPr>
        <w:tab/>
      </w:r>
      <w:r>
        <w:rPr>
          <w:b w:val="0"/>
          <w:noProof/>
        </w:rPr>
        <w:t xml:space="preserve">Pettuste ja muude eeskirjade eiramise ärahoidmise meetmed </w:t>
      </w:r>
    </w:p>
    <w:p w:rsidR="003563AD" w:rsidRDefault="00251882">
      <w:pPr>
        <w:pStyle w:val="ManualHeading1"/>
        <w:rPr>
          <w:noProof/>
        </w:rPr>
      </w:pPr>
      <w:r>
        <w:rPr>
          <w:noProof/>
        </w:rPr>
        <w:t>3.</w:t>
      </w:r>
      <w:r>
        <w:rPr>
          <w:noProof/>
        </w:rPr>
        <w:tab/>
        <w:t xml:space="preserve">ETTEPANEKU/ALGATUSE HINNANGULINE FINANTSMÕJU </w:t>
      </w:r>
    </w:p>
    <w:p w:rsidR="003563AD" w:rsidRDefault="00251882">
      <w:pPr>
        <w:pStyle w:val="ManualHeading2"/>
        <w:rPr>
          <w:b w:val="0"/>
          <w:noProof/>
        </w:rPr>
      </w:pPr>
      <w:r>
        <w:rPr>
          <w:noProof/>
        </w:rPr>
        <w:tab/>
      </w:r>
      <w:r>
        <w:rPr>
          <w:b w:val="0"/>
          <w:noProof/>
        </w:rPr>
        <w:t>3.1.</w:t>
      </w:r>
      <w:r>
        <w:rPr>
          <w:noProof/>
        </w:rPr>
        <w:tab/>
      </w:r>
      <w:r>
        <w:rPr>
          <w:b w:val="0"/>
          <w:noProof/>
        </w:rPr>
        <w:t xml:space="preserve">Mitmeaastase finantsraamistiku rubriigid ja kulude eelarveread, millele mõju avaldub </w:t>
      </w:r>
    </w:p>
    <w:p w:rsidR="003563AD" w:rsidRDefault="00251882">
      <w:pPr>
        <w:pStyle w:val="ManualHeading2"/>
        <w:rPr>
          <w:noProof/>
        </w:rPr>
      </w:pPr>
      <w:r>
        <w:rPr>
          <w:noProof/>
        </w:rPr>
        <w:tab/>
      </w:r>
      <w:r>
        <w:rPr>
          <w:b w:val="0"/>
          <w:noProof/>
        </w:rPr>
        <w:t>3.2.</w:t>
      </w:r>
      <w:r>
        <w:rPr>
          <w:noProof/>
        </w:rPr>
        <w:tab/>
      </w:r>
      <w:r>
        <w:rPr>
          <w:b w:val="0"/>
          <w:noProof/>
        </w:rPr>
        <w:t xml:space="preserve">Hinnanguline </w:t>
      </w:r>
      <w:r>
        <w:rPr>
          <w:b w:val="0"/>
          <w:noProof/>
        </w:rPr>
        <w:t>mõju kuludele</w:t>
      </w:r>
      <w:r>
        <w:rPr>
          <w:noProof/>
        </w:rPr>
        <w:t xml:space="preserve"> </w:t>
      </w:r>
    </w:p>
    <w:p w:rsidR="003563AD" w:rsidRDefault="00251882">
      <w:pPr>
        <w:pStyle w:val="ManualHeading3"/>
        <w:rPr>
          <w:noProof/>
        </w:rPr>
      </w:pPr>
      <w:r>
        <w:rPr>
          <w:noProof/>
        </w:rPr>
        <w:tab/>
        <w:t>3.2.1.</w:t>
      </w:r>
      <w:r>
        <w:rPr>
          <w:noProof/>
        </w:rPr>
        <w:tab/>
        <w:t xml:space="preserve">Üldine hinnanguline mõju kuludele </w:t>
      </w:r>
    </w:p>
    <w:p w:rsidR="003563AD" w:rsidRDefault="00251882">
      <w:pPr>
        <w:pStyle w:val="ManualHeading3"/>
        <w:rPr>
          <w:noProof/>
        </w:rPr>
      </w:pPr>
      <w:r>
        <w:rPr>
          <w:noProof/>
        </w:rPr>
        <w:tab/>
        <w:t>3.2.2.</w:t>
      </w:r>
      <w:r>
        <w:rPr>
          <w:noProof/>
        </w:rPr>
        <w:tab/>
        <w:t xml:space="preserve">Hinnanguline mõju tegevusassigneeringutele </w:t>
      </w:r>
    </w:p>
    <w:p w:rsidR="003563AD" w:rsidRDefault="00251882">
      <w:pPr>
        <w:pStyle w:val="ManualHeading3"/>
        <w:rPr>
          <w:noProof/>
        </w:rPr>
      </w:pPr>
      <w:r>
        <w:rPr>
          <w:noProof/>
        </w:rPr>
        <w:tab/>
        <w:t>3.2.3.</w:t>
      </w:r>
      <w:r>
        <w:rPr>
          <w:noProof/>
        </w:rPr>
        <w:tab/>
        <w:t>Hinnanguline mõju haldusassigneeringutele</w:t>
      </w:r>
    </w:p>
    <w:p w:rsidR="003563AD" w:rsidRDefault="00251882">
      <w:pPr>
        <w:pStyle w:val="ManualHeading3"/>
        <w:rPr>
          <w:noProof/>
        </w:rPr>
      </w:pPr>
      <w:r>
        <w:rPr>
          <w:noProof/>
        </w:rPr>
        <w:tab/>
        <w:t>3.2.4.</w:t>
      </w:r>
      <w:r>
        <w:rPr>
          <w:noProof/>
        </w:rPr>
        <w:tab/>
        <w:t>Kooskõla kehtiva mitmeaastase finantsraamistikuga</w:t>
      </w:r>
    </w:p>
    <w:p w:rsidR="003563AD" w:rsidRDefault="00251882">
      <w:pPr>
        <w:pStyle w:val="ManualHeading3"/>
        <w:rPr>
          <w:noProof/>
        </w:rPr>
      </w:pPr>
      <w:r>
        <w:rPr>
          <w:noProof/>
        </w:rPr>
        <w:tab/>
        <w:t>3.2.5.</w:t>
      </w:r>
      <w:r>
        <w:rPr>
          <w:noProof/>
        </w:rPr>
        <w:tab/>
        <w:t>Kolmandate isikute rahaline to</w:t>
      </w:r>
      <w:r>
        <w:rPr>
          <w:noProof/>
        </w:rPr>
        <w:t xml:space="preserve">etus </w:t>
      </w:r>
    </w:p>
    <w:p w:rsidR="003563AD" w:rsidRDefault="00251882">
      <w:pPr>
        <w:pStyle w:val="ManualHeading2"/>
        <w:jc w:val="left"/>
        <w:rPr>
          <w:b w:val="0"/>
          <w:noProof/>
        </w:rPr>
        <w:sectPr w:rsidR="003563AD">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Hinnanguline mõju tuludele</w:t>
      </w:r>
    </w:p>
    <w:p w:rsidR="003563AD" w:rsidRDefault="003563AD">
      <w:pPr>
        <w:rPr>
          <w:noProof/>
        </w:rPr>
      </w:pPr>
    </w:p>
    <w:p w:rsidR="003563AD" w:rsidRDefault="00251882">
      <w:pPr>
        <w:jc w:val="center"/>
        <w:rPr>
          <w:noProof/>
        </w:rPr>
      </w:pPr>
      <w:r>
        <w:rPr>
          <w:b/>
          <w:noProof/>
          <w:u w:val="single"/>
        </w:rPr>
        <w:t>FINANTSSELGITUS</w:t>
      </w:r>
    </w:p>
    <w:p w:rsidR="003563AD" w:rsidRDefault="00251882">
      <w:pPr>
        <w:pStyle w:val="ManualHeading1"/>
        <w:rPr>
          <w:noProof/>
        </w:rPr>
      </w:pPr>
      <w:r>
        <w:t>1.</w:t>
      </w:r>
      <w:r>
        <w:tab/>
      </w:r>
      <w:r>
        <w:rPr>
          <w:noProof/>
        </w:rPr>
        <w:t xml:space="preserve">ETTEPANEKU/ALGATUSE RAAMISTIK </w:t>
      </w:r>
    </w:p>
    <w:p w:rsidR="003563AD" w:rsidRDefault="00251882">
      <w:pPr>
        <w:pStyle w:val="ManualHeading2"/>
        <w:rPr>
          <w:noProof/>
        </w:rPr>
      </w:pPr>
      <w:r>
        <w:t>1.1.</w:t>
      </w:r>
      <w:r>
        <w:tab/>
      </w:r>
      <w:r>
        <w:rPr>
          <w:noProof/>
        </w:rPr>
        <w:t xml:space="preserve">Ettepaneku/algatuse nimetus </w:t>
      </w:r>
    </w:p>
    <w:p w:rsidR="003563AD" w:rsidRDefault="00251882">
      <w:pPr>
        <w:pStyle w:val="Text1"/>
        <w:pBdr>
          <w:top w:val="single" w:sz="4" w:space="1" w:color="auto"/>
          <w:left w:val="single" w:sz="4" w:space="4" w:color="auto"/>
          <w:bottom w:val="single" w:sz="4" w:space="1" w:color="auto"/>
          <w:right w:val="single" w:sz="4" w:space="4" w:color="auto"/>
        </w:pBdr>
        <w:rPr>
          <w:noProof/>
          <w:color w:val="0000FF"/>
          <w:szCs w:val="24"/>
        </w:rPr>
      </w:pPr>
      <w:r>
        <w:t xml:space="preserve">EUROOPA PARLAMENDI JA NÕUKOGU MÄÄRUS, </w:t>
      </w:r>
      <w:r>
        <w:rPr>
          <w:noProof/>
          <w:color w:val="0000FF"/>
        </w:rPr>
        <w:t>millega kehtestatakse ühised eeskirjad väärtpaberistamise kohta ning lu</w:t>
      </w:r>
      <w:r>
        <w:rPr>
          <w:noProof/>
          <w:color w:val="0000FF"/>
        </w:rPr>
        <w:t>uakse lihtsa ja läbipaistva väärtpaberistamise Euroopa raamistik ning millega muudetakse direktiive 2009/65/EÜ, 2009/138/EÜ, 2011/61/EL ja määrusi (EÜ) 2009/1060 ja (EL) nr 648/2012</w:t>
      </w:r>
    </w:p>
    <w:p w:rsidR="003563AD" w:rsidRDefault="003563AD">
      <w:pPr>
        <w:rPr>
          <w:noProof/>
          <w:szCs w:val="24"/>
        </w:rPr>
      </w:pPr>
    </w:p>
    <w:p w:rsidR="003563AD" w:rsidRDefault="00251882">
      <w:pPr>
        <w:pStyle w:val="ManualHeading2"/>
        <w:rPr>
          <w:noProof/>
          <w:szCs w:val="24"/>
        </w:rPr>
      </w:pPr>
      <w:r>
        <w:t>1.2.</w:t>
      </w:r>
      <w:r>
        <w:tab/>
      </w:r>
      <w:r>
        <w:rPr>
          <w:noProof/>
        </w:rPr>
        <w:t xml:space="preserve">Asjaomased poliitikavaldkonnad vastavalt tegevuspõhise juhtimise ja </w:t>
      </w:r>
      <w:r>
        <w:rPr>
          <w:noProof/>
        </w:rPr>
        <w:t>eelarvestamise (ABM/ABB) struktuurile</w:t>
      </w:r>
      <w:r>
        <w:rPr>
          <w:rStyle w:val="FootnoteReference"/>
          <w:noProof/>
        </w:rPr>
        <w:footnoteReference w:id="30"/>
      </w:r>
      <w:r>
        <w:rPr>
          <w:i/>
          <w:noProof/>
        </w:rPr>
        <w:t xml:space="preserve"> </w:t>
      </w:r>
    </w:p>
    <w:p w:rsidR="003563AD" w:rsidRDefault="003563AD">
      <w:pPr>
        <w:pStyle w:val="Text1"/>
        <w:pBdr>
          <w:top w:val="single" w:sz="4" w:space="1" w:color="auto"/>
          <w:left w:val="single" w:sz="4" w:space="4" w:color="auto"/>
          <w:bottom w:val="single" w:sz="4" w:space="1" w:color="auto"/>
          <w:right w:val="single" w:sz="4" w:space="4" w:color="auto"/>
        </w:pBdr>
        <w:rPr>
          <w:noProof/>
        </w:rPr>
      </w:pPr>
    </w:p>
    <w:p w:rsidR="003563AD" w:rsidRDefault="003563AD">
      <w:pPr>
        <w:pStyle w:val="Text1"/>
        <w:pBdr>
          <w:top w:val="single" w:sz="4" w:space="1" w:color="auto"/>
          <w:left w:val="single" w:sz="4" w:space="4" w:color="auto"/>
          <w:bottom w:val="single" w:sz="4" w:space="1" w:color="auto"/>
          <w:right w:val="single" w:sz="4" w:space="4" w:color="auto"/>
        </w:pBdr>
        <w:rPr>
          <w:noProof/>
        </w:rPr>
      </w:pPr>
    </w:p>
    <w:p w:rsidR="003563AD" w:rsidRDefault="00251882">
      <w:pPr>
        <w:pStyle w:val="ManualHeading2"/>
        <w:rPr>
          <w:bCs/>
          <w:noProof/>
          <w:szCs w:val="24"/>
        </w:rPr>
      </w:pPr>
      <w:r>
        <w:t>1.3.</w:t>
      </w:r>
      <w:r>
        <w:tab/>
      </w:r>
      <w:r>
        <w:rPr>
          <w:noProof/>
        </w:rPr>
        <w:t xml:space="preserve">Ettepaneku/algatuse liik </w:t>
      </w:r>
    </w:p>
    <w:p w:rsidR="003563AD" w:rsidRDefault="00251882">
      <w:pPr>
        <w:pStyle w:val="Text1"/>
        <w:rPr>
          <w:b/>
          <w:noProof/>
          <w:sz w:val="22"/>
        </w:rPr>
      </w:pPr>
      <w:r>
        <w:rPr>
          <w:rFonts w:ascii="Wingdings" w:hAnsi="Wingdings"/>
          <w:noProof/>
        </w:rPr>
        <w:t></w:t>
      </w:r>
      <w:r>
        <w:rPr>
          <w:noProof/>
        </w:rPr>
        <w:t xml:space="preserve"> Ettepanek/algatus käsitleb </w:t>
      </w:r>
      <w:r>
        <w:rPr>
          <w:b/>
          <w:noProof/>
        </w:rPr>
        <w:t>uut meedet</w:t>
      </w:r>
      <w:r>
        <w:rPr>
          <w:b/>
          <w:noProof/>
          <w:sz w:val="22"/>
        </w:rPr>
        <w:t xml:space="preserve"> </w:t>
      </w:r>
    </w:p>
    <w:p w:rsidR="003563AD" w:rsidRDefault="00251882">
      <w:pPr>
        <w:pStyle w:val="Text1"/>
        <w:rPr>
          <w:noProof/>
          <w:sz w:val="22"/>
        </w:rPr>
      </w:pPr>
      <w:r>
        <w:rPr>
          <w:noProof/>
          <w:sz w:val="22"/>
        </w:rPr>
        <w:sym w:font="Wingdings" w:char="F0A8"/>
      </w:r>
      <w:r>
        <w:rPr>
          <w:i/>
          <w:noProof/>
          <w:sz w:val="22"/>
        </w:rPr>
        <w:t xml:space="preserve"> </w:t>
      </w:r>
      <w:r>
        <w:rPr>
          <w:noProof/>
        </w:rPr>
        <w:t xml:space="preserve">Ettepanek/algatus käsitleb </w:t>
      </w:r>
      <w:r>
        <w:rPr>
          <w:b/>
          <w:noProof/>
        </w:rPr>
        <w:t>uut meedet, mis tuleneb katseprojektist / ettevalmistavast meetmest</w:t>
      </w:r>
      <w:r>
        <w:rPr>
          <w:rStyle w:val="FootnoteReference"/>
          <w:b/>
          <w:noProof/>
        </w:rPr>
        <w:footnoteReference w:id="31"/>
      </w:r>
      <w:r>
        <w:rPr>
          <w:noProof/>
          <w:sz w:val="22"/>
        </w:rPr>
        <w:t xml:space="preserve"> </w:t>
      </w:r>
    </w:p>
    <w:p w:rsidR="003563AD" w:rsidRDefault="00251882">
      <w:pPr>
        <w:pStyle w:val="Text1"/>
        <w:rPr>
          <w:noProof/>
          <w:sz w:val="22"/>
        </w:rPr>
      </w:pPr>
      <w:r>
        <w:rPr>
          <w:noProof/>
          <w:sz w:val="22"/>
        </w:rPr>
        <w:sym w:font="Wingdings" w:char="F0A8"/>
      </w:r>
      <w:r>
        <w:rPr>
          <w:i/>
          <w:noProof/>
          <w:sz w:val="22"/>
        </w:rPr>
        <w:t xml:space="preserve"> </w:t>
      </w:r>
      <w:r>
        <w:rPr>
          <w:noProof/>
        </w:rPr>
        <w:t xml:space="preserve">Ettepanek/algatus käsitleb </w:t>
      </w:r>
      <w:r>
        <w:rPr>
          <w:b/>
          <w:noProof/>
        </w:rPr>
        <w:t xml:space="preserve">olemasoleva </w:t>
      </w:r>
      <w:r>
        <w:rPr>
          <w:b/>
          <w:noProof/>
        </w:rPr>
        <w:t>meetme pikendamist</w:t>
      </w:r>
      <w:r>
        <w:rPr>
          <w:noProof/>
          <w:sz w:val="22"/>
        </w:rPr>
        <w:t xml:space="preserve"> </w:t>
      </w:r>
    </w:p>
    <w:p w:rsidR="003563AD" w:rsidRDefault="00251882">
      <w:pPr>
        <w:pStyle w:val="Text1"/>
        <w:rPr>
          <w:noProof/>
        </w:rPr>
      </w:pPr>
      <w:r>
        <w:rPr>
          <w:noProof/>
          <w:sz w:val="22"/>
        </w:rPr>
        <w:sym w:font="Wingdings" w:char="F0A8"/>
      </w:r>
      <w:r>
        <w:rPr>
          <w:i/>
          <w:noProof/>
          <w:sz w:val="22"/>
        </w:rPr>
        <w:t xml:space="preserve"> </w:t>
      </w:r>
      <w:r>
        <w:rPr>
          <w:noProof/>
        </w:rPr>
        <w:t xml:space="preserve">Ettepanek/algatus käsitleb </w:t>
      </w:r>
      <w:r>
        <w:rPr>
          <w:b/>
          <w:noProof/>
        </w:rPr>
        <w:t>ümbersuunatud meedet</w:t>
      </w:r>
      <w:r>
        <w:rPr>
          <w:noProof/>
        </w:rPr>
        <w:t xml:space="preserve"> </w:t>
      </w:r>
    </w:p>
    <w:p w:rsidR="003563AD" w:rsidRDefault="00251882">
      <w:pPr>
        <w:pStyle w:val="ManualHeading2"/>
        <w:rPr>
          <w:bCs/>
          <w:noProof/>
          <w:szCs w:val="24"/>
        </w:rPr>
      </w:pPr>
      <w:r>
        <w:t>1.4.</w:t>
      </w:r>
      <w:r>
        <w:tab/>
      </w:r>
      <w:r>
        <w:rPr>
          <w:noProof/>
        </w:rPr>
        <w:t>Eesmärgid</w:t>
      </w:r>
    </w:p>
    <w:p w:rsidR="003563AD" w:rsidRDefault="00251882">
      <w:pPr>
        <w:pStyle w:val="ManualHeading3"/>
        <w:rPr>
          <w:noProof/>
        </w:rPr>
      </w:pPr>
      <w:r>
        <w:t>1.4.1.</w:t>
      </w:r>
      <w:r>
        <w:tab/>
      </w:r>
      <w:r>
        <w:rPr>
          <w:noProof/>
        </w:rPr>
        <w:t xml:space="preserve">Komisjoni mitmeaastased strateegilised eesmärgid, mida ettepaneku/algatuse kaudu täidetakse </w:t>
      </w:r>
    </w:p>
    <w:p w:rsidR="003563AD" w:rsidRDefault="00251882">
      <w:pPr>
        <w:pStyle w:val="Text1"/>
        <w:pBdr>
          <w:top w:val="single" w:sz="4" w:space="1" w:color="auto"/>
          <w:left w:val="single" w:sz="4" w:space="4" w:color="auto"/>
          <w:bottom w:val="single" w:sz="4" w:space="1" w:color="auto"/>
          <w:right w:val="single" w:sz="4" w:space="4" w:color="auto"/>
        </w:pBdr>
      </w:pPr>
      <w:r>
        <w:t xml:space="preserve">Käesolev õigusakti ettepanek on kapitaliturgude liidu algatuse tähtis </w:t>
      </w:r>
      <w:r>
        <w:t>komponent. Ettepaneku eesmärk on:</w:t>
      </w:r>
    </w:p>
    <w:p w:rsidR="003563AD" w:rsidRDefault="00251882">
      <w:pPr>
        <w:pStyle w:val="Text1"/>
        <w:pBdr>
          <w:top w:val="single" w:sz="4" w:space="1" w:color="auto"/>
          <w:left w:val="single" w:sz="4" w:space="4" w:color="auto"/>
          <w:bottom w:val="single" w:sz="4" w:space="1" w:color="auto"/>
          <w:right w:val="single" w:sz="4" w:space="4" w:color="auto"/>
        </w:pBdr>
      </w:pPr>
      <w:r>
        <w:t>(1)</w:t>
      </w:r>
      <w:r>
        <w:rPr>
          <w:noProof/>
        </w:rPr>
        <w:tab/>
      </w:r>
      <w:r>
        <w:t xml:space="preserve">taaskäivitada turud jätkusuutlikumal alusel, nii et lihtsat, läbipaistvat ja standarditud </w:t>
      </w:r>
      <w:proofErr w:type="spellStart"/>
      <w:r>
        <w:t>väärtpaberistamist</w:t>
      </w:r>
      <w:proofErr w:type="spellEnd"/>
      <w:r>
        <w:t xml:space="preserve"> saaks kasutada majanduse tulemusliku rahastamisallikana;</w:t>
      </w:r>
    </w:p>
    <w:p w:rsidR="003563AD" w:rsidRDefault="00251882">
      <w:pPr>
        <w:pStyle w:val="Text1"/>
        <w:pBdr>
          <w:top w:val="single" w:sz="4" w:space="1" w:color="auto"/>
          <w:left w:val="single" w:sz="4" w:space="4" w:color="auto"/>
          <w:bottom w:val="single" w:sz="4" w:space="1" w:color="auto"/>
          <w:right w:val="single" w:sz="4" w:space="4" w:color="auto"/>
        </w:pBdr>
      </w:pPr>
      <w:r>
        <w:t>(2)</w:t>
      </w:r>
      <w:r>
        <w:rPr>
          <w:noProof/>
        </w:rPr>
        <w:tab/>
      </w:r>
      <w:r>
        <w:t>võimaldada riskide tõhusat ja tulemuslikku üleka</w:t>
      </w:r>
      <w:r>
        <w:t>ndmist nii arvukatele institutsionaalsetele investoritele kui ka pankadele;</w:t>
      </w:r>
    </w:p>
    <w:p w:rsidR="003563AD" w:rsidRDefault="00251882">
      <w:pPr>
        <w:pStyle w:val="Text1"/>
        <w:pBdr>
          <w:top w:val="single" w:sz="4" w:space="1" w:color="auto"/>
          <w:left w:val="single" w:sz="4" w:space="4" w:color="auto"/>
          <w:bottom w:val="single" w:sz="4" w:space="1" w:color="auto"/>
          <w:right w:val="single" w:sz="4" w:space="4" w:color="auto"/>
        </w:pBdr>
      </w:pPr>
      <w:r>
        <w:t>(3)</w:t>
      </w:r>
      <w:r>
        <w:rPr>
          <w:noProof/>
        </w:rPr>
        <w:tab/>
      </w:r>
      <w:r>
        <w:t xml:space="preserve">pakkuda </w:t>
      </w:r>
      <w:proofErr w:type="spellStart"/>
      <w:r>
        <w:t>väärtpaberistamist</w:t>
      </w:r>
      <w:proofErr w:type="spellEnd"/>
      <w:r>
        <w:t xml:space="preserve"> kui tulemuslikku rahastamismehhanismi nii mõningatele pikaajalistele investoritele kui ka pankadele;</w:t>
      </w:r>
    </w:p>
    <w:p w:rsidR="003563AD" w:rsidRDefault="00251882">
      <w:pPr>
        <w:pStyle w:val="Text1"/>
        <w:pBdr>
          <w:top w:val="single" w:sz="4" w:space="1" w:color="auto"/>
          <w:left w:val="single" w:sz="4" w:space="4" w:color="auto"/>
          <w:bottom w:val="single" w:sz="4" w:space="1" w:color="auto"/>
          <w:right w:val="single" w:sz="4" w:space="4" w:color="auto"/>
        </w:pBdr>
      </w:pPr>
      <w:r>
        <w:t>(4)</w:t>
      </w:r>
      <w:r>
        <w:rPr>
          <w:noProof/>
        </w:rPr>
        <w:tab/>
      </w:r>
      <w:r>
        <w:t>kaitsta investoreid ja juhtida süsteemset ri</w:t>
      </w:r>
      <w:r>
        <w:t>ski, vältides puudulike „algata ja turusta” mudelite kordumist.</w:t>
      </w:r>
    </w:p>
    <w:p w:rsidR="003563AD" w:rsidRDefault="003563AD">
      <w:pPr>
        <w:pStyle w:val="Text1"/>
        <w:pBdr>
          <w:top w:val="single" w:sz="4" w:space="1" w:color="auto"/>
          <w:left w:val="single" w:sz="4" w:space="4" w:color="auto"/>
          <w:bottom w:val="single" w:sz="4" w:space="1" w:color="auto"/>
          <w:right w:val="single" w:sz="4" w:space="4" w:color="auto"/>
        </w:pBdr>
        <w:rPr>
          <w:noProof/>
        </w:rPr>
      </w:pPr>
    </w:p>
    <w:p w:rsidR="003563AD" w:rsidRDefault="00251882">
      <w:pPr>
        <w:pStyle w:val="ManualHeading3"/>
        <w:rPr>
          <w:bCs/>
          <w:noProof/>
          <w:szCs w:val="24"/>
        </w:rPr>
      </w:pPr>
      <w:r>
        <w:t>1.4.2.</w:t>
      </w:r>
      <w:r>
        <w:tab/>
      </w:r>
      <w:r>
        <w:rPr>
          <w:noProof/>
        </w:rPr>
        <w:t xml:space="preserve">Erieesmärgid ning asjaomased tegevusvaldkonnad vastavalt tegevuspõhise juhtimise ja eelarvestamise süsteemile </w:t>
      </w:r>
    </w:p>
    <w:p w:rsidR="003563AD" w:rsidRDefault="00251882">
      <w:pPr>
        <w:pStyle w:val="Text1"/>
        <w:pBdr>
          <w:top w:val="single" w:sz="4" w:space="1" w:color="auto"/>
          <w:left w:val="single" w:sz="4" w:space="4" w:color="auto"/>
          <w:bottom w:val="single" w:sz="4" w:space="1" w:color="auto"/>
          <w:right w:val="single" w:sz="4" w:space="4" w:color="auto"/>
        </w:pBdr>
        <w:rPr>
          <w:noProof/>
          <w:u w:val="single"/>
        </w:rPr>
      </w:pPr>
      <w:r>
        <w:rPr>
          <w:noProof/>
          <w:u w:val="single"/>
        </w:rPr>
        <w:t xml:space="preserve">Erieesmärk </w:t>
      </w:r>
    </w:p>
    <w:p w:rsidR="003563AD" w:rsidRDefault="00251882">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rPr>
        <w:t>Ettepanekul on kaks peamist eesmärki:</w:t>
      </w:r>
    </w:p>
    <w:p w:rsidR="003563AD" w:rsidRDefault="00251882">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rPr>
        <w:t xml:space="preserve">1) kõrvaldada </w:t>
      </w:r>
      <w:r>
        <w:rPr>
          <w:noProof/>
          <w:color w:val="0000FF"/>
        </w:rPr>
        <w:t>väärtpaberistamise halb maine investorite silmis ning tagada lihtsate ja läbipaistvate väärtpaberistamistoodete nõuetekohane õiguslik kohtlemine;</w:t>
      </w:r>
    </w:p>
    <w:p w:rsidR="003563AD" w:rsidRDefault="00251882">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rPr>
        <w:t>2) vähendada emitentide ja investorite põhjendamatult kõrgeid tegevuskulusid või kõrvaldada need.</w:t>
      </w:r>
    </w:p>
    <w:p w:rsidR="003563AD" w:rsidRDefault="00251882">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rPr>
        <w:t>Loodava raam</w:t>
      </w:r>
      <w:r>
        <w:rPr>
          <w:noProof/>
          <w:color w:val="0000FF"/>
        </w:rPr>
        <w:t>istikuga pakutaks investoritele kindlust ja ELile ranged nõuded, et aidata osalistel hinnata väärtpaberistamisega seotud riske (nii toodete siseselt kui ka nende vahel).</w:t>
      </w:r>
    </w:p>
    <w:p w:rsidR="003563AD" w:rsidRDefault="00251882">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rPr>
        <w:t>Väärtpaberistamine võib olla oluline viis mitmekesistada rahastamisallikaid ja jaotada</w:t>
      </w:r>
      <w:r>
        <w:rPr>
          <w:noProof/>
          <w:color w:val="0000FF"/>
        </w:rPr>
        <w:t xml:space="preserve"> riske ELi finantssüsteemi sees tõhusamalt. See võimaldaks finantssektori riski laiemalt jaotada ja võib aidata vabastada pankade bilansimahtu, et anda täiendavaid laene mitmesugustele majandustegevuses osalejate kategooriatele (nt mittefinantsäriühingud, </w:t>
      </w:r>
      <w:r>
        <w:rPr>
          <w:noProof/>
          <w:color w:val="0000FF"/>
        </w:rPr>
        <w:t>VKEd või eraisikud). Üldiselt võib väärtpaberistamine finantssüsteemi tõhustada ja pakkuda täiendavaid investeerimisvõimalusi. Väärtpaberistamine võib ühendada pankasid ja kapitaliturgusid, pakkudes nii kaudset kasu ettevõtjatele ja kodanikele (näiteks väh</w:t>
      </w:r>
      <w:r>
        <w:rPr>
          <w:noProof/>
          <w:color w:val="0000FF"/>
        </w:rPr>
        <w:t>em kulukate laenude, hüpoteekide ja krediitkaartide abil).</w:t>
      </w:r>
    </w:p>
    <w:p w:rsidR="003563AD" w:rsidRDefault="003563AD">
      <w:pPr>
        <w:pStyle w:val="Text1"/>
        <w:pBdr>
          <w:top w:val="single" w:sz="4" w:space="1" w:color="auto"/>
          <w:left w:val="single" w:sz="4" w:space="4" w:color="auto"/>
          <w:bottom w:val="single" w:sz="4" w:space="1" w:color="auto"/>
          <w:right w:val="single" w:sz="4" w:space="4" w:color="auto"/>
        </w:pBdr>
      </w:pPr>
    </w:p>
    <w:p w:rsidR="003563AD" w:rsidRDefault="003563AD">
      <w:pPr>
        <w:pStyle w:val="Text1"/>
        <w:pBdr>
          <w:top w:val="single" w:sz="4" w:space="1" w:color="auto"/>
          <w:left w:val="single" w:sz="4" w:space="4" w:color="auto"/>
          <w:bottom w:val="single" w:sz="4" w:space="1" w:color="auto"/>
          <w:right w:val="single" w:sz="4" w:space="4" w:color="auto"/>
        </w:pBdr>
        <w:rPr>
          <w:noProof/>
        </w:rPr>
      </w:pPr>
    </w:p>
    <w:p w:rsidR="003563AD" w:rsidRDefault="00251882">
      <w:pPr>
        <w:pStyle w:val="Text1"/>
        <w:pBdr>
          <w:top w:val="single" w:sz="4" w:space="1" w:color="auto"/>
          <w:left w:val="single" w:sz="4" w:space="4" w:color="auto"/>
          <w:bottom w:val="single" w:sz="4" w:space="1" w:color="auto"/>
          <w:right w:val="single" w:sz="4" w:space="4" w:color="auto"/>
        </w:pBdr>
        <w:rPr>
          <w:noProof/>
          <w:u w:val="single"/>
        </w:rPr>
      </w:pPr>
      <w:r>
        <w:rPr>
          <w:noProof/>
          <w:u w:val="single"/>
        </w:rPr>
        <w:t>Asjaomased tegevusalad vastavalt tegevuspõhise juhtimise ja eelarvestamise struktuurile</w:t>
      </w:r>
    </w:p>
    <w:p w:rsidR="003563AD" w:rsidRDefault="003563AD">
      <w:pPr>
        <w:pStyle w:val="Text1"/>
        <w:pBdr>
          <w:top w:val="single" w:sz="4" w:space="1" w:color="auto"/>
          <w:left w:val="single" w:sz="4" w:space="4" w:color="auto"/>
          <w:bottom w:val="single" w:sz="4" w:space="1" w:color="auto"/>
          <w:right w:val="single" w:sz="4" w:space="4" w:color="auto"/>
        </w:pBdr>
        <w:rPr>
          <w:noProof/>
        </w:rPr>
      </w:pPr>
    </w:p>
    <w:p w:rsidR="003563AD" w:rsidRDefault="00251882">
      <w:pPr>
        <w:pStyle w:val="ManualHeading3"/>
        <w:rPr>
          <w:bCs/>
          <w:noProof/>
          <w:szCs w:val="24"/>
        </w:rPr>
      </w:pPr>
      <w:r>
        <w:rPr>
          <w:noProof/>
        </w:rPr>
        <w:br w:type="page"/>
      </w:r>
      <w:r>
        <w:t>1.4.3.</w:t>
      </w:r>
      <w:r>
        <w:tab/>
      </w:r>
      <w:r>
        <w:rPr>
          <w:noProof/>
        </w:rPr>
        <w:t>Oodatavad tulemused ja mõju</w:t>
      </w:r>
    </w:p>
    <w:p w:rsidR="003563AD" w:rsidRDefault="00251882">
      <w:pPr>
        <w:pStyle w:val="Text1"/>
        <w:rPr>
          <w:i/>
          <w:noProof/>
          <w:sz w:val="20"/>
        </w:rPr>
      </w:pPr>
      <w:r>
        <w:rPr>
          <w:i/>
          <w:noProof/>
          <w:sz w:val="20"/>
        </w:rPr>
        <w:t xml:space="preserve">Täpsustage, milline peaks olema ettepaneku/algatuse oodatav mõju </w:t>
      </w:r>
      <w:r>
        <w:rPr>
          <w:i/>
          <w:noProof/>
          <w:sz w:val="20"/>
        </w:rPr>
        <w:t>abisaajatele/sihtrühmale.</w:t>
      </w:r>
    </w:p>
    <w:p w:rsidR="003563AD" w:rsidRDefault="00251882">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rPr>
        <w:t>Käesoleval ettepanekul on kaks peaeesmärki:</w:t>
      </w:r>
    </w:p>
    <w:p w:rsidR="003563AD" w:rsidRDefault="00251882">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rPr>
        <w:t>1) kõrvaldada lihtsate ja läbipaistvate väärtpaberistamistoodete abil nende nähtavad puudused investorite silmis ja ebasoodus õiguslik kohtlemine;</w:t>
      </w:r>
    </w:p>
    <w:p w:rsidR="003563AD" w:rsidRDefault="00251882">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rPr>
        <w:t xml:space="preserve">2) vähendada emitentide ja investorite </w:t>
      </w:r>
      <w:r>
        <w:rPr>
          <w:noProof/>
          <w:color w:val="0000FF"/>
        </w:rPr>
        <w:t>põhjendamatult kõrgeid tegevuskulusid või kõrvaldada need.</w:t>
      </w:r>
    </w:p>
    <w:p w:rsidR="003563AD" w:rsidRDefault="00251882">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rPr>
        <w:t>Loodava raamistikuga pakutaks investoritele kindlust ja ELile ranged nõuded, et aidata osalistel hinnata väärtpaberistamisega seotud riske (nii toodete siseselt kui ka nende vahel).</w:t>
      </w:r>
    </w:p>
    <w:p w:rsidR="003563AD" w:rsidRDefault="00251882">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rPr>
        <w:t>Väärtpaberistam</w:t>
      </w:r>
      <w:r>
        <w:rPr>
          <w:noProof/>
          <w:color w:val="0000FF"/>
        </w:rPr>
        <w:t xml:space="preserve">ine võib olla oluline viis mitmekesistada rahastamisallikaid ja jaotada riske ELi finantssüsteemi sees tõhusamalt. See võimaldaks finantssektori riski laiemalt jaotada ja võib aidata vabastada pankade bilansimahtu, et anda täiendavaid laene mitmesugustele </w:t>
      </w:r>
      <w:r>
        <w:rPr>
          <w:noProof/>
          <w:color w:val="0000FF"/>
        </w:rPr>
        <w:t>majandustegevuses osalejate kategooriatele (nt mittefinantsäriühingud, VKEd või eraisikud). Üldiselt võib väärtpaberistamine finantssüsteemi tõhustada ja pakkuda täiendavaid investeerimisvõimalusi. Väärtpaberistamine võib ühendada pankasid ja kapitaliturgu</w:t>
      </w:r>
      <w:r>
        <w:rPr>
          <w:noProof/>
          <w:color w:val="0000FF"/>
        </w:rPr>
        <w:t>sid, pakkudes nii kaudset kasu ettevõtjatele ja kodanikele (näiteks vähem kulukate laenude, hüpoteekide ja krediitkaartide abil).</w:t>
      </w:r>
    </w:p>
    <w:p w:rsidR="003563AD" w:rsidRDefault="00251882">
      <w:pPr>
        <w:pStyle w:val="ManualHeading3"/>
        <w:rPr>
          <w:bCs/>
          <w:noProof/>
          <w:szCs w:val="24"/>
        </w:rPr>
      </w:pPr>
      <w:r>
        <w:t>1.4.4.</w:t>
      </w:r>
      <w:r>
        <w:tab/>
      </w:r>
      <w:r>
        <w:rPr>
          <w:noProof/>
        </w:rPr>
        <w:t xml:space="preserve">Tulemus- ja mõjunäitajad </w:t>
      </w:r>
    </w:p>
    <w:p w:rsidR="003563AD" w:rsidRDefault="00251882">
      <w:pPr>
        <w:pStyle w:val="Text1"/>
        <w:rPr>
          <w:i/>
          <w:noProof/>
          <w:sz w:val="20"/>
        </w:rPr>
      </w:pPr>
      <w:r>
        <w:rPr>
          <w:i/>
          <w:noProof/>
          <w:sz w:val="20"/>
        </w:rPr>
        <w:t>Täpsustage, milliste näitajate alusel hinnatakse ettepaneku/algatuse elluviimist.</w:t>
      </w:r>
    </w:p>
    <w:p w:rsidR="003563AD" w:rsidRDefault="00251882">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rPr>
        <w:t>Peamine näi</w:t>
      </w:r>
      <w:r>
        <w:rPr>
          <w:noProof/>
          <w:color w:val="0000FF"/>
        </w:rPr>
        <w:t>taja esimese eesmärgi saavutamise juures on STS-toodete ja muude toodete hinnaerinevus. Eesmärgi saavutamisel peaks erinevus praegusega võrreldes suurenema, nii et STS-toodete väärtus on investoritele suurem kui muude toodete väärtus. See omakorda peaks to</w:t>
      </w:r>
      <w:r>
        <w:rPr>
          <w:noProof/>
          <w:color w:val="0000FF"/>
        </w:rPr>
        <w:t>oma kaasa STS-toodete pakkumise suurenemise, mistõttu eesmärgi saavutamise hindamisel võetakse arvesse ka seda, kui palju on STS-toodete emiteerimine võrreldes muude toodetega suurenenud.</w:t>
      </w:r>
    </w:p>
    <w:p w:rsidR="003563AD" w:rsidRDefault="00251882">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rPr>
        <w:t>Teist eesmärki tuleks hinnata kolme kriteeriumi alusel: 1) STS-toode</w:t>
      </w:r>
      <w:r>
        <w:rPr>
          <w:noProof/>
          <w:color w:val="0000FF"/>
        </w:rPr>
        <w:t>te hinna ja emiteerimise kasv (kuna tegevuskulude vähenemine peaks tooma kaasa STS-toodete emiteerimise mahu suurenemise); 2) turundus- ja aruandlusmaterjali standardiseerituse aste ning 3) turuosaliste tagasiside tegevuskulude arengu kohta.</w:t>
      </w:r>
    </w:p>
    <w:p w:rsidR="003563AD" w:rsidRDefault="00251882">
      <w:pPr>
        <w:pStyle w:val="ManualHeading2"/>
        <w:rPr>
          <w:bCs/>
          <w:noProof/>
          <w:szCs w:val="24"/>
        </w:rPr>
      </w:pPr>
      <w:r>
        <w:t>1.5.</w:t>
      </w:r>
      <w:r>
        <w:tab/>
      </w:r>
      <w:r>
        <w:rPr>
          <w:noProof/>
        </w:rPr>
        <w:t>Ettepanek</w:t>
      </w:r>
      <w:r>
        <w:rPr>
          <w:noProof/>
        </w:rPr>
        <w:t xml:space="preserve">u/algatuse põhjendus </w:t>
      </w:r>
    </w:p>
    <w:p w:rsidR="003563AD" w:rsidRDefault="00251882">
      <w:pPr>
        <w:pStyle w:val="ManualHeading3"/>
        <w:rPr>
          <w:noProof/>
        </w:rPr>
      </w:pPr>
      <w:r>
        <w:t>1.5.1.</w:t>
      </w:r>
      <w:r>
        <w:tab/>
      </w:r>
      <w:r>
        <w:rPr>
          <w:noProof/>
        </w:rPr>
        <w:t xml:space="preserve">Lühi- või pikaajalises perspektiivis täidetavad vajadused </w:t>
      </w:r>
    </w:p>
    <w:p w:rsidR="003563AD" w:rsidRDefault="00251882">
      <w:pPr>
        <w:pStyle w:val="Text1"/>
        <w:pBdr>
          <w:top w:val="single" w:sz="4" w:space="1" w:color="auto"/>
          <w:left w:val="single" w:sz="4" w:space="4" w:color="auto"/>
          <w:bottom w:val="single" w:sz="4" w:space="1" w:color="auto"/>
          <w:right w:val="single" w:sz="4" w:space="4" w:color="auto"/>
        </w:pBdr>
        <w:rPr>
          <w:noProof/>
        </w:rPr>
      </w:pPr>
      <w:r>
        <w:t xml:space="preserve">Ettepaneku eesmärk on taaskäivitada jätkusuutlik </w:t>
      </w:r>
      <w:proofErr w:type="spellStart"/>
      <w:r>
        <w:t>väärtpaberistamisturg</w:t>
      </w:r>
      <w:proofErr w:type="spellEnd"/>
      <w:r>
        <w:t>, mis parandab ELi majanduse rahastamist ning tagab samal ajal finantsstabiilsuse ja investorite k</w:t>
      </w:r>
      <w:r>
        <w:t xml:space="preserve">aitse. Turu elavdamiseks püütakse ettepanekuga kõrvaldada </w:t>
      </w:r>
      <w:proofErr w:type="spellStart"/>
      <w:r>
        <w:t>väärtpaberistamise</w:t>
      </w:r>
      <w:proofErr w:type="spellEnd"/>
      <w:r>
        <w:t xml:space="preserve"> halb maine, muuta turg ühtsemaks ja standardsemaks ning kehtestada riskitundlikum õigusraamistik.</w:t>
      </w:r>
    </w:p>
    <w:p w:rsidR="003563AD" w:rsidRDefault="003563AD">
      <w:pPr>
        <w:rPr>
          <w:noProof/>
        </w:rPr>
      </w:pPr>
    </w:p>
    <w:p w:rsidR="003563AD" w:rsidRDefault="00251882">
      <w:pPr>
        <w:pStyle w:val="ManualHeading3"/>
        <w:rPr>
          <w:noProof/>
        </w:rPr>
      </w:pPr>
      <w:r>
        <w:t>1.5.2.</w:t>
      </w:r>
      <w:r>
        <w:tab/>
      </w:r>
      <w:r>
        <w:rPr>
          <w:noProof/>
        </w:rPr>
        <w:t>Euroopa Liidu meetme lisaväärtus</w:t>
      </w:r>
    </w:p>
    <w:p w:rsidR="003563AD" w:rsidRDefault="00251882">
      <w:pPr>
        <w:pStyle w:val="Text1"/>
        <w:pBdr>
          <w:top w:val="single" w:sz="4" w:space="1" w:color="auto"/>
          <w:left w:val="single" w:sz="4" w:space="4" w:color="auto"/>
          <w:bottom w:val="single" w:sz="4" w:space="1" w:color="auto"/>
          <w:right w:val="single" w:sz="4" w:space="4" w:color="auto"/>
        </w:pBdr>
      </w:pPr>
      <w:proofErr w:type="spellStart"/>
      <w:r>
        <w:t>Väärtpaberistamistooted</w:t>
      </w:r>
      <w:proofErr w:type="spellEnd"/>
      <w:r>
        <w:t xml:space="preserve"> on osa ELi avatu</w:t>
      </w:r>
      <w:r>
        <w:t xml:space="preserve">d ja integreeritud kapitaliturgudest. </w:t>
      </w:r>
      <w:proofErr w:type="spellStart"/>
      <w:r>
        <w:t>Väärtpaberistamine</w:t>
      </w:r>
      <w:proofErr w:type="spellEnd"/>
      <w:r>
        <w:t xml:space="preserve"> ühendab eri liikmesriikide ja kolmandate riikide finantsasutusi — sageli on </w:t>
      </w:r>
      <w:proofErr w:type="spellStart"/>
      <w:r>
        <w:t>väärtpaberistatud</w:t>
      </w:r>
      <w:proofErr w:type="spellEnd"/>
      <w:r>
        <w:t xml:space="preserve"> laenude algatajateks pangad; finantsasutused, nagu kindlustusandjad ja investeerimisfondid investeerivad </w:t>
      </w:r>
      <w:r>
        <w:t>neisse toodetesse, ületades seejuures Euroopa piire.</w:t>
      </w:r>
    </w:p>
    <w:p w:rsidR="003563AD" w:rsidRDefault="00251882">
      <w:pPr>
        <w:pStyle w:val="Text1"/>
        <w:pBdr>
          <w:top w:val="single" w:sz="4" w:space="1" w:color="auto"/>
          <w:left w:val="single" w:sz="4" w:space="4" w:color="auto"/>
          <w:bottom w:val="single" w:sz="4" w:space="1" w:color="auto"/>
          <w:right w:val="single" w:sz="4" w:space="4" w:color="auto"/>
        </w:pBdr>
      </w:pPr>
      <w:r>
        <w:t xml:space="preserve">Ühe liikmesriigi meetmed eraldi ei suuda mainet taastada. EL on rahvusvahelisel tasandil nõudnud standardeid, mille abil teha kindlaks lihtsad, läbipaistvad ja standarditud </w:t>
      </w:r>
      <w:proofErr w:type="spellStart"/>
      <w:r>
        <w:t>väärtpaberistamised</w:t>
      </w:r>
      <w:proofErr w:type="spellEnd"/>
      <w:r>
        <w:t xml:space="preserve"> (</w:t>
      </w:r>
      <w:proofErr w:type="spellStart"/>
      <w:r>
        <w:t>standardv</w:t>
      </w:r>
      <w:r>
        <w:t>äärtpaberistamised</w:t>
      </w:r>
      <w:proofErr w:type="spellEnd"/>
      <w:r>
        <w:t xml:space="preserve">). Sellised standardid aitavad investoritel määrata kindlaks </w:t>
      </w:r>
      <w:proofErr w:type="spellStart"/>
      <w:r>
        <w:t>väärtpaberistamise</w:t>
      </w:r>
      <w:proofErr w:type="spellEnd"/>
      <w:r>
        <w:t xml:space="preserve"> kategooriaid, mis on olnud finantskriisi ajal edukad ja mis võimaldavad analüüsida kaasnevaid riske.</w:t>
      </w:r>
    </w:p>
    <w:p w:rsidR="003563AD" w:rsidRDefault="00251882">
      <w:pPr>
        <w:pStyle w:val="Text1"/>
        <w:pBdr>
          <w:top w:val="single" w:sz="4" w:space="1" w:color="auto"/>
          <w:left w:val="single" w:sz="4" w:space="4" w:color="auto"/>
          <w:bottom w:val="single" w:sz="4" w:space="1" w:color="auto"/>
          <w:right w:val="single" w:sz="4" w:space="4" w:color="auto"/>
        </w:pBdr>
        <w:rPr>
          <w:noProof/>
        </w:rPr>
      </w:pPr>
      <w:r>
        <w:t>Ehkki neid rahvusvahelisi standardeid võivad rakendada li</w:t>
      </w:r>
      <w:r>
        <w:t>ikmesriigid, tooks see tegelikkuses kaasa erinevad lähenemisviisid liikmesriikide vahel, takistades seega maine taastamist ja luues reaalse takistuse piiriülestele investoritele, kes peaksid süvenema liikmesriikide raamistike üksikasjadesse. Peale selle ee</w:t>
      </w:r>
      <w:r>
        <w:t xml:space="preserve">ldab </w:t>
      </w:r>
      <w:proofErr w:type="spellStart"/>
      <w:r>
        <w:t>standardväärtpaberistamise</w:t>
      </w:r>
      <w:proofErr w:type="spellEnd"/>
      <w:r>
        <w:t xml:space="preserve"> riskitundlikum usaldatavusraamistik Euroopa Liidult </w:t>
      </w:r>
      <w:proofErr w:type="spellStart"/>
      <w:r>
        <w:t>standardväärtpaberistamise</w:t>
      </w:r>
      <w:proofErr w:type="spellEnd"/>
      <w:r>
        <w:t xml:space="preserve"> määratlemist, kuna vastasel juhul kasutataks eri liiki </w:t>
      </w:r>
      <w:proofErr w:type="spellStart"/>
      <w:r>
        <w:t>väärtpaberistamisel</w:t>
      </w:r>
      <w:proofErr w:type="spellEnd"/>
      <w:r>
        <w:t xml:space="preserve"> eri liikmesriikides pankade ja kindlustusandjate riskitundlikumat õigu</w:t>
      </w:r>
      <w:r>
        <w:t xml:space="preserve">skäsitlust. See tooks kaasa ebavõrdsed tingimused ja õigusliku arbitraaži. Seoses puudujääkidega ühtsuse ja standardimise valdkonnas on EL juba ühtlustanud mitu </w:t>
      </w:r>
      <w:proofErr w:type="spellStart"/>
      <w:r>
        <w:t>väärtpaberistamist</w:t>
      </w:r>
      <w:proofErr w:type="spellEnd"/>
      <w:r>
        <w:t xml:space="preserve"> käsitlevat punkti, eelkõige mõisted, avalikustamise eeskirjad, hoolsuskohust</w:t>
      </w:r>
      <w:r>
        <w:t xml:space="preserve">us, riski säilitamine ja usaldatavusnõuete käsitlus reguleeritud üksuste jaoks, kes kõnealustesse toodetesse investeerivad. Need sätted on töötatud välja mitmesuguste õigusaktide raames (kapitalinõuete määrus, </w:t>
      </w:r>
      <w:proofErr w:type="spellStart"/>
      <w:r>
        <w:t>Solventsus</w:t>
      </w:r>
      <w:proofErr w:type="spellEnd"/>
      <w:r>
        <w:t xml:space="preserve"> II, eurofond, reitinguagentuuride m</w:t>
      </w:r>
      <w:r>
        <w:t>äärus ja AIFide valitsejate direktiiv), mis on tinginud teatavaid lahknevusi eri investorite suhtes kohaldatavates nõuetes. Nende sätete ühtsuse suurendamine ja täiendav standardimine on võimalik üksnes ELi tasandi meetme abil.</w:t>
      </w:r>
    </w:p>
    <w:p w:rsidR="003563AD" w:rsidRDefault="003563AD">
      <w:pPr>
        <w:rPr>
          <w:noProof/>
          <w:szCs w:val="24"/>
        </w:rPr>
      </w:pPr>
    </w:p>
    <w:p w:rsidR="003563AD" w:rsidRDefault="00251882">
      <w:pPr>
        <w:pStyle w:val="ManualHeading3"/>
        <w:rPr>
          <w:bCs/>
          <w:noProof/>
          <w:szCs w:val="24"/>
        </w:rPr>
      </w:pPr>
      <w:r>
        <w:t>1.5.3.</w:t>
      </w:r>
      <w:r>
        <w:tab/>
      </w:r>
      <w:r>
        <w:rPr>
          <w:noProof/>
        </w:rPr>
        <w:t>Samalaadsetest kogem</w:t>
      </w:r>
      <w:r>
        <w:rPr>
          <w:noProof/>
        </w:rPr>
        <w:t>ustest saadud õppetunnid</w:t>
      </w:r>
    </w:p>
    <w:p w:rsidR="003563AD" w:rsidRDefault="00251882">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rPr>
        <w:t>Turupõhised diferentseerimismehhanismid ei suudaks tõenäolised mainet taastada, kuna need tuginevad turuliitude seisukohtadele, mida ei ole sündmuste käigus katsetatud. Ent isegi kui väärtpaberistamistoodete diferentseerimismehhani</w:t>
      </w:r>
      <w:r>
        <w:rPr>
          <w:noProof/>
          <w:color w:val="0000FF"/>
        </w:rPr>
        <w:t>smid suudaksid edukalt diferentseerida ja mainet taastada, ei suudaks nad kohandada väärtpaberistamisega seonduvat usaldatavusnõuete käsitlust ja seega parandada ELi tehingute majanduslikku tõhusust. Peale selle mõjutaksid neid turgusid jätkuvalt olemasole</w:t>
      </w:r>
      <w:r>
        <w:rPr>
          <w:noProof/>
          <w:color w:val="0000FF"/>
        </w:rPr>
        <w:t>vad vastuolud ELi õigusaktides. ELi sekkumise puudumisel jääks väärtpaberistamisturu praegune seisund tõenäoliselt samaks — vähene emiteerimine ja killustatus säiliksid.</w:t>
      </w:r>
    </w:p>
    <w:p w:rsidR="003563AD" w:rsidRDefault="00251882">
      <w:pPr>
        <w:pStyle w:val="ManualHeading3"/>
        <w:rPr>
          <w:bCs/>
          <w:noProof/>
          <w:szCs w:val="24"/>
        </w:rPr>
      </w:pPr>
      <w:r>
        <w:t>1.5.4.</w:t>
      </w:r>
      <w:r>
        <w:tab/>
      </w:r>
      <w:r>
        <w:rPr>
          <w:noProof/>
        </w:rPr>
        <w:t>Kooskõla ja võimalik koostoime muude asjaomaste meetmetega</w:t>
      </w:r>
    </w:p>
    <w:p w:rsidR="003563AD" w:rsidRDefault="00251882">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rPr>
        <w:t>Väärtpaberistamist käsitlev ettepanek on seotud investeerimiskavaga Euroopa jaoks, mille komisjon esitas 2014. aastal eesmärgiga taaskäivitada investeerimine Euroopas, käsitledes peamisi investeerimistakistusi ühtsel viisil. See uus lähenemisviis aitaks le</w:t>
      </w:r>
      <w:r>
        <w:rPr>
          <w:noProof/>
          <w:color w:val="0000FF"/>
        </w:rPr>
        <w:t xml:space="preserve">evendada riskifinantseerimise vähesust Euroopas. </w:t>
      </w:r>
    </w:p>
    <w:p w:rsidR="003563AD" w:rsidRDefault="00251882">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rPr>
        <w:t>Kõnealune algatus on osa kapitaliturgude liidu tegevuskavast, mille Euroopa Komisjon täna vastu võttis. Kapitaliturgude liit on üks komisjoni prioriteete tagamaks, et finantssüsteem toetab tööhõivet ja maja</w:t>
      </w:r>
      <w:r>
        <w:rPr>
          <w:noProof/>
          <w:color w:val="0000FF"/>
        </w:rPr>
        <w:t>nduskasvu ning aitab toime tulla Euroopa ees seisvate demograafiliste probleemidega.</w:t>
      </w:r>
    </w:p>
    <w:p w:rsidR="003563AD" w:rsidRDefault="00251882">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rPr>
        <w:t xml:space="preserve">Lisaks finantsalastele regulatiivsetele algatustele on mitu ELi institutsiooni ja organit teinud algatusi väärtpaberistamisturgude loomiseks ja usaldusväärsuse </w:t>
      </w:r>
      <w:r>
        <w:rPr>
          <w:noProof/>
          <w:color w:val="0000FF"/>
        </w:rPr>
        <w:t>suurendamiseks turu toimimise seisukohast. Komisjon kasutab koostöös Euroopa Investeerimispanga ja Euroopa Investeerimisfondiga väärtpaberistamisvahendeid, et toetada VKEde rahastamist, näiteks COSME programmi ning komisjoni ja Euroopa Investeerimispanga ü</w:t>
      </w:r>
      <w:r>
        <w:rPr>
          <w:noProof/>
          <w:color w:val="0000FF"/>
        </w:rPr>
        <w:t>hisalgatuste raames.</w:t>
      </w:r>
    </w:p>
    <w:p w:rsidR="003563AD" w:rsidRDefault="00251882">
      <w:pPr>
        <w:pStyle w:val="ManualHeading2"/>
        <w:rPr>
          <w:bCs/>
          <w:noProof/>
          <w:szCs w:val="24"/>
        </w:rPr>
      </w:pPr>
      <w:r>
        <w:rPr>
          <w:noProof/>
        </w:rPr>
        <w:br w:type="page"/>
      </w:r>
      <w:r>
        <w:t>1.6.</w:t>
      </w:r>
      <w:r>
        <w:tab/>
      </w:r>
      <w:r>
        <w:rPr>
          <w:noProof/>
        </w:rPr>
        <w:t xml:space="preserve">Meetme kestus ja finantsmõju </w:t>
      </w:r>
    </w:p>
    <w:p w:rsidR="003563AD" w:rsidRDefault="00251882">
      <w:pPr>
        <w:pStyle w:val="Text1"/>
        <w:rPr>
          <w:noProof/>
        </w:rPr>
      </w:pPr>
      <w:r>
        <w:rPr>
          <w:noProof/>
        </w:rPr>
        <w:sym w:font="Wingdings" w:char="F0A8"/>
      </w:r>
      <w:r>
        <w:rPr>
          <w:b/>
          <w:i/>
          <w:noProof/>
        </w:rPr>
        <w:t xml:space="preserve"> </w:t>
      </w:r>
      <w:r>
        <w:rPr>
          <w:b/>
          <w:noProof/>
        </w:rPr>
        <w:t>Piiratud kestusega</w:t>
      </w:r>
      <w:r>
        <w:rPr>
          <w:noProof/>
        </w:rPr>
        <w:t xml:space="preserve"> ettepanek/algatus</w:t>
      </w:r>
      <w:r>
        <w:rPr>
          <w:b/>
          <w:noProof/>
        </w:rPr>
        <w:t xml:space="preserve"> </w:t>
      </w:r>
    </w:p>
    <w:p w:rsidR="003563AD" w:rsidRDefault="00251882">
      <w:pPr>
        <w:pStyle w:val="ListDash2"/>
        <w:tabs>
          <w:tab w:val="clear" w:pos="1134"/>
          <w:tab w:val="num" w:pos="1276"/>
        </w:tabs>
        <w:ind w:left="1276"/>
        <w:rPr>
          <w:noProof/>
        </w:rPr>
      </w:pPr>
      <w:r>
        <w:rPr>
          <w:noProof/>
        </w:rPr>
        <w:sym w:font="Wingdings" w:char="F0A8"/>
      </w:r>
      <w:r>
        <w:rPr>
          <w:noProof/>
        </w:rPr>
        <w:tab/>
        <w:t xml:space="preserve">Ettepanek/algatus hõlmab ajavahemikku [PP/KK]AAAA–[PP/KK]AAAA </w:t>
      </w:r>
    </w:p>
    <w:p w:rsidR="003563AD" w:rsidRDefault="00251882">
      <w:pPr>
        <w:pStyle w:val="ListDash2"/>
        <w:tabs>
          <w:tab w:val="clear" w:pos="1134"/>
          <w:tab w:val="num" w:pos="1276"/>
        </w:tabs>
        <w:ind w:left="1276"/>
        <w:rPr>
          <w:noProof/>
        </w:rPr>
      </w:pPr>
      <w:r>
        <w:rPr>
          <w:noProof/>
        </w:rPr>
        <w:sym w:font="Wingdings" w:char="F0A8"/>
      </w:r>
      <w:r>
        <w:rPr>
          <w:noProof/>
        </w:rPr>
        <w:tab/>
        <w:t>Finantsmõju avaldub ajavahemikul AAAA–AAAA</w:t>
      </w:r>
    </w:p>
    <w:p w:rsidR="003563AD" w:rsidRDefault="00251882">
      <w:pPr>
        <w:pStyle w:val="Text1"/>
        <w:rPr>
          <w:noProof/>
        </w:rPr>
      </w:pPr>
      <w:r>
        <w:rPr>
          <w:rFonts w:ascii="Wingdings" w:hAnsi="Wingdings"/>
          <w:noProof/>
        </w:rPr>
        <w:t></w:t>
      </w:r>
      <w:r>
        <w:rPr>
          <w:b/>
          <w:i/>
          <w:noProof/>
        </w:rPr>
        <w:t xml:space="preserve"> </w:t>
      </w:r>
      <w:r>
        <w:rPr>
          <w:b/>
          <w:noProof/>
        </w:rPr>
        <w:t>Piiramatu kestusega</w:t>
      </w:r>
      <w:r>
        <w:rPr>
          <w:noProof/>
        </w:rPr>
        <w:t xml:space="preserve"> ettepanek/algatus</w:t>
      </w:r>
    </w:p>
    <w:p w:rsidR="003563AD" w:rsidRDefault="00251882">
      <w:pPr>
        <w:pStyle w:val="ListDash1"/>
        <w:rPr>
          <w:noProof/>
        </w:rPr>
      </w:pPr>
      <w:r>
        <w:rPr>
          <w:noProof/>
        </w:rPr>
        <w:t>Rakendami</w:t>
      </w:r>
      <w:r>
        <w:rPr>
          <w:noProof/>
        </w:rPr>
        <w:t>se käivitumisperiood hõlmab ajavahemikku AAAA–AAAA,</w:t>
      </w:r>
    </w:p>
    <w:p w:rsidR="003563AD" w:rsidRDefault="00251882">
      <w:pPr>
        <w:pStyle w:val="ListDash1"/>
        <w:rPr>
          <w:noProof/>
        </w:rPr>
      </w:pPr>
      <w:r>
        <w:rPr>
          <w:noProof/>
        </w:rPr>
        <w:t>millele järgneb täieulatuslik rakendamine.</w:t>
      </w:r>
    </w:p>
    <w:p w:rsidR="003563AD" w:rsidRDefault="00251882">
      <w:pPr>
        <w:pStyle w:val="ManualHeading2"/>
        <w:rPr>
          <w:bCs/>
          <w:noProof/>
          <w:szCs w:val="24"/>
        </w:rPr>
      </w:pPr>
      <w:r>
        <w:t>1.7.</w:t>
      </w:r>
      <w:r>
        <w:tab/>
      </w:r>
      <w:r>
        <w:rPr>
          <w:noProof/>
        </w:rPr>
        <w:t>Kavandatud eelarve täitmise viisid</w:t>
      </w:r>
      <w:r>
        <w:rPr>
          <w:rStyle w:val="FootnoteReference"/>
          <w:noProof/>
        </w:rPr>
        <w:footnoteReference w:id="32"/>
      </w:r>
      <w:r>
        <w:rPr>
          <w:rStyle w:val="FootnoteReference"/>
          <w:noProof/>
        </w:rPr>
        <w:t xml:space="preserve"> </w:t>
      </w:r>
    </w:p>
    <w:p w:rsidR="003563AD" w:rsidRDefault="00251882">
      <w:pPr>
        <w:pStyle w:val="Text1"/>
        <w:rPr>
          <w:noProof/>
        </w:rPr>
      </w:pPr>
      <w:r>
        <w:rPr>
          <w:noProof/>
        </w:rPr>
        <w:sym w:font="Wingdings" w:char="F0A8"/>
      </w:r>
      <w:r>
        <w:rPr>
          <w:i/>
          <w:noProof/>
        </w:rPr>
        <w:t xml:space="preserve"> </w:t>
      </w:r>
      <w:r>
        <w:rPr>
          <w:b/>
          <w:noProof/>
        </w:rPr>
        <w:t>Otsene eelarve täitmine</w:t>
      </w:r>
      <w:r>
        <w:rPr>
          <w:noProof/>
        </w:rPr>
        <w:t xml:space="preserve"> komisjoni poolt</w:t>
      </w:r>
    </w:p>
    <w:p w:rsidR="003563AD" w:rsidRDefault="00251882">
      <w:pPr>
        <w:pStyle w:val="ListDash2"/>
        <w:tabs>
          <w:tab w:val="clear" w:pos="1134"/>
          <w:tab w:val="num" w:pos="1276"/>
        </w:tabs>
        <w:ind w:left="1276"/>
        <w:rPr>
          <w:rFonts w:cs="EUAlbertina"/>
          <w:noProof/>
        </w:rPr>
      </w:pPr>
      <w:r>
        <w:rPr>
          <w:noProof/>
        </w:rPr>
        <w:sym w:font="Wingdings" w:char="F0A8"/>
      </w:r>
      <w:r>
        <w:rPr>
          <w:noProof/>
        </w:rPr>
        <w:t xml:space="preserve"> komisjoni talituste, sealhulgas tema töötajate kaudu liidu delegatsioonides</w:t>
      </w:r>
      <w:r>
        <w:rPr>
          <w:noProof/>
        </w:rPr>
        <w:t xml:space="preserve">; </w:t>
      </w:r>
    </w:p>
    <w:p w:rsidR="003563AD" w:rsidRDefault="00251882">
      <w:pPr>
        <w:pStyle w:val="ListDash2"/>
        <w:tabs>
          <w:tab w:val="clear" w:pos="1134"/>
          <w:tab w:val="num" w:pos="1276"/>
        </w:tabs>
        <w:ind w:left="1276"/>
        <w:rPr>
          <w:noProof/>
        </w:rPr>
      </w:pPr>
      <w:r>
        <w:rPr>
          <w:noProof/>
        </w:rPr>
        <w:sym w:font="Wingdings" w:char="F0A8"/>
      </w:r>
      <w:r>
        <w:rPr>
          <w:noProof/>
        </w:rPr>
        <w:tab/>
        <w:t xml:space="preserve">rakendusametite kaudu </w:t>
      </w:r>
    </w:p>
    <w:p w:rsidR="003563AD" w:rsidRDefault="00251882">
      <w:pPr>
        <w:pStyle w:val="Text1"/>
        <w:rPr>
          <w:noProof/>
        </w:rPr>
      </w:pPr>
      <w:r>
        <w:rPr>
          <w:noProof/>
        </w:rPr>
        <w:sym w:font="Wingdings" w:char="F0A8"/>
      </w:r>
      <w:r>
        <w:rPr>
          <w:noProof/>
        </w:rPr>
        <w:t xml:space="preserve"> </w:t>
      </w:r>
      <w:r>
        <w:rPr>
          <w:b/>
          <w:noProof/>
        </w:rPr>
        <w:t>Eelarve täitmine koostöös</w:t>
      </w:r>
      <w:r>
        <w:rPr>
          <w:noProof/>
        </w:rPr>
        <w:t xml:space="preserve"> liikmesriikidega </w:t>
      </w:r>
    </w:p>
    <w:p w:rsidR="003563AD" w:rsidRDefault="00251882">
      <w:pPr>
        <w:pStyle w:val="Text1"/>
        <w:rPr>
          <w:noProof/>
        </w:rPr>
      </w:pPr>
      <w:r>
        <w:rPr>
          <w:rFonts w:ascii="Wingdings" w:hAnsi="Wingdings"/>
          <w:noProof/>
        </w:rPr>
        <w:t></w:t>
      </w:r>
      <w:r>
        <w:rPr>
          <w:i/>
          <w:noProof/>
        </w:rPr>
        <w:t xml:space="preserve"> </w:t>
      </w:r>
      <w:r>
        <w:rPr>
          <w:b/>
          <w:noProof/>
        </w:rPr>
        <w:t>Kaudne eelarve täitmine</w:t>
      </w:r>
      <w:r>
        <w:rPr>
          <w:noProof/>
        </w:rPr>
        <w:t>, mille puhul eelarve täitmise ülesanded on usaldatud:</w:t>
      </w:r>
    </w:p>
    <w:p w:rsidR="003563AD" w:rsidRDefault="00251882">
      <w:pPr>
        <w:pStyle w:val="ListDash2"/>
        <w:tabs>
          <w:tab w:val="clear" w:pos="1134"/>
          <w:tab w:val="num" w:pos="1276"/>
        </w:tabs>
        <w:ind w:left="1276"/>
        <w:rPr>
          <w:noProof/>
        </w:rPr>
      </w:pPr>
      <w:r>
        <w:rPr>
          <w:noProof/>
        </w:rPr>
        <w:sym w:font="Wingdings" w:char="F0A8"/>
      </w:r>
      <w:r>
        <w:rPr>
          <w:noProof/>
        </w:rPr>
        <w:t xml:space="preserve"> kolmandatele riikidele või nende poolt määratud asutustele;</w:t>
      </w:r>
    </w:p>
    <w:p w:rsidR="003563AD" w:rsidRDefault="00251882">
      <w:pPr>
        <w:pStyle w:val="ListDash2"/>
        <w:tabs>
          <w:tab w:val="clear" w:pos="1134"/>
          <w:tab w:val="num" w:pos="1276"/>
        </w:tabs>
        <w:ind w:left="1276"/>
        <w:rPr>
          <w:noProof/>
        </w:rPr>
      </w:pPr>
      <w:r>
        <w:rPr>
          <w:noProof/>
        </w:rPr>
        <w:sym w:font="Wingdings" w:char="F0A8"/>
      </w:r>
      <w:r>
        <w:rPr>
          <w:noProof/>
        </w:rPr>
        <w:t xml:space="preserve"> rahvusvahelistele organisatsioonidele </w:t>
      </w:r>
      <w:r>
        <w:rPr>
          <w:noProof/>
        </w:rPr>
        <w:t>ja nende esindajatele (täpsustada);</w:t>
      </w:r>
    </w:p>
    <w:p w:rsidR="003563AD" w:rsidRDefault="00251882">
      <w:pPr>
        <w:pStyle w:val="ListDash2"/>
        <w:tabs>
          <w:tab w:val="clear" w:pos="1134"/>
          <w:tab w:val="num" w:pos="1276"/>
        </w:tabs>
        <w:ind w:left="1276"/>
        <w:rPr>
          <w:noProof/>
        </w:rPr>
      </w:pPr>
      <w:r>
        <w:rPr>
          <w:noProof/>
        </w:rPr>
        <w:sym w:font="Wingdings" w:char="F0A8"/>
      </w:r>
      <w:r>
        <w:rPr>
          <w:noProof/>
        </w:rPr>
        <w:t>Euroopa Investeerimispangale (EIP) ja Euroopa Investeerimisfondile (EIF);</w:t>
      </w:r>
    </w:p>
    <w:p w:rsidR="003563AD" w:rsidRDefault="00251882">
      <w:pPr>
        <w:pStyle w:val="ListDash2"/>
        <w:tabs>
          <w:tab w:val="clear" w:pos="1134"/>
          <w:tab w:val="num" w:pos="1276"/>
        </w:tabs>
        <w:ind w:left="1276"/>
        <w:rPr>
          <w:noProof/>
        </w:rPr>
      </w:pPr>
      <w:r>
        <w:rPr>
          <w:rFonts w:ascii="Wingdings" w:hAnsi="Wingdings"/>
          <w:noProof/>
        </w:rPr>
        <w:t></w:t>
      </w:r>
      <w:r>
        <w:rPr>
          <w:noProof/>
        </w:rPr>
        <w:t xml:space="preserve"> finantsmääruse artiklites 208 ja 209 nimetatud asutustele;</w:t>
      </w:r>
    </w:p>
    <w:p w:rsidR="003563AD" w:rsidRDefault="00251882">
      <w:pPr>
        <w:pStyle w:val="ListDash2"/>
        <w:tabs>
          <w:tab w:val="clear" w:pos="1134"/>
          <w:tab w:val="num" w:pos="1276"/>
        </w:tabs>
        <w:ind w:left="1276"/>
        <w:rPr>
          <w:noProof/>
        </w:rPr>
      </w:pPr>
      <w:r>
        <w:rPr>
          <w:noProof/>
        </w:rPr>
        <w:sym w:font="Wingdings" w:char="F0A8"/>
      </w:r>
      <w:r>
        <w:rPr>
          <w:noProof/>
        </w:rPr>
        <w:t xml:space="preserve"> avalik-õiguslikele asutustele;</w:t>
      </w:r>
    </w:p>
    <w:p w:rsidR="003563AD" w:rsidRDefault="00251882">
      <w:pPr>
        <w:pStyle w:val="ListDash2"/>
        <w:tabs>
          <w:tab w:val="clear" w:pos="1134"/>
          <w:tab w:val="num" w:pos="1276"/>
        </w:tabs>
        <w:ind w:left="1276"/>
        <w:rPr>
          <w:noProof/>
        </w:rPr>
      </w:pPr>
      <w:r>
        <w:rPr>
          <w:noProof/>
        </w:rPr>
        <w:sym w:font="Wingdings" w:char="F0A8"/>
      </w:r>
      <w:r>
        <w:rPr>
          <w:noProof/>
        </w:rPr>
        <w:t xml:space="preserve"> avalikke teenuseid osutavatele eraõiguslikele asutustele, kuivõrd nad esitavad piisavad finantstagatised;</w:t>
      </w:r>
    </w:p>
    <w:p w:rsidR="003563AD" w:rsidRDefault="00251882">
      <w:pPr>
        <w:pStyle w:val="ListDash2"/>
        <w:tabs>
          <w:tab w:val="clear" w:pos="1134"/>
          <w:tab w:val="num" w:pos="1276"/>
        </w:tabs>
        <w:ind w:left="1276"/>
        <w:rPr>
          <w:noProof/>
        </w:rPr>
      </w:pPr>
      <w:r>
        <w:rPr>
          <w:noProof/>
        </w:rPr>
        <w:sym w:font="Wingdings" w:char="F0A8"/>
      </w:r>
      <w:r>
        <w:rPr>
          <w:noProof/>
        </w:rPr>
        <w:t xml:space="preserve"> liikmesriigi eraõigusega reguleeritud asutustele, kellele on delegeeritud avaliku ja erasektori partnerluse rakendamine ja kes esitavad piisavad fi</w:t>
      </w:r>
      <w:r>
        <w:rPr>
          <w:noProof/>
        </w:rPr>
        <w:t>nantstagatised;</w:t>
      </w:r>
    </w:p>
    <w:p w:rsidR="003563AD" w:rsidRDefault="00251882">
      <w:pPr>
        <w:pStyle w:val="ListDash2"/>
        <w:tabs>
          <w:tab w:val="clear" w:pos="1134"/>
          <w:tab w:val="num" w:pos="1276"/>
        </w:tabs>
        <w:ind w:left="1276"/>
        <w:rPr>
          <w:noProof/>
        </w:rPr>
      </w:pPr>
      <w:r>
        <w:rPr>
          <w:noProof/>
        </w:rPr>
        <w:sym w:font="Wingdings" w:char="F0A8"/>
      </w:r>
      <w:r>
        <w:rPr>
          <w:noProof/>
        </w:rPr>
        <w:t xml:space="preserve"> isikutele, kellele on delegeeritud ELi lepingu V jaotise kohaste ÜVJP erimeetmete rakendamine ja kes on kindlaks määratud asjaomases alusaktis.</w:t>
      </w:r>
    </w:p>
    <w:p w:rsidR="003563AD" w:rsidRDefault="00251882">
      <w:pPr>
        <w:pStyle w:val="ListDash2"/>
        <w:tabs>
          <w:tab w:val="clear" w:pos="1134"/>
          <w:tab w:val="num" w:pos="1276"/>
        </w:tabs>
        <w:ind w:left="1276"/>
        <w:rPr>
          <w:i/>
          <w:noProof/>
          <w:sz w:val="18"/>
          <w:u w:val="single"/>
        </w:rPr>
      </w:pPr>
      <w:r>
        <w:rPr>
          <w:i/>
          <w:noProof/>
          <w:sz w:val="18"/>
        </w:rPr>
        <w:t>Mitme eelarve täitmise viisi valimise korral esitage üksikasjad rubriigis „Märkused”.</w:t>
      </w:r>
    </w:p>
    <w:p w:rsidR="003563AD" w:rsidRDefault="00251882">
      <w:pPr>
        <w:rPr>
          <w:noProof/>
        </w:rPr>
      </w:pPr>
      <w:r>
        <w:rPr>
          <w:noProof/>
        </w:rPr>
        <w:t xml:space="preserve">Märkused </w:t>
      </w:r>
    </w:p>
    <w:p w:rsidR="003563AD" w:rsidRDefault="00251882">
      <w:pPr>
        <w:pBdr>
          <w:top w:val="single" w:sz="4" w:space="1" w:color="auto"/>
          <w:left w:val="single" w:sz="4" w:space="4" w:color="auto"/>
          <w:bottom w:val="single" w:sz="4" w:space="1" w:color="auto"/>
          <w:right w:val="single" w:sz="4" w:space="4" w:color="auto"/>
        </w:pBdr>
      </w:pPr>
      <w:r>
        <w:t xml:space="preserve">Selle algatuse elluviimisesse on kaasatud kolm Euroopa järelevalveasutust (EBA, ESMA ja EIOPA). Seega </w:t>
      </w:r>
      <w:r>
        <w:rPr>
          <w:noProof/>
          <w:color w:val="0000FF"/>
        </w:rPr>
        <w:t>on pakutud ressursid ette nähtud EBA, ESMA ja EIOPA jaoks, mis on reguleerivad, mitte rakendusametid. EBA, ESMA ja EIOPA tegutsevad komisjoni jä</w:t>
      </w:r>
      <w:r>
        <w:rPr>
          <w:noProof/>
          <w:color w:val="0000FF"/>
        </w:rPr>
        <w:t xml:space="preserve">relevalve all. </w:t>
      </w:r>
    </w:p>
    <w:p w:rsidR="003563AD" w:rsidRDefault="003563AD">
      <w:pPr>
        <w:pBdr>
          <w:top w:val="single" w:sz="4" w:space="1" w:color="auto"/>
          <w:left w:val="single" w:sz="4" w:space="4" w:color="auto"/>
          <w:bottom w:val="single" w:sz="4" w:space="1" w:color="auto"/>
          <w:right w:val="single" w:sz="4" w:space="4" w:color="auto"/>
        </w:pBdr>
        <w:rPr>
          <w:noProof/>
        </w:rPr>
      </w:pPr>
    </w:p>
    <w:p w:rsidR="003563AD" w:rsidRDefault="003563AD">
      <w:pPr>
        <w:pBdr>
          <w:top w:val="single" w:sz="4" w:space="1" w:color="auto"/>
          <w:left w:val="single" w:sz="4" w:space="4" w:color="auto"/>
          <w:bottom w:val="single" w:sz="4" w:space="1" w:color="auto"/>
          <w:right w:val="single" w:sz="4" w:space="4" w:color="auto"/>
        </w:pBdr>
        <w:rPr>
          <w:noProof/>
        </w:rPr>
        <w:sectPr w:rsidR="003563AD">
          <w:pgSz w:w="11907" w:h="16840" w:code="9"/>
          <w:pgMar w:top="1134" w:right="1418" w:bottom="1134" w:left="1418" w:header="709" w:footer="709" w:gutter="0"/>
          <w:cols w:space="708"/>
          <w:docGrid w:linePitch="360"/>
        </w:sectPr>
      </w:pPr>
    </w:p>
    <w:p w:rsidR="003563AD" w:rsidRDefault="00251882">
      <w:pPr>
        <w:pStyle w:val="ManualHeading1"/>
        <w:rPr>
          <w:bCs/>
          <w:noProof/>
          <w:szCs w:val="24"/>
        </w:rPr>
      </w:pPr>
      <w:r>
        <w:t>2.</w:t>
      </w:r>
      <w:r>
        <w:tab/>
      </w:r>
      <w:r>
        <w:rPr>
          <w:noProof/>
        </w:rPr>
        <w:t xml:space="preserve">MAJANDAMISMEETMED </w:t>
      </w:r>
    </w:p>
    <w:p w:rsidR="003563AD" w:rsidRDefault="00251882">
      <w:pPr>
        <w:pStyle w:val="ManualHeading2"/>
        <w:rPr>
          <w:noProof/>
        </w:rPr>
      </w:pPr>
      <w:r>
        <w:t>2.1.</w:t>
      </w:r>
      <w:r>
        <w:tab/>
      </w:r>
      <w:r>
        <w:rPr>
          <w:noProof/>
        </w:rPr>
        <w:t xml:space="preserve">Järelevalve ja aruandluse eeskirjad </w:t>
      </w:r>
    </w:p>
    <w:p w:rsidR="003563AD" w:rsidRDefault="00251882">
      <w:pPr>
        <w:pStyle w:val="Text1"/>
        <w:rPr>
          <w:i/>
          <w:noProof/>
          <w:sz w:val="20"/>
          <w:u w:val="single"/>
        </w:rPr>
      </w:pPr>
      <w:r>
        <w:rPr>
          <w:i/>
          <w:noProof/>
          <w:sz w:val="20"/>
        </w:rPr>
        <w:t>Täpsustage tingimused ja sagedus.</w:t>
      </w:r>
    </w:p>
    <w:p w:rsidR="003563AD" w:rsidRDefault="00251882">
      <w:pPr>
        <w:pStyle w:val="Text1"/>
        <w:pBdr>
          <w:top w:val="single" w:sz="4" w:space="1" w:color="auto"/>
          <w:left w:val="single" w:sz="4" w:space="4" w:color="auto"/>
          <w:bottom w:val="single" w:sz="4" w:space="1" w:color="auto"/>
          <w:right w:val="single" w:sz="4" w:space="4" w:color="auto"/>
        </w:pBdr>
        <w:rPr>
          <w:bCs/>
          <w:noProof/>
          <w:szCs w:val="24"/>
        </w:rPr>
      </w:pPr>
      <w:r>
        <w:t xml:space="preserve">Ettepanekuga nähakse ette, et komisjon peaks kavandatud meetmete tõhususe regulaarselt läbi vaatama. </w:t>
      </w:r>
    </w:p>
    <w:p w:rsidR="003563AD" w:rsidRDefault="00251882">
      <w:pPr>
        <w:pStyle w:val="ManualHeading3"/>
        <w:rPr>
          <w:noProof/>
        </w:rPr>
      </w:pPr>
      <w:r>
        <w:t>2.1.1.</w:t>
      </w:r>
      <w:r>
        <w:tab/>
      </w:r>
      <w:r>
        <w:rPr>
          <w:noProof/>
        </w:rPr>
        <w:t>Tuvastat</w:t>
      </w:r>
      <w:r>
        <w:rPr>
          <w:noProof/>
        </w:rPr>
        <w:t xml:space="preserve">ud ohud </w:t>
      </w:r>
    </w:p>
    <w:p w:rsidR="003563AD" w:rsidRDefault="00251882">
      <w:pPr>
        <w:pStyle w:val="Text1"/>
        <w:pBdr>
          <w:top w:val="single" w:sz="4" w:space="1" w:color="auto"/>
          <w:left w:val="single" w:sz="4" w:space="4" w:color="auto"/>
          <w:bottom w:val="single" w:sz="4" w:space="1" w:color="auto"/>
          <w:right w:val="single" w:sz="4" w:space="4" w:color="auto"/>
        </w:pBdr>
      </w:pPr>
      <w:r>
        <w:t>Seoses käesolevast ettepanekust tulenevate assigneeringute õigusliku, säästliku, tõhusa ja tulemusliku kasutamisega eeldatakse, et ettepanekuga ei kaasneks uusi ohtusid, mida praegu ei ole kaetud EBA, EIOPA ega ESMA olemasoleva sisekontrolli raami</w:t>
      </w:r>
      <w:r>
        <w:t>stikuga.</w:t>
      </w:r>
    </w:p>
    <w:p w:rsidR="003563AD" w:rsidRDefault="00251882">
      <w:pPr>
        <w:pStyle w:val="ManualHeading3"/>
        <w:rPr>
          <w:bCs/>
          <w:noProof/>
          <w:szCs w:val="24"/>
        </w:rPr>
      </w:pPr>
      <w:r>
        <w:t>2.1.2.</w:t>
      </w:r>
      <w:r>
        <w:tab/>
      </w:r>
      <w:r>
        <w:rPr>
          <w:noProof/>
        </w:rPr>
        <w:t>Teave loodud sisekontrollisüsteemi kohta</w:t>
      </w:r>
    </w:p>
    <w:p w:rsidR="003563AD" w:rsidRDefault="00251882">
      <w:pPr>
        <w:pStyle w:val="Text1"/>
        <w:pBdr>
          <w:top w:val="single" w:sz="4" w:space="1" w:color="auto"/>
          <w:left w:val="single" w:sz="4" w:space="4" w:color="auto"/>
          <w:bottom w:val="single" w:sz="4" w:space="1" w:color="auto"/>
          <w:right w:val="single" w:sz="4" w:space="4" w:color="auto"/>
        </w:pBdr>
        <w:rPr>
          <w:noProof/>
        </w:rPr>
      </w:pPr>
      <w:r>
        <w:t>Ei ole asjakohane</w:t>
      </w:r>
    </w:p>
    <w:p w:rsidR="003563AD" w:rsidRDefault="00251882">
      <w:pPr>
        <w:pStyle w:val="ManualHeading3"/>
        <w:rPr>
          <w:noProof/>
        </w:rPr>
      </w:pPr>
      <w:r>
        <w:t>2.1.3.</w:t>
      </w:r>
      <w:r>
        <w:tab/>
      </w:r>
      <w:r>
        <w:rPr>
          <w:noProof/>
        </w:rPr>
        <w:t xml:space="preserve">Kontrolliga kaasnevate kulude ja sellest saadava kasu hinnang ning veariski taseme prognoos </w:t>
      </w:r>
    </w:p>
    <w:p w:rsidR="003563AD" w:rsidRDefault="00251882">
      <w:pPr>
        <w:pStyle w:val="Text1"/>
        <w:pBdr>
          <w:top w:val="single" w:sz="4" w:space="1" w:color="auto"/>
          <w:left w:val="single" w:sz="4" w:space="4" w:color="auto"/>
          <w:bottom w:val="single" w:sz="4" w:space="1" w:color="auto"/>
          <w:right w:val="single" w:sz="4" w:space="4" w:color="auto"/>
        </w:pBdr>
        <w:rPr>
          <w:noProof/>
        </w:rPr>
      </w:pPr>
      <w:r>
        <w:t>Ei ole asjakohane</w:t>
      </w:r>
    </w:p>
    <w:p w:rsidR="003563AD" w:rsidRDefault="00251882">
      <w:pPr>
        <w:pStyle w:val="ManualHeading2"/>
        <w:rPr>
          <w:bCs/>
          <w:noProof/>
          <w:szCs w:val="24"/>
        </w:rPr>
      </w:pPr>
      <w:r>
        <w:t>2.2.</w:t>
      </w:r>
      <w:r>
        <w:tab/>
      </w:r>
      <w:r>
        <w:rPr>
          <w:noProof/>
        </w:rPr>
        <w:t xml:space="preserve">Pettuste ja muude eeskirjade eiramise ärahoidmise meetmed </w:t>
      </w:r>
    </w:p>
    <w:p w:rsidR="003563AD" w:rsidRDefault="00251882">
      <w:pPr>
        <w:pStyle w:val="Text1"/>
        <w:rPr>
          <w:i/>
          <w:noProof/>
          <w:sz w:val="20"/>
        </w:rPr>
      </w:pPr>
      <w:r>
        <w:rPr>
          <w:i/>
          <w:noProof/>
          <w:sz w:val="20"/>
        </w:rPr>
        <w:t>Täpsustage rakendatavad või kavandatud ennetus- ja kaitsemeetmed.</w:t>
      </w:r>
    </w:p>
    <w:p w:rsidR="003563AD" w:rsidRDefault="00251882">
      <w:pPr>
        <w:pStyle w:val="Text1"/>
        <w:pBdr>
          <w:top w:val="single" w:sz="4" w:space="1" w:color="auto"/>
          <w:left w:val="single" w:sz="4" w:space="4" w:color="auto"/>
          <w:bottom w:val="single" w:sz="4" w:space="1" w:color="auto"/>
          <w:right w:val="single" w:sz="4" w:space="4" w:color="auto"/>
        </w:pBdr>
      </w:pPr>
      <w:r>
        <w:t>Pettuse, korruptsiooni ja muu ebaseadusliku tegevuse vastu võitlemiseks kohaldatakse EBA, EIOPA ja ESMA suhtes piiranguteta Euroopa Parlamendi ja nõukogu 25. mai 1999. aasta määrust (EÜ) nr</w:t>
      </w:r>
      <w:r>
        <w:t xml:space="preserve"> 1073/1999 Euroopa Pettustevastase Ameti (OLAF) juurdluste kohta.</w:t>
      </w:r>
    </w:p>
    <w:p w:rsidR="003563AD" w:rsidRDefault="00251882">
      <w:pPr>
        <w:pStyle w:val="Text1"/>
        <w:pBdr>
          <w:top w:val="single" w:sz="4" w:space="1" w:color="auto"/>
          <w:left w:val="single" w:sz="4" w:space="4" w:color="auto"/>
          <w:bottom w:val="single" w:sz="4" w:space="1" w:color="auto"/>
          <w:right w:val="single" w:sz="4" w:space="4" w:color="auto"/>
        </w:pBdr>
      </w:pPr>
      <w:r>
        <w:t>EBA, EIOPA ja ESMA ühinevad Euroopa Parlamendi, Euroopa Liidu Nõukogu ja Euroopa Ühenduste Komisjoni vahelise 25. mai 1999. aasta kokkuleppega Euroopa Pettustevastase Ameti (OLAF) sisejuurdl</w:t>
      </w:r>
      <w:r>
        <w:t>uste kohta ning võtab viivitamata vastu asjakohased sätted, mida kohaldatakse EBA, EIOPA ja ESMA kõigi töötajate suhtes.</w:t>
      </w:r>
    </w:p>
    <w:p w:rsidR="003563AD" w:rsidRDefault="00251882">
      <w:pPr>
        <w:pStyle w:val="Text1"/>
        <w:pBdr>
          <w:top w:val="single" w:sz="4" w:space="1" w:color="auto"/>
          <w:left w:val="single" w:sz="4" w:space="4" w:color="auto"/>
          <w:bottom w:val="single" w:sz="4" w:space="1" w:color="auto"/>
          <w:right w:val="single" w:sz="4" w:space="4" w:color="auto"/>
        </w:pBdr>
      </w:pPr>
      <w:r>
        <w:t xml:space="preserve">Rahastamisotsustes ning nendest tulenevates lepingutes ja rakendusaktides on selgesõnaliselt sätestatud, et kontrollikoda ja OLAF </w:t>
      </w:r>
      <w:r>
        <w:t>võivad vajaduse korral teha EBA, EIOPA ja ESMA poolsest rahastamisest kasu saajate ning raha jaotamise eest vastutavate töötajate juures kohapealseid kontrolle.</w:t>
      </w:r>
    </w:p>
    <w:p w:rsidR="003563AD" w:rsidRDefault="00251882">
      <w:pPr>
        <w:pStyle w:val="Text1"/>
        <w:pBdr>
          <w:top w:val="single" w:sz="4" w:space="1" w:color="auto"/>
          <w:left w:val="single" w:sz="4" w:space="4" w:color="auto"/>
          <w:bottom w:val="single" w:sz="4" w:space="1" w:color="auto"/>
          <w:right w:val="single" w:sz="4" w:space="4" w:color="auto"/>
        </w:pBdr>
      </w:pPr>
      <w:r>
        <w:t xml:space="preserve">EBA asutamist käsitleva määruse artiklites 64 ja 65 on esitatud sätted EBA eelarve täitmise ja </w:t>
      </w:r>
      <w:r>
        <w:t>kontrolli ning kohaldatavate finantseeskirjade kohta.</w:t>
      </w:r>
    </w:p>
    <w:p w:rsidR="003563AD" w:rsidRDefault="003563AD">
      <w:pPr>
        <w:rPr>
          <w:noProof/>
        </w:rPr>
        <w:sectPr w:rsidR="003563AD">
          <w:pgSz w:w="11907" w:h="16840" w:code="9"/>
          <w:pgMar w:top="1134" w:right="1418" w:bottom="1134" w:left="1418" w:header="709" w:footer="709" w:gutter="0"/>
          <w:cols w:space="708"/>
          <w:docGrid w:linePitch="360"/>
        </w:sectPr>
      </w:pPr>
    </w:p>
    <w:p w:rsidR="003563AD" w:rsidRDefault="00251882">
      <w:pPr>
        <w:pStyle w:val="ManualHeading1"/>
        <w:rPr>
          <w:bCs/>
          <w:noProof/>
          <w:szCs w:val="24"/>
        </w:rPr>
      </w:pPr>
      <w:r>
        <w:t>3.</w:t>
      </w:r>
      <w:r>
        <w:tab/>
      </w:r>
      <w:r>
        <w:rPr>
          <w:noProof/>
        </w:rPr>
        <w:t xml:space="preserve">ETTEPANEKU/ALGATUSE HINNANGULINE FINANTSMÕJU </w:t>
      </w:r>
    </w:p>
    <w:p w:rsidR="003563AD" w:rsidRDefault="00251882">
      <w:pPr>
        <w:pStyle w:val="ManualHeading2"/>
        <w:rPr>
          <w:noProof/>
        </w:rPr>
      </w:pPr>
      <w:r>
        <w:t>3.1.</w:t>
      </w:r>
      <w:r>
        <w:tab/>
      </w:r>
      <w:r>
        <w:rPr>
          <w:noProof/>
        </w:rPr>
        <w:t xml:space="preserve">Mitmeaastase finantsraamistiku rubriigid ja kulude eelarveread, millele mõju avaldub </w:t>
      </w:r>
    </w:p>
    <w:p w:rsidR="003563AD" w:rsidRDefault="00251882">
      <w:pPr>
        <w:pStyle w:val="ListBullet1"/>
        <w:rPr>
          <w:noProof/>
        </w:rPr>
      </w:pPr>
      <w:r>
        <w:rPr>
          <w:noProof/>
        </w:rPr>
        <w:t xml:space="preserve">Olemasolevad eelarveread </w:t>
      </w:r>
    </w:p>
    <w:p w:rsidR="003563AD" w:rsidRDefault="00251882">
      <w:pPr>
        <w:pStyle w:val="Text1"/>
        <w:rPr>
          <w:noProof/>
        </w:rPr>
      </w:pPr>
      <w:r>
        <w:rPr>
          <w:noProof/>
          <w:u w:val="single"/>
        </w:rPr>
        <w:t>Järjestage</w:t>
      </w:r>
      <w:r>
        <w:rPr>
          <w:noProof/>
        </w:rPr>
        <w:t xml:space="preserve"> mitmeaastase finantsraamistiku rubriikide kaupa ja iga rubriigi sees eelarveridade kaupa.</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3563AD">
        <w:tc>
          <w:tcPr>
            <w:tcW w:w="1080" w:type="dxa"/>
            <w:vMerge w:val="restart"/>
            <w:vAlign w:val="center"/>
          </w:tcPr>
          <w:p w:rsidR="003563AD" w:rsidRDefault="00251882">
            <w:pPr>
              <w:spacing w:before="60" w:after="60"/>
              <w:jc w:val="center"/>
              <w:rPr>
                <w:noProof/>
              </w:rPr>
            </w:pPr>
            <w:r>
              <w:rPr>
                <w:noProof/>
                <w:sz w:val="18"/>
              </w:rPr>
              <w:t>Mitme-aastase finants-raamistiku rubriik</w:t>
            </w:r>
          </w:p>
        </w:tc>
        <w:tc>
          <w:tcPr>
            <w:tcW w:w="3960" w:type="dxa"/>
            <w:vAlign w:val="center"/>
          </w:tcPr>
          <w:p w:rsidR="003563AD" w:rsidRDefault="00251882">
            <w:pPr>
              <w:spacing w:before="60" w:after="60"/>
              <w:jc w:val="center"/>
              <w:rPr>
                <w:noProof/>
              </w:rPr>
            </w:pPr>
            <w:r>
              <w:rPr>
                <w:noProof/>
                <w:sz w:val="20"/>
              </w:rPr>
              <w:t>Eelarverida</w:t>
            </w:r>
          </w:p>
        </w:tc>
        <w:tc>
          <w:tcPr>
            <w:tcW w:w="1080" w:type="dxa"/>
            <w:vAlign w:val="center"/>
          </w:tcPr>
          <w:p w:rsidR="003563AD" w:rsidRDefault="00251882">
            <w:pPr>
              <w:spacing w:before="60" w:after="60"/>
              <w:jc w:val="center"/>
              <w:rPr>
                <w:noProof/>
              </w:rPr>
            </w:pPr>
            <w:r>
              <w:rPr>
                <w:noProof/>
              </w:rPr>
              <w:t>Kulu liik</w:t>
            </w:r>
          </w:p>
        </w:tc>
        <w:tc>
          <w:tcPr>
            <w:tcW w:w="4440" w:type="dxa"/>
            <w:gridSpan w:val="4"/>
            <w:vAlign w:val="center"/>
          </w:tcPr>
          <w:p w:rsidR="003563AD" w:rsidRDefault="00251882">
            <w:pPr>
              <w:spacing w:before="60" w:after="60"/>
              <w:jc w:val="center"/>
              <w:rPr>
                <w:noProof/>
              </w:rPr>
            </w:pPr>
            <w:r>
              <w:rPr>
                <w:noProof/>
                <w:sz w:val="20"/>
              </w:rPr>
              <w:t xml:space="preserve">Osalus </w:t>
            </w:r>
          </w:p>
        </w:tc>
      </w:tr>
      <w:tr w:rsidR="003563AD">
        <w:tc>
          <w:tcPr>
            <w:tcW w:w="1080" w:type="dxa"/>
            <w:vMerge/>
            <w:vAlign w:val="center"/>
          </w:tcPr>
          <w:p w:rsidR="003563AD" w:rsidRDefault="003563AD">
            <w:pPr>
              <w:jc w:val="center"/>
              <w:rPr>
                <w:noProof/>
              </w:rPr>
            </w:pPr>
          </w:p>
        </w:tc>
        <w:tc>
          <w:tcPr>
            <w:tcW w:w="3960" w:type="dxa"/>
            <w:vAlign w:val="center"/>
          </w:tcPr>
          <w:p w:rsidR="003563AD" w:rsidRDefault="003563AD">
            <w:pPr>
              <w:rPr>
                <w:noProof/>
              </w:rPr>
            </w:pPr>
          </w:p>
        </w:tc>
        <w:tc>
          <w:tcPr>
            <w:tcW w:w="1080" w:type="dxa"/>
            <w:vAlign w:val="center"/>
          </w:tcPr>
          <w:p w:rsidR="003563AD" w:rsidRDefault="00251882">
            <w:pPr>
              <w:jc w:val="center"/>
              <w:rPr>
                <w:noProof/>
              </w:rPr>
            </w:pPr>
            <w:r>
              <w:rPr>
                <w:noProof/>
              </w:rPr>
              <w:t>Liigen-datud/ liigen-damata</w:t>
            </w:r>
            <w:r>
              <w:rPr>
                <w:rStyle w:val="FootnoteReference"/>
                <w:noProof/>
              </w:rPr>
              <w:footnoteReference w:id="33"/>
            </w:r>
          </w:p>
        </w:tc>
        <w:tc>
          <w:tcPr>
            <w:tcW w:w="956" w:type="dxa"/>
            <w:vAlign w:val="center"/>
          </w:tcPr>
          <w:p w:rsidR="003563AD" w:rsidRDefault="00251882">
            <w:pPr>
              <w:jc w:val="center"/>
              <w:rPr>
                <w:noProof/>
              </w:rPr>
            </w:pPr>
            <w:r>
              <w:rPr>
                <w:noProof/>
                <w:sz w:val="18"/>
              </w:rPr>
              <w:t>EFTA riikidelt</w:t>
            </w:r>
            <w:r>
              <w:rPr>
                <w:rStyle w:val="FootnoteReference"/>
                <w:noProof/>
                <w:sz w:val="18"/>
              </w:rPr>
              <w:footnoteReference w:id="34"/>
            </w:r>
          </w:p>
          <w:p w:rsidR="003563AD" w:rsidRDefault="003563AD">
            <w:pPr>
              <w:spacing w:before="0" w:after="0"/>
              <w:jc w:val="center"/>
              <w:rPr>
                <w:b/>
                <w:noProof/>
                <w:sz w:val="18"/>
              </w:rPr>
            </w:pPr>
          </w:p>
        </w:tc>
        <w:tc>
          <w:tcPr>
            <w:tcW w:w="1080" w:type="dxa"/>
            <w:vAlign w:val="center"/>
          </w:tcPr>
          <w:p w:rsidR="003563AD" w:rsidRDefault="00251882">
            <w:pPr>
              <w:jc w:val="center"/>
              <w:rPr>
                <w:noProof/>
              </w:rPr>
            </w:pPr>
            <w:r>
              <w:rPr>
                <w:noProof/>
                <w:sz w:val="18"/>
              </w:rPr>
              <w:t>Kandidaat-riikidelt</w:t>
            </w:r>
            <w:r>
              <w:rPr>
                <w:rStyle w:val="FootnoteReference"/>
                <w:noProof/>
                <w:sz w:val="18"/>
              </w:rPr>
              <w:footnoteReference w:id="35"/>
            </w:r>
          </w:p>
          <w:p w:rsidR="003563AD" w:rsidRDefault="003563AD">
            <w:pPr>
              <w:spacing w:before="0" w:after="0"/>
              <w:jc w:val="center"/>
              <w:rPr>
                <w:noProof/>
                <w:sz w:val="18"/>
              </w:rPr>
            </w:pPr>
          </w:p>
        </w:tc>
        <w:tc>
          <w:tcPr>
            <w:tcW w:w="956" w:type="dxa"/>
            <w:vAlign w:val="center"/>
          </w:tcPr>
          <w:p w:rsidR="003563AD" w:rsidRDefault="00251882">
            <w:pPr>
              <w:jc w:val="center"/>
              <w:rPr>
                <w:noProof/>
                <w:sz w:val="18"/>
              </w:rPr>
            </w:pPr>
            <w:r>
              <w:rPr>
                <w:noProof/>
                <w:sz w:val="18"/>
              </w:rPr>
              <w:t>kolmanda-test riikidest</w:t>
            </w:r>
          </w:p>
        </w:tc>
        <w:tc>
          <w:tcPr>
            <w:tcW w:w="1448" w:type="dxa"/>
            <w:vAlign w:val="center"/>
          </w:tcPr>
          <w:p w:rsidR="003563AD" w:rsidRDefault="00251882">
            <w:pPr>
              <w:jc w:val="center"/>
              <w:rPr>
                <w:noProof/>
              </w:rPr>
            </w:pPr>
            <w:r>
              <w:rPr>
                <w:noProof/>
                <w:sz w:val="16"/>
              </w:rPr>
              <w:t xml:space="preserve">Rahaline osalus finantsmääruse artikli 21 lõike 2 punkti b tähenduses </w:t>
            </w:r>
          </w:p>
        </w:tc>
      </w:tr>
      <w:tr w:rsidR="003563AD">
        <w:tc>
          <w:tcPr>
            <w:tcW w:w="1080" w:type="dxa"/>
            <w:vAlign w:val="center"/>
          </w:tcPr>
          <w:p w:rsidR="003563AD" w:rsidRDefault="00251882">
            <w:pPr>
              <w:jc w:val="center"/>
              <w:rPr>
                <w:noProof/>
                <w:color w:val="0000FF"/>
              </w:rPr>
            </w:pPr>
            <w:r>
              <w:rPr>
                <w:noProof/>
                <w:color w:val="0000FF"/>
              </w:rPr>
              <w:t>1a</w:t>
            </w:r>
          </w:p>
        </w:tc>
        <w:tc>
          <w:tcPr>
            <w:tcW w:w="3960" w:type="dxa"/>
            <w:vAlign w:val="center"/>
          </w:tcPr>
          <w:p w:rsidR="003563AD" w:rsidRDefault="00251882">
            <w:pPr>
              <w:jc w:val="center"/>
            </w:pPr>
            <w:r>
              <w:t>12.02.04 EBA</w:t>
            </w:r>
          </w:p>
          <w:p w:rsidR="003563AD" w:rsidRDefault="003563AD">
            <w:pPr>
              <w:spacing w:after="60"/>
              <w:jc w:val="center"/>
            </w:pPr>
          </w:p>
        </w:tc>
        <w:tc>
          <w:tcPr>
            <w:tcW w:w="1080" w:type="dxa"/>
            <w:vAlign w:val="center"/>
          </w:tcPr>
          <w:p w:rsidR="003563AD" w:rsidRDefault="00251882">
            <w:pPr>
              <w:jc w:val="center"/>
            </w:pPr>
            <w:r>
              <w:t>Liigendatud</w:t>
            </w:r>
          </w:p>
        </w:tc>
        <w:tc>
          <w:tcPr>
            <w:tcW w:w="956" w:type="dxa"/>
            <w:vAlign w:val="center"/>
          </w:tcPr>
          <w:p w:rsidR="003563AD" w:rsidRDefault="00251882">
            <w:pPr>
              <w:jc w:val="center"/>
            </w:pPr>
            <w:r>
              <w:t>JAH</w:t>
            </w:r>
          </w:p>
        </w:tc>
        <w:tc>
          <w:tcPr>
            <w:tcW w:w="1080" w:type="dxa"/>
            <w:vAlign w:val="center"/>
          </w:tcPr>
          <w:p w:rsidR="003563AD" w:rsidRDefault="00251882">
            <w:pPr>
              <w:jc w:val="center"/>
            </w:pPr>
            <w:r>
              <w:t>JAH</w:t>
            </w:r>
          </w:p>
        </w:tc>
        <w:tc>
          <w:tcPr>
            <w:tcW w:w="956" w:type="dxa"/>
            <w:vAlign w:val="center"/>
          </w:tcPr>
          <w:p w:rsidR="003563AD" w:rsidRDefault="00251882">
            <w:pPr>
              <w:jc w:val="center"/>
            </w:pPr>
            <w:r>
              <w:t>EI</w:t>
            </w:r>
          </w:p>
        </w:tc>
        <w:tc>
          <w:tcPr>
            <w:tcW w:w="1448" w:type="dxa"/>
            <w:vAlign w:val="center"/>
          </w:tcPr>
          <w:p w:rsidR="003563AD" w:rsidRDefault="00251882">
            <w:pPr>
              <w:jc w:val="center"/>
            </w:pPr>
            <w:r>
              <w:t>EI</w:t>
            </w:r>
          </w:p>
        </w:tc>
      </w:tr>
      <w:tr w:rsidR="003563AD">
        <w:tc>
          <w:tcPr>
            <w:tcW w:w="1080" w:type="dxa"/>
          </w:tcPr>
          <w:p w:rsidR="003563AD" w:rsidRDefault="00251882">
            <w:pPr>
              <w:jc w:val="center"/>
              <w:rPr>
                <w:noProof/>
                <w:color w:val="0000FF"/>
              </w:rPr>
            </w:pPr>
            <w:r>
              <w:rPr>
                <w:noProof/>
                <w:color w:val="0000FF"/>
              </w:rPr>
              <w:t>1a</w:t>
            </w:r>
          </w:p>
        </w:tc>
        <w:tc>
          <w:tcPr>
            <w:tcW w:w="3960" w:type="dxa"/>
            <w:vAlign w:val="center"/>
          </w:tcPr>
          <w:p w:rsidR="003563AD" w:rsidRDefault="00251882">
            <w:pPr>
              <w:jc w:val="center"/>
            </w:pPr>
            <w:r>
              <w:t>12.02.05 EIOPA</w:t>
            </w:r>
          </w:p>
        </w:tc>
        <w:tc>
          <w:tcPr>
            <w:tcW w:w="1080" w:type="dxa"/>
            <w:vAlign w:val="center"/>
          </w:tcPr>
          <w:p w:rsidR="003563AD" w:rsidRDefault="00251882">
            <w:pPr>
              <w:jc w:val="center"/>
            </w:pPr>
            <w:r>
              <w:t>Liigendatud</w:t>
            </w:r>
          </w:p>
        </w:tc>
        <w:tc>
          <w:tcPr>
            <w:tcW w:w="956" w:type="dxa"/>
            <w:vAlign w:val="center"/>
          </w:tcPr>
          <w:p w:rsidR="003563AD" w:rsidRDefault="00251882">
            <w:pPr>
              <w:jc w:val="center"/>
            </w:pPr>
            <w:r>
              <w:t>JAH</w:t>
            </w:r>
          </w:p>
        </w:tc>
        <w:tc>
          <w:tcPr>
            <w:tcW w:w="1080" w:type="dxa"/>
            <w:vAlign w:val="center"/>
          </w:tcPr>
          <w:p w:rsidR="003563AD" w:rsidRDefault="00251882">
            <w:pPr>
              <w:jc w:val="center"/>
            </w:pPr>
            <w:r>
              <w:t>JAH</w:t>
            </w:r>
          </w:p>
        </w:tc>
        <w:tc>
          <w:tcPr>
            <w:tcW w:w="956" w:type="dxa"/>
            <w:vAlign w:val="center"/>
          </w:tcPr>
          <w:p w:rsidR="003563AD" w:rsidRDefault="00251882">
            <w:pPr>
              <w:jc w:val="center"/>
            </w:pPr>
            <w:r>
              <w:t>EI</w:t>
            </w:r>
          </w:p>
        </w:tc>
        <w:tc>
          <w:tcPr>
            <w:tcW w:w="1448" w:type="dxa"/>
            <w:vAlign w:val="center"/>
          </w:tcPr>
          <w:p w:rsidR="003563AD" w:rsidRDefault="00251882">
            <w:pPr>
              <w:jc w:val="center"/>
            </w:pPr>
            <w:r>
              <w:t>EI</w:t>
            </w:r>
          </w:p>
        </w:tc>
      </w:tr>
      <w:tr w:rsidR="003563AD">
        <w:tc>
          <w:tcPr>
            <w:tcW w:w="1080" w:type="dxa"/>
          </w:tcPr>
          <w:p w:rsidR="003563AD" w:rsidRDefault="00251882">
            <w:pPr>
              <w:jc w:val="center"/>
              <w:rPr>
                <w:noProof/>
                <w:color w:val="0000FF"/>
              </w:rPr>
            </w:pPr>
            <w:r>
              <w:rPr>
                <w:noProof/>
                <w:color w:val="0000FF"/>
              </w:rPr>
              <w:t>1a</w:t>
            </w:r>
          </w:p>
        </w:tc>
        <w:tc>
          <w:tcPr>
            <w:tcW w:w="3960" w:type="dxa"/>
            <w:vAlign w:val="center"/>
          </w:tcPr>
          <w:p w:rsidR="003563AD" w:rsidRDefault="00251882">
            <w:pPr>
              <w:jc w:val="center"/>
            </w:pPr>
            <w:r>
              <w:t>12.02.06 ESMA</w:t>
            </w:r>
          </w:p>
        </w:tc>
        <w:tc>
          <w:tcPr>
            <w:tcW w:w="1080" w:type="dxa"/>
            <w:vAlign w:val="center"/>
          </w:tcPr>
          <w:p w:rsidR="003563AD" w:rsidRDefault="00251882">
            <w:pPr>
              <w:jc w:val="center"/>
            </w:pPr>
            <w:r>
              <w:t>Liigendatud</w:t>
            </w:r>
          </w:p>
        </w:tc>
        <w:tc>
          <w:tcPr>
            <w:tcW w:w="956" w:type="dxa"/>
            <w:vAlign w:val="center"/>
          </w:tcPr>
          <w:p w:rsidR="003563AD" w:rsidRDefault="00251882">
            <w:pPr>
              <w:jc w:val="center"/>
            </w:pPr>
            <w:r>
              <w:t>JAH</w:t>
            </w:r>
          </w:p>
        </w:tc>
        <w:tc>
          <w:tcPr>
            <w:tcW w:w="1080" w:type="dxa"/>
            <w:vAlign w:val="center"/>
          </w:tcPr>
          <w:p w:rsidR="003563AD" w:rsidRDefault="00251882">
            <w:pPr>
              <w:jc w:val="center"/>
            </w:pPr>
            <w:r>
              <w:t>JAH</w:t>
            </w:r>
          </w:p>
        </w:tc>
        <w:tc>
          <w:tcPr>
            <w:tcW w:w="956" w:type="dxa"/>
            <w:vAlign w:val="center"/>
          </w:tcPr>
          <w:p w:rsidR="003563AD" w:rsidRDefault="00251882">
            <w:pPr>
              <w:jc w:val="center"/>
            </w:pPr>
            <w:r>
              <w:t>EI</w:t>
            </w:r>
          </w:p>
        </w:tc>
        <w:tc>
          <w:tcPr>
            <w:tcW w:w="1448" w:type="dxa"/>
            <w:vAlign w:val="center"/>
          </w:tcPr>
          <w:p w:rsidR="003563AD" w:rsidRDefault="00251882">
            <w:pPr>
              <w:jc w:val="center"/>
            </w:pPr>
            <w:r>
              <w:t>EI</w:t>
            </w:r>
          </w:p>
        </w:tc>
      </w:tr>
    </w:tbl>
    <w:p w:rsidR="003563AD" w:rsidRDefault="00251882">
      <w:pPr>
        <w:pStyle w:val="ListBullet1"/>
        <w:rPr>
          <w:noProof/>
        </w:rPr>
      </w:pPr>
      <w:r>
        <w:rPr>
          <w:noProof/>
        </w:rPr>
        <w:t xml:space="preserve">Uued eelarveread, mille loomist taotletakse </w:t>
      </w:r>
    </w:p>
    <w:p w:rsidR="003563AD" w:rsidRDefault="00251882">
      <w:pPr>
        <w:pStyle w:val="Text1"/>
        <w:rPr>
          <w:i/>
          <w:noProof/>
          <w:sz w:val="20"/>
        </w:rPr>
      </w:pPr>
      <w:r>
        <w:rPr>
          <w:i/>
          <w:noProof/>
          <w:u w:val="single"/>
        </w:rPr>
        <w:t>Järjestage</w:t>
      </w:r>
      <w:r>
        <w:rPr>
          <w:i/>
          <w:noProof/>
        </w:rPr>
        <w:t xml:space="preserve"> mitmeaastase finantsraamistiku rubriikide kaupa ja iga rubriigi sees eelarveridade kaupa.</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3563AD">
        <w:tc>
          <w:tcPr>
            <w:tcW w:w="1080" w:type="dxa"/>
            <w:vMerge w:val="restart"/>
            <w:vAlign w:val="center"/>
          </w:tcPr>
          <w:p w:rsidR="003563AD" w:rsidRDefault="00251882">
            <w:pPr>
              <w:spacing w:before="60" w:after="60"/>
              <w:jc w:val="center"/>
              <w:rPr>
                <w:noProof/>
                <w:sz w:val="18"/>
                <w:szCs w:val="18"/>
              </w:rPr>
            </w:pPr>
            <w:r>
              <w:rPr>
                <w:noProof/>
                <w:sz w:val="18"/>
              </w:rPr>
              <w:t>Mitme-aastase finants-raamistiku rubriik</w:t>
            </w:r>
          </w:p>
        </w:tc>
        <w:tc>
          <w:tcPr>
            <w:tcW w:w="3960" w:type="dxa"/>
            <w:vAlign w:val="center"/>
          </w:tcPr>
          <w:p w:rsidR="003563AD" w:rsidRDefault="00251882">
            <w:pPr>
              <w:spacing w:before="60" w:after="60"/>
              <w:jc w:val="center"/>
              <w:rPr>
                <w:noProof/>
              </w:rPr>
            </w:pPr>
            <w:r>
              <w:rPr>
                <w:noProof/>
                <w:sz w:val="20"/>
              </w:rPr>
              <w:t>Eelarverida</w:t>
            </w:r>
          </w:p>
        </w:tc>
        <w:tc>
          <w:tcPr>
            <w:tcW w:w="1080" w:type="dxa"/>
            <w:vAlign w:val="center"/>
          </w:tcPr>
          <w:p w:rsidR="003563AD" w:rsidRDefault="00251882">
            <w:pPr>
              <w:spacing w:before="60" w:after="60"/>
              <w:jc w:val="center"/>
              <w:rPr>
                <w:noProof/>
              </w:rPr>
            </w:pPr>
            <w:r>
              <w:rPr>
                <w:noProof/>
              </w:rPr>
              <w:t>Kulu liik</w:t>
            </w:r>
          </w:p>
        </w:tc>
        <w:tc>
          <w:tcPr>
            <w:tcW w:w="4440" w:type="dxa"/>
            <w:gridSpan w:val="4"/>
            <w:vAlign w:val="center"/>
          </w:tcPr>
          <w:p w:rsidR="003563AD" w:rsidRDefault="00251882">
            <w:pPr>
              <w:spacing w:before="60" w:after="60"/>
              <w:jc w:val="center"/>
              <w:rPr>
                <w:noProof/>
              </w:rPr>
            </w:pPr>
            <w:r>
              <w:rPr>
                <w:noProof/>
                <w:sz w:val="20"/>
              </w:rPr>
              <w:t xml:space="preserve">Osalus </w:t>
            </w:r>
          </w:p>
        </w:tc>
      </w:tr>
      <w:tr w:rsidR="003563AD">
        <w:tc>
          <w:tcPr>
            <w:tcW w:w="1080" w:type="dxa"/>
            <w:vMerge/>
            <w:vAlign w:val="center"/>
          </w:tcPr>
          <w:p w:rsidR="003563AD" w:rsidRDefault="003563AD">
            <w:pPr>
              <w:jc w:val="center"/>
              <w:rPr>
                <w:noProof/>
              </w:rPr>
            </w:pPr>
          </w:p>
        </w:tc>
        <w:tc>
          <w:tcPr>
            <w:tcW w:w="3960" w:type="dxa"/>
            <w:vAlign w:val="center"/>
          </w:tcPr>
          <w:p w:rsidR="003563AD" w:rsidRDefault="00251882">
            <w:pPr>
              <w:rPr>
                <w:noProof/>
              </w:rPr>
            </w:pPr>
            <w:r>
              <w:rPr>
                <w:noProof/>
              </w:rPr>
              <w:t>Number</w:t>
            </w:r>
            <w:r>
              <w:rPr>
                <w:noProof/>
                <w:sz w:val="22"/>
              </w:rPr>
              <w:br/>
            </w:r>
            <w:r>
              <w:rPr>
                <w:noProof/>
                <w:sz w:val="20"/>
              </w:rPr>
              <w:t>[Rubriik………………………………………]</w:t>
            </w:r>
          </w:p>
        </w:tc>
        <w:tc>
          <w:tcPr>
            <w:tcW w:w="1080" w:type="dxa"/>
            <w:vAlign w:val="center"/>
          </w:tcPr>
          <w:p w:rsidR="003563AD" w:rsidRDefault="00251882">
            <w:pPr>
              <w:jc w:val="center"/>
              <w:rPr>
                <w:noProof/>
              </w:rPr>
            </w:pPr>
            <w:r>
              <w:rPr>
                <w:noProof/>
                <w:sz w:val="18"/>
              </w:rPr>
              <w:t>Liigen-datud/liigen-damata</w:t>
            </w:r>
          </w:p>
        </w:tc>
        <w:tc>
          <w:tcPr>
            <w:tcW w:w="956" w:type="dxa"/>
            <w:vAlign w:val="center"/>
          </w:tcPr>
          <w:p w:rsidR="003563AD" w:rsidRDefault="00251882">
            <w:pPr>
              <w:jc w:val="center"/>
              <w:rPr>
                <w:noProof/>
                <w:sz w:val="18"/>
              </w:rPr>
            </w:pPr>
            <w:r>
              <w:rPr>
                <w:noProof/>
                <w:sz w:val="18"/>
              </w:rPr>
              <w:t>EFTA riikidelt</w:t>
            </w:r>
          </w:p>
        </w:tc>
        <w:tc>
          <w:tcPr>
            <w:tcW w:w="1080" w:type="dxa"/>
            <w:vAlign w:val="center"/>
          </w:tcPr>
          <w:p w:rsidR="003563AD" w:rsidRDefault="00251882">
            <w:pPr>
              <w:jc w:val="center"/>
              <w:rPr>
                <w:noProof/>
                <w:sz w:val="18"/>
              </w:rPr>
            </w:pPr>
            <w:r>
              <w:rPr>
                <w:noProof/>
                <w:sz w:val="18"/>
              </w:rPr>
              <w:t>kandidaat-riikidelt</w:t>
            </w:r>
          </w:p>
        </w:tc>
        <w:tc>
          <w:tcPr>
            <w:tcW w:w="956" w:type="dxa"/>
            <w:vAlign w:val="center"/>
          </w:tcPr>
          <w:p w:rsidR="003563AD" w:rsidRDefault="00251882">
            <w:pPr>
              <w:jc w:val="center"/>
              <w:rPr>
                <w:noProof/>
                <w:sz w:val="18"/>
              </w:rPr>
            </w:pPr>
            <w:r>
              <w:rPr>
                <w:noProof/>
                <w:sz w:val="18"/>
              </w:rPr>
              <w:t>kolmanda-test riikidest</w:t>
            </w:r>
          </w:p>
        </w:tc>
        <w:tc>
          <w:tcPr>
            <w:tcW w:w="1448" w:type="dxa"/>
            <w:vAlign w:val="center"/>
          </w:tcPr>
          <w:p w:rsidR="003563AD" w:rsidRDefault="00251882">
            <w:pPr>
              <w:jc w:val="center"/>
              <w:rPr>
                <w:noProof/>
              </w:rPr>
            </w:pPr>
            <w:r>
              <w:rPr>
                <w:noProof/>
                <w:sz w:val="16"/>
              </w:rPr>
              <w:t xml:space="preserve">Rahaline osalus finantsmääruse artikli 21 lõike 2 punkti b tähenduses </w:t>
            </w:r>
          </w:p>
        </w:tc>
      </w:tr>
      <w:tr w:rsidR="003563AD">
        <w:tc>
          <w:tcPr>
            <w:tcW w:w="1080" w:type="dxa"/>
            <w:vAlign w:val="center"/>
          </w:tcPr>
          <w:p w:rsidR="003563AD" w:rsidRDefault="003563AD">
            <w:pPr>
              <w:jc w:val="center"/>
              <w:rPr>
                <w:noProof/>
                <w:color w:val="0000FF"/>
              </w:rPr>
            </w:pPr>
          </w:p>
        </w:tc>
        <w:tc>
          <w:tcPr>
            <w:tcW w:w="3960" w:type="dxa"/>
            <w:vAlign w:val="center"/>
          </w:tcPr>
          <w:p w:rsidR="003563AD" w:rsidRDefault="00251882">
            <w:pPr>
              <w:spacing w:before="60"/>
              <w:rPr>
                <w:noProof/>
              </w:rPr>
            </w:pPr>
            <w:r>
              <w:rPr>
                <w:noProof/>
                <w:sz w:val="22"/>
              </w:rPr>
              <w:t>[XX.AA.AA.AA]</w:t>
            </w:r>
          </w:p>
          <w:p w:rsidR="003563AD" w:rsidRDefault="003563AD">
            <w:pPr>
              <w:spacing w:after="60"/>
              <w:rPr>
                <w:noProof/>
                <w:color w:val="0000FF"/>
              </w:rPr>
            </w:pPr>
          </w:p>
        </w:tc>
        <w:tc>
          <w:tcPr>
            <w:tcW w:w="1080" w:type="dxa"/>
            <w:vAlign w:val="center"/>
          </w:tcPr>
          <w:p w:rsidR="003563AD" w:rsidRDefault="003563AD">
            <w:pPr>
              <w:jc w:val="center"/>
              <w:rPr>
                <w:noProof/>
                <w:color w:val="0000FF"/>
              </w:rPr>
            </w:pPr>
          </w:p>
        </w:tc>
        <w:tc>
          <w:tcPr>
            <w:tcW w:w="956" w:type="dxa"/>
            <w:vAlign w:val="center"/>
          </w:tcPr>
          <w:p w:rsidR="003563AD" w:rsidRDefault="00251882">
            <w:pPr>
              <w:jc w:val="center"/>
              <w:rPr>
                <w:noProof/>
              </w:rPr>
            </w:pPr>
            <w:r>
              <w:rPr>
                <w:noProof/>
                <w:sz w:val="22"/>
              </w:rPr>
              <w:t>JAH/EI</w:t>
            </w:r>
          </w:p>
        </w:tc>
        <w:tc>
          <w:tcPr>
            <w:tcW w:w="1080" w:type="dxa"/>
            <w:vAlign w:val="center"/>
          </w:tcPr>
          <w:p w:rsidR="003563AD" w:rsidRDefault="00251882">
            <w:pPr>
              <w:jc w:val="center"/>
              <w:rPr>
                <w:noProof/>
                <w:color w:val="0000FF"/>
                <w:sz w:val="18"/>
              </w:rPr>
            </w:pPr>
            <w:r>
              <w:rPr>
                <w:noProof/>
                <w:sz w:val="22"/>
              </w:rPr>
              <w:t>JAH/EI</w:t>
            </w:r>
          </w:p>
        </w:tc>
        <w:tc>
          <w:tcPr>
            <w:tcW w:w="956" w:type="dxa"/>
            <w:vAlign w:val="center"/>
          </w:tcPr>
          <w:p w:rsidR="003563AD" w:rsidRDefault="00251882">
            <w:pPr>
              <w:jc w:val="center"/>
              <w:rPr>
                <w:noProof/>
                <w:color w:val="0000FF"/>
                <w:sz w:val="18"/>
              </w:rPr>
            </w:pPr>
            <w:r>
              <w:rPr>
                <w:noProof/>
                <w:sz w:val="22"/>
              </w:rPr>
              <w:t>JAH/EI</w:t>
            </w:r>
          </w:p>
        </w:tc>
        <w:tc>
          <w:tcPr>
            <w:tcW w:w="1448" w:type="dxa"/>
            <w:vAlign w:val="center"/>
          </w:tcPr>
          <w:p w:rsidR="003563AD" w:rsidRDefault="00251882">
            <w:pPr>
              <w:jc w:val="center"/>
              <w:rPr>
                <w:noProof/>
              </w:rPr>
            </w:pPr>
            <w:r>
              <w:rPr>
                <w:noProof/>
                <w:sz w:val="22"/>
              </w:rPr>
              <w:t>JAH/EI</w:t>
            </w:r>
          </w:p>
        </w:tc>
      </w:tr>
    </w:tbl>
    <w:p w:rsidR="003563AD" w:rsidRDefault="003563AD">
      <w:pPr>
        <w:rPr>
          <w:noProof/>
        </w:rPr>
        <w:sectPr w:rsidR="003563AD">
          <w:pgSz w:w="11907" w:h="16840" w:code="1"/>
          <w:pgMar w:top="1134" w:right="1418" w:bottom="1134" w:left="1418" w:header="709" w:footer="709" w:gutter="0"/>
          <w:cols w:space="708"/>
          <w:docGrid w:linePitch="360"/>
        </w:sectPr>
      </w:pPr>
    </w:p>
    <w:p w:rsidR="003563AD" w:rsidRDefault="00251882">
      <w:pPr>
        <w:pStyle w:val="ManualHeading2"/>
        <w:rPr>
          <w:bCs/>
          <w:noProof/>
          <w:szCs w:val="24"/>
        </w:rPr>
      </w:pPr>
      <w:r>
        <w:t>3.2.</w:t>
      </w:r>
      <w:r>
        <w:tab/>
      </w:r>
      <w:r>
        <w:rPr>
          <w:noProof/>
        </w:rPr>
        <w:t xml:space="preserve">Hinnanguline mõju kuludele </w:t>
      </w:r>
    </w:p>
    <w:p w:rsidR="003563AD" w:rsidRDefault="00251882">
      <w:pPr>
        <w:pStyle w:val="Text1"/>
        <w:rPr>
          <w:noProof/>
        </w:rPr>
      </w:pPr>
      <w:r>
        <w:rPr>
          <w:noProof/>
          <w:highlight w:val="lightGray"/>
        </w:rPr>
        <w:t xml:space="preserve">[Selle punkti täitmisel tuleb kasutada </w:t>
      </w:r>
      <w:hyperlink r:id="rId13">
        <w:r>
          <w:rPr>
            <w:rStyle w:val="Hyperlink"/>
            <w:b/>
            <w:noProof/>
            <w:highlight w:val="lightGray"/>
          </w:rPr>
          <w:t>haldusalaste eelarveandmete tabelit</w:t>
        </w:r>
      </w:hyperlink>
      <w:r>
        <w:rPr>
          <w:noProof/>
          <w:highlight w:val="lightGray"/>
        </w:rPr>
        <w:t xml:space="preserve"> (käesoleva finantsselgituse lisas esitatud teine dokument) ja laadida see üles CISNETi võrku talitust</w:t>
      </w:r>
      <w:r>
        <w:rPr>
          <w:noProof/>
          <w:highlight w:val="lightGray"/>
        </w:rPr>
        <w:t>evahelise konsulteerimise eesmärgil.]</w:t>
      </w:r>
    </w:p>
    <w:p w:rsidR="003563AD" w:rsidRDefault="00251882">
      <w:pPr>
        <w:pStyle w:val="ManualHeading3"/>
        <w:rPr>
          <w:noProof/>
        </w:rPr>
      </w:pPr>
      <w:r>
        <w:t>3.2.1.</w:t>
      </w:r>
      <w:r>
        <w:tab/>
      </w:r>
      <w:r>
        <w:rPr>
          <w:noProof/>
        </w:rPr>
        <w:t xml:space="preserve">Üldine hinnanguline mõju kuludele </w:t>
      </w:r>
    </w:p>
    <w:p w:rsidR="003563AD" w:rsidRDefault="003563AD">
      <w:pPr>
        <w:pStyle w:val="Text1"/>
        <w:rPr>
          <w:noProof/>
        </w:rPr>
      </w:pPr>
    </w:p>
    <w:p w:rsidR="003563AD" w:rsidRDefault="00251882">
      <w:r>
        <w:t>Käesoleva seadusandliku algatuse mõju kuludele on järgmine.</w:t>
      </w:r>
    </w:p>
    <w:p w:rsidR="003563AD" w:rsidRDefault="00251882">
      <w:pPr>
        <w:pStyle w:val="Bullet0"/>
        <w:numPr>
          <w:ilvl w:val="0"/>
          <w:numId w:val="18"/>
        </w:numPr>
      </w:pPr>
      <w:r>
        <w:t>Kolme uue ajutise teenistuja töölevõtmine EBAs (2 ajutist teenistujat) — täpsem teave nende rolli ja nendega seondu</w:t>
      </w:r>
      <w:r>
        <w:t>vate kulude (millest 40 % rahastab EL ja 60 % liikmesriigid) arvutamise meetodi kohta on esitatud lisas.</w:t>
      </w:r>
    </w:p>
    <w:p w:rsidR="003563AD" w:rsidRDefault="00251882">
      <w:pPr>
        <w:pStyle w:val="Bullet0"/>
        <w:numPr>
          <w:ilvl w:val="0"/>
          <w:numId w:val="24"/>
        </w:numPr>
      </w:pPr>
      <w:r>
        <w:t>Kolme uue ajutise teenistuja töölevõtmine ESMAs — täpsem teave nende rolli ja nendega seonduvate kulude (millest 40 % rahastab EL ja 60 % liikmesriigid</w:t>
      </w:r>
      <w:r>
        <w:t>) arvutamise meetodi kohta on esitatud lisas.</w:t>
      </w:r>
    </w:p>
    <w:p w:rsidR="003563AD" w:rsidRDefault="00251882">
      <w:pPr>
        <w:pStyle w:val="Bullet0"/>
        <w:numPr>
          <w:ilvl w:val="0"/>
          <w:numId w:val="24"/>
        </w:numPr>
      </w:pPr>
      <w:r>
        <w:t>Kahe uue ajutise teenistuja töölevõtmine EIOPAs (2 ajutist teenistujat) — täpsem teave nende rolli ja nendega seonduvate kulude (millest 40 % rahastab EL ja 60 % liikmesriigid) arvutamise meetodi kohta on esita</w:t>
      </w:r>
      <w:r>
        <w:t>tud lisas.</w:t>
      </w:r>
    </w:p>
    <w:p w:rsidR="003563AD" w:rsidRDefault="00251882">
      <w:r>
        <w:t xml:space="preserve">ESMA, EBA ja EIOPA täidetavate ülesannetega seotud personalikulud on arvestatud kooskõlas Euroopa järelevalveasutuste 2015. aasta eelarveprojekti kulude klassifikatsiooniga. </w:t>
      </w:r>
    </w:p>
    <w:p w:rsidR="003563AD" w:rsidRDefault="003563AD">
      <w:pPr>
        <w:pStyle w:val="Text1"/>
        <w:rPr>
          <w:noProof/>
        </w:rPr>
      </w:pPr>
    </w:p>
    <w:p w:rsidR="003563AD" w:rsidRDefault="003563AD">
      <w:pPr>
        <w:pStyle w:val="Text1"/>
        <w:rPr>
          <w:noProof/>
        </w:rPr>
      </w:pPr>
    </w:p>
    <w:p w:rsidR="003563AD" w:rsidRDefault="00251882">
      <w:pPr>
        <w:jc w:val="right"/>
        <w:rPr>
          <w:noProof/>
          <w:sz w:val="20"/>
        </w:rPr>
      </w:pPr>
      <w:r>
        <w:rPr>
          <w:noProof/>
          <w:sz w:val="20"/>
        </w:rPr>
        <w:t>miljonites eurodes (kolm kohta pärast koma)</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29"/>
        <w:gridCol w:w="7868"/>
      </w:tblGrid>
      <w:tr w:rsidR="003563AD">
        <w:trPr>
          <w:jc w:val="center"/>
        </w:trPr>
        <w:tc>
          <w:tcPr>
            <w:tcW w:w="4744" w:type="dxa"/>
            <w:shd w:val="thinDiagStripe" w:color="C0C0C0" w:fill="auto"/>
            <w:vAlign w:val="center"/>
          </w:tcPr>
          <w:p w:rsidR="003563AD" w:rsidRDefault="00251882">
            <w:pPr>
              <w:spacing w:before="60" w:after="60"/>
              <w:jc w:val="center"/>
              <w:rPr>
                <w:b/>
                <w:noProof/>
              </w:rPr>
            </w:pPr>
            <w:r>
              <w:rPr>
                <w:b/>
                <w:noProof/>
              </w:rPr>
              <w:t xml:space="preserve">Mitmeaastase </w:t>
            </w:r>
            <w:r>
              <w:rPr>
                <w:b/>
                <w:noProof/>
              </w:rPr>
              <w:t>finantsraamistiku rubriik</w:t>
            </w:r>
            <w:r>
              <w:rPr>
                <w:b/>
                <w:noProof/>
                <w:sz w:val="22"/>
              </w:rPr>
              <w:t xml:space="preserve"> </w:t>
            </w:r>
          </w:p>
        </w:tc>
        <w:tc>
          <w:tcPr>
            <w:tcW w:w="1029" w:type="dxa"/>
            <w:vAlign w:val="center"/>
          </w:tcPr>
          <w:p w:rsidR="003563AD" w:rsidRDefault="00251882">
            <w:pPr>
              <w:spacing w:before="60" w:after="60"/>
              <w:jc w:val="center"/>
              <w:rPr>
                <w:noProof/>
                <w:highlight w:val="yellow"/>
              </w:rPr>
            </w:pPr>
            <w:r>
              <w:rPr>
                <w:noProof/>
                <w:sz w:val="22"/>
              </w:rPr>
              <w:t>Number 1</w:t>
            </w:r>
          </w:p>
        </w:tc>
        <w:tc>
          <w:tcPr>
            <w:tcW w:w="7868" w:type="dxa"/>
            <w:vAlign w:val="center"/>
          </w:tcPr>
          <w:p w:rsidR="003563AD" w:rsidRDefault="00251882">
            <w:pPr>
              <w:spacing w:before="60" w:after="60"/>
              <w:rPr>
                <w:noProof/>
                <w:highlight w:val="yellow"/>
              </w:rPr>
            </w:pPr>
            <w:r>
              <w:rPr>
                <w:noProof/>
              </w:rPr>
              <w:t>Arukas ja kaasav majanduskasv</w:t>
            </w:r>
          </w:p>
        </w:tc>
      </w:tr>
    </w:tbl>
    <w:p w:rsidR="003563AD" w:rsidRDefault="003563AD">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rsidR="003563AD">
        <w:tc>
          <w:tcPr>
            <w:tcW w:w="3960" w:type="dxa"/>
            <w:vAlign w:val="center"/>
          </w:tcPr>
          <w:p w:rsidR="003563AD" w:rsidRDefault="00251882">
            <w:pPr>
              <w:jc w:val="center"/>
              <w:rPr>
                <w:noProof/>
              </w:rPr>
            </w:pPr>
            <w:r>
              <w:rPr>
                <w:noProof/>
                <w:sz w:val="22"/>
              </w:rPr>
              <w:t>Finantsstabiilsuse, finantsteenuste ja kapitaliturgude liidu peadirektoraat</w:t>
            </w:r>
          </w:p>
        </w:tc>
        <w:tc>
          <w:tcPr>
            <w:tcW w:w="1560" w:type="dxa"/>
            <w:gridSpan w:val="2"/>
          </w:tcPr>
          <w:p w:rsidR="003563AD" w:rsidRDefault="003563AD">
            <w:pPr>
              <w:rPr>
                <w:noProof/>
                <w:sz w:val="20"/>
              </w:rPr>
            </w:pPr>
          </w:p>
        </w:tc>
        <w:tc>
          <w:tcPr>
            <w:tcW w:w="534" w:type="dxa"/>
          </w:tcPr>
          <w:p w:rsidR="003563AD" w:rsidRDefault="003563AD">
            <w:pPr>
              <w:jc w:val="center"/>
              <w:rPr>
                <w:noProof/>
                <w:sz w:val="20"/>
              </w:rPr>
            </w:pPr>
          </w:p>
        </w:tc>
        <w:tc>
          <w:tcPr>
            <w:tcW w:w="868" w:type="dxa"/>
            <w:vAlign w:val="center"/>
          </w:tcPr>
          <w:p w:rsidR="003563AD" w:rsidRDefault="00251882">
            <w:pPr>
              <w:jc w:val="center"/>
              <w:rPr>
                <w:noProof/>
                <w:sz w:val="20"/>
              </w:rPr>
            </w:pPr>
            <w:r>
              <w:rPr>
                <w:noProof/>
                <w:sz w:val="20"/>
              </w:rPr>
              <w:t>r</w:t>
            </w:r>
            <w:r>
              <w:rPr>
                <w:noProof/>
                <w:sz w:val="22"/>
              </w:rPr>
              <w:br/>
            </w:r>
            <w:r>
              <w:rPr>
                <w:b/>
                <w:noProof/>
                <w:sz w:val="20"/>
              </w:rPr>
              <w:t>N</w:t>
            </w:r>
            <w:r>
              <w:rPr>
                <w:rStyle w:val="FootnoteReference"/>
                <w:b/>
                <w:noProof/>
                <w:sz w:val="20"/>
              </w:rPr>
              <w:footnoteReference w:id="36"/>
            </w:r>
          </w:p>
        </w:tc>
        <w:tc>
          <w:tcPr>
            <w:tcW w:w="868" w:type="dxa"/>
            <w:vAlign w:val="center"/>
          </w:tcPr>
          <w:p w:rsidR="003563AD" w:rsidRDefault="00251882">
            <w:pPr>
              <w:jc w:val="center"/>
              <w:rPr>
                <w:noProof/>
                <w:sz w:val="20"/>
              </w:rPr>
            </w:pPr>
            <w:r>
              <w:rPr>
                <w:noProof/>
              </w:rPr>
              <w:t>Aasta</w:t>
            </w:r>
            <w:r>
              <w:rPr>
                <w:noProof/>
                <w:sz w:val="22"/>
              </w:rPr>
              <w:br/>
            </w:r>
            <w:r>
              <w:rPr>
                <w:b/>
                <w:noProof/>
                <w:sz w:val="20"/>
              </w:rPr>
              <w:t>N+1</w:t>
            </w:r>
          </w:p>
        </w:tc>
        <w:tc>
          <w:tcPr>
            <w:tcW w:w="868" w:type="dxa"/>
            <w:vAlign w:val="center"/>
          </w:tcPr>
          <w:p w:rsidR="003563AD" w:rsidRDefault="00251882">
            <w:pPr>
              <w:jc w:val="center"/>
              <w:rPr>
                <w:noProof/>
                <w:sz w:val="20"/>
              </w:rPr>
            </w:pPr>
            <w:r>
              <w:rPr>
                <w:noProof/>
              </w:rPr>
              <w:t>Aasta</w:t>
            </w:r>
            <w:r>
              <w:rPr>
                <w:noProof/>
                <w:sz w:val="22"/>
              </w:rPr>
              <w:br/>
            </w:r>
            <w:r>
              <w:rPr>
                <w:b/>
                <w:noProof/>
                <w:sz w:val="20"/>
              </w:rPr>
              <w:t>N+2</w:t>
            </w:r>
          </w:p>
        </w:tc>
        <w:tc>
          <w:tcPr>
            <w:tcW w:w="868" w:type="dxa"/>
            <w:vAlign w:val="center"/>
          </w:tcPr>
          <w:p w:rsidR="003563AD" w:rsidRDefault="00251882">
            <w:pPr>
              <w:jc w:val="center"/>
              <w:rPr>
                <w:noProof/>
                <w:sz w:val="20"/>
              </w:rPr>
            </w:pPr>
            <w:r>
              <w:rPr>
                <w:noProof/>
              </w:rPr>
              <w:t>Aasta</w:t>
            </w:r>
            <w:r>
              <w:rPr>
                <w:noProof/>
                <w:sz w:val="22"/>
              </w:rPr>
              <w:br/>
            </w:r>
            <w:r>
              <w:rPr>
                <w:b/>
                <w:noProof/>
                <w:sz w:val="20"/>
              </w:rPr>
              <w:t>N+3</w:t>
            </w:r>
          </w:p>
        </w:tc>
        <w:tc>
          <w:tcPr>
            <w:tcW w:w="2604" w:type="dxa"/>
            <w:gridSpan w:val="3"/>
            <w:vAlign w:val="center"/>
          </w:tcPr>
          <w:p w:rsidR="003563AD" w:rsidRDefault="00251882">
            <w:pPr>
              <w:jc w:val="center"/>
              <w:rPr>
                <w:b/>
                <w:noProof/>
                <w:sz w:val="18"/>
              </w:rPr>
            </w:pPr>
            <w:r>
              <w:rPr>
                <w:noProof/>
                <w:sz w:val="18"/>
              </w:rPr>
              <w:t>Lisage vajalik arv aastaid, et kajastada kogu finantsmõju (vt punkt 1.6)</w:t>
            </w:r>
          </w:p>
        </w:tc>
        <w:tc>
          <w:tcPr>
            <w:tcW w:w="1777" w:type="dxa"/>
            <w:vAlign w:val="center"/>
          </w:tcPr>
          <w:p w:rsidR="003563AD" w:rsidRDefault="00251882">
            <w:pPr>
              <w:jc w:val="center"/>
              <w:rPr>
                <w:b/>
                <w:noProof/>
                <w:sz w:val="20"/>
              </w:rPr>
            </w:pPr>
            <w:r>
              <w:rPr>
                <w:b/>
                <w:noProof/>
                <w:sz w:val="20"/>
              </w:rPr>
              <w:t>KOKKU</w:t>
            </w:r>
          </w:p>
        </w:tc>
      </w:tr>
      <w:tr w:rsidR="003563AD">
        <w:trPr>
          <w:trHeight w:val="213"/>
        </w:trPr>
        <w:tc>
          <w:tcPr>
            <w:tcW w:w="6054" w:type="dxa"/>
            <w:gridSpan w:val="4"/>
            <w:vAlign w:val="center"/>
          </w:tcPr>
          <w:p w:rsidR="003563AD" w:rsidRDefault="00251882">
            <w:pPr>
              <w:spacing w:before="20" w:after="20"/>
              <w:rPr>
                <w:noProof/>
                <w:sz w:val="21"/>
              </w:rPr>
            </w:pPr>
            <w:r>
              <w:rPr>
                <w:noProof/>
                <w:sz w:val="21"/>
              </w:rPr>
              <w:sym w:font="Wingdings" w:char="F09F"/>
            </w:r>
            <w:r>
              <w:rPr>
                <w:noProof/>
              </w:rPr>
              <w:t xml:space="preserve"> Tegevusassigneeringud</w:t>
            </w:r>
          </w:p>
        </w:tc>
        <w:tc>
          <w:tcPr>
            <w:tcW w:w="868" w:type="dxa"/>
            <w:vAlign w:val="center"/>
          </w:tcPr>
          <w:p w:rsidR="003563AD" w:rsidRDefault="003563AD">
            <w:pPr>
              <w:rPr>
                <w:noProof/>
                <w:sz w:val="20"/>
              </w:rPr>
            </w:pPr>
          </w:p>
        </w:tc>
        <w:tc>
          <w:tcPr>
            <w:tcW w:w="868" w:type="dxa"/>
            <w:vAlign w:val="center"/>
          </w:tcPr>
          <w:p w:rsidR="003563AD" w:rsidRDefault="003563AD">
            <w:pPr>
              <w:rPr>
                <w:noProof/>
                <w:sz w:val="20"/>
              </w:rPr>
            </w:pPr>
          </w:p>
        </w:tc>
        <w:tc>
          <w:tcPr>
            <w:tcW w:w="868" w:type="dxa"/>
            <w:vAlign w:val="center"/>
          </w:tcPr>
          <w:p w:rsidR="003563AD" w:rsidRDefault="003563AD">
            <w:pPr>
              <w:rPr>
                <w:noProof/>
                <w:sz w:val="20"/>
              </w:rPr>
            </w:pPr>
          </w:p>
        </w:tc>
        <w:tc>
          <w:tcPr>
            <w:tcW w:w="868" w:type="dxa"/>
            <w:vAlign w:val="center"/>
          </w:tcPr>
          <w:p w:rsidR="003563AD" w:rsidRDefault="003563AD">
            <w:pPr>
              <w:rPr>
                <w:noProof/>
                <w:sz w:val="20"/>
              </w:rPr>
            </w:pPr>
          </w:p>
        </w:tc>
        <w:tc>
          <w:tcPr>
            <w:tcW w:w="868" w:type="dxa"/>
            <w:vAlign w:val="center"/>
          </w:tcPr>
          <w:p w:rsidR="003563AD" w:rsidRDefault="003563AD">
            <w:pPr>
              <w:rPr>
                <w:noProof/>
                <w:sz w:val="20"/>
              </w:rPr>
            </w:pPr>
          </w:p>
        </w:tc>
        <w:tc>
          <w:tcPr>
            <w:tcW w:w="868" w:type="dxa"/>
            <w:vAlign w:val="center"/>
          </w:tcPr>
          <w:p w:rsidR="003563AD" w:rsidRDefault="003563AD">
            <w:pPr>
              <w:rPr>
                <w:noProof/>
                <w:sz w:val="20"/>
              </w:rPr>
            </w:pPr>
          </w:p>
        </w:tc>
        <w:tc>
          <w:tcPr>
            <w:tcW w:w="868" w:type="dxa"/>
            <w:vAlign w:val="center"/>
          </w:tcPr>
          <w:p w:rsidR="003563AD" w:rsidRDefault="003563AD">
            <w:pPr>
              <w:rPr>
                <w:b/>
                <w:noProof/>
                <w:sz w:val="20"/>
              </w:rPr>
            </w:pPr>
          </w:p>
        </w:tc>
        <w:tc>
          <w:tcPr>
            <w:tcW w:w="1777" w:type="dxa"/>
            <w:vAlign w:val="center"/>
          </w:tcPr>
          <w:p w:rsidR="003563AD" w:rsidRDefault="003563AD">
            <w:pPr>
              <w:rPr>
                <w:b/>
                <w:noProof/>
                <w:sz w:val="20"/>
              </w:rPr>
            </w:pPr>
          </w:p>
        </w:tc>
      </w:tr>
      <w:tr w:rsidR="003563AD">
        <w:trPr>
          <w:trHeight w:val="277"/>
        </w:trPr>
        <w:tc>
          <w:tcPr>
            <w:tcW w:w="3960" w:type="dxa"/>
            <w:vMerge w:val="restart"/>
            <w:vAlign w:val="center"/>
          </w:tcPr>
          <w:p w:rsidR="003563AD" w:rsidRDefault="00251882">
            <w:pPr>
              <w:jc w:val="center"/>
            </w:pPr>
            <w:r>
              <w:t>12.02.04 EBA</w:t>
            </w:r>
          </w:p>
        </w:tc>
        <w:tc>
          <w:tcPr>
            <w:tcW w:w="1440" w:type="dxa"/>
            <w:vAlign w:val="center"/>
          </w:tcPr>
          <w:p w:rsidR="003563AD" w:rsidRDefault="00251882">
            <w:pPr>
              <w:spacing w:before="20" w:after="20"/>
              <w:rPr>
                <w:noProof/>
                <w:sz w:val="18"/>
              </w:rPr>
            </w:pPr>
            <w:r>
              <w:rPr>
                <w:noProof/>
                <w:sz w:val="18"/>
              </w:rPr>
              <w:t>Kulukohustus</w:t>
            </w:r>
          </w:p>
        </w:tc>
        <w:tc>
          <w:tcPr>
            <w:tcW w:w="654" w:type="dxa"/>
            <w:gridSpan w:val="2"/>
            <w:vAlign w:val="center"/>
          </w:tcPr>
          <w:p w:rsidR="003563AD" w:rsidRDefault="00251882">
            <w:pPr>
              <w:spacing w:before="20" w:after="20"/>
              <w:jc w:val="center"/>
              <w:rPr>
                <w:noProof/>
                <w:sz w:val="14"/>
              </w:rPr>
            </w:pPr>
            <w:r>
              <w:rPr>
                <w:noProof/>
                <w:sz w:val="14"/>
              </w:rPr>
              <w:t>(1)</w:t>
            </w:r>
          </w:p>
        </w:tc>
        <w:tc>
          <w:tcPr>
            <w:tcW w:w="868" w:type="dxa"/>
            <w:vAlign w:val="center"/>
          </w:tcPr>
          <w:p w:rsidR="003563AD" w:rsidRDefault="00251882">
            <w:pPr>
              <w:spacing w:before="20" w:after="20"/>
              <w:jc w:val="right"/>
            </w:pPr>
            <w:r>
              <w:t>0,266</w:t>
            </w:r>
          </w:p>
        </w:tc>
        <w:tc>
          <w:tcPr>
            <w:tcW w:w="868" w:type="dxa"/>
            <w:vAlign w:val="center"/>
          </w:tcPr>
          <w:p w:rsidR="003563AD" w:rsidRDefault="00251882">
            <w:pPr>
              <w:spacing w:before="20" w:after="20"/>
              <w:jc w:val="right"/>
            </w:pPr>
            <w:r>
              <w:t>0,251</w:t>
            </w:r>
          </w:p>
        </w:tc>
        <w:tc>
          <w:tcPr>
            <w:tcW w:w="868" w:type="dxa"/>
            <w:vAlign w:val="center"/>
          </w:tcPr>
          <w:p w:rsidR="003563AD" w:rsidRDefault="00251882">
            <w:pPr>
              <w:spacing w:before="20" w:after="20"/>
              <w:jc w:val="right"/>
            </w:pPr>
            <w:r>
              <w:t>0,251</w:t>
            </w:r>
          </w:p>
        </w:tc>
        <w:tc>
          <w:tcPr>
            <w:tcW w:w="868" w:type="dxa"/>
            <w:vAlign w:val="center"/>
          </w:tcPr>
          <w:p w:rsidR="003563AD" w:rsidRDefault="003563AD">
            <w:pPr>
              <w:spacing w:before="20" w:after="20"/>
              <w:jc w:val="right"/>
            </w:pPr>
          </w:p>
        </w:tc>
        <w:tc>
          <w:tcPr>
            <w:tcW w:w="868" w:type="dxa"/>
            <w:vAlign w:val="center"/>
          </w:tcPr>
          <w:p w:rsidR="003563AD" w:rsidRDefault="003563AD">
            <w:pPr>
              <w:spacing w:before="20" w:after="20"/>
              <w:jc w:val="right"/>
            </w:pPr>
          </w:p>
        </w:tc>
        <w:tc>
          <w:tcPr>
            <w:tcW w:w="868" w:type="dxa"/>
            <w:vAlign w:val="center"/>
          </w:tcPr>
          <w:p w:rsidR="003563AD" w:rsidRDefault="003563AD">
            <w:pPr>
              <w:spacing w:before="20" w:after="20"/>
              <w:jc w:val="right"/>
            </w:pPr>
          </w:p>
        </w:tc>
        <w:tc>
          <w:tcPr>
            <w:tcW w:w="868" w:type="dxa"/>
            <w:vAlign w:val="center"/>
          </w:tcPr>
          <w:p w:rsidR="003563AD" w:rsidRDefault="003563AD">
            <w:pPr>
              <w:spacing w:before="20" w:after="20"/>
              <w:jc w:val="right"/>
            </w:pPr>
          </w:p>
        </w:tc>
        <w:tc>
          <w:tcPr>
            <w:tcW w:w="1777" w:type="dxa"/>
            <w:vAlign w:val="center"/>
          </w:tcPr>
          <w:p w:rsidR="003563AD" w:rsidRDefault="00251882">
            <w:pPr>
              <w:spacing w:before="20" w:after="20"/>
              <w:jc w:val="right"/>
            </w:pPr>
            <w:r>
              <w:t>0,767</w:t>
            </w:r>
          </w:p>
        </w:tc>
      </w:tr>
      <w:tr w:rsidR="003563AD">
        <w:tc>
          <w:tcPr>
            <w:tcW w:w="3960" w:type="dxa"/>
            <w:vMerge/>
          </w:tcPr>
          <w:p w:rsidR="003563AD" w:rsidRDefault="003563AD">
            <w:pPr>
              <w:jc w:val="center"/>
            </w:pPr>
          </w:p>
        </w:tc>
        <w:tc>
          <w:tcPr>
            <w:tcW w:w="1440" w:type="dxa"/>
            <w:vAlign w:val="center"/>
          </w:tcPr>
          <w:p w:rsidR="003563AD" w:rsidRDefault="00251882">
            <w:pPr>
              <w:spacing w:before="20" w:after="20"/>
              <w:rPr>
                <w:noProof/>
                <w:sz w:val="18"/>
              </w:rPr>
            </w:pPr>
            <w:r>
              <w:rPr>
                <w:noProof/>
                <w:sz w:val="18"/>
              </w:rPr>
              <w:t>Makse</w:t>
            </w:r>
          </w:p>
        </w:tc>
        <w:tc>
          <w:tcPr>
            <w:tcW w:w="654" w:type="dxa"/>
            <w:gridSpan w:val="2"/>
            <w:vAlign w:val="center"/>
          </w:tcPr>
          <w:p w:rsidR="003563AD" w:rsidRDefault="00251882">
            <w:pPr>
              <w:spacing w:before="20" w:after="20"/>
              <w:jc w:val="center"/>
              <w:rPr>
                <w:noProof/>
                <w:sz w:val="14"/>
              </w:rPr>
            </w:pPr>
            <w:r>
              <w:rPr>
                <w:noProof/>
                <w:sz w:val="14"/>
              </w:rPr>
              <w:t>(2)</w:t>
            </w:r>
          </w:p>
        </w:tc>
        <w:tc>
          <w:tcPr>
            <w:tcW w:w="868" w:type="dxa"/>
            <w:vAlign w:val="center"/>
          </w:tcPr>
          <w:p w:rsidR="003563AD" w:rsidRDefault="00251882">
            <w:pPr>
              <w:spacing w:before="20" w:after="20"/>
              <w:jc w:val="right"/>
            </w:pPr>
            <w:r>
              <w:t>0,266</w:t>
            </w:r>
          </w:p>
        </w:tc>
        <w:tc>
          <w:tcPr>
            <w:tcW w:w="868" w:type="dxa"/>
            <w:vAlign w:val="center"/>
          </w:tcPr>
          <w:p w:rsidR="003563AD" w:rsidRDefault="00251882">
            <w:pPr>
              <w:spacing w:before="20" w:after="20"/>
              <w:jc w:val="right"/>
            </w:pPr>
            <w:r>
              <w:t>0,251</w:t>
            </w:r>
          </w:p>
        </w:tc>
        <w:tc>
          <w:tcPr>
            <w:tcW w:w="868" w:type="dxa"/>
            <w:vAlign w:val="center"/>
          </w:tcPr>
          <w:p w:rsidR="003563AD" w:rsidRDefault="00251882">
            <w:pPr>
              <w:spacing w:before="20" w:after="20"/>
              <w:jc w:val="right"/>
            </w:pPr>
            <w:r>
              <w:t>0,251</w:t>
            </w:r>
          </w:p>
        </w:tc>
        <w:tc>
          <w:tcPr>
            <w:tcW w:w="868" w:type="dxa"/>
            <w:vAlign w:val="center"/>
          </w:tcPr>
          <w:p w:rsidR="003563AD" w:rsidRDefault="003563AD">
            <w:pPr>
              <w:spacing w:before="20" w:after="20"/>
              <w:jc w:val="right"/>
            </w:pPr>
          </w:p>
        </w:tc>
        <w:tc>
          <w:tcPr>
            <w:tcW w:w="868" w:type="dxa"/>
            <w:vAlign w:val="center"/>
          </w:tcPr>
          <w:p w:rsidR="003563AD" w:rsidRDefault="003563AD">
            <w:pPr>
              <w:spacing w:before="20" w:after="20"/>
              <w:jc w:val="right"/>
            </w:pPr>
          </w:p>
        </w:tc>
        <w:tc>
          <w:tcPr>
            <w:tcW w:w="868" w:type="dxa"/>
            <w:vAlign w:val="center"/>
          </w:tcPr>
          <w:p w:rsidR="003563AD" w:rsidRDefault="003563AD">
            <w:pPr>
              <w:spacing w:before="20" w:after="20"/>
              <w:jc w:val="right"/>
            </w:pPr>
          </w:p>
        </w:tc>
        <w:tc>
          <w:tcPr>
            <w:tcW w:w="868" w:type="dxa"/>
            <w:vAlign w:val="center"/>
          </w:tcPr>
          <w:p w:rsidR="003563AD" w:rsidRDefault="003563AD">
            <w:pPr>
              <w:spacing w:before="20" w:after="20"/>
              <w:jc w:val="right"/>
            </w:pPr>
          </w:p>
        </w:tc>
        <w:tc>
          <w:tcPr>
            <w:tcW w:w="1777" w:type="dxa"/>
            <w:vAlign w:val="center"/>
          </w:tcPr>
          <w:p w:rsidR="003563AD" w:rsidRDefault="00251882">
            <w:pPr>
              <w:spacing w:before="20" w:after="20"/>
              <w:jc w:val="right"/>
            </w:pPr>
            <w:r>
              <w:t>0,767</w:t>
            </w:r>
          </w:p>
        </w:tc>
      </w:tr>
      <w:tr w:rsidR="003563AD">
        <w:tc>
          <w:tcPr>
            <w:tcW w:w="3960" w:type="dxa"/>
            <w:vMerge w:val="restart"/>
            <w:vAlign w:val="center"/>
          </w:tcPr>
          <w:p w:rsidR="003563AD" w:rsidRDefault="00251882">
            <w:pPr>
              <w:jc w:val="center"/>
            </w:pPr>
            <w:r>
              <w:t>12.02.05 EIOPA</w:t>
            </w:r>
          </w:p>
        </w:tc>
        <w:tc>
          <w:tcPr>
            <w:tcW w:w="1440" w:type="dxa"/>
            <w:vAlign w:val="center"/>
          </w:tcPr>
          <w:p w:rsidR="003563AD" w:rsidRDefault="00251882">
            <w:pPr>
              <w:spacing w:before="20" w:after="20"/>
              <w:rPr>
                <w:noProof/>
                <w:sz w:val="18"/>
              </w:rPr>
            </w:pPr>
            <w:r>
              <w:rPr>
                <w:noProof/>
                <w:sz w:val="18"/>
              </w:rPr>
              <w:t>Kulukohustus</w:t>
            </w:r>
          </w:p>
        </w:tc>
        <w:tc>
          <w:tcPr>
            <w:tcW w:w="654" w:type="dxa"/>
            <w:gridSpan w:val="2"/>
            <w:vAlign w:val="center"/>
          </w:tcPr>
          <w:p w:rsidR="003563AD" w:rsidRDefault="00251882">
            <w:pPr>
              <w:spacing w:before="20" w:after="20"/>
              <w:jc w:val="center"/>
              <w:rPr>
                <w:noProof/>
                <w:sz w:val="14"/>
              </w:rPr>
            </w:pPr>
            <w:r>
              <w:rPr>
                <w:noProof/>
                <w:sz w:val="14"/>
              </w:rPr>
              <w:t>(1a)</w:t>
            </w:r>
          </w:p>
        </w:tc>
        <w:tc>
          <w:tcPr>
            <w:tcW w:w="868" w:type="dxa"/>
            <w:vAlign w:val="center"/>
          </w:tcPr>
          <w:p w:rsidR="003563AD" w:rsidRDefault="00251882">
            <w:pPr>
              <w:spacing w:before="20" w:after="20"/>
              <w:jc w:val="right"/>
            </w:pPr>
            <w:r>
              <w:t>0,130</w:t>
            </w:r>
          </w:p>
        </w:tc>
        <w:tc>
          <w:tcPr>
            <w:tcW w:w="868" w:type="dxa"/>
            <w:vAlign w:val="center"/>
          </w:tcPr>
          <w:p w:rsidR="003563AD" w:rsidRDefault="00251882">
            <w:pPr>
              <w:spacing w:before="20" w:after="20"/>
              <w:jc w:val="right"/>
            </w:pPr>
            <w:r>
              <w:t>0,115</w:t>
            </w:r>
          </w:p>
        </w:tc>
        <w:tc>
          <w:tcPr>
            <w:tcW w:w="868" w:type="dxa"/>
            <w:vAlign w:val="center"/>
          </w:tcPr>
          <w:p w:rsidR="003563AD" w:rsidRDefault="00251882">
            <w:pPr>
              <w:spacing w:before="20" w:after="20"/>
              <w:jc w:val="right"/>
            </w:pPr>
            <w:r>
              <w:t>0,115</w:t>
            </w:r>
          </w:p>
        </w:tc>
        <w:tc>
          <w:tcPr>
            <w:tcW w:w="868" w:type="dxa"/>
            <w:vAlign w:val="center"/>
          </w:tcPr>
          <w:p w:rsidR="003563AD" w:rsidRDefault="003563AD">
            <w:pPr>
              <w:spacing w:before="20" w:after="20"/>
              <w:jc w:val="right"/>
            </w:pPr>
          </w:p>
        </w:tc>
        <w:tc>
          <w:tcPr>
            <w:tcW w:w="868" w:type="dxa"/>
            <w:vAlign w:val="center"/>
          </w:tcPr>
          <w:p w:rsidR="003563AD" w:rsidRDefault="003563AD">
            <w:pPr>
              <w:spacing w:before="20" w:after="20"/>
              <w:jc w:val="right"/>
            </w:pPr>
          </w:p>
        </w:tc>
        <w:tc>
          <w:tcPr>
            <w:tcW w:w="868" w:type="dxa"/>
            <w:vAlign w:val="center"/>
          </w:tcPr>
          <w:p w:rsidR="003563AD" w:rsidRDefault="003563AD">
            <w:pPr>
              <w:spacing w:before="20" w:after="20"/>
              <w:jc w:val="right"/>
            </w:pPr>
          </w:p>
        </w:tc>
        <w:tc>
          <w:tcPr>
            <w:tcW w:w="868" w:type="dxa"/>
            <w:vAlign w:val="center"/>
          </w:tcPr>
          <w:p w:rsidR="003563AD" w:rsidRDefault="003563AD">
            <w:pPr>
              <w:spacing w:before="20" w:after="20"/>
              <w:jc w:val="right"/>
            </w:pPr>
          </w:p>
        </w:tc>
        <w:tc>
          <w:tcPr>
            <w:tcW w:w="1777" w:type="dxa"/>
            <w:vAlign w:val="center"/>
          </w:tcPr>
          <w:p w:rsidR="003563AD" w:rsidRDefault="00251882">
            <w:pPr>
              <w:spacing w:before="20" w:after="20"/>
              <w:jc w:val="right"/>
            </w:pPr>
            <w:r>
              <w:t>0,360</w:t>
            </w:r>
          </w:p>
        </w:tc>
      </w:tr>
      <w:tr w:rsidR="003563AD">
        <w:tc>
          <w:tcPr>
            <w:tcW w:w="3960" w:type="dxa"/>
            <w:vMerge/>
          </w:tcPr>
          <w:p w:rsidR="003563AD" w:rsidRDefault="003563AD">
            <w:pPr>
              <w:jc w:val="center"/>
            </w:pPr>
          </w:p>
        </w:tc>
        <w:tc>
          <w:tcPr>
            <w:tcW w:w="1440" w:type="dxa"/>
            <w:vAlign w:val="center"/>
          </w:tcPr>
          <w:p w:rsidR="003563AD" w:rsidRDefault="00251882">
            <w:pPr>
              <w:spacing w:before="20" w:after="20"/>
              <w:rPr>
                <w:noProof/>
                <w:sz w:val="18"/>
              </w:rPr>
            </w:pPr>
            <w:r>
              <w:rPr>
                <w:noProof/>
                <w:sz w:val="18"/>
              </w:rPr>
              <w:t>Makse</w:t>
            </w:r>
          </w:p>
        </w:tc>
        <w:tc>
          <w:tcPr>
            <w:tcW w:w="654" w:type="dxa"/>
            <w:gridSpan w:val="2"/>
            <w:vAlign w:val="center"/>
          </w:tcPr>
          <w:p w:rsidR="003563AD" w:rsidRDefault="00251882">
            <w:pPr>
              <w:spacing w:before="20" w:after="20"/>
              <w:jc w:val="center"/>
              <w:rPr>
                <w:noProof/>
                <w:sz w:val="14"/>
              </w:rPr>
            </w:pPr>
            <w:r>
              <w:rPr>
                <w:noProof/>
                <w:sz w:val="14"/>
              </w:rPr>
              <w:t>(2a)</w:t>
            </w:r>
          </w:p>
        </w:tc>
        <w:tc>
          <w:tcPr>
            <w:tcW w:w="868" w:type="dxa"/>
            <w:vAlign w:val="center"/>
          </w:tcPr>
          <w:p w:rsidR="003563AD" w:rsidRDefault="00251882">
            <w:pPr>
              <w:spacing w:before="20" w:after="20"/>
              <w:jc w:val="right"/>
            </w:pPr>
            <w:r>
              <w:t>0,130</w:t>
            </w:r>
          </w:p>
        </w:tc>
        <w:tc>
          <w:tcPr>
            <w:tcW w:w="868" w:type="dxa"/>
            <w:vAlign w:val="center"/>
          </w:tcPr>
          <w:p w:rsidR="003563AD" w:rsidRDefault="00251882">
            <w:pPr>
              <w:spacing w:before="20" w:after="20"/>
              <w:jc w:val="right"/>
            </w:pPr>
            <w:r>
              <w:t>0,115</w:t>
            </w:r>
          </w:p>
        </w:tc>
        <w:tc>
          <w:tcPr>
            <w:tcW w:w="868" w:type="dxa"/>
            <w:vAlign w:val="center"/>
          </w:tcPr>
          <w:p w:rsidR="003563AD" w:rsidRDefault="00251882">
            <w:pPr>
              <w:spacing w:before="20" w:after="20"/>
              <w:jc w:val="right"/>
            </w:pPr>
            <w:r>
              <w:t>0,115</w:t>
            </w:r>
          </w:p>
        </w:tc>
        <w:tc>
          <w:tcPr>
            <w:tcW w:w="868" w:type="dxa"/>
            <w:vAlign w:val="center"/>
          </w:tcPr>
          <w:p w:rsidR="003563AD" w:rsidRDefault="003563AD">
            <w:pPr>
              <w:spacing w:before="20" w:after="20"/>
              <w:jc w:val="right"/>
            </w:pPr>
          </w:p>
        </w:tc>
        <w:tc>
          <w:tcPr>
            <w:tcW w:w="868" w:type="dxa"/>
            <w:vAlign w:val="center"/>
          </w:tcPr>
          <w:p w:rsidR="003563AD" w:rsidRDefault="003563AD">
            <w:pPr>
              <w:spacing w:before="20" w:after="20"/>
              <w:jc w:val="right"/>
            </w:pPr>
          </w:p>
        </w:tc>
        <w:tc>
          <w:tcPr>
            <w:tcW w:w="868" w:type="dxa"/>
            <w:vAlign w:val="center"/>
          </w:tcPr>
          <w:p w:rsidR="003563AD" w:rsidRDefault="003563AD">
            <w:pPr>
              <w:spacing w:before="20" w:after="20"/>
              <w:jc w:val="right"/>
            </w:pPr>
          </w:p>
        </w:tc>
        <w:tc>
          <w:tcPr>
            <w:tcW w:w="868" w:type="dxa"/>
            <w:vAlign w:val="center"/>
          </w:tcPr>
          <w:p w:rsidR="003563AD" w:rsidRDefault="003563AD">
            <w:pPr>
              <w:spacing w:before="20" w:after="20"/>
              <w:jc w:val="right"/>
            </w:pPr>
          </w:p>
        </w:tc>
        <w:tc>
          <w:tcPr>
            <w:tcW w:w="1777" w:type="dxa"/>
            <w:vAlign w:val="center"/>
          </w:tcPr>
          <w:p w:rsidR="003563AD" w:rsidRDefault="00251882">
            <w:pPr>
              <w:spacing w:before="20" w:after="20"/>
              <w:jc w:val="right"/>
            </w:pPr>
            <w:r>
              <w:t>0,360</w:t>
            </w:r>
          </w:p>
        </w:tc>
      </w:tr>
      <w:tr w:rsidR="003563AD">
        <w:tc>
          <w:tcPr>
            <w:tcW w:w="3960" w:type="dxa"/>
            <w:vMerge w:val="restart"/>
          </w:tcPr>
          <w:p w:rsidR="003563AD" w:rsidRDefault="00251882">
            <w:pPr>
              <w:jc w:val="center"/>
            </w:pPr>
            <w:r>
              <w:t>12.02.06 ESMA</w:t>
            </w:r>
          </w:p>
        </w:tc>
        <w:tc>
          <w:tcPr>
            <w:tcW w:w="1440" w:type="dxa"/>
            <w:vAlign w:val="center"/>
          </w:tcPr>
          <w:p w:rsidR="003563AD" w:rsidRDefault="00251882">
            <w:pPr>
              <w:spacing w:before="20" w:after="20"/>
              <w:rPr>
                <w:noProof/>
                <w:sz w:val="18"/>
              </w:rPr>
            </w:pPr>
            <w:r>
              <w:rPr>
                <w:noProof/>
                <w:sz w:val="18"/>
              </w:rPr>
              <w:t>Kulukohustus</w:t>
            </w:r>
          </w:p>
        </w:tc>
        <w:tc>
          <w:tcPr>
            <w:tcW w:w="654" w:type="dxa"/>
            <w:gridSpan w:val="2"/>
            <w:vAlign w:val="center"/>
          </w:tcPr>
          <w:p w:rsidR="003563AD" w:rsidRDefault="00251882">
            <w:pPr>
              <w:spacing w:before="20" w:after="20"/>
              <w:jc w:val="center"/>
              <w:rPr>
                <w:noProof/>
                <w:sz w:val="14"/>
              </w:rPr>
            </w:pPr>
            <w:r>
              <w:rPr>
                <w:noProof/>
                <w:sz w:val="14"/>
              </w:rPr>
              <w:t>(1a)</w:t>
            </w:r>
          </w:p>
        </w:tc>
        <w:tc>
          <w:tcPr>
            <w:tcW w:w="868" w:type="dxa"/>
            <w:vAlign w:val="center"/>
          </w:tcPr>
          <w:p w:rsidR="003563AD" w:rsidRDefault="00251882">
            <w:pPr>
              <w:spacing w:before="20" w:after="20"/>
              <w:jc w:val="right"/>
            </w:pPr>
            <w:r>
              <w:t>0,212</w:t>
            </w:r>
          </w:p>
        </w:tc>
        <w:tc>
          <w:tcPr>
            <w:tcW w:w="868" w:type="dxa"/>
            <w:vAlign w:val="center"/>
          </w:tcPr>
          <w:p w:rsidR="003563AD" w:rsidRDefault="00251882">
            <w:pPr>
              <w:spacing w:before="20" w:after="20"/>
              <w:jc w:val="right"/>
            </w:pPr>
            <w:r>
              <w:t>0,197</w:t>
            </w:r>
          </w:p>
        </w:tc>
        <w:tc>
          <w:tcPr>
            <w:tcW w:w="868" w:type="dxa"/>
            <w:vAlign w:val="center"/>
          </w:tcPr>
          <w:p w:rsidR="003563AD" w:rsidRDefault="00251882">
            <w:pPr>
              <w:spacing w:before="20" w:after="20"/>
              <w:jc w:val="right"/>
            </w:pPr>
            <w:r>
              <w:t>0,197</w:t>
            </w:r>
          </w:p>
        </w:tc>
        <w:tc>
          <w:tcPr>
            <w:tcW w:w="868" w:type="dxa"/>
            <w:vAlign w:val="center"/>
          </w:tcPr>
          <w:p w:rsidR="003563AD" w:rsidRDefault="003563AD">
            <w:pPr>
              <w:spacing w:before="20" w:after="20"/>
              <w:jc w:val="right"/>
            </w:pPr>
          </w:p>
        </w:tc>
        <w:tc>
          <w:tcPr>
            <w:tcW w:w="868" w:type="dxa"/>
            <w:vAlign w:val="center"/>
          </w:tcPr>
          <w:p w:rsidR="003563AD" w:rsidRDefault="003563AD">
            <w:pPr>
              <w:spacing w:before="20" w:after="20"/>
              <w:jc w:val="right"/>
            </w:pPr>
          </w:p>
        </w:tc>
        <w:tc>
          <w:tcPr>
            <w:tcW w:w="868" w:type="dxa"/>
            <w:vAlign w:val="center"/>
          </w:tcPr>
          <w:p w:rsidR="003563AD" w:rsidRDefault="003563AD">
            <w:pPr>
              <w:spacing w:before="20" w:after="20"/>
              <w:jc w:val="right"/>
            </w:pPr>
          </w:p>
        </w:tc>
        <w:tc>
          <w:tcPr>
            <w:tcW w:w="868" w:type="dxa"/>
            <w:vAlign w:val="center"/>
          </w:tcPr>
          <w:p w:rsidR="003563AD" w:rsidRDefault="003563AD">
            <w:pPr>
              <w:spacing w:before="20" w:after="20"/>
              <w:jc w:val="right"/>
            </w:pPr>
          </w:p>
        </w:tc>
        <w:tc>
          <w:tcPr>
            <w:tcW w:w="1777" w:type="dxa"/>
            <w:vAlign w:val="center"/>
          </w:tcPr>
          <w:p w:rsidR="003563AD" w:rsidRDefault="00251882">
            <w:pPr>
              <w:spacing w:before="20" w:after="20"/>
              <w:jc w:val="right"/>
            </w:pPr>
            <w:r>
              <w:t>0,606</w:t>
            </w:r>
          </w:p>
        </w:tc>
      </w:tr>
      <w:tr w:rsidR="003563AD">
        <w:tc>
          <w:tcPr>
            <w:tcW w:w="3960" w:type="dxa"/>
            <w:vMerge/>
          </w:tcPr>
          <w:p w:rsidR="003563AD" w:rsidRDefault="003563AD">
            <w:pPr>
              <w:jc w:val="center"/>
              <w:rPr>
                <w:noProof/>
                <w:sz w:val="20"/>
              </w:rPr>
            </w:pPr>
          </w:p>
        </w:tc>
        <w:tc>
          <w:tcPr>
            <w:tcW w:w="1440" w:type="dxa"/>
            <w:vAlign w:val="center"/>
          </w:tcPr>
          <w:p w:rsidR="003563AD" w:rsidRDefault="00251882">
            <w:pPr>
              <w:spacing w:before="20" w:after="20"/>
              <w:rPr>
                <w:noProof/>
                <w:sz w:val="18"/>
              </w:rPr>
            </w:pPr>
            <w:r>
              <w:rPr>
                <w:noProof/>
                <w:sz w:val="18"/>
              </w:rPr>
              <w:t>Makse</w:t>
            </w:r>
          </w:p>
        </w:tc>
        <w:tc>
          <w:tcPr>
            <w:tcW w:w="654" w:type="dxa"/>
            <w:gridSpan w:val="2"/>
            <w:vAlign w:val="center"/>
          </w:tcPr>
          <w:p w:rsidR="003563AD" w:rsidRDefault="00251882">
            <w:pPr>
              <w:spacing w:before="20" w:after="20"/>
              <w:jc w:val="center"/>
              <w:rPr>
                <w:noProof/>
                <w:sz w:val="14"/>
              </w:rPr>
            </w:pPr>
            <w:r>
              <w:rPr>
                <w:noProof/>
                <w:sz w:val="14"/>
              </w:rPr>
              <w:t>(2a)</w:t>
            </w:r>
          </w:p>
        </w:tc>
        <w:tc>
          <w:tcPr>
            <w:tcW w:w="868" w:type="dxa"/>
            <w:vAlign w:val="center"/>
          </w:tcPr>
          <w:p w:rsidR="003563AD" w:rsidRDefault="00251882">
            <w:pPr>
              <w:spacing w:before="20" w:after="20"/>
              <w:jc w:val="right"/>
            </w:pPr>
            <w:r>
              <w:t>0,212</w:t>
            </w:r>
          </w:p>
        </w:tc>
        <w:tc>
          <w:tcPr>
            <w:tcW w:w="868" w:type="dxa"/>
            <w:vAlign w:val="center"/>
          </w:tcPr>
          <w:p w:rsidR="003563AD" w:rsidRDefault="00251882">
            <w:pPr>
              <w:spacing w:before="20" w:after="20"/>
              <w:jc w:val="right"/>
            </w:pPr>
            <w:r>
              <w:t>0,197</w:t>
            </w:r>
          </w:p>
        </w:tc>
        <w:tc>
          <w:tcPr>
            <w:tcW w:w="868" w:type="dxa"/>
            <w:vAlign w:val="center"/>
          </w:tcPr>
          <w:p w:rsidR="003563AD" w:rsidRDefault="00251882">
            <w:pPr>
              <w:spacing w:before="20" w:after="20"/>
              <w:jc w:val="right"/>
            </w:pPr>
            <w:r>
              <w:t>0,197</w:t>
            </w:r>
          </w:p>
        </w:tc>
        <w:tc>
          <w:tcPr>
            <w:tcW w:w="868" w:type="dxa"/>
            <w:vAlign w:val="center"/>
          </w:tcPr>
          <w:p w:rsidR="003563AD" w:rsidRDefault="003563AD">
            <w:pPr>
              <w:spacing w:before="20" w:after="20"/>
              <w:jc w:val="right"/>
            </w:pPr>
          </w:p>
        </w:tc>
        <w:tc>
          <w:tcPr>
            <w:tcW w:w="868" w:type="dxa"/>
            <w:vAlign w:val="center"/>
          </w:tcPr>
          <w:p w:rsidR="003563AD" w:rsidRDefault="003563AD">
            <w:pPr>
              <w:spacing w:before="20" w:after="20"/>
              <w:jc w:val="right"/>
            </w:pPr>
          </w:p>
        </w:tc>
        <w:tc>
          <w:tcPr>
            <w:tcW w:w="868" w:type="dxa"/>
            <w:vAlign w:val="center"/>
          </w:tcPr>
          <w:p w:rsidR="003563AD" w:rsidRDefault="003563AD">
            <w:pPr>
              <w:spacing w:before="20" w:after="20"/>
              <w:jc w:val="right"/>
            </w:pPr>
          </w:p>
        </w:tc>
        <w:tc>
          <w:tcPr>
            <w:tcW w:w="868" w:type="dxa"/>
            <w:vAlign w:val="center"/>
          </w:tcPr>
          <w:p w:rsidR="003563AD" w:rsidRDefault="003563AD">
            <w:pPr>
              <w:spacing w:before="20" w:after="20"/>
              <w:jc w:val="right"/>
            </w:pPr>
          </w:p>
        </w:tc>
        <w:tc>
          <w:tcPr>
            <w:tcW w:w="1777" w:type="dxa"/>
            <w:vAlign w:val="center"/>
          </w:tcPr>
          <w:p w:rsidR="003563AD" w:rsidRDefault="00251882">
            <w:pPr>
              <w:spacing w:before="20" w:after="20"/>
              <w:jc w:val="right"/>
            </w:pPr>
            <w:r>
              <w:t>0,606</w:t>
            </w:r>
          </w:p>
        </w:tc>
      </w:tr>
      <w:tr w:rsidR="003563AD">
        <w:trPr>
          <w:trHeight w:val="231"/>
        </w:trPr>
        <w:tc>
          <w:tcPr>
            <w:tcW w:w="6054" w:type="dxa"/>
            <w:gridSpan w:val="4"/>
            <w:vAlign w:val="center"/>
          </w:tcPr>
          <w:p w:rsidR="003563AD" w:rsidRDefault="00251882">
            <w:pPr>
              <w:spacing w:before="20" w:after="20"/>
              <w:rPr>
                <w:noProof/>
              </w:rPr>
            </w:pPr>
            <w:r>
              <w:rPr>
                <w:noProof/>
                <w:sz w:val="21"/>
              </w:rPr>
              <w:t>Eriprogrammide vahenditest rahastatavad haldusassigneeringud</w:t>
            </w:r>
            <w:r>
              <w:rPr>
                <w:rStyle w:val="FootnoteReference"/>
                <w:noProof/>
                <w:sz w:val="21"/>
              </w:rPr>
              <w:footnoteReference w:id="37"/>
            </w:r>
            <w:r>
              <w:rPr>
                <w:noProof/>
                <w:sz w:val="21"/>
              </w:rPr>
              <w:t xml:space="preserve"> </w:t>
            </w:r>
          </w:p>
          <w:p w:rsidR="003563AD" w:rsidRDefault="003563AD">
            <w:pPr>
              <w:spacing w:before="0" w:after="0"/>
              <w:rPr>
                <w:noProof/>
              </w:rPr>
            </w:pPr>
          </w:p>
        </w:tc>
        <w:tc>
          <w:tcPr>
            <w:tcW w:w="868" w:type="dxa"/>
            <w:vAlign w:val="center"/>
          </w:tcPr>
          <w:p w:rsidR="003563AD" w:rsidRDefault="003563AD">
            <w:pPr>
              <w:rPr>
                <w:b/>
                <w:noProof/>
                <w:sz w:val="20"/>
              </w:rPr>
            </w:pPr>
          </w:p>
        </w:tc>
        <w:tc>
          <w:tcPr>
            <w:tcW w:w="868" w:type="dxa"/>
            <w:vAlign w:val="center"/>
          </w:tcPr>
          <w:p w:rsidR="003563AD" w:rsidRDefault="003563AD">
            <w:pPr>
              <w:rPr>
                <w:b/>
                <w:noProof/>
                <w:sz w:val="20"/>
              </w:rPr>
            </w:pPr>
          </w:p>
        </w:tc>
        <w:tc>
          <w:tcPr>
            <w:tcW w:w="868" w:type="dxa"/>
            <w:vAlign w:val="center"/>
          </w:tcPr>
          <w:p w:rsidR="003563AD" w:rsidRDefault="003563AD">
            <w:pPr>
              <w:rPr>
                <w:b/>
                <w:noProof/>
                <w:sz w:val="20"/>
              </w:rPr>
            </w:pPr>
          </w:p>
        </w:tc>
        <w:tc>
          <w:tcPr>
            <w:tcW w:w="868" w:type="dxa"/>
            <w:vAlign w:val="center"/>
          </w:tcPr>
          <w:p w:rsidR="003563AD" w:rsidRDefault="003563AD">
            <w:pPr>
              <w:rPr>
                <w:b/>
                <w:noProof/>
                <w:sz w:val="20"/>
              </w:rPr>
            </w:pPr>
          </w:p>
        </w:tc>
        <w:tc>
          <w:tcPr>
            <w:tcW w:w="868" w:type="dxa"/>
            <w:vAlign w:val="center"/>
          </w:tcPr>
          <w:p w:rsidR="003563AD" w:rsidRDefault="003563AD">
            <w:pPr>
              <w:rPr>
                <w:b/>
                <w:noProof/>
                <w:sz w:val="20"/>
              </w:rPr>
            </w:pPr>
          </w:p>
        </w:tc>
        <w:tc>
          <w:tcPr>
            <w:tcW w:w="868" w:type="dxa"/>
            <w:vAlign w:val="center"/>
          </w:tcPr>
          <w:p w:rsidR="003563AD" w:rsidRDefault="003563AD">
            <w:pPr>
              <w:rPr>
                <w:b/>
                <w:noProof/>
                <w:sz w:val="20"/>
              </w:rPr>
            </w:pPr>
          </w:p>
        </w:tc>
        <w:tc>
          <w:tcPr>
            <w:tcW w:w="868" w:type="dxa"/>
            <w:vAlign w:val="center"/>
          </w:tcPr>
          <w:p w:rsidR="003563AD" w:rsidRDefault="003563AD">
            <w:pPr>
              <w:rPr>
                <w:b/>
                <w:noProof/>
                <w:sz w:val="20"/>
              </w:rPr>
            </w:pPr>
          </w:p>
        </w:tc>
        <w:tc>
          <w:tcPr>
            <w:tcW w:w="1777" w:type="dxa"/>
            <w:vAlign w:val="center"/>
          </w:tcPr>
          <w:p w:rsidR="003563AD" w:rsidRDefault="003563AD">
            <w:pPr>
              <w:rPr>
                <w:b/>
                <w:noProof/>
                <w:sz w:val="20"/>
              </w:rPr>
            </w:pPr>
          </w:p>
        </w:tc>
      </w:tr>
      <w:tr w:rsidR="003563AD">
        <w:trPr>
          <w:trHeight w:val="319"/>
        </w:trPr>
        <w:tc>
          <w:tcPr>
            <w:tcW w:w="3960" w:type="dxa"/>
            <w:vAlign w:val="center"/>
          </w:tcPr>
          <w:p w:rsidR="003563AD" w:rsidRDefault="00251882">
            <w:pPr>
              <w:spacing w:before="60" w:after="60"/>
              <w:rPr>
                <w:noProof/>
              </w:rPr>
            </w:pPr>
            <w:r>
              <w:rPr>
                <w:noProof/>
                <w:sz w:val="20"/>
              </w:rPr>
              <w:t>Eelarverida nr</w:t>
            </w:r>
          </w:p>
        </w:tc>
        <w:tc>
          <w:tcPr>
            <w:tcW w:w="1440" w:type="dxa"/>
            <w:vAlign w:val="center"/>
          </w:tcPr>
          <w:p w:rsidR="003563AD" w:rsidRDefault="003563AD">
            <w:pPr>
              <w:spacing w:before="40" w:after="40"/>
              <w:jc w:val="right"/>
              <w:rPr>
                <w:noProof/>
                <w:sz w:val="18"/>
              </w:rPr>
            </w:pPr>
          </w:p>
        </w:tc>
        <w:tc>
          <w:tcPr>
            <w:tcW w:w="654" w:type="dxa"/>
            <w:gridSpan w:val="2"/>
            <w:vAlign w:val="center"/>
          </w:tcPr>
          <w:p w:rsidR="003563AD" w:rsidRDefault="00251882">
            <w:pPr>
              <w:spacing w:before="40" w:after="40"/>
              <w:jc w:val="center"/>
              <w:rPr>
                <w:noProof/>
                <w:sz w:val="14"/>
              </w:rPr>
            </w:pPr>
            <w:r>
              <w:rPr>
                <w:noProof/>
                <w:sz w:val="14"/>
              </w:rPr>
              <w:t>(3)</w:t>
            </w:r>
          </w:p>
        </w:tc>
        <w:tc>
          <w:tcPr>
            <w:tcW w:w="868" w:type="dxa"/>
            <w:vAlign w:val="center"/>
          </w:tcPr>
          <w:p w:rsidR="003563AD" w:rsidRDefault="003563AD">
            <w:pPr>
              <w:spacing w:before="40" w:after="40"/>
              <w:jc w:val="right"/>
              <w:rPr>
                <w:b/>
                <w:noProof/>
                <w:sz w:val="20"/>
              </w:rPr>
            </w:pPr>
          </w:p>
        </w:tc>
        <w:tc>
          <w:tcPr>
            <w:tcW w:w="868" w:type="dxa"/>
            <w:vAlign w:val="center"/>
          </w:tcPr>
          <w:p w:rsidR="003563AD" w:rsidRDefault="003563AD">
            <w:pPr>
              <w:spacing w:before="40" w:after="40"/>
              <w:jc w:val="right"/>
              <w:rPr>
                <w:b/>
                <w:noProof/>
                <w:sz w:val="20"/>
              </w:rPr>
            </w:pPr>
          </w:p>
        </w:tc>
        <w:tc>
          <w:tcPr>
            <w:tcW w:w="868" w:type="dxa"/>
            <w:vAlign w:val="center"/>
          </w:tcPr>
          <w:p w:rsidR="003563AD" w:rsidRDefault="003563AD">
            <w:pPr>
              <w:spacing w:before="40" w:after="40"/>
              <w:jc w:val="right"/>
              <w:rPr>
                <w:b/>
                <w:noProof/>
                <w:sz w:val="20"/>
              </w:rPr>
            </w:pPr>
          </w:p>
        </w:tc>
        <w:tc>
          <w:tcPr>
            <w:tcW w:w="868" w:type="dxa"/>
            <w:vAlign w:val="center"/>
          </w:tcPr>
          <w:p w:rsidR="003563AD" w:rsidRDefault="003563AD">
            <w:pPr>
              <w:spacing w:before="40" w:after="40"/>
              <w:jc w:val="right"/>
              <w:rPr>
                <w:b/>
                <w:noProof/>
                <w:sz w:val="20"/>
              </w:rPr>
            </w:pPr>
          </w:p>
        </w:tc>
        <w:tc>
          <w:tcPr>
            <w:tcW w:w="868" w:type="dxa"/>
            <w:vAlign w:val="center"/>
          </w:tcPr>
          <w:p w:rsidR="003563AD" w:rsidRDefault="003563AD">
            <w:pPr>
              <w:spacing w:before="40" w:after="40"/>
              <w:jc w:val="right"/>
              <w:rPr>
                <w:b/>
                <w:noProof/>
                <w:sz w:val="20"/>
              </w:rPr>
            </w:pPr>
          </w:p>
        </w:tc>
        <w:tc>
          <w:tcPr>
            <w:tcW w:w="868" w:type="dxa"/>
            <w:vAlign w:val="center"/>
          </w:tcPr>
          <w:p w:rsidR="003563AD" w:rsidRDefault="003563AD">
            <w:pPr>
              <w:spacing w:before="40" w:after="40"/>
              <w:jc w:val="right"/>
              <w:rPr>
                <w:b/>
                <w:noProof/>
                <w:sz w:val="20"/>
              </w:rPr>
            </w:pPr>
          </w:p>
        </w:tc>
        <w:tc>
          <w:tcPr>
            <w:tcW w:w="868" w:type="dxa"/>
            <w:vAlign w:val="center"/>
          </w:tcPr>
          <w:p w:rsidR="003563AD" w:rsidRDefault="003563AD">
            <w:pPr>
              <w:spacing w:before="40" w:after="40"/>
              <w:jc w:val="right"/>
              <w:rPr>
                <w:b/>
                <w:noProof/>
                <w:sz w:val="20"/>
              </w:rPr>
            </w:pPr>
          </w:p>
        </w:tc>
        <w:tc>
          <w:tcPr>
            <w:tcW w:w="1777" w:type="dxa"/>
            <w:vAlign w:val="center"/>
          </w:tcPr>
          <w:p w:rsidR="003563AD" w:rsidRDefault="003563AD">
            <w:pPr>
              <w:spacing w:before="40" w:after="40"/>
              <w:jc w:val="right"/>
              <w:rPr>
                <w:b/>
                <w:noProof/>
                <w:sz w:val="20"/>
              </w:rPr>
            </w:pPr>
          </w:p>
        </w:tc>
      </w:tr>
      <w:tr w:rsidR="003563AD">
        <w:tc>
          <w:tcPr>
            <w:tcW w:w="3960" w:type="dxa"/>
            <w:vMerge w:val="restart"/>
            <w:vAlign w:val="center"/>
          </w:tcPr>
          <w:p w:rsidR="003563AD" w:rsidRDefault="00251882">
            <w:pPr>
              <w:jc w:val="center"/>
              <w:rPr>
                <w:b/>
                <w:noProof/>
              </w:rPr>
            </w:pPr>
            <w:r>
              <w:rPr>
                <w:b/>
                <w:noProof/>
              </w:rPr>
              <w:t xml:space="preserve">Finantsstabiilsuse, finantsteenuste ja kapitaliturgude liidu </w:t>
            </w:r>
            <w:r>
              <w:rPr>
                <w:b/>
                <w:noProof/>
              </w:rPr>
              <w:t>peadirektoraadi assigneeringud KOKKU</w:t>
            </w:r>
          </w:p>
        </w:tc>
        <w:tc>
          <w:tcPr>
            <w:tcW w:w="1440" w:type="dxa"/>
            <w:vAlign w:val="center"/>
          </w:tcPr>
          <w:p w:rsidR="003563AD" w:rsidRDefault="00251882">
            <w:pPr>
              <w:rPr>
                <w:noProof/>
                <w:sz w:val="18"/>
              </w:rPr>
            </w:pPr>
            <w:r>
              <w:rPr>
                <w:noProof/>
                <w:sz w:val="18"/>
              </w:rPr>
              <w:t>Kulukohustus</w:t>
            </w:r>
          </w:p>
        </w:tc>
        <w:tc>
          <w:tcPr>
            <w:tcW w:w="654" w:type="dxa"/>
            <w:gridSpan w:val="2"/>
            <w:vAlign w:val="center"/>
          </w:tcPr>
          <w:p w:rsidR="003563AD" w:rsidRDefault="00251882">
            <w:pPr>
              <w:jc w:val="center"/>
              <w:rPr>
                <w:noProof/>
                <w:sz w:val="14"/>
              </w:rPr>
            </w:pPr>
            <w:r>
              <w:rPr>
                <w:noProof/>
                <w:sz w:val="14"/>
              </w:rPr>
              <w:t>= 1 + 1a + 3</w:t>
            </w:r>
          </w:p>
        </w:tc>
        <w:tc>
          <w:tcPr>
            <w:tcW w:w="868" w:type="dxa"/>
            <w:vAlign w:val="center"/>
          </w:tcPr>
          <w:tbl>
            <w:tblPr>
              <w:tblW w:w="2880" w:type="dxa"/>
              <w:tblLayout w:type="fixed"/>
              <w:tblLook w:val="04A0" w:firstRow="1" w:lastRow="0" w:firstColumn="1" w:lastColumn="0" w:noHBand="0" w:noVBand="1"/>
            </w:tblPr>
            <w:tblGrid>
              <w:gridCol w:w="960"/>
              <w:gridCol w:w="960"/>
              <w:gridCol w:w="960"/>
            </w:tblGrid>
            <w:tr w:rsidR="003563AD">
              <w:trPr>
                <w:trHeight w:val="300"/>
              </w:trPr>
              <w:tc>
                <w:tcPr>
                  <w:tcW w:w="960" w:type="dxa"/>
                  <w:tcBorders>
                    <w:top w:val="nil"/>
                    <w:left w:val="nil"/>
                    <w:bottom w:val="nil"/>
                    <w:right w:val="nil"/>
                  </w:tcBorders>
                  <w:shd w:val="clear" w:color="auto" w:fill="auto"/>
                  <w:noWrap/>
                  <w:vAlign w:val="bottom"/>
                  <w:hideMark/>
                </w:tcPr>
                <w:p w:rsidR="003563AD" w:rsidRDefault="00251882">
                  <w:pPr>
                    <w:spacing w:before="20" w:after="20"/>
                    <w:jc w:val="right"/>
                  </w:pPr>
                  <w:r>
                    <w:t>0,6086</w:t>
                  </w:r>
                </w:p>
              </w:tc>
              <w:tc>
                <w:tcPr>
                  <w:tcW w:w="960" w:type="dxa"/>
                  <w:tcBorders>
                    <w:top w:val="nil"/>
                    <w:left w:val="nil"/>
                    <w:bottom w:val="nil"/>
                    <w:right w:val="nil"/>
                  </w:tcBorders>
                  <w:shd w:val="clear" w:color="auto" w:fill="auto"/>
                  <w:noWrap/>
                  <w:vAlign w:val="bottom"/>
                  <w:hideMark/>
                </w:tcPr>
                <w:p w:rsidR="003563AD" w:rsidRDefault="00251882">
                  <w:pPr>
                    <w:spacing w:before="20" w:after="20"/>
                    <w:jc w:val="right"/>
                  </w:pPr>
                  <w:r>
                    <w:t>1,126</w:t>
                  </w:r>
                </w:p>
              </w:tc>
              <w:tc>
                <w:tcPr>
                  <w:tcW w:w="960" w:type="dxa"/>
                  <w:tcBorders>
                    <w:top w:val="nil"/>
                    <w:left w:val="nil"/>
                    <w:bottom w:val="nil"/>
                    <w:right w:val="nil"/>
                  </w:tcBorders>
                  <w:shd w:val="clear" w:color="auto" w:fill="auto"/>
                  <w:noWrap/>
                  <w:vAlign w:val="bottom"/>
                  <w:hideMark/>
                </w:tcPr>
                <w:p w:rsidR="003563AD" w:rsidRDefault="00251882">
                  <w:pPr>
                    <w:spacing w:before="20" w:after="20"/>
                    <w:jc w:val="right"/>
                  </w:pPr>
                  <w:r>
                    <w:t>1,126</w:t>
                  </w:r>
                </w:p>
              </w:tc>
            </w:tr>
          </w:tbl>
          <w:p w:rsidR="003563AD" w:rsidRDefault="003563AD">
            <w:pPr>
              <w:spacing w:before="20" w:after="20"/>
              <w:jc w:val="right"/>
            </w:pPr>
          </w:p>
        </w:tc>
        <w:tc>
          <w:tcPr>
            <w:tcW w:w="868" w:type="dxa"/>
            <w:vAlign w:val="center"/>
          </w:tcPr>
          <w:p w:rsidR="003563AD" w:rsidRDefault="00251882">
            <w:pPr>
              <w:spacing w:before="20" w:after="20"/>
              <w:jc w:val="right"/>
            </w:pPr>
            <w:r>
              <w:t>0,563</w:t>
            </w:r>
          </w:p>
        </w:tc>
        <w:tc>
          <w:tcPr>
            <w:tcW w:w="868" w:type="dxa"/>
            <w:vAlign w:val="center"/>
          </w:tcPr>
          <w:p w:rsidR="003563AD" w:rsidRDefault="00251882">
            <w:pPr>
              <w:spacing w:before="20" w:after="20"/>
              <w:jc w:val="center"/>
            </w:pPr>
            <w:r>
              <w:t>0,563</w:t>
            </w:r>
          </w:p>
        </w:tc>
        <w:tc>
          <w:tcPr>
            <w:tcW w:w="868" w:type="dxa"/>
            <w:vAlign w:val="center"/>
          </w:tcPr>
          <w:p w:rsidR="003563AD" w:rsidRDefault="003563AD">
            <w:pPr>
              <w:spacing w:before="20" w:after="20"/>
              <w:jc w:val="right"/>
            </w:pPr>
          </w:p>
        </w:tc>
        <w:tc>
          <w:tcPr>
            <w:tcW w:w="868" w:type="dxa"/>
            <w:vAlign w:val="center"/>
          </w:tcPr>
          <w:p w:rsidR="003563AD" w:rsidRDefault="003563AD">
            <w:pPr>
              <w:spacing w:before="20" w:after="20"/>
              <w:jc w:val="right"/>
            </w:pPr>
          </w:p>
        </w:tc>
        <w:tc>
          <w:tcPr>
            <w:tcW w:w="868" w:type="dxa"/>
            <w:vAlign w:val="center"/>
          </w:tcPr>
          <w:p w:rsidR="003563AD" w:rsidRDefault="003563AD">
            <w:pPr>
              <w:spacing w:before="20" w:after="20"/>
              <w:jc w:val="right"/>
            </w:pPr>
          </w:p>
        </w:tc>
        <w:tc>
          <w:tcPr>
            <w:tcW w:w="868" w:type="dxa"/>
            <w:vAlign w:val="center"/>
          </w:tcPr>
          <w:p w:rsidR="003563AD" w:rsidRDefault="003563AD">
            <w:pPr>
              <w:spacing w:before="20" w:after="20"/>
              <w:jc w:val="right"/>
              <w:rPr>
                <w:b/>
                <w:noProof/>
                <w:sz w:val="20"/>
              </w:rPr>
            </w:pPr>
          </w:p>
        </w:tc>
        <w:tc>
          <w:tcPr>
            <w:tcW w:w="1777" w:type="dxa"/>
            <w:vAlign w:val="center"/>
          </w:tcPr>
          <w:p w:rsidR="003563AD" w:rsidRDefault="00251882">
            <w:pPr>
              <w:spacing w:before="20" w:after="20"/>
              <w:jc w:val="right"/>
            </w:pPr>
            <w:r>
              <w:t>1,733</w:t>
            </w:r>
          </w:p>
        </w:tc>
      </w:tr>
      <w:tr w:rsidR="003563AD">
        <w:tc>
          <w:tcPr>
            <w:tcW w:w="3960" w:type="dxa"/>
            <w:vMerge/>
          </w:tcPr>
          <w:p w:rsidR="003563AD" w:rsidRDefault="003563AD">
            <w:pPr>
              <w:rPr>
                <w:noProof/>
                <w:sz w:val="20"/>
              </w:rPr>
            </w:pPr>
          </w:p>
        </w:tc>
        <w:tc>
          <w:tcPr>
            <w:tcW w:w="1440" w:type="dxa"/>
            <w:vAlign w:val="center"/>
          </w:tcPr>
          <w:p w:rsidR="003563AD" w:rsidRDefault="00251882">
            <w:pPr>
              <w:rPr>
                <w:noProof/>
                <w:sz w:val="18"/>
              </w:rPr>
            </w:pPr>
            <w:r>
              <w:rPr>
                <w:noProof/>
                <w:sz w:val="18"/>
              </w:rPr>
              <w:t>Makse</w:t>
            </w:r>
          </w:p>
        </w:tc>
        <w:tc>
          <w:tcPr>
            <w:tcW w:w="654" w:type="dxa"/>
            <w:gridSpan w:val="2"/>
            <w:vAlign w:val="center"/>
          </w:tcPr>
          <w:p w:rsidR="003563AD" w:rsidRDefault="00251882">
            <w:pPr>
              <w:jc w:val="center"/>
              <w:rPr>
                <w:noProof/>
                <w:sz w:val="14"/>
              </w:rPr>
            </w:pPr>
            <w:r>
              <w:rPr>
                <w:noProof/>
                <w:sz w:val="14"/>
              </w:rPr>
              <w:t>= 2 + 2a</w:t>
            </w:r>
          </w:p>
          <w:p w:rsidR="003563AD" w:rsidRDefault="00251882">
            <w:pPr>
              <w:jc w:val="center"/>
              <w:rPr>
                <w:noProof/>
                <w:sz w:val="14"/>
              </w:rPr>
            </w:pPr>
            <w:r>
              <w:rPr>
                <w:noProof/>
                <w:sz w:val="14"/>
              </w:rPr>
              <w:t>+3</w:t>
            </w:r>
          </w:p>
        </w:tc>
        <w:tc>
          <w:tcPr>
            <w:tcW w:w="868" w:type="dxa"/>
            <w:vAlign w:val="center"/>
          </w:tcPr>
          <w:tbl>
            <w:tblPr>
              <w:tblW w:w="2880" w:type="dxa"/>
              <w:tblLayout w:type="fixed"/>
              <w:tblLook w:val="04A0" w:firstRow="1" w:lastRow="0" w:firstColumn="1" w:lastColumn="0" w:noHBand="0" w:noVBand="1"/>
            </w:tblPr>
            <w:tblGrid>
              <w:gridCol w:w="960"/>
              <w:gridCol w:w="960"/>
              <w:gridCol w:w="960"/>
            </w:tblGrid>
            <w:tr w:rsidR="003563AD">
              <w:trPr>
                <w:trHeight w:val="300"/>
              </w:trPr>
              <w:tc>
                <w:tcPr>
                  <w:tcW w:w="960" w:type="dxa"/>
                  <w:tcBorders>
                    <w:top w:val="nil"/>
                    <w:left w:val="nil"/>
                    <w:bottom w:val="nil"/>
                    <w:right w:val="nil"/>
                  </w:tcBorders>
                  <w:shd w:val="clear" w:color="auto" w:fill="auto"/>
                  <w:noWrap/>
                  <w:vAlign w:val="bottom"/>
                  <w:hideMark/>
                </w:tcPr>
                <w:p w:rsidR="003563AD" w:rsidRDefault="00251882">
                  <w:pPr>
                    <w:spacing w:before="20" w:after="20"/>
                    <w:jc w:val="right"/>
                  </w:pPr>
                  <w:r>
                    <w:t>0,6086</w:t>
                  </w:r>
                </w:p>
              </w:tc>
              <w:tc>
                <w:tcPr>
                  <w:tcW w:w="960" w:type="dxa"/>
                  <w:tcBorders>
                    <w:top w:val="nil"/>
                    <w:left w:val="nil"/>
                    <w:bottom w:val="nil"/>
                    <w:right w:val="nil"/>
                  </w:tcBorders>
                  <w:shd w:val="clear" w:color="auto" w:fill="auto"/>
                  <w:noWrap/>
                  <w:vAlign w:val="bottom"/>
                  <w:hideMark/>
                </w:tcPr>
                <w:p w:rsidR="003563AD" w:rsidRDefault="00251882">
                  <w:pPr>
                    <w:spacing w:before="20" w:after="20"/>
                    <w:jc w:val="right"/>
                  </w:pPr>
                  <w:r>
                    <w:t>1,126</w:t>
                  </w:r>
                </w:p>
              </w:tc>
              <w:tc>
                <w:tcPr>
                  <w:tcW w:w="960" w:type="dxa"/>
                  <w:tcBorders>
                    <w:top w:val="nil"/>
                    <w:left w:val="nil"/>
                    <w:bottom w:val="nil"/>
                    <w:right w:val="nil"/>
                  </w:tcBorders>
                  <w:shd w:val="clear" w:color="auto" w:fill="auto"/>
                  <w:noWrap/>
                  <w:vAlign w:val="bottom"/>
                  <w:hideMark/>
                </w:tcPr>
                <w:p w:rsidR="003563AD" w:rsidRDefault="00251882">
                  <w:pPr>
                    <w:spacing w:before="20" w:after="20"/>
                    <w:jc w:val="right"/>
                  </w:pPr>
                  <w:r>
                    <w:t>1,126</w:t>
                  </w:r>
                </w:p>
              </w:tc>
            </w:tr>
          </w:tbl>
          <w:p w:rsidR="003563AD" w:rsidRDefault="003563AD">
            <w:pPr>
              <w:spacing w:before="20" w:after="20"/>
              <w:jc w:val="right"/>
            </w:pPr>
          </w:p>
        </w:tc>
        <w:tc>
          <w:tcPr>
            <w:tcW w:w="868" w:type="dxa"/>
            <w:vAlign w:val="center"/>
          </w:tcPr>
          <w:p w:rsidR="003563AD" w:rsidRDefault="00251882">
            <w:pPr>
              <w:spacing w:before="20" w:after="20"/>
              <w:jc w:val="right"/>
            </w:pPr>
            <w:r>
              <w:t>0,563</w:t>
            </w:r>
          </w:p>
        </w:tc>
        <w:tc>
          <w:tcPr>
            <w:tcW w:w="868" w:type="dxa"/>
            <w:vAlign w:val="center"/>
          </w:tcPr>
          <w:p w:rsidR="003563AD" w:rsidRDefault="00251882">
            <w:pPr>
              <w:spacing w:before="20" w:after="20"/>
              <w:jc w:val="center"/>
            </w:pPr>
            <w:r>
              <w:t>0,563</w:t>
            </w:r>
          </w:p>
        </w:tc>
        <w:tc>
          <w:tcPr>
            <w:tcW w:w="868" w:type="dxa"/>
            <w:vAlign w:val="center"/>
          </w:tcPr>
          <w:p w:rsidR="003563AD" w:rsidRDefault="003563AD">
            <w:pPr>
              <w:spacing w:before="20" w:after="20"/>
              <w:jc w:val="right"/>
              <w:rPr>
                <w:noProof/>
                <w:sz w:val="20"/>
              </w:rPr>
            </w:pPr>
          </w:p>
        </w:tc>
        <w:tc>
          <w:tcPr>
            <w:tcW w:w="868" w:type="dxa"/>
            <w:vAlign w:val="center"/>
          </w:tcPr>
          <w:p w:rsidR="003563AD" w:rsidRDefault="003563AD">
            <w:pPr>
              <w:spacing w:before="20" w:after="20"/>
              <w:jc w:val="right"/>
              <w:rPr>
                <w:noProof/>
                <w:sz w:val="20"/>
              </w:rPr>
            </w:pPr>
          </w:p>
        </w:tc>
        <w:tc>
          <w:tcPr>
            <w:tcW w:w="868" w:type="dxa"/>
            <w:vAlign w:val="center"/>
          </w:tcPr>
          <w:p w:rsidR="003563AD" w:rsidRDefault="003563AD">
            <w:pPr>
              <w:spacing w:before="20" w:after="20"/>
              <w:jc w:val="right"/>
              <w:rPr>
                <w:noProof/>
                <w:sz w:val="20"/>
              </w:rPr>
            </w:pPr>
          </w:p>
        </w:tc>
        <w:tc>
          <w:tcPr>
            <w:tcW w:w="868" w:type="dxa"/>
            <w:vAlign w:val="center"/>
          </w:tcPr>
          <w:p w:rsidR="003563AD" w:rsidRDefault="003563AD">
            <w:pPr>
              <w:spacing w:before="20" w:after="20"/>
              <w:jc w:val="right"/>
              <w:rPr>
                <w:b/>
                <w:noProof/>
                <w:sz w:val="20"/>
              </w:rPr>
            </w:pPr>
          </w:p>
        </w:tc>
        <w:tc>
          <w:tcPr>
            <w:tcW w:w="1777" w:type="dxa"/>
            <w:vAlign w:val="center"/>
          </w:tcPr>
          <w:p w:rsidR="003563AD" w:rsidRDefault="00251882">
            <w:pPr>
              <w:spacing w:before="20" w:after="20"/>
              <w:jc w:val="right"/>
            </w:pPr>
            <w:r>
              <w:t>1,733</w:t>
            </w:r>
          </w:p>
        </w:tc>
      </w:tr>
    </w:tbl>
    <w:p w:rsidR="003563AD" w:rsidRDefault="00251882">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3563AD">
        <w:trPr>
          <w:trHeight w:val="277"/>
        </w:trPr>
        <w:tc>
          <w:tcPr>
            <w:tcW w:w="3960" w:type="dxa"/>
            <w:vMerge w:val="restart"/>
            <w:vAlign w:val="center"/>
          </w:tcPr>
          <w:p w:rsidR="003563AD" w:rsidRDefault="00251882">
            <w:pPr>
              <w:spacing w:before="20" w:after="20"/>
              <w:rPr>
                <w:noProof/>
              </w:rPr>
            </w:pPr>
            <w:r>
              <w:rPr>
                <w:noProof/>
              </w:rPr>
              <w:br w:type="page"/>
            </w:r>
            <w:r>
              <w:rPr>
                <w:noProof/>
                <w:sz w:val="21"/>
              </w:rPr>
              <w:sym w:font="Wingdings" w:char="F09F"/>
            </w:r>
            <w:r>
              <w:rPr>
                <w:noProof/>
                <w:sz w:val="21"/>
              </w:rPr>
              <w:t xml:space="preserve"> </w:t>
            </w:r>
            <w:r>
              <w:rPr>
                <w:noProof/>
              </w:rPr>
              <w:t>Tegevusassigneeringud KOKKU</w:t>
            </w:r>
          </w:p>
        </w:tc>
        <w:tc>
          <w:tcPr>
            <w:tcW w:w="1440" w:type="dxa"/>
            <w:vAlign w:val="center"/>
          </w:tcPr>
          <w:p w:rsidR="003563AD" w:rsidRDefault="00251882">
            <w:pPr>
              <w:spacing w:beforeLines="20" w:before="48" w:afterLines="20" w:after="48"/>
              <w:rPr>
                <w:noProof/>
                <w:sz w:val="18"/>
              </w:rPr>
            </w:pPr>
            <w:r>
              <w:rPr>
                <w:noProof/>
                <w:sz w:val="18"/>
              </w:rPr>
              <w:t>Kulukohustus</w:t>
            </w:r>
          </w:p>
        </w:tc>
        <w:tc>
          <w:tcPr>
            <w:tcW w:w="654" w:type="dxa"/>
            <w:vAlign w:val="center"/>
          </w:tcPr>
          <w:p w:rsidR="003563AD" w:rsidRDefault="00251882">
            <w:pPr>
              <w:spacing w:beforeLines="20" w:before="48" w:afterLines="20" w:after="48"/>
              <w:jc w:val="center"/>
              <w:rPr>
                <w:noProof/>
                <w:sz w:val="14"/>
              </w:rPr>
            </w:pPr>
            <w:r>
              <w:rPr>
                <w:noProof/>
                <w:sz w:val="14"/>
              </w:rPr>
              <w:t>(4)</w:t>
            </w:r>
          </w:p>
        </w:tc>
        <w:tc>
          <w:tcPr>
            <w:tcW w:w="868" w:type="dxa"/>
            <w:vAlign w:val="center"/>
          </w:tcPr>
          <w:p w:rsidR="003563AD" w:rsidRDefault="003563AD">
            <w:pPr>
              <w:spacing w:before="20" w:after="20"/>
              <w:jc w:val="right"/>
              <w:rPr>
                <w:noProof/>
                <w:sz w:val="20"/>
              </w:rPr>
            </w:pPr>
          </w:p>
        </w:tc>
        <w:tc>
          <w:tcPr>
            <w:tcW w:w="868" w:type="dxa"/>
            <w:vAlign w:val="center"/>
          </w:tcPr>
          <w:p w:rsidR="003563AD" w:rsidRDefault="003563AD">
            <w:pPr>
              <w:spacing w:before="20" w:after="20"/>
              <w:jc w:val="right"/>
              <w:rPr>
                <w:noProof/>
                <w:sz w:val="20"/>
              </w:rPr>
            </w:pPr>
          </w:p>
        </w:tc>
        <w:tc>
          <w:tcPr>
            <w:tcW w:w="868" w:type="dxa"/>
            <w:vAlign w:val="center"/>
          </w:tcPr>
          <w:p w:rsidR="003563AD" w:rsidRDefault="003563AD">
            <w:pPr>
              <w:spacing w:before="20" w:after="20"/>
              <w:jc w:val="right"/>
              <w:rPr>
                <w:noProof/>
                <w:sz w:val="20"/>
              </w:rPr>
            </w:pPr>
          </w:p>
        </w:tc>
        <w:tc>
          <w:tcPr>
            <w:tcW w:w="868" w:type="dxa"/>
            <w:vAlign w:val="center"/>
          </w:tcPr>
          <w:p w:rsidR="003563AD" w:rsidRDefault="003563AD">
            <w:pPr>
              <w:spacing w:before="20" w:after="20"/>
              <w:jc w:val="right"/>
              <w:rPr>
                <w:noProof/>
                <w:sz w:val="20"/>
              </w:rPr>
            </w:pPr>
          </w:p>
        </w:tc>
        <w:tc>
          <w:tcPr>
            <w:tcW w:w="868" w:type="dxa"/>
            <w:vAlign w:val="center"/>
          </w:tcPr>
          <w:p w:rsidR="003563AD" w:rsidRDefault="003563AD">
            <w:pPr>
              <w:spacing w:before="20" w:after="20"/>
              <w:jc w:val="right"/>
              <w:rPr>
                <w:noProof/>
                <w:sz w:val="20"/>
              </w:rPr>
            </w:pPr>
          </w:p>
        </w:tc>
        <w:tc>
          <w:tcPr>
            <w:tcW w:w="868" w:type="dxa"/>
            <w:vAlign w:val="center"/>
          </w:tcPr>
          <w:p w:rsidR="003563AD" w:rsidRDefault="003563AD">
            <w:pPr>
              <w:spacing w:before="20" w:after="20"/>
              <w:jc w:val="right"/>
              <w:rPr>
                <w:noProof/>
                <w:sz w:val="20"/>
              </w:rPr>
            </w:pPr>
          </w:p>
        </w:tc>
        <w:tc>
          <w:tcPr>
            <w:tcW w:w="868" w:type="dxa"/>
            <w:vAlign w:val="center"/>
          </w:tcPr>
          <w:p w:rsidR="003563AD" w:rsidRDefault="003563AD">
            <w:pPr>
              <w:spacing w:before="20" w:after="20"/>
              <w:jc w:val="right"/>
              <w:rPr>
                <w:b/>
                <w:noProof/>
                <w:sz w:val="20"/>
              </w:rPr>
            </w:pPr>
          </w:p>
        </w:tc>
        <w:tc>
          <w:tcPr>
            <w:tcW w:w="1777" w:type="dxa"/>
            <w:vAlign w:val="center"/>
          </w:tcPr>
          <w:p w:rsidR="003563AD" w:rsidRDefault="003563AD">
            <w:pPr>
              <w:spacing w:before="20" w:after="20"/>
              <w:jc w:val="right"/>
              <w:rPr>
                <w:b/>
                <w:noProof/>
                <w:sz w:val="20"/>
              </w:rPr>
            </w:pPr>
          </w:p>
        </w:tc>
      </w:tr>
      <w:tr w:rsidR="003563AD">
        <w:tc>
          <w:tcPr>
            <w:tcW w:w="3960" w:type="dxa"/>
            <w:vMerge/>
          </w:tcPr>
          <w:p w:rsidR="003563AD" w:rsidRDefault="003563AD">
            <w:pPr>
              <w:jc w:val="center"/>
              <w:rPr>
                <w:noProof/>
                <w:sz w:val="20"/>
              </w:rPr>
            </w:pPr>
          </w:p>
        </w:tc>
        <w:tc>
          <w:tcPr>
            <w:tcW w:w="1440" w:type="dxa"/>
            <w:vAlign w:val="center"/>
          </w:tcPr>
          <w:p w:rsidR="003563AD" w:rsidRDefault="00251882">
            <w:pPr>
              <w:spacing w:beforeLines="20" w:before="48" w:afterLines="20" w:after="48"/>
              <w:rPr>
                <w:noProof/>
                <w:sz w:val="18"/>
              </w:rPr>
            </w:pPr>
            <w:r>
              <w:rPr>
                <w:noProof/>
                <w:sz w:val="18"/>
              </w:rPr>
              <w:t>Makse</w:t>
            </w:r>
          </w:p>
        </w:tc>
        <w:tc>
          <w:tcPr>
            <w:tcW w:w="654" w:type="dxa"/>
            <w:vAlign w:val="center"/>
          </w:tcPr>
          <w:p w:rsidR="003563AD" w:rsidRDefault="00251882">
            <w:pPr>
              <w:spacing w:beforeLines="20" w:before="48" w:afterLines="20" w:after="48"/>
              <w:jc w:val="center"/>
              <w:rPr>
                <w:noProof/>
                <w:sz w:val="14"/>
              </w:rPr>
            </w:pPr>
            <w:r>
              <w:rPr>
                <w:noProof/>
                <w:sz w:val="14"/>
              </w:rPr>
              <w:t>(5)</w:t>
            </w:r>
          </w:p>
        </w:tc>
        <w:tc>
          <w:tcPr>
            <w:tcW w:w="868" w:type="dxa"/>
            <w:vAlign w:val="center"/>
          </w:tcPr>
          <w:p w:rsidR="003563AD" w:rsidRDefault="003563AD">
            <w:pPr>
              <w:spacing w:before="20" w:after="20"/>
              <w:jc w:val="right"/>
              <w:rPr>
                <w:noProof/>
                <w:sz w:val="20"/>
              </w:rPr>
            </w:pPr>
          </w:p>
        </w:tc>
        <w:tc>
          <w:tcPr>
            <w:tcW w:w="868" w:type="dxa"/>
            <w:vAlign w:val="center"/>
          </w:tcPr>
          <w:p w:rsidR="003563AD" w:rsidRDefault="003563AD">
            <w:pPr>
              <w:spacing w:before="20" w:after="20"/>
              <w:jc w:val="right"/>
              <w:rPr>
                <w:noProof/>
                <w:sz w:val="20"/>
              </w:rPr>
            </w:pPr>
          </w:p>
        </w:tc>
        <w:tc>
          <w:tcPr>
            <w:tcW w:w="868" w:type="dxa"/>
            <w:vAlign w:val="center"/>
          </w:tcPr>
          <w:p w:rsidR="003563AD" w:rsidRDefault="003563AD">
            <w:pPr>
              <w:spacing w:before="20" w:after="20"/>
              <w:jc w:val="right"/>
              <w:rPr>
                <w:noProof/>
                <w:sz w:val="20"/>
              </w:rPr>
            </w:pPr>
          </w:p>
        </w:tc>
        <w:tc>
          <w:tcPr>
            <w:tcW w:w="868" w:type="dxa"/>
            <w:vAlign w:val="center"/>
          </w:tcPr>
          <w:p w:rsidR="003563AD" w:rsidRDefault="003563AD">
            <w:pPr>
              <w:spacing w:before="20" w:after="20"/>
              <w:jc w:val="right"/>
              <w:rPr>
                <w:noProof/>
                <w:sz w:val="20"/>
              </w:rPr>
            </w:pPr>
          </w:p>
        </w:tc>
        <w:tc>
          <w:tcPr>
            <w:tcW w:w="868" w:type="dxa"/>
            <w:vAlign w:val="center"/>
          </w:tcPr>
          <w:p w:rsidR="003563AD" w:rsidRDefault="003563AD">
            <w:pPr>
              <w:spacing w:before="20" w:after="20"/>
              <w:jc w:val="right"/>
              <w:rPr>
                <w:noProof/>
                <w:sz w:val="20"/>
              </w:rPr>
            </w:pPr>
          </w:p>
        </w:tc>
        <w:tc>
          <w:tcPr>
            <w:tcW w:w="868" w:type="dxa"/>
            <w:vAlign w:val="center"/>
          </w:tcPr>
          <w:p w:rsidR="003563AD" w:rsidRDefault="003563AD">
            <w:pPr>
              <w:spacing w:before="20" w:after="20"/>
              <w:jc w:val="right"/>
              <w:rPr>
                <w:noProof/>
                <w:sz w:val="20"/>
              </w:rPr>
            </w:pPr>
          </w:p>
        </w:tc>
        <w:tc>
          <w:tcPr>
            <w:tcW w:w="868" w:type="dxa"/>
            <w:vAlign w:val="center"/>
          </w:tcPr>
          <w:p w:rsidR="003563AD" w:rsidRDefault="003563AD">
            <w:pPr>
              <w:spacing w:before="20" w:after="20"/>
              <w:jc w:val="right"/>
              <w:rPr>
                <w:b/>
                <w:noProof/>
                <w:sz w:val="20"/>
              </w:rPr>
            </w:pPr>
          </w:p>
        </w:tc>
        <w:tc>
          <w:tcPr>
            <w:tcW w:w="1777" w:type="dxa"/>
            <w:vAlign w:val="center"/>
          </w:tcPr>
          <w:p w:rsidR="003563AD" w:rsidRDefault="003563AD">
            <w:pPr>
              <w:spacing w:before="20" w:after="20"/>
              <w:jc w:val="right"/>
              <w:rPr>
                <w:b/>
                <w:noProof/>
                <w:sz w:val="20"/>
              </w:rPr>
            </w:pPr>
          </w:p>
        </w:tc>
      </w:tr>
      <w:tr w:rsidR="003563AD">
        <w:trPr>
          <w:trHeight w:val="533"/>
        </w:trPr>
        <w:tc>
          <w:tcPr>
            <w:tcW w:w="5400" w:type="dxa"/>
            <w:gridSpan w:val="2"/>
            <w:vAlign w:val="center"/>
          </w:tcPr>
          <w:p w:rsidR="003563AD" w:rsidRDefault="00251882">
            <w:pPr>
              <w:spacing w:beforeLines="20" w:before="48" w:afterLines="20" w:after="48"/>
              <w:rPr>
                <w:noProof/>
              </w:rPr>
            </w:pPr>
            <w:r>
              <w:rPr>
                <w:noProof/>
                <w:sz w:val="21"/>
              </w:rPr>
              <w:sym w:font="Wingdings" w:char="F09F"/>
            </w:r>
            <w:r>
              <w:rPr>
                <w:noProof/>
                <w:sz w:val="21"/>
              </w:rPr>
              <w:t xml:space="preserve"> </w:t>
            </w:r>
            <w:r>
              <w:rPr>
                <w:noProof/>
              </w:rPr>
              <w:t>Eriprogrammide vahenditest rahastatavad haldusassigneeringud KOKKU</w:t>
            </w:r>
          </w:p>
        </w:tc>
        <w:tc>
          <w:tcPr>
            <w:tcW w:w="654" w:type="dxa"/>
            <w:vAlign w:val="center"/>
          </w:tcPr>
          <w:p w:rsidR="003563AD" w:rsidRDefault="00251882">
            <w:pPr>
              <w:spacing w:beforeLines="20" w:before="48" w:afterLines="20" w:after="48"/>
              <w:jc w:val="center"/>
              <w:rPr>
                <w:noProof/>
                <w:sz w:val="14"/>
              </w:rPr>
            </w:pPr>
            <w:r>
              <w:rPr>
                <w:noProof/>
                <w:sz w:val="14"/>
              </w:rPr>
              <w:t>(6)</w:t>
            </w:r>
          </w:p>
        </w:tc>
        <w:tc>
          <w:tcPr>
            <w:tcW w:w="868" w:type="dxa"/>
            <w:vAlign w:val="center"/>
          </w:tcPr>
          <w:p w:rsidR="003563AD" w:rsidRDefault="003563AD">
            <w:pPr>
              <w:spacing w:before="20" w:after="20"/>
              <w:jc w:val="right"/>
              <w:rPr>
                <w:b/>
                <w:noProof/>
                <w:sz w:val="20"/>
              </w:rPr>
            </w:pPr>
          </w:p>
        </w:tc>
        <w:tc>
          <w:tcPr>
            <w:tcW w:w="868" w:type="dxa"/>
            <w:vAlign w:val="center"/>
          </w:tcPr>
          <w:p w:rsidR="003563AD" w:rsidRDefault="003563AD">
            <w:pPr>
              <w:spacing w:before="20" w:after="20"/>
              <w:jc w:val="right"/>
              <w:rPr>
                <w:b/>
                <w:noProof/>
                <w:sz w:val="20"/>
              </w:rPr>
            </w:pPr>
          </w:p>
        </w:tc>
        <w:tc>
          <w:tcPr>
            <w:tcW w:w="868" w:type="dxa"/>
            <w:vAlign w:val="center"/>
          </w:tcPr>
          <w:p w:rsidR="003563AD" w:rsidRDefault="003563AD">
            <w:pPr>
              <w:spacing w:before="20" w:after="20"/>
              <w:jc w:val="right"/>
              <w:rPr>
                <w:b/>
                <w:noProof/>
                <w:sz w:val="20"/>
              </w:rPr>
            </w:pPr>
          </w:p>
        </w:tc>
        <w:tc>
          <w:tcPr>
            <w:tcW w:w="868" w:type="dxa"/>
            <w:vAlign w:val="center"/>
          </w:tcPr>
          <w:p w:rsidR="003563AD" w:rsidRDefault="003563AD">
            <w:pPr>
              <w:spacing w:before="20" w:after="20"/>
              <w:jc w:val="right"/>
              <w:rPr>
                <w:b/>
                <w:noProof/>
                <w:sz w:val="20"/>
              </w:rPr>
            </w:pPr>
          </w:p>
        </w:tc>
        <w:tc>
          <w:tcPr>
            <w:tcW w:w="868" w:type="dxa"/>
            <w:vAlign w:val="center"/>
          </w:tcPr>
          <w:p w:rsidR="003563AD" w:rsidRDefault="003563AD">
            <w:pPr>
              <w:spacing w:before="20" w:after="20"/>
              <w:jc w:val="right"/>
              <w:rPr>
                <w:b/>
                <w:noProof/>
                <w:sz w:val="20"/>
              </w:rPr>
            </w:pPr>
          </w:p>
        </w:tc>
        <w:tc>
          <w:tcPr>
            <w:tcW w:w="868" w:type="dxa"/>
            <w:vAlign w:val="center"/>
          </w:tcPr>
          <w:p w:rsidR="003563AD" w:rsidRDefault="003563AD">
            <w:pPr>
              <w:spacing w:before="20" w:after="20"/>
              <w:jc w:val="right"/>
              <w:rPr>
                <w:b/>
                <w:noProof/>
                <w:sz w:val="20"/>
              </w:rPr>
            </w:pPr>
          </w:p>
        </w:tc>
        <w:tc>
          <w:tcPr>
            <w:tcW w:w="868" w:type="dxa"/>
            <w:vAlign w:val="center"/>
          </w:tcPr>
          <w:p w:rsidR="003563AD" w:rsidRDefault="003563AD">
            <w:pPr>
              <w:spacing w:before="20" w:after="20"/>
              <w:jc w:val="right"/>
              <w:rPr>
                <w:b/>
                <w:noProof/>
                <w:sz w:val="20"/>
              </w:rPr>
            </w:pPr>
          </w:p>
        </w:tc>
        <w:tc>
          <w:tcPr>
            <w:tcW w:w="1777" w:type="dxa"/>
            <w:vAlign w:val="center"/>
          </w:tcPr>
          <w:p w:rsidR="003563AD" w:rsidRDefault="003563AD">
            <w:pPr>
              <w:spacing w:before="20" w:after="20"/>
              <w:jc w:val="right"/>
            </w:pPr>
          </w:p>
        </w:tc>
      </w:tr>
      <w:tr w:rsidR="003563AD">
        <w:tc>
          <w:tcPr>
            <w:tcW w:w="3960" w:type="dxa"/>
            <w:vMerge w:val="restart"/>
            <w:shd w:val="thinDiagStripe" w:color="C0C0C0" w:fill="auto"/>
            <w:vAlign w:val="center"/>
          </w:tcPr>
          <w:p w:rsidR="003563AD" w:rsidRDefault="00251882">
            <w:pPr>
              <w:jc w:val="center"/>
              <w:rPr>
                <w:b/>
                <w:noProof/>
              </w:rPr>
            </w:pPr>
            <w:r>
              <w:rPr>
                <w:noProof/>
              </w:rPr>
              <w:t xml:space="preserve">Mitmeaastase finantsraamistiku </w:t>
            </w:r>
            <w:r>
              <w:rPr>
                <w:b/>
                <w:noProof/>
              </w:rPr>
              <w:t>RUBRIIGI 1 assigneeringud KOKKU</w:t>
            </w:r>
          </w:p>
        </w:tc>
        <w:tc>
          <w:tcPr>
            <w:tcW w:w="1440" w:type="dxa"/>
            <w:vAlign w:val="center"/>
          </w:tcPr>
          <w:p w:rsidR="003563AD" w:rsidRDefault="00251882">
            <w:pPr>
              <w:rPr>
                <w:noProof/>
                <w:sz w:val="18"/>
              </w:rPr>
            </w:pPr>
            <w:r>
              <w:rPr>
                <w:noProof/>
                <w:sz w:val="18"/>
              </w:rPr>
              <w:t>Kulukohustus</w:t>
            </w:r>
          </w:p>
        </w:tc>
        <w:tc>
          <w:tcPr>
            <w:tcW w:w="654" w:type="dxa"/>
            <w:vAlign w:val="center"/>
          </w:tcPr>
          <w:p w:rsidR="003563AD" w:rsidRDefault="00251882">
            <w:pPr>
              <w:jc w:val="center"/>
              <w:rPr>
                <w:noProof/>
                <w:sz w:val="14"/>
              </w:rPr>
            </w:pPr>
            <w:r>
              <w:rPr>
                <w:noProof/>
                <w:sz w:val="14"/>
              </w:rPr>
              <w:t>= 4 + 6</w:t>
            </w:r>
          </w:p>
        </w:tc>
        <w:tc>
          <w:tcPr>
            <w:tcW w:w="868" w:type="dxa"/>
            <w:vAlign w:val="center"/>
          </w:tcPr>
          <w:tbl>
            <w:tblPr>
              <w:tblW w:w="2880" w:type="dxa"/>
              <w:tblLayout w:type="fixed"/>
              <w:tblLook w:val="04A0" w:firstRow="1" w:lastRow="0" w:firstColumn="1" w:lastColumn="0" w:noHBand="0" w:noVBand="1"/>
            </w:tblPr>
            <w:tblGrid>
              <w:gridCol w:w="960"/>
              <w:gridCol w:w="960"/>
              <w:gridCol w:w="960"/>
            </w:tblGrid>
            <w:tr w:rsidR="003563AD">
              <w:trPr>
                <w:trHeight w:val="300"/>
              </w:trPr>
              <w:tc>
                <w:tcPr>
                  <w:tcW w:w="960" w:type="dxa"/>
                  <w:tcBorders>
                    <w:top w:val="nil"/>
                    <w:left w:val="nil"/>
                    <w:bottom w:val="nil"/>
                    <w:right w:val="nil"/>
                  </w:tcBorders>
                  <w:shd w:val="clear" w:color="auto" w:fill="auto"/>
                  <w:noWrap/>
                  <w:vAlign w:val="bottom"/>
                  <w:hideMark/>
                </w:tcPr>
                <w:p w:rsidR="003563AD" w:rsidRDefault="00251882">
                  <w:pPr>
                    <w:spacing w:before="20" w:after="20"/>
                    <w:jc w:val="right"/>
                  </w:pPr>
                  <w:r>
                    <w:t>0,6086</w:t>
                  </w:r>
                </w:p>
              </w:tc>
              <w:tc>
                <w:tcPr>
                  <w:tcW w:w="960" w:type="dxa"/>
                  <w:tcBorders>
                    <w:top w:val="nil"/>
                    <w:left w:val="nil"/>
                    <w:bottom w:val="nil"/>
                    <w:right w:val="nil"/>
                  </w:tcBorders>
                  <w:shd w:val="clear" w:color="auto" w:fill="auto"/>
                  <w:noWrap/>
                  <w:vAlign w:val="bottom"/>
                  <w:hideMark/>
                </w:tcPr>
                <w:p w:rsidR="003563AD" w:rsidRDefault="00251882">
                  <w:pPr>
                    <w:spacing w:before="20" w:after="20"/>
                    <w:jc w:val="right"/>
                  </w:pPr>
                  <w:r>
                    <w:t>1,126</w:t>
                  </w:r>
                </w:p>
              </w:tc>
              <w:tc>
                <w:tcPr>
                  <w:tcW w:w="960" w:type="dxa"/>
                  <w:tcBorders>
                    <w:top w:val="nil"/>
                    <w:left w:val="nil"/>
                    <w:bottom w:val="nil"/>
                    <w:right w:val="nil"/>
                  </w:tcBorders>
                  <w:shd w:val="clear" w:color="auto" w:fill="auto"/>
                  <w:noWrap/>
                  <w:vAlign w:val="bottom"/>
                  <w:hideMark/>
                </w:tcPr>
                <w:p w:rsidR="003563AD" w:rsidRDefault="00251882">
                  <w:pPr>
                    <w:spacing w:before="20" w:after="20"/>
                    <w:jc w:val="right"/>
                  </w:pPr>
                  <w:r>
                    <w:t>1,126</w:t>
                  </w:r>
                </w:p>
              </w:tc>
            </w:tr>
          </w:tbl>
          <w:p w:rsidR="003563AD" w:rsidRDefault="003563AD">
            <w:pPr>
              <w:spacing w:before="20" w:after="20"/>
              <w:jc w:val="right"/>
            </w:pPr>
          </w:p>
        </w:tc>
        <w:tc>
          <w:tcPr>
            <w:tcW w:w="868" w:type="dxa"/>
            <w:vAlign w:val="center"/>
          </w:tcPr>
          <w:p w:rsidR="003563AD" w:rsidRDefault="00251882">
            <w:pPr>
              <w:spacing w:before="20" w:after="20"/>
              <w:jc w:val="right"/>
            </w:pPr>
            <w:r>
              <w:t>0,563</w:t>
            </w:r>
          </w:p>
        </w:tc>
        <w:tc>
          <w:tcPr>
            <w:tcW w:w="868" w:type="dxa"/>
            <w:vAlign w:val="center"/>
          </w:tcPr>
          <w:p w:rsidR="003563AD" w:rsidRDefault="00251882">
            <w:pPr>
              <w:spacing w:before="20" w:after="20"/>
              <w:jc w:val="center"/>
            </w:pPr>
            <w:r>
              <w:t>0,563</w:t>
            </w:r>
          </w:p>
        </w:tc>
        <w:tc>
          <w:tcPr>
            <w:tcW w:w="868" w:type="dxa"/>
            <w:vAlign w:val="center"/>
          </w:tcPr>
          <w:p w:rsidR="003563AD" w:rsidRDefault="003563AD">
            <w:pPr>
              <w:spacing w:before="20" w:after="20"/>
              <w:jc w:val="right"/>
              <w:rPr>
                <w:noProof/>
                <w:sz w:val="20"/>
              </w:rPr>
            </w:pPr>
          </w:p>
        </w:tc>
        <w:tc>
          <w:tcPr>
            <w:tcW w:w="868" w:type="dxa"/>
            <w:vAlign w:val="center"/>
          </w:tcPr>
          <w:p w:rsidR="003563AD" w:rsidRDefault="003563AD">
            <w:pPr>
              <w:spacing w:before="20" w:after="20"/>
              <w:jc w:val="right"/>
              <w:rPr>
                <w:noProof/>
                <w:sz w:val="20"/>
              </w:rPr>
            </w:pPr>
          </w:p>
        </w:tc>
        <w:tc>
          <w:tcPr>
            <w:tcW w:w="868" w:type="dxa"/>
            <w:vAlign w:val="center"/>
          </w:tcPr>
          <w:p w:rsidR="003563AD" w:rsidRDefault="003563AD">
            <w:pPr>
              <w:spacing w:before="20" w:after="20"/>
              <w:jc w:val="right"/>
              <w:rPr>
                <w:noProof/>
                <w:sz w:val="20"/>
              </w:rPr>
            </w:pPr>
          </w:p>
        </w:tc>
        <w:tc>
          <w:tcPr>
            <w:tcW w:w="868" w:type="dxa"/>
            <w:vAlign w:val="center"/>
          </w:tcPr>
          <w:p w:rsidR="003563AD" w:rsidRDefault="003563AD">
            <w:pPr>
              <w:spacing w:before="20" w:after="20"/>
              <w:jc w:val="right"/>
              <w:rPr>
                <w:b/>
                <w:noProof/>
                <w:sz w:val="20"/>
              </w:rPr>
            </w:pPr>
          </w:p>
        </w:tc>
        <w:tc>
          <w:tcPr>
            <w:tcW w:w="1777" w:type="dxa"/>
          </w:tcPr>
          <w:p w:rsidR="003563AD" w:rsidRDefault="00251882">
            <w:pPr>
              <w:spacing w:before="20" w:after="20"/>
              <w:jc w:val="right"/>
            </w:pPr>
            <w:r>
              <w:t>1,733</w:t>
            </w:r>
          </w:p>
        </w:tc>
      </w:tr>
      <w:tr w:rsidR="003563AD">
        <w:tc>
          <w:tcPr>
            <w:tcW w:w="3960" w:type="dxa"/>
            <w:vMerge/>
            <w:shd w:val="thinDiagStripe" w:color="C0C0C0" w:fill="auto"/>
          </w:tcPr>
          <w:p w:rsidR="003563AD" w:rsidRDefault="003563AD">
            <w:pPr>
              <w:rPr>
                <w:noProof/>
                <w:sz w:val="20"/>
              </w:rPr>
            </w:pPr>
          </w:p>
        </w:tc>
        <w:tc>
          <w:tcPr>
            <w:tcW w:w="1440" w:type="dxa"/>
            <w:vAlign w:val="center"/>
          </w:tcPr>
          <w:p w:rsidR="003563AD" w:rsidRDefault="00251882">
            <w:pPr>
              <w:rPr>
                <w:noProof/>
                <w:sz w:val="18"/>
              </w:rPr>
            </w:pPr>
            <w:r>
              <w:rPr>
                <w:noProof/>
                <w:sz w:val="18"/>
              </w:rPr>
              <w:t>Makse</w:t>
            </w:r>
          </w:p>
        </w:tc>
        <w:tc>
          <w:tcPr>
            <w:tcW w:w="654" w:type="dxa"/>
            <w:vAlign w:val="center"/>
          </w:tcPr>
          <w:p w:rsidR="003563AD" w:rsidRDefault="00251882">
            <w:pPr>
              <w:jc w:val="center"/>
              <w:rPr>
                <w:noProof/>
                <w:sz w:val="14"/>
              </w:rPr>
            </w:pPr>
            <w:r>
              <w:rPr>
                <w:noProof/>
                <w:sz w:val="14"/>
              </w:rPr>
              <w:t>= 5+ 6</w:t>
            </w:r>
          </w:p>
        </w:tc>
        <w:tc>
          <w:tcPr>
            <w:tcW w:w="868" w:type="dxa"/>
            <w:vAlign w:val="center"/>
          </w:tcPr>
          <w:tbl>
            <w:tblPr>
              <w:tblW w:w="2880" w:type="dxa"/>
              <w:tblLayout w:type="fixed"/>
              <w:tblLook w:val="04A0" w:firstRow="1" w:lastRow="0" w:firstColumn="1" w:lastColumn="0" w:noHBand="0" w:noVBand="1"/>
            </w:tblPr>
            <w:tblGrid>
              <w:gridCol w:w="960"/>
              <w:gridCol w:w="960"/>
              <w:gridCol w:w="960"/>
            </w:tblGrid>
            <w:tr w:rsidR="003563AD">
              <w:trPr>
                <w:trHeight w:val="300"/>
              </w:trPr>
              <w:tc>
                <w:tcPr>
                  <w:tcW w:w="960" w:type="dxa"/>
                  <w:tcBorders>
                    <w:top w:val="nil"/>
                    <w:left w:val="nil"/>
                    <w:bottom w:val="nil"/>
                    <w:right w:val="nil"/>
                  </w:tcBorders>
                  <w:shd w:val="clear" w:color="auto" w:fill="auto"/>
                  <w:noWrap/>
                  <w:vAlign w:val="bottom"/>
                  <w:hideMark/>
                </w:tcPr>
                <w:p w:rsidR="003563AD" w:rsidRDefault="00251882">
                  <w:pPr>
                    <w:spacing w:before="20" w:after="20"/>
                    <w:jc w:val="right"/>
                  </w:pPr>
                  <w:r>
                    <w:t>0,6086</w:t>
                  </w:r>
                </w:p>
              </w:tc>
              <w:tc>
                <w:tcPr>
                  <w:tcW w:w="960" w:type="dxa"/>
                  <w:tcBorders>
                    <w:top w:val="nil"/>
                    <w:left w:val="nil"/>
                    <w:bottom w:val="nil"/>
                    <w:right w:val="nil"/>
                  </w:tcBorders>
                  <w:shd w:val="clear" w:color="auto" w:fill="auto"/>
                  <w:noWrap/>
                  <w:vAlign w:val="bottom"/>
                  <w:hideMark/>
                </w:tcPr>
                <w:p w:rsidR="003563AD" w:rsidRDefault="00251882">
                  <w:pPr>
                    <w:spacing w:before="20" w:after="20"/>
                    <w:jc w:val="right"/>
                  </w:pPr>
                  <w:r>
                    <w:t>1,126</w:t>
                  </w:r>
                </w:p>
              </w:tc>
              <w:tc>
                <w:tcPr>
                  <w:tcW w:w="960" w:type="dxa"/>
                  <w:tcBorders>
                    <w:top w:val="nil"/>
                    <w:left w:val="nil"/>
                    <w:bottom w:val="nil"/>
                    <w:right w:val="nil"/>
                  </w:tcBorders>
                  <w:shd w:val="clear" w:color="auto" w:fill="auto"/>
                  <w:noWrap/>
                  <w:vAlign w:val="bottom"/>
                  <w:hideMark/>
                </w:tcPr>
                <w:p w:rsidR="003563AD" w:rsidRDefault="00251882">
                  <w:pPr>
                    <w:spacing w:before="20" w:after="20"/>
                    <w:jc w:val="right"/>
                  </w:pPr>
                  <w:r>
                    <w:t>1,126</w:t>
                  </w:r>
                </w:p>
              </w:tc>
            </w:tr>
          </w:tbl>
          <w:p w:rsidR="003563AD" w:rsidRDefault="003563AD">
            <w:pPr>
              <w:spacing w:before="20" w:after="20"/>
              <w:jc w:val="right"/>
            </w:pPr>
          </w:p>
        </w:tc>
        <w:tc>
          <w:tcPr>
            <w:tcW w:w="868" w:type="dxa"/>
            <w:vAlign w:val="center"/>
          </w:tcPr>
          <w:p w:rsidR="003563AD" w:rsidRDefault="00251882">
            <w:pPr>
              <w:spacing w:before="20" w:after="20"/>
              <w:jc w:val="right"/>
            </w:pPr>
            <w:r>
              <w:t>0,563</w:t>
            </w:r>
          </w:p>
        </w:tc>
        <w:tc>
          <w:tcPr>
            <w:tcW w:w="868" w:type="dxa"/>
            <w:vAlign w:val="center"/>
          </w:tcPr>
          <w:p w:rsidR="003563AD" w:rsidRDefault="00251882">
            <w:pPr>
              <w:spacing w:before="20" w:after="20"/>
              <w:jc w:val="center"/>
            </w:pPr>
            <w:r>
              <w:t>0,563</w:t>
            </w:r>
          </w:p>
        </w:tc>
        <w:tc>
          <w:tcPr>
            <w:tcW w:w="868" w:type="dxa"/>
            <w:vAlign w:val="center"/>
          </w:tcPr>
          <w:p w:rsidR="003563AD" w:rsidRDefault="003563AD">
            <w:pPr>
              <w:spacing w:before="20" w:after="20"/>
              <w:jc w:val="right"/>
              <w:rPr>
                <w:noProof/>
                <w:sz w:val="20"/>
              </w:rPr>
            </w:pPr>
          </w:p>
        </w:tc>
        <w:tc>
          <w:tcPr>
            <w:tcW w:w="868" w:type="dxa"/>
            <w:vAlign w:val="center"/>
          </w:tcPr>
          <w:p w:rsidR="003563AD" w:rsidRDefault="003563AD">
            <w:pPr>
              <w:spacing w:before="20" w:after="20"/>
              <w:jc w:val="right"/>
              <w:rPr>
                <w:noProof/>
                <w:sz w:val="20"/>
              </w:rPr>
            </w:pPr>
          </w:p>
        </w:tc>
        <w:tc>
          <w:tcPr>
            <w:tcW w:w="868" w:type="dxa"/>
            <w:vAlign w:val="center"/>
          </w:tcPr>
          <w:p w:rsidR="003563AD" w:rsidRDefault="003563AD">
            <w:pPr>
              <w:spacing w:before="20" w:after="20"/>
              <w:jc w:val="right"/>
              <w:rPr>
                <w:noProof/>
                <w:sz w:val="20"/>
              </w:rPr>
            </w:pPr>
          </w:p>
        </w:tc>
        <w:tc>
          <w:tcPr>
            <w:tcW w:w="868" w:type="dxa"/>
            <w:vAlign w:val="center"/>
          </w:tcPr>
          <w:p w:rsidR="003563AD" w:rsidRDefault="003563AD">
            <w:pPr>
              <w:spacing w:before="20" w:after="20"/>
              <w:jc w:val="right"/>
              <w:rPr>
                <w:b/>
                <w:noProof/>
                <w:sz w:val="20"/>
              </w:rPr>
            </w:pPr>
          </w:p>
        </w:tc>
        <w:tc>
          <w:tcPr>
            <w:tcW w:w="1777" w:type="dxa"/>
          </w:tcPr>
          <w:p w:rsidR="003563AD" w:rsidRDefault="00251882">
            <w:pPr>
              <w:spacing w:before="20" w:after="20"/>
              <w:jc w:val="right"/>
            </w:pPr>
            <w:r>
              <w:t>1,733</w:t>
            </w:r>
          </w:p>
        </w:tc>
      </w:tr>
    </w:tbl>
    <w:p w:rsidR="003563AD" w:rsidRDefault="00251882">
      <w:pPr>
        <w:spacing w:after="40"/>
        <w:rPr>
          <w:b/>
          <w:noProof/>
          <w:sz w:val="22"/>
          <w:u w:val="single"/>
        </w:rPr>
      </w:pPr>
      <w:r>
        <w:rPr>
          <w:b/>
          <w:noProof/>
          <w:sz w:val="22"/>
          <w:u w:val="single"/>
        </w:rPr>
        <w:t>Juhul kui ettepanek/algatus mõjutab mitut rubriiki:</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3563AD">
        <w:trPr>
          <w:trHeight w:val="277"/>
        </w:trPr>
        <w:tc>
          <w:tcPr>
            <w:tcW w:w="3960" w:type="dxa"/>
            <w:vMerge w:val="restart"/>
            <w:tcBorders>
              <w:top w:val="single" w:sz="4" w:space="0" w:color="FF0000"/>
              <w:left w:val="single" w:sz="4" w:space="0" w:color="auto"/>
              <w:bottom w:val="single" w:sz="4" w:space="0" w:color="FF0000"/>
            </w:tcBorders>
            <w:vAlign w:val="center"/>
          </w:tcPr>
          <w:p w:rsidR="003563AD" w:rsidRDefault="00251882">
            <w:pPr>
              <w:spacing w:before="20" w:after="20"/>
              <w:rPr>
                <w:noProof/>
              </w:rPr>
            </w:pPr>
            <w:r>
              <w:rPr>
                <w:noProof/>
                <w:sz w:val="21"/>
              </w:rPr>
              <w:sym w:font="Wingdings" w:char="F09F"/>
            </w:r>
            <w:r>
              <w:rPr>
                <w:noProof/>
                <w:sz w:val="21"/>
              </w:rPr>
              <w:t xml:space="preserve"> </w:t>
            </w:r>
            <w:r>
              <w:rPr>
                <w:noProof/>
              </w:rPr>
              <w:t>Tegevusassigneeringud KOKKU</w:t>
            </w:r>
          </w:p>
        </w:tc>
        <w:tc>
          <w:tcPr>
            <w:tcW w:w="1440" w:type="dxa"/>
            <w:tcBorders>
              <w:top w:val="single" w:sz="4" w:space="0" w:color="FF0000"/>
            </w:tcBorders>
            <w:vAlign w:val="center"/>
          </w:tcPr>
          <w:p w:rsidR="003563AD" w:rsidRDefault="00251882">
            <w:pPr>
              <w:spacing w:beforeLines="20" w:before="48" w:afterLines="20" w:after="48"/>
              <w:rPr>
                <w:noProof/>
                <w:sz w:val="18"/>
              </w:rPr>
            </w:pPr>
            <w:r>
              <w:rPr>
                <w:noProof/>
                <w:sz w:val="18"/>
              </w:rPr>
              <w:t>Kulukohustus</w:t>
            </w:r>
          </w:p>
        </w:tc>
        <w:tc>
          <w:tcPr>
            <w:tcW w:w="654" w:type="dxa"/>
            <w:tcBorders>
              <w:top w:val="single" w:sz="4" w:space="0" w:color="FF0000"/>
            </w:tcBorders>
            <w:vAlign w:val="center"/>
          </w:tcPr>
          <w:p w:rsidR="003563AD" w:rsidRDefault="00251882">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rsidR="003563AD" w:rsidRDefault="003563AD">
            <w:pPr>
              <w:spacing w:before="20" w:after="20"/>
              <w:jc w:val="right"/>
              <w:rPr>
                <w:noProof/>
                <w:sz w:val="20"/>
              </w:rPr>
            </w:pPr>
          </w:p>
        </w:tc>
        <w:tc>
          <w:tcPr>
            <w:tcW w:w="868" w:type="dxa"/>
            <w:tcBorders>
              <w:top w:val="single" w:sz="4" w:space="0" w:color="FF0000"/>
            </w:tcBorders>
            <w:vAlign w:val="center"/>
          </w:tcPr>
          <w:p w:rsidR="003563AD" w:rsidRDefault="003563AD">
            <w:pPr>
              <w:spacing w:before="20" w:after="20"/>
              <w:jc w:val="right"/>
              <w:rPr>
                <w:noProof/>
                <w:sz w:val="20"/>
              </w:rPr>
            </w:pPr>
          </w:p>
        </w:tc>
        <w:tc>
          <w:tcPr>
            <w:tcW w:w="868" w:type="dxa"/>
            <w:tcBorders>
              <w:top w:val="single" w:sz="4" w:space="0" w:color="FF0000"/>
            </w:tcBorders>
            <w:vAlign w:val="center"/>
          </w:tcPr>
          <w:p w:rsidR="003563AD" w:rsidRDefault="003563AD">
            <w:pPr>
              <w:spacing w:before="20" w:after="20"/>
              <w:jc w:val="right"/>
              <w:rPr>
                <w:noProof/>
                <w:sz w:val="20"/>
              </w:rPr>
            </w:pPr>
          </w:p>
        </w:tc>
        <w:tc>
          <w:tcPr>
            <w:tcW w:w="868" w:type="dxa"/>
            <w:tcBorders>
              <w:top w:val="single" w:sz="4" w:space="0" w:color="FF0000"/>
            </w:tcBorders>
            <w:vAlign w:val="center"/>
          </w:tcPr>
          <w:p w:rsidR="003563AD" w:rsidRDefault="003563AD">
            <w:pPr>
              <w:spacing w:before="20" w:after="20"/>
              <w:jc w:val="right"/>
              <w:rPr>
                <w:noProof/>
                <w:sz w:val="20"/>
              </w:rPr>
            </w:pPr>
          </w:p>
        </w:tc>
        <w:tc>
          <w:tcPr>
            <w:tcW w:w="868" w:type="dxa"/>
            <w:tcBorders>
              <w:top w:val="single" w:sz="4" w:space="0" w:color="FF0000"/>
            </w:tcBorders>
            <w:vAlign w:val="center"/>
          </w:tcPr>
          <w:p w:rsidR="003563AD" w:rsidRDefault="003563AD">
            <w:pPr>
              <w:spacing w:before="20" w:after="20"/>
              <w:jc w:val="right"/>
              <w:rPr>
                <w:noProof/>
                <w:sz w:val="20"/>
              </w:rPr>
            </w:pPr>
          </w:p>
        </w:tc>
        <w:tc>
          <w:tcPr>
            <w:tcW w:w="868" w:type="dxa"/>
            <w:tcBorders>
              <w:top w:val="single" w:sz="4" w:space="0" w:color="FF0000"/>
            </w:tcBorders>
            <w:vAlign w:val="center"/>
          </w:tcPr>
          <w:p w:rsidR="003563AD" w:rsidRDefault="003563AD">
            <w:pPr>
              <w:spacing w:before="20" w:after="20"/>
              <w:jc w:val="right"/>
              <w:rPr>
                <w:noProof/>
                <w:sz w:val="20"/>
              </w:rPr>
            </w:pPr>
          </w:p>
        </w:tc>
        <w:tc>
          <w:tcPr>
            <w:tcW w:w="868" w:type="dxa"/>
            <w:tcBorders>
              <w:top w:val="single" w:sz="4" w:space="0" w:color="FF0000"/>
            </w:tcBorders>
            <w:vAlign w:val="center"/>
          </w:tcPr>
          <w:p w:rsidR="003563AD" w:rsidRDefault="003563AD">
            <w:pPr>
              <w:spacing w:before="20" w:after="20"/>
              <w:jc w:val="right"/>
              <w:rPr>
                <w:b/>
                <w:noProof/>
                <w:sz w:val="20"/>
              </w:rPr>
            </w:pPr>
          </w:p>
        </w:tc>
        <w:tc>
          <w:tcPr>
            <w:tcW w:w="1777" w:type="dxa"/>
            <w:tcBorders>
              <w:top w:val="single" w:sz="4" w:space="0" w:color="FF0000"/>
              <w:right w:val="single" w:sz="4" w:space="0" w:color="auto"/>
            </w:tcBorders>
            <w:vAlign w:val="center"/>
          </w:tcPr>
          <w:p w:rsidR="003563AD" w:rsidRDefault="003563AD">
            <w:pPr>
              <w:spacing w:before="20" w:after="20"/>
              <w:jc w:val="right"/>
              <w:rPr>
                <w:b/>
                <w:noProof/>
                <w:sz w:val="20"/>
              </w:rPr>
            </w:pPr>
          </w:p>
        </w:tc>
      </w:tr>
      <w:tr w:rsidR="003563AD">
        <w:tc>
          <w:tcPr>
            <w:tcW w:w="3960" w:type="dxa"/>
            <w:vMerge/>
            <w:tcBorders>
              <w:top w:val="single" w:sz="4" w:space="0" w:color="FF0000"/>
              <w:left w:val="single" w:sz="4" w:space="0" w:color="auto"/>
              <w:bottom w:val="single" w:sz="4" w:space="0" w:color="FF0000"/>
            </w:tcBorders>
          </w:tcPr>
          <w:p w:rsidR="003563AD" w:rsidRDefault="003563AD">
            <w:pPr>
              <w:jc w:val="center"/>
              <w:rPr>
                <w:noProof/>
                <w:sz w:val="20"/>
              </w:rPr>
            </w:pPr>
          </w:p>
        </w:tc>
        <w:tc>
          <w:tcPr>
            <w:tcW w:w="1440" w:type="dxa"/>
            <w:vAlign w:val="center"/>
          </w:tcPr>
          <w:p w:rsidR="003563AD" w:rsidRDefault="00251882">
            <w:pPr>
              <w:spacing w:beforeLines="20" w:before="48" w:afterLines="20" w:after="48"/>
              <w:rPr>
                <w:noProof/>
                <w:sz w:val="18"/>
              </w:rPr>
            </w:pPr>
            <w:r>
              <w:rPr>
                <w:noProof/>
                <w:sz w:val="18"/>
              </w:rPr>
              <w:t>Makse</w:t>
            </w:r>
          </w:p>
        </w:tc>
        <w:tc>
          <w:tcPr>
            <w:tcW w:w="654" w:type="dxa"/>
            <w:vAlign w:val="center"/>
          </w:tcPr>
          <w:p w:rsidR="003563AD" w:rsidRDefault="00251882">
            <w:pPr>
              <w:spacing w:beforeLines="20" w:before="48" w:afterLines="20" w:after="48"/>
              <w:jc w:val="center"/>
              <w:rPr>
                <w:noProof/>
                <w:sz w:val="14"/>
              </w:rPr>
            </w:pPr>
            <w:r>
              <w:rPr>
                <w:noProof/>
                <w:sz w:val="14"/>
              </w:rPr>
              <w:t>(5)</w:t>
            </w:r>
          </w:p>
        </w:tc>
        <w:tc>
          <w:tcPr>
            <w:tcW w:w="868" w:type="dxa"/>
            <w:vAlign w:val="center"/>
          </w:tcPr>
          <w:p w:rsidR="003563AD" w:rsidRDefault="003563AD">
            <w:pPr>
              <w:spacing w:before="20" w:after="20"/>
              <w:jc w:val="right"/>
              <w:rPr>
                <w:noProof/>
                <w:sz w:val="20"/>
              </w:rPr>
            </w:pPr>
          </w:p>
        </w:tc>
        <w:tc>
          <w:tcPr>
            <w:tcW w:w="868" w:type="dxa"/>
            <w:vAlign w:val="center"/>
          </w:tcPr>
          <w:p w:rsidR="003563AD" w:rsidRDefault="003563AD">
            <w:pPr>
              <w:spacing w:before="20" w:after="20"/>
              <w:jc w:val="right"/>
              <w:rPr>
                <w:noProof/>
                <w:sz w:val="20"/>
              </w:rPr>
            </w:pPr>
          </w:p>
        </w:tc>
        <w:tc>
          <w:tcPr>
            <w:tcW w:w="868" w:type="dxa"/>
            <w:vAlign w:val="center"/>
          </w:tcPr>
          <w:p w:rsidR="003563AD" w:rsidRDefault="003563AD">
            <w:pPr>
              <w:spacing w:before="20" w:after="20"/>
              <w:jc w:val="right"/>
              <w:rPr>
                <w:noProof/>
                <w:sz w:val="20"/>
              </w:rPr>
            </w:pPr>
          </w:p>
        </w:tc>
        <w:tc>
          <w:tcPr>
            <w:tcW w:w="868" w:type="dxa"/>
            <w:vAlign w:val="center"/>
          </w:tcPr>
          <w:p w:rsidR="003563AD" w:rsidRDefault="003563AD">
            <w:pPr>
              <w:spacing w:before="20" w:after="20"/>
              <w:jc w:val="right"/>
              <w:rPr>
                <w:noProof/>
                <w:sz w:val="20"/>
              </w:rPr>
            </w:pPr>
          </w:p>
        </w:tc>
        <w:tc>
          <w:tcPr>
            <w:tcW w:w="868" w:type="dxa"/>
            <w:vAlign w:val="center"/>
          </w:tcPr>
          <w:p w:rsidR="003563AD" w:rsidRDefault="003563AD">
            <w:pPr>
              <w:spacing w:before="20" w:after="20"/>
              <w:jc w:val="right"/>
              <w:rPr>
                <w:noProof/>
                <w:sz w:val="20"/>
              </w:rPr>
            </w:pPr>
          </w:p>
        </w:tc>
        <w:tc>
          <w:tcPr>
            <w:tcW w:w="868" w:type="dxa"/>
            <w:vAlign w:val="center"/>
          </w:tcPr>
          <w:p w:rsidR="003563AD" w:rsidRDefault="003563AD">
            <w:pPr>
              <w:spacing w:before="20" w:after="20"/>
              <w:jc w:val="right"/>
              <w:rPr>
                <w:noProof/>
                <w:sz w:val="20"/>
              </w:rPr>
            </w:pPr>
          </w:p>
        </w:tc>
        <w:tc>
          <w:tcPr>
            <w:tcW w:w="868" w:type="dxa"/>
            <w:vAlign w:val="center"/>
          </w:tcPr>
          <w:p w:rsidR="003563AD" w:rsidRDefault="003563AD">
            <w:pPr>
              <w:spacing w:before="20" w:after="20"/>
              <w:jc w:val="right"/>
              <w:rPr>
                <w:b/>
                <w:noProof/>
                <w:sz w:val="20"/>
              </w:rPr>
            </w:pPr>
          </w:p>
        </w:tc>
        <w:tc>
          <w:tcPr>
            <w:tcW w:w="1777" w:type="dxa"/>
            <w:tcBorders>
              <w:right w:val="single" w:sz="4" w:space="0" w:color="auto"/>
            </w:tcBorders>
            <w:vAlign w:val="center"/>
          </w:tcPr>
          <w:p w:rsidR="003563AD" w:rsidRDefault="003563AD">
            <w:pPr>
              <w:spacing w:before="20" w:after="20"/>
              <w:jc w:val="right"/>
              <w:rPr>
                <w:b/>
                <w:noProof/>
                <w:sz w:val="20"/>
              </w:rPr>
            </w:pPr>
          </w:p>
        </w:tc>
      </w:tr>
      <w:tr w:rsidR="003563AD">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rsidR="003563AD" w:rsidRDefault="00251882">
            <w:pPr>
              <w:spacing w:beforeLines="20" w:before="48" w:afterLines="20" w:after="48"/>
              <w:rPr>
                <w:noProof/>
              </w:rPr>
            </w:pPr>
            <w:r>
              <w:rPr>
                <w:noProof/>
                <w:sz w:val="21"/>
              </w:rPr>
              <w:sym w:font="Wingdings" w:char="F09F"/>
            </w:r>
            <w:r>
              <w:rPr>
                <w:noProof/>
                <w:sz w:val="21"/>
              </w:rPr>
              <w:t xml:space="preserve"> </w:t>
            </w:r>
            <w:r>
              <w:rPr>
                <w:noProof/>
              </w:rPr>
              <w:t>Eriprogrammide vahenditest rahastatavad haldusassigneeringud KOKKU</w:t>
            </w:r>
          </w:p>
        </w:tc>
        <w:tc>
          <w:tcPr>
            <w:tcW w:w="654" w:type="dxa"/>
            <w:vAlign w:val="center"/>
          </w:tcPr>
          <w:p w:rsidR="003563AD" w:rsidRDefault="00251882">
            <w:pPr>
              <w:spacing w:beforeLines="20" w:before="48" w:afterLines="20" w:after="48"/>
              <w:jc w:val="center"/>
              <w:rPr>
                <w:noProof/>
                <w:sz w:val="14"/>
              </w:rPr>
            </w:pPr>
            <w:r>
              <w:rPr>
                <w:noProof/>
                <w:sz w:val="14"/>
              </w:rPr>
              <w:t>(6)</w:t>
            </w:r>
          </w:p>
        </w:tc>
        <w:tc>
          <w:tcPr>
            <w:tcW w:w="868" w:type="dxa"/>
            <w:vAlign w:val="center"/>
          </w:tcPr>
          <w:p w:rsidR="003563AD" w:rsidRDefault="003563AD">
            <w:pPr>
              <w:spacing w:before="20" w:after="20"/>
              <w:jc w:val="right"/>
              <w:rPr>
                <w:b/>
                <w:noProof/>
                <w:sz w:val="20"/>
              </w:rPr>
            </w:pPr>
          </w:p>
        </w:tc>
        <w:tc>
          <w:tcPr>
            <w:tcW w:w="868" w:type="dxa"/>
            <w:vAlign w:val="center"/>
          </w:tcPr>
          <w:p w:rsidR="003563AD" w:rsidRDefault="003563AD">
            <w:pPr>
              <w:spacing w:before="20" w:after="20"/>
              <w:jc w:val="right"/>
              <w:rPr>
                <w:b/>
                <w:noProof/>
                <w:sz w:val="20"/>
              </w:rPr>
            </w:pPr>
          </w:p>
        </w:tc>
        <w:tc>
          <w:tcPr>
            <w:tcW w:w="868" w:type="dxa"/>
            <w:vAlign w:val="center"/>
          </w:tcPr>
          <w:p w:rsidR="003563AD" w:rsidRDefault="003563AD">
            <w:pPr>
              <w:spacing w:before="20" w:after="20"/>
              <w:jc w:val="right"/>
              <w:rPr>
                <w:b/>
                <w:noProof/>
                <w:sz w:val="20"/>
              </w:rPr>
            </w:pPr>
          </w:p>
        </w:tc>
        <w:tc>
          <w:tcPr>
            <w:tcW w:w="868" w:type="dxa"/>
            <w:vAlign w:val="center"/>
          </w:tcPr>
          <w:p w:rsidR="003563AD" w:rsidRDefault="003563AD">
            <w:pPr>
              <w:spacing w:before="20" w:after="20"/>
              <w:jc w:val="right"/>
              <w:rPr>
                <w:b/>
                <w:noProof/>
                <w:sz w:val="20"/>
              </w:rPr>
            </w:pPr>
          </w:p>
        </w:tc>
        <w:tc>
          <w:tcPr>
            <w:tcW w:w="868" w:type="dxa"/>
            <w:vAlign w:val="center"/>
          </w:tcPr>
          <w:p w:rsidR="003563AD" w:rsidRDefault="003563AD">
            <w:pPr>
              <w:spacing w:before="20" w:after="20"/>
              <w:jc w:val="right"/>
              <w:rPr>
                <w:b/>
                <w:noProof/>
                <w:sz w:val="20"/>
              </w:rPr>
            </w:pPr>
          </w:p>
        </w:tc>
        <w:tc>
          <w:tcPr>
            <w:tcW w:w="868" w:type="dxa"/>
            <w:vAlign w:val="center"/>
          </w:tcPr>
          <w:p w:rsidR="003563AD" w:rsidRDefault="003563AD">
            <w:pPr>
              <w:spacing w:before="20" w:after="20"/>
              <w:jc w:val="right"/>
              <w:rPr>
                <w:b/>
                <w:noProof/>
                <w:sz w:val="20"/>
              </w:rPr>
            </w:pPr>
          </w:p>
        </w:tc>
        <w:tc>
          <w:tcPr>
            <w:tcW w:w="868" w:type="dxa"/>
            <w:vAlign w:val="center"/>
          </w:tcPr>
          <w:p w:rsidR="003563AD" w:rsidRDefault="003563AD">
            <w:pPr>
              <w:spacing w:before="20" w:after="20"/>
              <w:jc w:val="right"/>
              <w:rPr>
                <w:b/>
                <w:noProof/>
                <w:sz w:val="20"/>
              </w:rPr>
            </w:pPr>
          </w:p>
        </w:tc>
        <w:tc>
          <w:tcPr>
            <w:tcW w:w="1777" w:type="dxa"/>
            <w:vAlign w:val="center"/>
          </w:tcPr>
          <w:p w:rsidR="003563AD" w:rsidRDefault="003563AD">
            <w:pPr>
              <w:spacing w:before="20" w:after="20"/>
              <w:jc w:val="right"/>
              <w:rPr>
                <w:b/>
                <w:noProof/>
                <w:sz w:val="20"/>
              </w:rPr>
            </w:pPr>
          </w:p>
        </w:tc>
      </w:tr>
      <w:tr w:rsidR="003563AD">
        <w:tc>
          <w:tcPr>
            <w:tcW w:w="3960" w:type="dxa"/>
            <w:vMerge w:val="restart"/>
            <w:tcBorders>
              <w:top w:val="single" w:sz="4" w:space="0" w:color="FF0000"/>
              <w:left w:val="single" w:sz="4" w:space="0" w:color="auto"/>
              <w:bottom w:val="single" w:sz="4" w:space="0" w:color="FF0000"/>
            </w:tcBorders>
            <w:shd w:val="thinDiagStripe" w:color="C0C0C0" w:fill="auto"/>
            <w:vAlign w:val="center"/>
          </w:tcPr>
          <w:p w:rsidR="003563AD" w:rsidRDefault="00251882">
            <w:pPr>
              <w:jc w:val="center"/>
              <w:rPr>
                <w:b/>
                <w:noProof/>
              </w:rPr>
            </w:pPr>
            <w:r>
              <w:rPr>
                <w:noProof/>
              </w:rPr>
              <w:t xml:space="preserve">Mitmeaastase finantsraamistiku </w:t>
            </w:r>
            <w:r>
              <w:rPr>
                <w:b/>
                <w:noProof/>
              </w:rPr>
              <w:t>RUBRIIKIDE 1–4 assigneeringud KOKKU</w:t>
            </w:r>
            <w:r>
              <w:rPr>
                <w:noProof/>
                <w:sz w:val="22"/>
              </w:rPr>
              <w:br/>
            </w:r>
            <w:r>
              <w:rPr>
                <w:noProof/>
                <w:sz w:val="20"/>
              </w:rPr>
              <w:t>(võrdlussumma)</w:t>
            </w:r>
          </w:p>
        </w:tc>
        <w:tc>
          <w:tcPr>
            <w:tcW w:w="1440" w:type="dxa"/>
            <w:vAlign w:val="center"/>
          </w:tcPr>
          <w:p w:rsidR="003563AD" w:rsidRDefault="00251882">
            <w:pPr>
              <w:rPr>
                <w:noProof/>
                <w:sz w:val="18"/>
              </w:rPr>
            </w:pPr>
            <w:r>
              <w:rPr>
                <w:noProof/>
                <w:sz w:val="18"/>
              </w:rPr>
              <w:t>Kulukohustus</w:t>
            </w:r>
          </w:p>
        </w:tc>
        <w:tc>
          <w:tcPr>
            <w:tcW w:w="654" w:type="dxa"/>
            <w:vAlign w:val="center"/>
          </w:tcPr>
          <w:p w:rsidR="003563AD" w:rsidRDefault="00251882">
            <w:pPr>
              <w:jc w:val="center"/>
              <w:rPr>
                <w:noProof/>
                <w:sz w:val="14"/>
              </w:rPr>
            </w:pPr>
            <w:r>
              <w:rPr>
                <w:noProof/>
                <w:sz w:val="14"/>
              </w:rPr>
              <w:t>= 4 + 6</w:t>
            </w:r>
          </w:p>
        </w:tc>
        <w:tc>
          <w:tcPr>
            <w:tcW w:w="868" w:type="dxa"/>
            <w:vAlign w:val="center"/>
          </w:tcPr>
          <w:p w:rsidR="003563AD" w:rsidRDefault="003563AD">
            <w:pPr>
              <w:spacing w:before="20" w:after="20"/>
              <w:jc w:val="right"/>
              <w:rPr>
                <w:noProof/>
                <w:sz w:val="20"/>
              </w:rPr>
            </w:pPr>
          </w:p>
        </w:tc>
        <w:tc>
          <w:tcPr>
            <w:tcW w:w="868" w:type="dxa"/>
            <w:vAlign w:val="center"/>
          </w:tcPr>
          <w:p w:rsidR="003563AD" w:rsidRDefault="003563AD">
            <w:pPr>
              <w:spacing w:before="20" w:after="20"/>
              <w:jc w:val="right"/>
              <w:rPr>
                <w:noProof/>
                <w:sz w:val="20"/>
              </w:rPr>
            </w:pPr>
          </w:p>
        </w:tc>
        <w:tc>
          <w:tcPr>
            <w:tcW w:w="868" w:type="dxa"/>
            <w:vAlign w:val="center"/>
          </w:tcPr>
          <w:p w:rsidR="003563AD" w:rsidRDefault="003563AD">
            <w:pPr>
              <w:spacing w:before="20" w:after="20"/>
              <w:jc w:val="right"/>
              <w:rPr>
                <w:noProof/>
                <w:sz w:val="20"/>
              </w:rPr>
            </w:pPr>
          </w:p>
        </w:tc>
        <w:tc>
          <w:tcPr>
            <w:tcW w:w="868" w:type="dxa"/>
            <w:vAlign w:val="center"/>
          </w:tcPr>
          <w:p w:rsidR="003563AD" w:rsidRDefault="003563AD">
            <w:pPr>
              <w:spacing w:before="20" w:after="20"/>
              <w:jc w:val="right"/>
              <w:rPr>
                <w:noProof/>
                <w:sz w:val="20"/>
              </w:rPr>
            </w:pPr>
          </w:p>
        </w:tc>
        <w:tc>
          <w:tcPr>
            <w:tcW w:w="868" w:type="dxa"/>
            <w:vAlign w:val="center"/>
          </w:tcPr>
          <w:p w:rsidR="003563AD" w:rsidRDefault="003563AD">
            <w:pPr>
              <w:spacing w:before="20" w:after="20"/>
              <w:jc w:val="right"/>
              <w:rPr>
                <w:noProof/>
                <w:sz w:val="20"/>
              </w:rPr>
            </w:pPr>
          </w:p>
        </w:tc>
        <w:tc>
          <w:tcPr>
            <w:tcW w:w="868" w:type="dxa"/>
            <w:vAlign w:val="center"/>
          </w:tcPr>
          <w:p w:rsidR="003563AD" w:rsidRDefault="003563AD">
            <w:pPr>
              <w:spacing w:before="20" w:after="20"/>
              <w:jc w:val="right"/>
              <w:rPr>
                <w:noProof/>
                <w:sz w:val="20"/>
              </w:rPr>
            </w:pPr>
          </w:p>
        </w:tc>
        <w:tc>
          <w:tcPr>
            <w:tcW w:w="868" w:type="dxa"/>
            <w:vAlign w:val="center"/>
          </w:tcPr>
          <w:p w:rsidR="003563AD" w:rsidRDefault="003563AD">
            <w:pPr>
              <w:spacing w:before="20" w:after="20"/>
              <w:jc w:val="right"/>
              <w:rPr>
                <w:b/>
                <w:noProof/>
                <w:sz w:val="20"/>
              </w:rPr>
            </w:pPr>
          </w:p>
        </w:tc>
        <w:tc>
          <w:tcPr>
            <w:tcW w:w="1777" w:type="dxa"/>
            <w:tcBorders>
              <w:right w:val="single" w:sz="4" w:space="0" w:color="auto"/>
            </w:tcBorders>
            <w:vAlign w:val="center"/>
          </w:tcPr>
          <w:p w:rsidR="003563AD" w:rsidRDefault="003563AD">
            <w:pPr>
              <w:spacing w:before="20" w:after="20"/>
              <w:jc w:val="right"/>
              <w:rPr>
                <w:b/>
                <w:noProof/>
                <w:sz w:val="20"/>
              </w:rPr>
            </w:pPr>
          </w:p>
        </w:tc>
      </w:tr>
      <w:tr w:rsidR="003563AD">
        <w:tc>
          <w:tcPr>
            <w:tcW w:w="3960" w:type="dxa"/>
            <w:vMerge/>
            <w:tcBorders>
              <w:top w:val="single" w:sz="4" w:space="0" w:color="FF0000"/>
              <w:left w:val="single" w:sz="4" w:space="0" w:color="auto"/>
              <w:bottom w:val="single" w:sz="4" w:space="0" w:color="FF0000"/>
            </w:tcBorders>
            <w:shd w:val="thinDiagStripe" w:color="C0C0C0" w:fill="auto"/>
          </w:tcPr>
          <w:p w:rsidR="003563AD" w:rsidRDefault="003563AD">
            <w:pPr>
              <w:rPr>
                <w:noProof/>
                <w:sz w:val="20"/>
              </w:rPr>
            </w:pPr>
          </w:p>
        </w:tc>
        <w:tc>
          <w:tcPr>
            <w:tcW w:w="1440" w:type="dxa"/>
            <w:tcBorders>
              <w:bottom w:val="single" w:sz="4" w:space="0" w:color="FF0000"/>
            </w:tcBorders>
            <w:vAlign w:val="center"/>
          </w:tcPr>
          <w:p w:rsidR="003563AD" w:rsidRDefault="00251882">
            <w:pPr>
              <w:rPr>
                <w:noProof/>
                <w:sz w:val="18"/>
              </w:rPr>
            </w:pPr>
            <w:r>
              <w:rPr>
                <w:noProof/>
                <w:sz w:val="18"/>
              </w:rPr>
              <w:t>Makse</w:t>
            </w:r>
          </w:p>
        </w:tc>
        <w:tc>
          <w:tcPr>
            <w:tcW w:w="654" w:type="dxa"/>
            <w:tcBorders>
              <w:bottom w:val="single" w:sz="4" w:space="0" w:color="FF0000"/>
            </w:tcBorders>
            <w:vAlign w:val="center"/>
          </w:tcPr>
          <w:p w:rsidR="003563AD" w:rsidRDefault="00251882">
            <w:pPr>
              <w:jc w:val="center"/>
              <w:rPr>
                <w:noProof/>
                <w:sz w:val="14"/>
              </w:rPr>
            </w:pPr>
            <w:r>
              <w:rPr>
                <w:noProof/>
                <w:sz w:val="14"/>
              </w:rPr>
              <w:t>= 5 + 6</w:t>
            </w:r>
          </w:p>
        </w:tc>
        <w:tc>
          <w:tcPr>
            <w:tcW w:w="868" w:type="dxa"/>
            <w:tcBorders>
              <w:bottom w:val="single" w:sz="4" w:space="0" w:color="FF0000"/>
            </w:tcBorders>
            <w:vAlign w:val="center"/>
          </w:tcPr>
          <w:p w:rsidR="003563AD" w:rsidRDefault="003563AD">
            <w:pPr>
              <w:spacing w:before="20" w:after="20"/>
              <w:jc w:val="right"/>
              <w:rPr>
                <w:noProof/>
                <w:sz w:val="20"/>
              </w:rPr>
            </w:pPr>
          </w:p>
        </w:tc>
        <w:tc>
          <w:tcPr>
            <w:tcW w:w="868" w:type="dxa"/>
            <w:tcBorders>
              <w:bottom w:val="single" w:sz="4" w:space="0" w:color="FF0000"/>
            </w:tcBorders>
            <w:vAlign w:val="center"/>
          </w:tcPr>
          <w:p w:rsidR="003563AD" w:rsidRDefault="003563AD">
            <w:pPr>
              <w:spacing w:before="20" w:after="20"/>
              <w:jc w:val="right"/>
              <w:rPr>
                <w:noProof/>
                <w:sz w:val="20"/>
              </w:rPr>
            </w:pPr>
          </w:p>
        </w:tc>
        <w:tc>
          <w:tcPr>
            <w:tcW w:w="868" w:type="dxa"/>
            <w:tcBorders>
              <w:bottom w:val="single" w:sz="4" w:space="0" w:color="FF0000"/>
            </w:tcBorders>
            <w:vAlign w:val="center"/>
          </w:tcPr>
          <w:p w:rsidR="003563AD" w:rsidRDefault="003563AD">
            <w:pPr>
              <w:spacing w:before="20" w:after="20"/>
              <w:jc w:val="right"/>
              <w:rPr>
                <w:noProof/>
                <w:sz w:val="20"/>
              </w:rPr>
            </w:pPr>
          </w:p>
        </w:tc>
        <w:tc>
          <w:tcPr>
            <w:tcW w:w="868" w:type="dxa"/>
            <w:tcBorders>
              <w:bottom w:val="single" w:sz="4" w:space="0" w:color="FF0000"/>
            </w:tcBorders>
            <w:vAlign w:val="center"/>
          </w:tcPr>
          <w:p w:rsidR="003563AD" w:rsidRDefault="003563AD">
            <w:pPr>
              <w:spacing w:before="20" w:after="20"/>
              <w:jc w:val="right"/>
              <w:rPr>
                <w:noProof/>
                <w:sz w:val="20"/>
              </w:rPr>
            </w:pPr>
          </w:p>
        </w:tc>
        <w:tc>
          <w:tcPr>
            <w:tcW w:w="868" w:type="dxa"/>
            <w:tcBorders>
              <w:bottom w:val="single" w:sz="4" w:space="0" w:color="FF0000"/>
            </w:tcBorders>
            <w:vAlign w:val="center"/>
          </w:tcPr>
          <w:p w:rsidR="003563AD" w:rsidRDefault="003563AD">
            <w:pPr>
              <w:spacing w:before="20" w:after="20"/>
              <w:jc w:val="right"/>
              <w:rPr>
                <w:noProof/>
                <w:sz w:val="20"/>
              </w:rPr>
            </w:pPr>
          </w:p>
        </w:tc>
        <w:tc>
          <w:tcPr>
            <w:tcW w:w="868" w:type="dxa"/>
            <w:tcBorders>
              <w:bottom w:val="single" w:sz="4" w:space="0" w:color="FF0000"/>
            </w:tcBorders>
            <w:vAlign w:val="center"/>
          </w:tcPr>
          <w:p w:rsidR="003563AD" w:rsidRDefault="003563AD">
            <w:pPr>
              <w:spacing w:before="20" w:after="20"/>
              <w:jc w:val="right"/>
              <w:rPr>
                <w:noProof/>
                <w:sz w:val="20"/>
              </w:rPr>
            </w:pPr>
          </w:p>
        </w:tc>
        <w:tc>
          <w:tcPr>
            <w:tcW w:w="868" w:type="dxa"/>
            <w:tcBorders>
              <w:bottom w:val="single" w:sz="4" w:space="0" w:color="FF0000"/>
            </w:tcBorders>
            <w:vAlign w:val="center"/>
          </w:tcPr>
          <w:p w:rsidR="003563AD" w:rsidRDefault="003563AD">
            <w:pPr>
              <w:spacing w:before="20" w:after="20"/>
              <w:jc w:val="right"/>
              <w:rPr>
                <w:b/>
                <w:noProof/>
                <w:sz w:val="20"/>
              </w:rPr>
            </w:pPr>
          </w:p>
        </w:tc>
        <w:tc>
          <w:tcPr>
            <w:tcW w:w="1777" w:type="dxa"/>
            <w:tcBorders>
              <w:bottom w:val="single" w:sz="4" w:space="0" w:color="FF0000"/>
              <w:right w:val="single" w:sz="4" w:space="0" w:color="auto"/>
            </w:tcBorders>
            <w:vAlign w:val="center"/>
          </w:tcPr>
          <w:p w:rsidR="003563AD" w:rsidRDefault="003563AD">
            <w:pPr>
              <w:spacing w:before="20" w:after="20"/>
              <w:jc w:val="right"/>
              <w:rPr>
                <w:b/>
                <w:noProof/>
                <w:sz w:val="20"/>
              </w:rPr>
            </w:pPr>
          </w:p>
        </w:tc>
      </w:tr>
    </w:tbl>
    <w:p w:rsidR="003563AD" w:rsidRDefault="003563AD">
      <w:pPr>
        <w:rPr>
          <w:noProof/>
        </w:rPr>
      </w:pPr>
    </w:p>
    <w:p w:rsidR="003563AD" w:rsidRDefault="00251882">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3563AD">
        <w:trPr>
          <w:jc w:val="center"/>
        </w:trPr>
        <w:tc>
          <w:tcPr>
            <w:tcW w:w="4744" w:type="dxa"/>
            <w:shd w:val="thinDiagStripe" w:color="C0C0C0" w:fill="auto"/>
            <w:vAlign w:val="center"/>
          </w:tcPr>
          <w:p w:rsidR="003563AD" w:rsidRDefault="00251882">
            <w:pPr>
              <w:spacing w:before="60" w:after="60"/>
              <w:jc w:val="center"/>
              <w:rPr>
                <w:b/>
                <w:noProof/>
              </w:rPr>
            </w:pPr>
            <w:r>
              <w:rPr>
                <w:noProof/>
              </w:rPr>
              <w:br w:type="page"/>
            </w:r>
            <w:r>
              <w:rPr>
                <w:b/>
                <w:noProof/>
              </w:rPr>
              <w:t>Mitmeaastase finantsraamistiku rubriik</w:t>
            </w:r>
            <w:r>
              <w:rPr>
                <w:b/>
                <w:noProof/>
                <w:sz w:val="22"/>
              </w:rPr>
              <w:t xml:space="preserve"> </w:t>
            </w:r>
          </w:p>
        </w:tc>
        <w:tc>
          <w:tcPr>
            <w:tcW w:w="1080" w:type="dxa"/>
            <w:shd w:val="thinDiagStripe" w:color="C0C0C0" w:fill="auto"/>
            <w:vAlign w:val="center"/>
          </w:tcPr>
          <w:p w:rsidR="003563AD" w:rsidRDefault="00251882">
            <w:pPr>
              <w:spacing w:before="60" w:after="60"/>
              <w:jc w:val="center"/>
              <w:rPr>
                <w:noProof/>
              </w:rPr>
            </w:pPr>
            <w:r>
              <w:rPr>
                <w:b/>
                <w:noProof/>
                <w:sz w:val="22"/>
              </w:rPr>
              <w:t>5</w:t>
            </w:r>
          </w:p>
        </w:tc>
        <w:tc>
          <w:tcPr>
            <w:tcW w:w="7817" w:type="dxa"/>
            <w:vAlign w:val="center"/>
          </w:tcPr>
          <w:p w:rsidR="003563AD" w:rsidRDefault="00251882">
            <w:pPr>
              <w:spacing w:before="60" w:after="60"/>
              <w:rPr>
                <w:noProof/>
              </w:rPr>
            </w:pPr>
            <w:r>
              <w:rPr>
                <w:noProof/>
                <w:sz w:val="22"/>
              </w:rPr>
              <w:t>„Halduskulud”</w:t>
            </w:r>
          </w:p>
        </w:tc>
      </w:tr>
    </w:tbl>
    <w:p w:rsidR="003563AD" w:rsidRDefault="00251882">
      <w:pPr>
        <w:jc w:val="right"/>
        <w:rPr>
          <w:noProof/>
          <w:sz w:val="20"/>
        </w:rPr>
      </w:pPr>
      <w:r>
        <w:rPr>
          <w:noProof/>
          <w:sz w:val="20"/>
        </w:rPr>
        <w:t>miljonites eurodes (kolm kohta pärast koma)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3563AD">
        <w:tc>
          <w:tcPr>
            <w:tcW w:w="3960" w:type="dxa"/>
            <w:tcBorders>
              <w:top w:val="nil"/>
              <w:left w:val="nil"/>
              <w:right w:val="nil"/>
            </w:tcBorders>
            <w:vAlign w:val="center"/>
          </w:tcPr>
          <w:p w:rsidR="003563AD" w:rsidRDefault="003563AD">
            <w:pPr>
              <w:jc w:val="center"/>
              <w:rPr>
                <w:noProof/>
              </w:rPr>
            </w:pPr>
          </w:p>
        </w:tc>
        <w:tc>
          <w:tcPr>
            <w:tcW w:w="1560" w:type="dxa"/>
            <w:tcBorders>
              <w:top w:val="nil"/>
              <w:left w:val="nil"/>
              <w:right w:val="nil"/>
            </w:tcBorders>
          </w:tcPr>
          <w:p w:rsidR="003563AD" w:rsidRDefault="003563AD">
            <w:pPr>
              <w:rPr>
                <w:noProof/>
                <w:sz w:val="20"/>
              </w:rPr>
            </w:pPr>
          </w:p>
        </w:tc>
        <w:tc>
          <w:tcPr>
            <w:tcW w:w="534" w:type="dxa"/>
            <w:tcBorders>
              <w:top w:val="nil"/>
              <w:left w:val="nil"/>
            </w:tcBorders>
          </w:tcPr>
          <w:p w:rsidR="003563AD" w:rsidRDefault="003563AD">
            <w:pPr>
              <w:jc w:val="center"/>
              <w:rPr>
                <w:noProof/>
                <w:sz w:val="20"/>
              </w:rPr>
            </w:pPr>
          </w:p>
        </w:tc>
        <w:tc>
          <w:tcPr>
            <w:tcW w:w="868" w:type="dxa"/>
            <w:vAlign w:val="center"/>
          </w:tcPr>
          <w:p w:rsidR="003563AD" w:rsidRDefault="00251882">
            <w:pPr>
              <w:jc w:val="center"/>
              <w:rPr>
                <w:noProof/>
                <w:sz w:val="20"/>
              </w:rPr>
            </w:pPr>
            <w:r>
              <w:rPr>
                <w:noProof/>
              </w:rPr>
              <w:t>Aasta</w:t>
            </w:r>
            <w:r>
              <w:rPr>
                <w:noProof/>
                <w:sz w:val="22"/>
              </w:rPr>
              <w:br/>
            </w:r>
            <w:r>
              <w:rPr>
                <w:b/>
                <w:noProof/>
                <w:sz w:val="20"/>
              </w:rPr>
              <w:t>N</w:t>
            </w:r>
          </w:p>
        </w:tc>
        <w:tc>
          <w:tcPr>
            <w:tcW w:w="868" w:type="dxa"/>
            <w:vAlign w:val="center"/>
          </w:tcPr>
          <w:p w:rsidR="003563AD" w:rsidRDefault="00251882">
            <w:pPr>
              <w:jc w:val="center"/>
              <w:rPr>
                <w:noProof/>
                <w:sz w:val="20"/>
              </w:rPr>
            </w:pPr>
            <w:r>
              <w:rPr>
                <w:noProof/>
              </w:rPr>
              <w:t>Aasta</w:t>
            </w:r>
            <w:r>
              <w:rPr>
                <w:noProof/>
                <w:sz w:val="22"/>
              </w:rPr>
              <w:br/>
            </w:r>
            <w:r>
              <w:rPr>
                <w:b/>
                <w:noProof/>
                <w:sz w:val="20"/>
              </w:rPr>
              <w:t>N+1</w:t>
            </w:r>
          </w:p>
        </w:tc>
        <w:tc>
          <w:tcPr>
            <w:tcW w:w="868" w:type="dxa"/>
            <w:vAlign w:val="center"/>
          </w:tcPr>
          <w:p w:rsidR="003563AD" w:rsidRDefault="00251882">
            <w:pPr>
              <w:jc w:val="center"/>
              <w:rPr>
                <w:noProof/>
                <w:sz w:val="20"/>
              </w:rPr>
            </w:pPr>
            <w:r>
              <w:rPr>
                <w:noProof/>
              </w:rPr>
              <w:t>Aasta</w:t>
            </w:r>
            <w:r>
              <w:rPr>
                <w:noProof/>
                <w:sz w:val="22"/>
              </w:rPr>
              <w:br/>
            </w:r>
            <w:r>
              <w:rPr>
                <w:b/>
                <w:noProof/>
                <w:sz w:val="20"/>
              </w:rPr>
              <w:t>N+2</w:t>
            </w:r>
          </w:p>
        </w:tc>
        <w:tc>
          <w:tcPr>
            <w:tcW w:w="868" w:type="dxa"/>
            <w:vAlign w:val="center"/>
          </w:tcPr>
          <w:p w:rsidR="003563AD" w:rsidRDefault="00251882">
            <w:pPr>
              <w:jc w:val="center"/>
              <w:rPr>
                <w:noProof/>
                <w:sz w:val="20"/>
              </w:rPr>
            </w:pPr>
            <w:r>
              <w:rPr>
                <w:noProof/>
              </w:rPr>
              <w:t>Aasta</w:t>
            </w:r>
            <w:r>
              <w:rPr>
                <w:noProof/>
                <w:sz w:val="22"/>
              </w:rPr>
              <w:br/>
            </w:r>
            <w:r>
              <w:rPr>
                <w:b/>
                <w:noProof/>
                <w:sz w:val="20"/>
              </w:rPr>
              <w:t>N+3</w:t>
            </w:r>
          </w:p>
        </w:tc>
        <w:tc>
          <w:tcPr>
            <w:tcW w:w="2604" w:type="dxa"/>
            <w:gridSpan w:val="3"/>
            <w:vAlign w:val="center"/>
          </w:tcPr>
          <w:p w:rsidR="003563AD" w:rsidRDefault="00251882">
            <w:pPr>
              <w:jc w:val="center"/>
              <w:rPr>
                <w:b/>
                <w:noProof/>
                <w:sz w:val="18"/>
              </w:rPr>
            </w:pPr>
            <w:r>
              <w:rPr>
                <w:noProof/>
                <w:sz w:val="18"/>
              </w:rPr>
              <w:t xml:space="preserve">Lisage vajalik arv aastaid, et kajastada kogu finantsmõju (vt punkt 1.6) </w:t>
            </w:r>
          </w:p>
        </w:tc>
        <w:tc>
          <w:tcPr>
            <w:tcW w:w="1777" w:type="dxa"/>
            <w:vAlign w:val="center"/>
          </w:tcPr>
          <w:p w:rsidR="003563AD" w:rsidRDefault="00251882">
            <w:pPr>
              <w:jc w:val="center"/>
              <w:rPr>
                <w:b/>
                <w:noProof/>
                <w:sz w:val="20"/>
              </w:rPr>
            </w:pPr>
            <w:r>
              <w:rPr>
                <w:b/>
                <w:noProof/>
                <w:sz w:val="20"/>
              </w:rPr>
              <w:t>KOKKU</w:t>
            </w:r>
          </w:p>
        </w:tc>
      </w:tr>
      <w:tr w:rsidR="003563AD">
        <w:trPr>
          <w:gridAfter w:val="10"/>
          <w:wAfter w:w="9947" w:type="dxa"/>
        </w:trPr>
        <w:tc>
          <w:tcPr>
            <w:tcW w:w="3960" w:type="dxa"/>
            <w:vAlign w:val="center"/>
          </w:tcPr>
          <w:p w:rsidR="003563AD" w:rsidRDefault="00251882">
            <w:pPr>
              <w:spacing w:before="60" w:after="60"/>
              <w:jc w:val="center"/>
              <w:rPr>
                <w:noProof/>
              </w:rPr>
            </w:pPr>
            <w:r>
              <w:rPr>
                <w:noProof/>
                <w:sz w:val="22"/>
              </w:rPr>
              <w:t>&lt;…….&gt; peadirektoraat</w:t>
            </w:r>
          </w:p>
        </w:tc>
      </w:tr>
      <w:tr w:rsidR="003563AD">
        <w:trPr>
          <w:trHeight w:val="313"/>
        </w:trPr>
        <w:tc>
          <w:tcPr>
            <w:tcW w:w="6054" w:type="dxa"/>
            <w:gridSpan w:val="3"/>
            <w:vAlign w:val="center"/>
          </w:tcPr>
          <w:p w:rsidR="003563AD" w:rsidRDefault="00251882">
            <w:pPr>
              <w:spacing w:before="20" w:after="20"/>
              <w:rPr>
                <w:noProof/>
              </w:rPr>
            </w:pPr>
            <w:r>
              <w:rPr>
                <w:noProof/>
                <w:sz w:val="22"/>
              </w:rPr>
              <w:sym w:font="Wingdings" w:char="F09F"/>
            </w:r>
            <w:r>
              <w:rPr>
                <w:noProof/>
                <w:sz w:val="22"/>
              </w:rPr>
              <w:t xml:space="preserve"> </w:t>
            </w:r>
            <w:r>
              <w:rPr>
                <w:noProof/>
              </w:rPr>
              <w:t>Personal</w:t>
            </w:r>
          </w:p>
        </w:tc>
        <w:tc>
          <w:tcPr>
            <w:tcW w:w="868" w:type="dxa"/>
            <w:vAlign w:val="center"/>
          </w:tcPr>
          <w:p w:rsidR="003563AD" w:rsidRDefault="003563AD">
            <w:pPr>
              <w:spacing w:before="20" w:after="20"/>
              <w:jc w:val="right"/>
              <w:rPr>
                <w:noProof/>
                <w:sz w:val="20"/>
              </w:rPr>
            </w:pPr>
          </w:p>
        </w:tc>
        <w:tc>
          <w:tcPr>
            <w:tcW w:w="868" w:type="dxa"/>
            <w:vAlign w:val="center"/>
          </w:tcPr>
          <w:p w:rsidR="003563AD" w:rsidRDefault="003563AD">
            <w:pPr>
              <w:spacing w:before="20" w:after="20"/>
              <w:jc w:val="right"/>
              <w:rPr>
                <w:noProof/>
                <w:sz w:val="20"/>
              </w:rPr>
            </w:pPr>
          </w:p>
        </w:tc>
        <w:tc>
          <w:tcPr>
            <w:tcW w:w="868" w:type="dxa"/>
            <w:vAlign w:val="center"/>
          </w:tcPr>
          <w:p w:rsidR="003563AD" w:rsidRDefault="003563AD">
            <w:pPr>
              <w:spacing w:before="20" w:after="20"/>
              <w:jc w:val="right"/>
              <w:rPr>
                <w:noProof/>
                <w:sz w:val="20"/>
              </w:rPr>
            </w:pPr>
          </w:p>
        </w:tc>
        <w:tc>
          <w:tcPr>
            <w:tcW w:w="868" w:type="dxa"/>
            <w:vAlign w:val="center"/>
          </w:tcPr>
          <w:p w:rsidR="003563AD" w:rsidRDefault="003563AD">
            <w:pPr>
              <w:spacing w:before="20" w:after="20"/>
              <w:jc w:val="right"/>
              <w:rPr>
                <w:noProof/>
                <w:sz w:val="20"/>
              </w:rPr>
            </w:pPr>
          </w:p>
        </w:tc>
        <w:tc>
          <w:tcPr>
            <w:tcW w:w="868" w:type="dxa"/>
            <w:vAlign w:val="center"/>
          </w:tcPr>
          <w:p w:rsidR="003563AD" w:rsidRDefault="003563AD">
            <w:pPr>
              <w:spacing w:before="20" w:after="20"/>
              <w:jc w:val="right"/>
              <w:rPr>
                <w:noProof/>
                <w:sz w:val="20"/>
              </w:rPr>
            </w:pPr>
          </w:p>
        </w:tc>
        <w:tc>
          <w:tcPr>
            <w:tcW w:w="868" w:type="dxa"/>
            <w:vAlign w:val="center"/>
          </w:tcPr>
          <w:p w:rsidR="003563AD" w:rsidRDefault="003563AD">
            <w:pPr>
              <w:spacing w:before="20" w:after="20"/>
              <w:jc w:val="right"/>
              <w:rPr>
                <w:noProof/>
                <w:sz w:val="20"/>
              </w:rPr>
            </w:pPr>
          </w:p>
        </w:tc>
        <w:tc>
          <w:tcPr>
            <w:tcW w:w="868" w:type="dxa"/>
            <w:vAlign w:val="center"/>
          </w:tcPr>
          <w:p w:rsidR="003563AD" w:rsidRDefault="003563AD">
            <w:pPr>
              <w:spacing w:before="20" w:after="20"/>
              <w:jc w:val="right"/>
              <w:rPr>
                <w:b/>
                <w:noProof/>
                <w:sz w:val="20"/>
              </w:rPr>
            </w:pPr>
          </w:p>
        </w:tc>
        <w:tc>
          <w:tcPr>
            <w:tcW w:w="1777" w:type="dxa"/>
            <w:vAlign w:val="center"/>
          </w:tcPr>
          <w:p w:rsidR="003563AD" w:rsidRDefault="003563AD">
            <w:pPr>
              <w:spacing w:before="20" w:after="20"/>
              <w:jc w:val="right"/>
              <w:rPr>
                <w:b/>
                <w:noProof/>
                <w:sz w:val="20"/>
              </w:rPr>
            </w:pPr>
          </w:p>
        </w:tc>
      </w:tr>
      <w:tr w:rsidR="003563AD">
        <w:trPr>
          <w:trHeight w:val="351"/>
        </w:trPr>
        <w:tc>
          <w:tcPr>
            <w:tcW w:w="6054" w:type="dxa"/>
            <w:gridSpan w:val="3"/>
            <w:vAlign w:val="center"/>
          </w:tcPr>
          <w:p w:rsidR="003563AD" w:rsidRDefault="00251882">
            <w:pPr>
              <w:spacing w:before="20" w:after="20"/>
              <w:rPr>
                <w:noProof/>
              </w:rPr>
            </w:pPr>
            <w:r>
              <w:rPr>
                <w:noProof/>
                <w:sz w:val="22"/>
              </w:rPr>
              <w:sym w:font="Wingdings" w:char="F09F"/>
            </w:r>
            <w:r>
              <w:rPr>
                <w:noProof/>
                <w:sz w:val="22"/>
              </w:rPr>
              <w:t xml:space="preserve"> </w:t>
            </w:r>
            <w:r>
              <w:rPr>
                <w:noProof/>
              </w:rPr>
              <w:t>Muud halduskulud</w:t>
            </w:r>
          </w:p>
        </w:tc>
        <w:tc>
          <w:tcPr>
            <w:tcW w:w="868" w:type="dxa"/>
            <w:vAlign w:val="center"/>
          </w:tcPr>
          <w:p w:rsidR="003563AD" w:rsidRDefault="003563AD">
            <w:pPr>
              <w:spacing w:before="20" w:after="20"/>
              <w:jc w:val="right"/>
              <w:rPr>
                <w:b/>
                <w:noProof/>
                <w:sz w:val="20"/>
              </w:rPr>
            </w:pPr>
          </w:p>
        </w:tc>
        <w:tc>
          <w:tcPr>
            <w:tcW w:w="868" w:type="dxa"/>
            <w:vAlign w:val="center"/>
          </w:tcPr>
          <w:p w:rsidR="003563AD" w:rsidRDefault="003563AD">
            <w:pPr>
              <w:spacing w:before="20" w:after="20"/>
              <w:jc w:val="right"/>
              <w:rPr>
                <w:b/>
                <w:noProof/>
                <w:sz w:val="20"/>
              </w:rPr>
            </w:pPr>
          </w:p>
        </w:tc>
        <w:tc>
          <w:tcPr>
            <w:tcW w:w="868" w:type="dxa"/>
            <w:vAlign w:val="center"/>
          </w:tcPr>
          <w:p w:rsidR="003563AD" w:rsidRDefault="003563AD">
            <w:pPr>
              <w:spacing w:before="20" w:after="20"/>
              <w:jc w:val="right"/>
              <w:rPr>
                <w:b/>
                <w:noProof/>
                <w:sz w:val="20"/>
              </w:rPr>
            </w:pPr>
          </w:p>
        </w:tc>
        <w:tc>
          <w:tcPr>
            <w:tcW w:w="868" w:type="dxa"/>
            <w:vAlign w:val="center"/>
          </w:tcPr>
          <w:p w:rsidR="003563AD" w:rsidRDefault="003563AD">
            <w:pPr>
              <w:spacing w:before="20" w:after="20"/>
              <w:jc w:val="right"/>
              <w:rPr>
                <w:b/>
                <w:noProof/>
                <w:sz w:val="20"/>
              </w:rPr>
            </w:pPr>
          </w:p>
        </w:tc>
        <w:tc>
          <w:tcPr>
            <w:tcW w:w="868" w:type="dxa"/>
            <w:vAlign w:val="center"/>
          </w:tcPr>
          <w:p w:rsidR="003563AD" w:rsidRDefault="003563AD">
            <w:pPr>
              <w:spacing w:before="20" w:after="20"/>
              <w:jc w:val="right"/>
              <w:rPr>
                <w:b/>
                <w:noProof/>
                <w:sz w:val="20"/>
              </w:rPr>
            </w:pPr>
          </w:p>
        </w:tc>
        <w:tc>
          <w:tcPr>
            <w:tcW w:w="868" w:type="dxa"/>
            <w:vAlign w:val="center"/>
          </w:tcPr>
          <w:p w:rsidR="003563AD" w:rsidRDefault="003563AD">
            <w:pPr>
              <w:spacing w:before="20" w:after="20"/>
              <w:jc w:val="right"/>
              <w:rPr>
                <w:b/>
                <w:noProof/>
                <w:sz w:val="20"/>
              </w:rPr>
            </w:pPr>
          </w:p>
        </w:tc>
        <w:tc>
          <w:tcPr>
            <w:tcW w:w="868" w:type="dxa"/>
            <w:vAlign w:val="center"/>
          </w:tcPr>
          <w:p w:rsidR="003563AD" w:rsidRDefault="003563AD">
            <w:pPr>
              <w:spacing w:before="20" w:after="20"/>
              <w:jc w:val="right"/>
              <w:rPr>
                <w:b/>
                <w:noProof/>
                <w:sz w:val="20"/>
              </w:rPr>
            </w:pPr>
          </w:p>
        </w:tc>
        <w:tc>
          <w:tcPr>
            <w:tcW w:w="1777" w:type="dxa"/>
            <w:vAlign w:val="center"/>
          </w:tcPr>
          <w:p w:rsidR="003563AD" w:rsidRDefault="003563AD">
            <w:pPr>
              <w:spacing w:before="20" w:after="20"/>
              <w:jc w:val="right"/>
              <w:rPr>
                <w:b/>
                <w:noProof/>
                <w:sz w:val="20"/>
              </w:rPr>
            </w:pPr>
          </w:p>
        </w:tc>
      </w:tr>
      <w:tr w:rsidR="003563AD">
        <w:tc>
          <w:tcPr>
            <w:tcW w:w="3960" w:type="dxa"/>
            <w:vAlign w:val="center"/>
          </w:tcPr>
          <w:p w:rsidR="003563AD" w:rsidRDefault="00251882">
            <w:pPr>
              <w:jc w:val="center"/>
              <w:rPr>
                <w:b/>
                <w:noProof/>
              </w:rPr>
            </w:pPr>
            <w:r>
              <w:rPr>
                <w:noProof/>
                <w:sz w:val="22"/>
              </w:rPr>
              <w:t>&lt;…….&gt;</w:t>
            </w:r>
            <w:r>
              <w:rPr>
                <w:noProof/>
              </w:rPr>
              <w:t xml:space="preserve"> </w:t>
            </w:r>
            <w:r>
              <w:rPr>
                <w:b/>
                <w:noProof/>
              </w:rPr>
              <w:t>peadirektoraat KOKKU</w:t>
            </w:r>
          </w:p>
        </w:tc>
        <w:tc>
          <w:tcPr>
            <w:tcW w:w="2094" w:type="dxa"/>
            <w:gridSpan w:val="2"/>
            <w:vAlign w:val="center"/>
          </w:tcPr>
          <w:p w:rsidR="003563AD" w:rsidRDefault="00251882">
            <w:pPr>
              <w:rPr>
                <w:noProof/>
                <w:sz w:val="14"/>
              </w:rPr>
            </w:pPr>
            <w:r>
              <w:rPr>
                <w:noProof/>
                <w:sz w:val="18"/>
              </w:rPr>
              <w:t xml:space="preserve">Assigneeringud </w:t>
            </w:r>
          </w:p>
        </w:tc>
        <w:tc>
          <w:tcPr>
            <w:tcW w:w="868" w:type="dxa"/>
            <w:vAlign w:val="center"/>
          </w:tcPr>
          <w:p w:rsidR="003563AD" w:rsidRDefault="003563AD">
            <w:pPr>
              <w:spacing w:before="60" w:after="60"/>
              <w:jc w:val="right"/>
              <w:rPr>
                <w:noProof/>
                <w:sz w:val="20"/>
              </w:rPr>
            </w:pPr>
          </w:p>
        </w:tc>
        <w:tc>
          <w:tcPr>
            <w:tcW w:w="868" w:type="dxa"/>
            <w:vAlign w:val="center"/>
          </w:tcPr>
          <w:p w:rsidR="003563AD" w:rsidRDefault="003563AD">
            <w:pPr>
              <w:spacing w:before="20" w:after="20"/>
              <w:jc w:val="right"/>
              <w:rPr>
                <w:noProof/>
                <w:sz w:val="20"/>
              </w:rPr>
            </w:pPr>
          </w:p>
        </w:tc>
        <w:tc>
          <w:tcPr>
            <w:tcW w:w="868" w:type="dxa"/>
            <w:vAlign w:val="center"/>
          </w:tcPr>
          <w:p w:rsidR="003563AD" w:rsidRDefault="003563AD">
            <w:pPr>
              <w:spacing w:before="20" w:after="20"/>
              <w:jc w:val="right"/>
              <w:rPr>
                <w:noProof/>
                <w:sz w:val="20"/>
              </w:rPr>
            </w:pPr>
          </w:p>
        </w:tc>
        <w:tc>
          <w:tcPr>
            <w:tcW w:w="868" w:type="dxa"/>
            <w:vAlign w:val="center"/>
          </w:tcPr>
          <w:p w:rsidR="003563AD" w:rsidRDefault="003563AD">
            <w:pPr>
              <w:spacing w:before="20" w:after="20"/>
              <w:jc w:val="right"/>
              <w:rPr>
                <w:noProof/>
                <w:sz w:val="20"/>
              </w:rPr>
            </w:pPr>
          </w:p>
        </w:tc>
        <w:tc>
          <w:tcPr>
            <w:tcW w:w="868" w:type="dxa"/>
            <w:vAlign w:val="center"/>
          </w:tcPr>
          <w:p w:rsidR="003563AD" w:rsidRDefault="003563AD">
            <w:pPr>
              <w:spacing w:before="20" w:after="20"/>
              <w:jc w:val="right"/>
              <w:rPr>
                <w:noProof/>
                <w:sz w:val="20"/>
              </w:rPr>
            </w:pPr>
          </w:p>
        </w:tc>
        <w:tc>
          <w:tcPr>
            <w:tcW w:w="868" w:type="dxa"/>
            <w:vAlign w:val="center"/>
          </w:tcPr>
          <w:p w:rsidR="003563AD" w:rsidRDefault="003563AD">
            <w:pPr>
              <w:spacing w:before="20" w:after="20"/>
              <w:jc w:val="right"/>
              <w:rPr>
                <w:noProof/>
                <w:sz w:val="20"/>
              </w:rPr>
            </w:pPr>
          </w:p>
        </w:tc>
        <w:tc>
          <w:tcPr>
            <w:tcW w:w="868" w:type="dxa"/>
            <w:vAlign w:val="center"/>
          </w:tcPr>
          <w:p w:rsidR="003563AD" w:rsidRDefault="003563AD">
            <w:pPr>
              <w:spacing w:before="20" w:after="20"/>
              <w:jc w:val="right"/>
              <w:rPr>
                <w:b/>
                <w:noProof/>
                <w:sz w:val="20"/>
              </w:rPr>
            </w:pPr>
          </w:p>
        </w:tc>
        <w:tc>
          <w:tcPr>
            <w:tcW w:w="1777" w:type="dxa"/>
            <w:vAlign w:val="center"/>
          </w:tcPr>
          <w:p w:rsidR="003563AD" w:rsidRDefault="003563AD">
            <w:pPr>
              <w:spacing w:before="20" w:after="20"/>
              <w:jc w:val="right"/>
              <w:rPr>
                <w:b/>
                <w:noProof/>
                <w:sz w:val="20"/>
              </w:rPr>
            </w:pPr>
          </w:p>
        </w:tc>
      </w:tr>
    </w:tbl>
    <w:p w:rsidR="003563AD" w:rsidRDefault="003563AD">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3563AD">
        <w:tc>
          <w:tcPr>
            <w:tcW w:w="3960" w:type="dxa"/>
            <w:shd w:val="thinDiagStripe" w:color="C0C0C0" w:fill="auto"/>
            <w:vAlign w:val="center"/>
          </w:tcPr>
          <w:p w:rsidR="003563AD" w:rsidRDefault="00251882">
            <w:pPr>
              <w:jc w:val="center"/>
              <w:rPr>
                <w:b/>
                <w:noProof/>
              </w:rPr>
            </w:pPr>
            <w:r>
              <w:rPr>
                <w:noProof/>
              </w:rPr>
              <w:t xml:space="preserve">Mitmeaastase finantsraamistiku </w:t>
            </w:r>
            <w:r>
              <w:rPr>
                <w:b/>
                <w:noProof/>
              </w:rPr>
              <w:t xml:space="preserve">RUBRIIGI 5 </w:t>
            </w:r>
            <w:r>
              <w:rPr>
                <w:b/>
                <w:noProof/>
              </w:rPr>
              <w:t>assigneeringud KOKKU</w:t>
            </w:r>
            <w:r>
              <w:rPr>
                <w:b/>
                <w:noProof/>
                <w:sz w:val="22"/>
              </w:rPr>
              <w:t xml:space="preserve"> </w:t>
            </w:r>
          </w:p>
        </w:tc>
        <w:tc>
          <w:tcPr>
            <w:tcW w:w="2094" w:type="dxa"/>
            <w:vAlign w:val="center"/>
          </w:tcPr>
          <w:p w:rsidR="003563AD" w:rsidRDefault="00251882">
            <w:pPr>
              <w:spacing w:before="40" w:after="40"/>
              <w:rPr>
                <w:noProof/>
              </w:rPr>
            </w:pPr>
            <w:r>
              <w:rPr>
                <w:noProof/>
                <w:sz w:val="18"/>
              </w:rPr>
              <w:t>(Kulukohustuste kogusumma = maksete kogusumma)</w:t>
            </w:r>
          </w:p>
        </w:tc>
        <w:tc>
          <w:tcPr>
            <w:tcW w:w="868" w:type="dxa"/>
            <w:vAlign w:val="center"/>
          </w:tcPr>
          <w:p w:rsidR="003563AD" w:rsidRDefault="003563AD">
            <w:pPr>
              <w:spacing w:before="20" w:after="20"/>
              <w:jc w:val="right"/>
              <w:rPr>
                <w:noProof/>
                <w:sz w:val="20"/>
              </w:rPr>
            </w:pPr>
          </w:p>
        </w:tc>
        <w:tc>
          <w:tcPr>
            <w:tcW w:w="868" w:type="dxa"/>
            <w:vAlign w:val="center"/>
          </w:tcPr>
          <w:p w:rsidR="003563AD" w:rsidRDefault="003563AD">
            <w:pPr>
              <w:spacing w:before="20" w:after="20"/>
              <w:jc w:val="right"/>
              <w:rPr>
                <w:noProof/>
                <w:sz w:val="20"/>
              </w:rPr>
            </w:pPr>
          </w:p>
        </w:tc>
        <w:tc>
          <w:tcPr>
            <w:tcW w:w="868" w:type="dxa"/>
            <w:vAlign w:val="center"/>
          </w:tcPr>
          <w:p w:rsidR="003563AD" w:rsidRDefault="003563AD">
            <w:pPr>
              <w:spacing w:before="20" w:after="20"/>
              <w:jc w:val="right"/>
              <w:rPr>
                <w:noProof/>
                <w:sz w:val="20"/>
              </w:rPr>
            </w:pPr>
          </w:p>
        </w:tc>
        <w:tc>
          <w:tcPr>
            <w:tcW w:w="868" w:type="dxa"/>
            <w:vAlign w:val="center"/>
          </w:tcPr>
          <w:p w:rsidR="003563AD" w:rsidRDefault="003563AD">
            <w:pPr>
              <w:spacing w:before="20" w:after="20"/>
              <w:jc w:val="right"/>
              <w:rPr>
                <w:noProof/>
                <w:sz w:val="20"/>
              </w:rPr>
            </w:pPr>
          </w:p>
        </w:tc>
        <w:tc>
          <w:tcPr>
            <w:tcW w:w="868" w:type="dxa"/>
            <w:vAlign w:val="center"/>
          </w:tcPr>
          <w:p w:rsidR="003563AD" w:rsidRDefault="003563AD">
            <w:pPr>
              <w:spacing w:before="20" w:after="20"/>
              <w:jc w:val="right"/>
              <w:rPr>
                <w:noProof/>
                <w:sz w:val="20"/>
              </w:rPr>
            </w:pPr>
          </w:p>
        </w:tc>
        <w:tc>
          <w:tcPr>
            <w:tcW w:w="868" w:type="dxa"/>
            <w:vAlign w:val="center"/>
          </w:tcPr>
          <w:p w:rsidR="003563AD" w:rsidRDefault="003563AD">
            <w:pPr>
              <w:spacing w:before="20" w:after="20"/>
              <w:jc w:val="right"/>
              <w:rPr>
                <w:noProof/>
                <w:sz w:val="20"/>
              </w:rPr>
            </w:pPr>
          </w:p>
        </w:tc>
        <w:tc>
          <w:tcPr>
            <w:tcW w:w="868" w:type="dxa"/>
            <w:vAlign w:val="center"/>
          </w:tcPr>
          <w:p w:rsidR="003563AD" w:rsidRDefault="003563AD">
            <w:pPr>
              <w:spacing w:before="20" w:after="20"/>
              <w:jc w:val="right"/>
              <w:rPr>
                <w:b/>
                <w:noProof/>
                <w:sz w:val="20"/>
              </w:rPr>
            </w:pPr>
          </w:p>
        </w:tc>
        <w:tc>
          <w:tcPr>
            <w:tcW w:w="1777" w:type="dxa"/>
            <w:vAlign w:val="center"/>
          </w:tcPr>
          <w:p w:rsidR="003563AD" w:rsidRDefault="003563AD">
            <w:pPr>
              <w:spacing w:before="20" w:after="20"/>
              <w:jc w:val="right"/>
              <w:rPr>
                <w:b/>
                <w:noProof/>
                <w:sz w:val="20"/>
              </w:rPr>
            </w:pPr>
          </w:p>
        </w:tc>
      </w:tr>
    </w:tbl>
    <w:p w:rsidR="003563AD" w:rsidRDefault="00251882">
      <w:pPr>
        <w:jc w:val="right"/>
        <w:rPr>
          <w:noProof/>
          <w:sz w:val="20"/>
        </w:rPr>
      </w:pPr>
      <w:r>
        <w:rPr>
          <w:noProof/>
          <w:sz w:val="20"/>
        </w:rPr>
        <w:t>miljonites eurodes (kolm kohta pärast koma)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3563AD">
        <w:tc>
          <w:tcPr>
            <w:tcW w:w="3960" w:type="dxa"/>
            <w:tcBorders>
              <w:top w:val="nil"/>
              <w:left w:val="nil"/>
              <w:right w:val="nil"/>
            </w:tcBorders>
            <w:vAlign w:val="center"/>
          </w:tcPr>
          <w:p w:rsidR="003563AD" w:rsidRDefault="003563AD">
            <w:pPr>
              <w:jc w:val="center"/>
              <w:rPr>
                <w:noProof/>
              </w:rPr>
            </w:pPr>
          </w:p>
        </w:tc>
        <w:tc>
          <w:tcPr>
            <w:tcW w:w="1560" w:type="dxa"/>
            <w:tcBorders>
              <w:top w:val="nil"/>
              <w:left w:val="nil"/>
              <w:right w:val="nil"/>
            </w:tcBorders>
          </w:tcPr>
          <w:p w:rsidR="003563AD" w:rsidRDefault="003563AD">
            <w:pPr>
              <w:rPr>
                <w:noProof/>
                <w:sz w:val="20"/>
              </w:rPr>
            </w:pPr>
          </w:p>
        </w:tc>
        <w:tc>
          <w:tcPr>
            <w:tcW w:w="534" w:type="dxa"/>
            <w:tcBorders>
              <w:top w:val="nil"/>
              <w:left w:val="nil"/>
            </w:tcBorders>
          </w:tcPr>
          <w:p w:rsidR="003563AD" w:rsidRDefault="003563AD">
            <w:pPr>
              <w:jc w:val="center"/>
              <w:rPr>
                <w:noProof/>
                <w:sz w:val="20"/>
              </w:rPr>
            </w:pPr>
          </w:p>
        </w:tc>
        <w:tc>
          <w:tcPr>
            <w:tcW w:w="868" w:type="dxa"/>
            <w:vAlign w:val="center"/>
          </w:tcPr>
          <w:p w:rsidR="003563AD" w:rsidRDefault="00251882">
            <w:pPr>
              <w:jc w:val="center"/>
              <w:rPr>
                <w:noProof/>
                <w:sz w:val="20"/>
              </w:rPr>
            </w:pPr>
            <w:r>
              <w:rPr>
                <w:noProof/>
              </w:rPr>
              <w:t>Aasta</w:t>
            </w:r>
            <w:r>
              <w:rPr>
                <w:noProof/>
                <w:sz w:val="22"/>
              </w:rPr>
              <w:br/>
            </w:r>
            <w:r>
              <w:rPr>
                <w:b/>
                <w:noProof/>
                <w:sz w:val="20"/>
              </w:rPr>
              <w:t>N</w:t>
            </w:r>
            <w:r>
              <w:rPr>
                <w:rStyle w:val="FootnoteReference"/>
                <w:b/>
                <w:noProof/>
                <w:sz w:val="20"/>
              </w:rPr>
              <w:footnoteReference w:id="38"/>
            </w:r>
          </w:p>
        </w:tc>
        <w:tc>
          <w:tcPr>
            <w:tcW w:w="868" w:type="dxa"/>
            <w:vAlign w:val="center"/>
          </w:tcPr>
          <w:p w:rsidR="003563AD" w:rsidRDefault="00251882">
            <w:pPr>
              <w:jc w:val="center"/>
              <w:rPr>
                <w:noProof/>
                <w:sz w:val="20"/>
              </w:rPr>
            </w:pPr>
            <w:r>
              <w:rPr>
                <w:noProof/>
              </w:rPr>
              <w:t>Aasta</w:t>
            </w:r>
            <w:r>
              <w:rPr>
                <w:noProof/>
                <w:sz w:val="22"/>
              </w:rPr>
              <w:br/>
            </w:r>
            <w:r>
              <w:rPr>
                <w:b/>
                <w:noProof/>
                <w:sz w:val="20"/>
              </w:rPr>
              <w:t>N+1</w:t>
            </w:r>
          </w:p>
        </w:tc>
        <w:tc>
          <w:tcPr>
            <w:tcW w:w="868" w:type="dxa"/>
            <w:vAlign w:val="center"/>
          </w:tcPr>
          <w:p w:rsidR="003563AD" w:rsidRDefault="00251882">
            <w:pPr>
              <w:jc w:val="center"/>
              <w:rPr>
                <w:noProof/>
                <w:sz w:val="20"/>
              </w:rPr>
            </w:pPr>
            <w:r>
              <w:rPr>
                <w:noProof/>
              </w:rPr>
              <w:t>Aasta</w:t>
            </w:r>
            <w:r>
              <w:rPr>
                <w:noProof/>
                <w:sz w:val="22"/>
              </w:rPr>
              <w:br/>
            </w:r>
            <w:r>
              <w:rPr>
                <w:b/>
                <w:noProof/>
                <w:sz w:val="20"/>
              </w:rPr>
              <w:t>N+2</w:t>
            </w:r>
          </w:p>
        </w:tc>
        <w:tc>
          <w:tcPr>
            <w:tcW w:w="868" w:type="dxa"/>
            <w:vAlign w:val="center"/>
          </w:tcPr>
          <w:p w:rsidR="003563AD" w:rsidRDefault="00251882">
            <w:pPr>
              <w:jc w:val="center"/>
              <w:rPr>
                <w:noProof/>
                <w:sz w:val="20"/>
              </w:rPr>
            </w:pPr>
            <w:r>
              <w:rPr>
                <w:noProof/>
              </w:rPr>
              <w:t>Aasta</w:t>
            </w:r>
            <w:r>
              <w:rPr>
                <w:noProof/>
                <w:sz w:val="22"/>
              </w:rPr>
              <w:br/>
            </w:r>
            <w:r>
              <w:rPr>
                <w:b/>
                <w:noProof/>
                <w:sz w:val="20"/>
              </w:rPr>
              <w:t>N+3</w:t>
            </w:r>
          </w:p>
        </w:tc>
        <w:tc>
          <w:tcPr>
            <w:tcW w:w="2604" w:type="dxa"/>
            <w:gridSpan w:val="3"/>
            <w:vAlign w:val="center"/>
          </w:tcPr>
          <w:p w:rsidR="003563AD" w:rsidRDefault="00251882">
            <w:pPr>
              <w:jc w:val="center"/>
              <w:rPr>
                <w:b/>
                <w:noProof/>
                <w:sz w:val="18"/>
              </w:rPr>
            </w:pPr>
            <w:r>
              <w:rPr>
                <w:noProof/>
                <w:sz w:val="18"/>
              </w:rPr>
              <w:t>Lisage vajalik arv aastaid, et kajastada kogu finantsmõju (vt punkt 1.6)</w:t>
            </w:r>
          </w:p>
        </w:tc>
        <w:tc>
          <w:tcPr>
            <w:tcW w:w="1777" w:type="dxa"/>
            <w:vAlign w:val="center"/>
          </w:tcPr>
          <w:p w:rsidR="003563AD" w:rsidRDefault="00251882">
            <w:pPr>
              <w:jc w:val="center"/>
              <w:rPr>
                <w:b/>
                <w:noProof/>
                <w:sz w:val="20"/>
              </w:rPr>
            </w:pPr>
            <w:r>
              <w:rPr>
                <w:b/>
                <w:noProof/>
                <w:sz w:val="20"/>
              </w:rPr>
              <w:t>KOKKU</w:t>
            </w:r>
          </w:p>
        </w:tc>
      </w:tr>
      <w:tr w:rsidR="003563AD">
        <w:tc>
          <w:tcPr>
            <w:tcW w:w="3960" w:type="dxa"/>
            <w:vMerge w:val="restart"/>
            <w:shd w:val="clear" w:color="auto" w:fill="C0C0C0"/>
            <w:vAlign w:val="center"/>
          </w:tcPr>
          <w:p w:rsidR="003563AD" w:rsidRDefault="00251882">
            <w:pPr>
              <w:jc w:val="center"/>
              <w:rPr>
                <w:b/>
                <w:noProof/>
              </w:rPr>
            </w:pPr>
            <w:r>
              <w:rPr>
                <w:noProof/>
              </w:rPr>
              <w:t xml:space="preserve">Mitmeaastase finantsraamistiku </w:t>
            </w:r>
            <w:r>
              <w:rPr>
                <w:b/>
                <w:noProof/>
              </w:rPr>
              <w:t>RUBRIIKIDE 1–5 assigneeringud KOKKU</w:t>
            </w:r>
            <w:r>
              <w:rPr>
                <w:b/>
                <w:noProof/>
                <w:sz w:val="22"/>
              </w:rPr>
              <w:t xml:space="preserve"> </w:t>
            </w:r>
          </w:p>
        </w:tc>
        <w:tc>
          <w:tcPr>
            <w:tcW w:w="2094" w:type="dxa"/>
            <w:gridSpan w:val="2"/>
            <w:vAlign w:val="center"/>
          </w:tcPr>
          <w:p w:rsidR="003563AD" w:rsidRDefault="00251882">
            <w:pPr>
              <w:rPr>
                <w:noProof/>
                <w:sz w:val="14"/>
              </w:rPr>
            </w:pPr>
            <w:r>
              <w:rPr>
                <w:noProof/>
                <w:sz w:val="18"/>
              </w:rPr>
              <w:t>Kulukohustus</w:t>
            </w:r>
          </w:p>
        </w:tc>
        <w:tc>
          <w:tcPr>
            <w:tcW w:w="868" w:type="dxa"/>
            <w:vAlign w:val="center"/>
          </w:tcPr>
          <w:p w:rsidR="003563AD" w:rsidRDefault="003563AD">
            <w:pPr>
              <w:spacing w:before="60" w:after="60"/>
              <w:jc w:val="right"/>
              <w:rPr>
                <w:noProof/>
                <w:sz w:val="20"/>
              </w:rPr>
            </w:pPr>
          </w:p>
        </w:tc>
        <w:tc>
          <w:tcPr>
            <w:tcW w:w="868" w:type="dxa"/>
            <w:vAlign w:val="center"/>
          </w:tcPr>
          <w:p w:rsidR="003563AD" w:rsidRDefault="003563AD">
            <w:pPr>
              <w:spacing w:before="60" w:after="60"/>
              <w:jc w:val="right"/>
              <w:rPr>
                <w:noProof/>
                <w:sz w:val="20"/>
              </w:rPr>
            </w:pPr>
          </w:p>
        </w:tc>
        <w:tc>
          <w:tcPr>
            <w:tcW w:w="868" w:type="dxa"/>
            <w:vAlign w:val="center"/>
          </w:tcPr>
          <w:p w:rsidR="003563AD" w:rsidRDefault="003563AD">
            <w:pPr>
              <w:spacing w:before="60" w:after="60"/>
              <w:jc w:val="right"/>
              <w:rPr>
                <w:noProof/>
                <w:sz w:val="20"/>
              </w:rPr>
            </w:pPr>
          </w:p>
        </w:tc>
        <w:tc>
          <w:tcPr>
            <w:tcW w:w="868" w:type="dxa"/>
            <w:vAlign w:val="center"/>
          </w:tcPr>
          <w:p w:rsidR="003563AD" w:rsidRDefault="003563AD">
            <w:pPr>
              <w:spacing w:before="60" w:after="60"/>
              <w:jc w:val="right"/>
              <w:rPr>
                <w:noProof/>
                <w:sz w:val="20"/>
              </w:rPr>
            </w:pPr>
          </w:p>
        </w:tc>
        <w:tc>
          <w:tcPr>
            <w:tcW w:w="868" w:type="dxa"/>
            <w:vAlign w:val="center"/>
          </w:tcPr>
          <w:p w:rsidR="003563AD" w:rsidRDefault="003563AD">
            <w:pPr>
              <w:spacing w:before="60" w:after="60"/>
              <w:jc w:val="right"/>
              <w:rPr>
                <w:noProof/>
                <w:sz w:val="20"/>
              </w:rPr>
            </w:pPr>
          </w:p>
        </w:tc>
        <w:tc>
          <w:tcPr>
            <w:tcW w:w="868" w:type="dxa"/>
            <w:vAlign w:val="center"/>
          </w:tcPr>
          <w:p w:rsidR="003563AD" w:rsidRDefault="003563AD">
            <w:pPr>
              <w:spacing w:before="60" w:after="60"/>
              <w:jc w:val="right"/>
              <w:rPr>
                <w:noProof/>
                <w:sz w:val="20"/>
              </w:rPr>
            </w:pPr>
          </w:p>
        </w:tc>
        <w:tc>
          <w:tcPr>
            <w:tcW w:w="868" w:type="dxa"/>
            <w:vAlign w:val="center"/>
          </w:tcPr>
          <w:p w:rsidR="003563AD" w:rsidRDefault="003563AD">
            <w:pPr>
              <w:spacing w:before="60" w:after="60"/>
              <w:jc w:val="right"/>
              <w:rPr>
                <w:b/>
                <w:noProof/>
                <w:sz w:val="20"/>
              </w:rPr>
            </w:pPr>
          </w:p>
        </w:tc>
        <w:tc>
          <w:tcPr>
            <w:tcW w:w="1777" w:type="dxa"/>
            <w:vAlign w:val="center"/>
          </w:tcPr>
          <w:p w:rsidR="003563AD" w:rsidRDefault="003563AD">
            <w:pPr>
              <w:spacing w:before="60" w:after="60"/>
              <w:jc w:val="right"/>
              <w:rPr>
                <w:b/>
                <w:noProof/>
                <w:sz w:val="20"/>
              </w:rPr>
            </w:pPr>
          </w:p>
        </w:tc>
      </w:tr>
      <w:tr w:rsidR="003563AD">
        <w:tc>
          <w:tcPr>
            <w:tcW w:w="3960" w:type="dxa"/>
            <w:vMerge/>
            <w:shd w:val="clear" w:color="auto" w:fill="C0C0C0"/>
          </w:tcPr>
          <w:p w:rsidR="003563AD" w:rsidRDefault="003563AD">
            <w:pPr>
              <w:rPr>
                <w:noProof/>
                <w:sz w:val="20"/>
              </w:rPr>
            </w:pPr>
          </w:p>
        </w:tc>
        <w:tc>
          <w:tcPr>
            <w:tcW w:w="2094" w:type="dxa"/>
            <w:gridSpan w:val="2"/>
            <w:vAlign w:val="center"/>
          </w:tcPr>
          <w:p w:rsidR="003563AD" w:rsidRDefault="00251882">
            <w:pPr>
              <w:rPr>
                <w:noProof/>
                <w:sz w:val="14"/>
              </w:rPr>
            </w:pPr>
            <w:r>
              <w:rPr>
                <w:noProof/>
                <w:sz w:val="18"/>
              </w:rPr>
              <w:t>Makse</w:t>
            </w:r>
          </w:p>
        </w:tc>
        <w:tc>
          <w:tcPr>
            <w:tcW w:w="868" w:type="dxa"/>
            <w:vAlign w:val="center"/>
          </w:tcPr>
          <w:p w:rsidR="003563AD" w:rsidRDefault="003563AD">
            <w:pPr>
              <w:spacing w:before="60" w:after="60"/>
              <w:jc w:val="right"/>
              <w:rPr>
                <w:noProof/>
                <w:sz w:val="20"/>
              </w:rPr>
            </w:pPr>
          </w:p>
        </w:tc>
        <w:tc>
          <w:tcPr>
            <w:tcW w:w="868" w:type="dxa"/>
            <w:vAlign w:val="center"/>
          </w:tcPr>
          <w:p w:rsidR="003563AD" w:rsidRDefault="003563AD">
            <w:pPr>
              <w:spacing w:before="60" w:after="60"/>
              <w:jc w:val="right"/>
              <w:rPr>
                <w:noProof/>
                <w:sz w:val="20"/>
              </w:rPr>
            </w:pPr>
          </w:p>
        </w:tc>
        <w:tc>
          <w:tcPr>
            <w:tcW w:w="868" w:type="dxa"/>
            <w:vAlign w:val="center"/>
          </w:tcPr>
          <w:p w:rsidR="003563AD" w:rsidRDefault="003563AD">
            <w:pPr>
              <w:spacing w:before="60" w:after="60"/>
              <w:jc w:val="right"/>
              <w:rPr>
                <w:noProof/>
                <w:sz w:val="20"/>
              </w:rPr>
            </w:pPr>
          </w:p>
        </w:tc>
        <w:tc>
          <w:tcPr>
            <w:tcW w:w="868" w:type="dxa"/>
            <w:vAlign w:val="center"/>
          </w:tcPr>
          <w:p w:rsidR="003563AD" w:rsidRDefault="003563AD">
            <w:pPr>
              <w:spacing w:before="60" w:after="60"/>
              <w:jc w:val="right"/>
              <w:rPr>
                <w:noProof/>
                <w:sz w:val="20"/>
              </w:rPr>
            </w:pPr>
          </w:p>
        </w:tc>
        <w:tc>
          <w:tcPr>
            <w:tcW w:w="868" w:type="dxa"/>
            <w:vAlign w:val="center"/>
          </w:tcPr>
          <w:p w:rsidR="003563AD" w:rsidRDefault="003563AD">
            <w:pPr>
              <w:spacing w:before="60" w:after="60"/>
              <w:jc w:val="right"/>
              <w:rPr>
                <w:noProof/>
                <w:sz w:val="20"/>
              </w:rPr>
            </w:pPr>
          </w:p>
        </w:tc>
        <w:tc>
          <w:tcPr>
            <w:tcW w:w="868" w:type="dxa"/>
            <w:vAlign w:val="center"/>
          </w:tcPr>
          <w:p w:rsidR="003563AD" w:rsidRDefault="003563AD">
            <w:pPr>
              <w:spacing w:before="60" w:after="60"/>
              <w:jc w:val="right"/>
              <w:rPr>
                <w:noProof/>
                <w:sz w:val="20"/>
              </w:rPr>
            </w:pPr>
          </w:p>
        </w:tc>
        <w:tc>
          <w:tcPr>
            <w:tcW w:w="868" w:type="dxa"/>
            <w:vAlign w:val="center"/>
          </w:tcPr>
          <w:p w:rsidR="003563AD" w:rsidRDefault="003563AD">
            <w:pPr>
              <w:spacing w:before="60" w:after="60"/>
              <w:jc w:val="right"/>
              <w:rPr>
                <w:b/>
                <w:noProof/>
                <w:sz w:val="20"/>
              </w:rPr>
            </w:pPr>
          </w:p>
        </w:tc>
        <w:tc>
          <w:tcPr>
            <w:tcW w:w="1777" w:type="dxa"/>
            <w:vAlign w:val="center"/>
          </w:tcPr>
          <w:p w:rsidR="003563AD" w:rsidRDefault="003563AD">
            <w:pPr>
              <w:spacing w:before="60" w:after="60"/>
              <w:jc w:val="right"/>
              <w:rPr>
                <w:b/>
                <w:noProof/>
                <w:sz w:val="20"/>
              </w:rPr>
            </w:pPr>
          </w:p>
        </w:tc>
      </w:tr>
    </w:tbl>
    <w:p w:rsidR="003563AD" w:rsidRDefault="003563AD">
      <w:pPr>
        <w:rPr>
          <w:noProof/>
        </w:rPr>
        <w:sectPr w:rsidR="003563AD">
          <w:headerReference w:type="default" r:id="rId14"/>
          <w:footerReference w:type="default" r:id="rId15"/>
          <w:headerReference w:type="first" r:id="rId16"/>
          <w:footerReference w:type="first" r:id="rId17"/>
          <w:pgSz w:w="16840" w:h="11907" w:orient="landscape" w:code="9"/>
          <w:pgMar w:top="1134" w:right="1418" w:bottom="1134" w:left="1418" w:header="709" w:footer="709" w:gutter="0"/>
          <w:cols w:space="708"/>
          <w:docGrid w:linePitch="360"/>
        </w:sectPr>
      </w:pPr>
    </w:p>
    <w:p w:rsidR="003563AD" w:rsidRDefault="00251882">
      <w:pPr>
        <w:pStyle w:val="ManualHeading3"/>
        <w:rPr>
          <w:bCs/>
          <w:noProof/>
          <w:szCs w:val="24"/>
        </w:rPr>
      </w:pPr>
      <w:r>
        <w:t>3.2.2.</w:t>
      </w:r>
      <w:r>
        <w:tab/>
      </w:r>
      <w:r>
        <w:rPr>
          <w:noProof/>
        </w:rPr>
        <w:t xml:space="preserve">Hinnanguline mõju tegevusassigneeringutele </w:t>
      </w:r>
    </w:p>
    <w:p w:rsidR="003563AD" w:rsidRDefault="00251882">
      <w:pPr>
        <w:pStyle w:val="ListDash1"/>
        <w:rPr>
          <w:noProof/>
        </w:rPr>
      </w:pPr>
      <w:r>
        <w:rPr>
          <w:noProof/>
        </w:rPr>
        <w:sym w:font="Wingdings" w:char="F0A8"/>
      </w:r>
      <w:r>
        <w:rPr>
          <w:noProof/>
        </w:rPr>
        <w:tab/>
        <w:t xml:space="preserve">Ettepanek/algatus ei hõlma tegevusassigneeringute kasutamist </w:t>
      </w:r>
    </w:p>
    <w:p w:rsidR="003563AD" w:rsidRDefault="00251882">
      <w:pPr>
        <w:pStyle w:val="ListDash1"/>
        <w:rPr>
          <w:noProof/>
        </w:rPr>
      </w:pPr>
      <w:r>
        <w:rPr>
          <w:rFonts w:ascii="Wingdings" w:hAnsi="Wingdings"/>
          <w:noProof/>
        </w:rPr>
        <w:t></w:t>
      </w:r>
      <w:r>
        <w:rPr>
          <w:noProof/>
        </w:rPr>
        <w:tab/>
        <w:t>Ettepanek/algatus hõlmab tegevusassigneeringute kasutamist, mis toimub järgmiselt:</w:t>
      </w:r>
    </w:p>
    <w:p w:rsidR="003563AD" w:rsidRDefault="00251882">
      <w:pPr>
        <w:jc w:val="right"/>
        <w:rPr>
          <w:noProof/>
          <w:sz w:val="20"/>
        </w:rPr>
      </w:pPr>
      <w:r>
        <w:rPr>
          <w:noProof/>
          <w:sz w:val="20"/>
        </w:rPr>
        <w:t>Kulukohustuste assigneeringud miljonites eurodes (kolm kohta pä</w:t>
      </w:r>
      <w:r>
        <w:rPr>
          <w:noProof/>
          <w:sz w:val="20"/>
        </w:rPr>
        <w:t>rast koma)</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rsidR="003563AD">
        <w:trPr>
          <w:jc w:val="center"/>
        </w:trPr>
        <w:tc>
          <w:tcPr>
            <w:tcW w:w="1423" w:type="dxa"/>
            <w:vMerge w:val="restart"/>
            <w:vAlign w:val="center"/>
          </w:tcPr>
          <w:p w:rsidR="003563AD" w:rsidRDefault="00251882">
            <w:pPr>
              <w:ind w:right="-29"/>
              <w:jc w:val="center"/>
              <w:rPr>
                <w:b/>
                <w:noProof/>
                <w:sz w:val="18"/>
                <w:szCs w:val="18"/>
              </w:rPr>
            </w:pPr>
            <w:r>
              <w:rPr>
                <w:b/>
                <w:noProof/>
                <w:sz w:val="18"/>
              </w:rPr>
              <w:t xml:space="preserve">Täpsustage eesmärgid ja väljundid </w:t>
            </w:r>
          </w:p>
          <w:p w:rsidR="003563AD" w:rsidRDefault="003563AD">
            <w:pPr>
              <w:ind w:right="-29"/>
              <w:jc w:val="center"/>
              <w:rPr>
                <w:b/>
                <w:noProof/>
                <w:sz w:val="18"/>
                <w:szCs w:val="18"/>
              </w:rPr>
            </w:pPr>
          </w:p>
          <w:p w:rsidR="003563AD" w:rsidRDefault="00251882">
            <w:pPr>
              <w:ind w:right="-29"/>
              <w:jc w:val="center"/>
              <w:rPr>
                <w:noProof/>
                <w:sz w:val="18"/>
                <w:szCs w:val="18"/>
              </w:rPr>
            </w:pPr>
            <w:r>
              <w:rPr>
                <w:noProof/>
                <w:sz w:val="18"/>
              </w:rPr>
              <w:sym w:font="Wingdings" w:char="F0F2"/>
            </w:r>
          </w:p>
        </w:tc>
        <w:tc>
          <w:tcPr>
            <w:tcW w:w="720" w:type="dxa"/>
            <w:vAlign w:val="center"/>
          </w:tcPr>
          <w:p w:rsidR="003563AD" w:rsidRDefault="003563AD">
            <w:pPr>
              <w:ind w:right="-29"/>
              <w:jc w:val="center"/>
              <w:rPr>
                <w:noProof/>
                <w:sz w:val="18"/>
                <w:szCs w:val="18"/>
              </w:rPr>
            </w:pPr>
          </w:p>
        </w:tc>
        <w:tc>
          <w:tcPr>
            <w:tcW w:w="701" w:type="dxa"/>
            <w:vAlign w:val="center"/>
          </w:tcPr>
          <w:p w:rsidR="003563AD" w:rsidRDefault="003563AD">
            <w:pPr>
              <w:ind w:right="-29"/>
              <w:jc w:val="center"/>
              <w:rPr>
                <w:noProof/>
                <w:sz w:val="18"/>
                <w:szCs w:val="18"/>
              </w:rPr>
            </w:pPr>
          </w:p>
        </w:tc>
        <w:tc>
          <w:tcPr>
            <w:tcW w:w="1224" w:type="dxa"/>
            <w:gridSpan w:val="2"/>
            <w:tcBorders>
              <w:left w:val="nil"/>
            </w:tcBorders>
            <w:vAlign w:val="center"/>
          </w:tcPr>
          <w:p w:rsidR="003563AD" w:rsidRDefault="00251882">
            <w:pPr>
              <w:ind w:right="-29"/>
              <w:jc w:val="center"/>
              <w:rPr>
                <w:noProof/>
                <w:sz w:val="18"/>
                <w:szCs w:val="18"/>
              </w:rPr>
            </w:pPr>
            <w:r>
              <w:rPr>
                <w:noProof/>
              </w:rPr>
              <w:t>Aasta</w:t>
            </w:r>
            <w:r>
              <w:rPr>
                <w:noProof/>
                <w:sz w:val="22"/>
              </w:rPr>
              <w:br/>
            </w:r>
            <w:r>
              <w:rPr>
                <w:b/>
                <w:noProof/>
                <w:sz w:val="18"/>
              </w:rPr>
              <w:t>N</w:t>
            </w:r>
          </w:p>
        </w:tc>
        <w:tc>
          <w:tcPr>
            <w:tcW w:w="1260" w:type="dxa"/>
            <w:gridSpan w:val="2"/>
            <w:vAlign w:val="center"/>
          </w:tcPr>
          <w:p w:rsidR="003563AD" w:rsidRDefault="00251882">
            <w:pPr>
              <w:ind w:right="-29"/>
              <w:jc w:val="center"/>
              <w:rPr>
                <w:noProof/>
                <w:sz w:val="18"/>
                <w:szCs w:val="18"/>
              </w:rPr>
            </w:pPr>
            <w:r>
              <w:rPr>
                <w:noProof/>
              </w:rPr>
              <w:t>Aasta</w:t>
            </w:r>
            <w:r>
              <w:rPr>
                <w:noProof/>
                <w:sz w:val="22"/>
              </w:rPr>
              <w:br/>
            </w:r>
            <w:r>
              <w:rPr>
                <w:b/>
                <w:noProof/>
                <w:sz w:val="18"/>
              </w:rPr>
              <w:t>N+1</w:t>
            </w:r>
          </w:p>
        </w:tc>
        <w:tc>
          <w:tcPr>
            <w:tcW w:w="1440" w:type="dxa"/>
            <w:gridSpan w:val="2"/>
            <w:vAlign w:val="center"/>
          </w:tcPr>
          <w:p w:rsidR="003563AD" w:rsidRDefault="00251882">
            <w:pPr>
              <w:ind w:right="-29"/>
              <w:jc w:val="center"/>
              <w:rPr>
                <w:noProof/>
                <w:sz w:val="18"/>
                <w:szCs w:val="18"/>
              </w:rPr>
            </w:pPr>
            <w:r>
              <w:rPr>
                <w:noProof/>
              </w:rPr>
              <w:t>Aasta</w:t>
            </w:r>
            <w:r>
              <w:rPr>
                <w:noProof/>
                <w:sz w:val="22"/>
              </w:rPr>
              <w:br/>
            </w:r>
            <w:r>
              <w:rPr>
                <w:b/>
                <w:noProof/>
                <w:sz w:val="18"/>
              </w:rPr>
              <w:t>N+2</w:t>
            </w:r>
          </w:p>
        </w:tc>
        <w:tc>
          <w:tcPr>
            <w:tcW w:w="1620" w:type="dxa"/>
            <w:gridSpan w:val="3"/>
            <w:vAlign w:val="center"/>
          </w:tcPr>
          <w:p w:rsidR="003563AD" w:rsidRDefault="00251882">
            <w:pPr>
              <w:ind w:right="-29"/>
              <w:jc w:val="center"/>
              <w:rPr>
                <w:noProof/>
                <w:sz w:val="18"/>
                <w:szCs w:val="18"/>
              </w:rPr>
            </w:pPr>
            <w:r>
              <w:rPr>
                <w:noProof/>
              </w:rPr>
              <w:t>Aasta</w:t>
            </w:r>
            <w:r>
              <w:rPr>
                <w:noProof/>
                <w:sz w:val="22"/>
              </w:rPr>
              <w:br/>
            </w:r>
            <w:r>
              <w:rPr>
                <w:b/>
                <w:noProof/>
                <w:sz w:val="18"/>
              </w:rPr>
              <w:t>N+3</w:t>
            </w:r>
          </w:p>
        </w:tc>
        <w:tc>
          <w:tcPr>
            <w:tcW w:w="3600" w:type="dxa"/>
            <w:gridSpan w:val="6"/>
            <w:vAlign w:val="center"/>
          </w:tcPr>
          <w:p w:rsidR="003563AD" w:rsidRDefault="00251882">
            <w:pPr>
              <w:jc w:val="center"/>
              <w:rPr>
                <w:noProof/>
                <w:sz w:val="18"/>
                <w:szCs w:val="18"/>
              </w:rPr>
            </w:pPr>
            <w:r>
              <w:rPr>
                <w:noProof/>
                <w:sz w:val="18"/>
              </w:rPr>
              <w:t>Lisage vajalik arv aastaid, et kajastada kogu finantsmõju (vt punkt 1.6)</w:t>
            </w:r>
          </w:p>
        </w:tc>
        <w:tc>
          <w:tcPr>
            <w:tcW w:w="1620" w:type="dxa"/>
            <w:gridSpan w:val="2"/>
            <w:tcBorders>
              <w:left w:val="nil"/>
              <w:bottom w:val="nil"/>
            </w:tcBorders>
            <w:vAlign w:val="center"/>
          </w:tcPr>
          <w:p w:rsidR="003563AD" w:rsidRDefault="00251882">
            <w:pPr>
              <w:ind w:right="-29"/>
              <w:jc w:val="center"/>
              <w:rPr>
                <w:noProof/>
                <w:sz w:val="18"/>
                <w:szCs w:val="18"/>
              </w:rPr>
            </w:pPr>
            <w:r>
              <w:rPr>
                <w:b/>
                <w:noProof/>
                <w:sz w:val="18"/>
              </w:rPr>
              <w:t>KOKKU</w:t>
            </w:r>
          </w:p>
        </w:tc>
      </w:tr>
      <w:tr w:rsidR="003563AD">
        <w:trPr>
          <w:jc w:val="center"/>
        </w:trPr>
        <w:tc>
          <w:tcPr>
            <w:tcW w:w="1423" w:type="dxa"/>
            <w:vMerge/>
            <w:vAlign w:val="center"/>
          </w:tcPr>
          <w:p w:rsidR="003563AD" w:rsidRDefault="003563AD">
            <w:pPr>
              <w:ind w:right="-29"/>
              <w:jc w:val="center"/>
              <w:rPr>
                <w:noProof/>
                <w:sz w:val="18"/>
                <w:szCs w:val="18"/>
              </w:rPr>
            </w:pPr>
          </w:p>
        </w:tc>
        <w:tc>
          <w:tcPr>
            <w:tcW w:w="12185" w:type="dxa"/>
            <w:gridSpan w:val="19"/>
            <w:vAlign w:val="center"/>
          </w:tcPr>
          <w:p w:rsidR="003563AD" w:rsidRDefault="00251882">
            <w:pPr>
              <w:spacing w:before="60" w:after="60"/>
              <w:ind w:right="-29"/>
              <w:jc w:val="center"/>
              <w:rPr>
                <w:noProof/>
                <w:sz w:val="18"/>
                <w:szCs w:val="18"/>
              </w:rPr>
            </w:pPr>
            <w:r>
              <w:rPr>
                <w:b/>
                <w:noProof/>
                <w:sz w:val="18"/>
              </w:rPr>
              <w:t>VÄLJUNDID</w:t>
            </w:r>
          </w:p>
        </w:tc>
      </w:tr>
      <w:tr w:rsidR="003563AD">
        <w:trPr>
          <w:cantSplit/>
          <w:trHeight w:val="1134"/>
          <w:jc w:val="center"/>
        </w:trPr>
        <w:tc>
          <w:tcPr>
            <w:tcW w:w="1423" w:type="dxa"/>
            <w:vMerge/>
            <w:vAlign w:val="center"/>
          </w:tcPr>
          <w:p w:rsidR="003563AD" w:rsidRDefault="003563AD">
            <w:pPr>
              <w:rPr>
                <w:noProof/>
                <w:sz w:val="18"/>
                <w:szCs w:val="18"/>
              </w:rPr>
            </w:pPr>
          </w:p>
        </w:tc>
        <w:tc>
          <w:tcPr>
            <w:tcW w:w="720" w:type="dxa"/>
            <w:vAlign w:val="center"/>
          </w:tcPr>
          <w:p w:rsidR="003563AD" w:rsidRDefault="00251882">
            <w:pPr>
              <w:jc w:val="center"/>
              <w:rPr>
                <w:noProof/>
                <w:sz w:val="18"/>
                <w:szCs w:val="18"/>
              </w:rPr>
            </w:pPr>
            <w:r>
              <w:rPr>
                <w:noProof/>
                <w:sz w:val="18"/>
              </w:rPr>
              <w:t>Liik</w:t>
            </w:r>
            <w:r>
              <w:rPr>
                <w:rStyle w:val="FootnoteReference"/>
                <w:noProof/>
                <w:sz w:val="18"/>
              </w:rPr>
              <w:footnoteReference w:id="39"/>
            </w:r>
          </w:p>
          <w:p w:rsidR="003563AD" w:rsidRDefault="003563AD">
            <w:pPr>
              <w:spacing w:before="0" w:after="0"/>
              <w:jc w:val="center"/>
              <w:rPr>
                <w:noProof/>
                <w:sz w:val="18"/>
                <w:szCs w:val="18"/>
              </w:rPr>
            </w:pPr>
          </w:p>
        </w:tc>
        <w:tc>
          <w:tcPr>
            <w:tcW w:w="701" w:type="dxa"/>
            <w:vAlign w:val="center"/>
          </w:tcPr>
          <w:p w:rsidR="003563AD" w:rsidRDefault="00251882">
            <w:pPr>
              <w:jc w:val="center"/>
              <w:rPr>
                <w:noProof/>
                <w:sz w:val="18"/>
                <w:szCs w:val="18"/>
              </w:rPr>
            </w:pPr>
            <w:r>
              <w:rPr>
                <w:noProof/>
                <w:sz w:val="18"/>
              </w:rPr>
              <w:t>Väl-jundi kesk-mine kulu</w:t>
            </w:r>
          </w:p>
        </w:tc>
        <w:tc>
          <w:tcPr>
            <w:tcW w:w="504" w:type="dxa"/>
            <w:tcBorders>
              <w:left w:val="nil"/>
              <w:right w:val="dashSmallGap" w:sz="4" w:space="0" w:color="auto"/>
            </w:tcBorders>
            <w:shd w:val="pct10" w:color="auto" w:fill="auto"/>
            <w:textDirection w:val="btLr"/>
            <w:vAlign w:val="center"/>
          </w:tcPr>
          <w:p w:rsidR="003563AD" w:rsidRDefault="00251882">
            <w:pPr>
              <w:ind w:left="113" w:right="113"/>
              <w:jc w:val="center"/>
              <w:rPr>
                <w:noProof/>
                <w:sz w:val="18"/>
                <w:szCs w:val="18"/>
              </w:rPr>
            </w:pPr>
            <w:r>
              <w:rPr>
                <w:noProof/>
                <w:sz w:val="18"/>
              </w:rPr>
              <w:t>Arv</w:t>
            </w:r>
          </w:p>
        </w:tc>
        <w:tc>
          <w:tcPr>
            <w:tcW w:w="720" w:type="dxa"/>
            <w:tcBorders>
              <w:left w:val="dashSmallGap" w:sz="4" w:space="0" w:color="auto"/>
            </w:tcBorders>
            <w:shd w:val="pct10" w:color="auto" w:fill="auto"/>
            <w:vAlign w:val="center"/>
          </w:tcPr>
          <w:p w:rsidR="003563AD" w:rsidRDefault="00251882">
            <w:pPr>
              <w:jc w:val="center"/>
              <w:rPr>
                <w:noProof/>
                <w:sz w:val="18"/>
                <w:szCs w:val="18"/>
              </w:rPr>
            </w:pPr>
            <w:r>
              <w:rPr>
                <w:noProof/>
                <w:sz w:val="18"/>
              </w:rPr>
              <w:t>Kulu</w:t>
            </w:r>
          </w:p>
        </w:tc>
        <w:tc>
          <w:tcPr>
            <w:tcW w:w="540" w:type="dxa"/>
            <w:tcBorders>
              <w:right w:val="dashSmallGap" w:sz="4" w:space="0" w:color="auto"/>
            </w:tcBorders>
            <w:shd w:val="pct10" w:color="auto" w:fill="auto"/>
            <w:textDirection w:val="btLr"/>
            <w:vAlign w:val="center"/>
          </w:tcPr>
          <w:p w:rsidR="003563AD" w:rsidRDefault="00251882">
            <w:pPr>
              <w:ind w:left="113" w:right="113"/>
              <w:jc w:val="center"/>
              <w:rPr>
                <w:noProof/>
                <w:sz w:val="18"/>
                <w:szCs w:val="18"/>
              </w:rPr>
            </w:pPr>
            <w:r>
              <w:rPr>
                <w:noProof/>
                <w:sz w:val="18"/>
              </w:rPr>
              <w:t>Arv</w:t>
            </w:r>
          </w:p>
        </w:tc>
        <w:tc>
          <w:tcPr>
            <w:tcW w:w="720" w:type="dxa"/>
            <w:tcBorders>
              <w:left w:val="dashSmallGap" w:sz="4" w:space="0" w:color="auto"/>
            </w:tcBorders>
            <w:shd w:val="pct10" w:color="auto" w:fill="auto"/>
            <w:vAlign w:val="center"/>
          </w:tcPr>
          <w:p w:rsidR="003563AD" w:rsidRDefault="00251882">
            <w:pPr>
              <w:jc w:val="center"/>
              <w:rPr>
                <w:noProof/>
                <w:sz w:val="18"/>
                <w:szCs w:val="18"/>
              </w:rPr>
            </w:pPr>
            <w:r>
              <w:rPr>
                <w:noProof/>
                <w:sz w:val="18"/>
              </w:rPr>
              <w:t>Kulu</w:t>
            </w:r>
          </w:p>
        </w:tc>
        <w:tc>
          <w:tcPr>
            <w:tcW w:w="720" w:type="dxa"/>
            <w:tcBorders>
              <w:right w:val="dashSmallGap" w:sz="4" w:space="0" w:color="auto"/>
            </w:tcBorders>
            <w:shd w:val="pct10" w:color="auto" w:fill="auto"/>
            <w:textDirection w:val="btLr"/>
            <w:vAlign w:val="center"/>
          </w:tcPr>
          <w:p w:rsidR="003563AD" w:rsidRDefault="00251882">
            <w:pPr>
              <w:ind w:left="113" w:right="113"/>
              <w:jc w:val="center"/>
              <w:rPr>
                <w:noProof/>
                <w:sz w:val="18"/>
                <w:szCs w:val="18"/>
              </w:rPr>
            </w:pPr>
            <w:r>
              <w:rPr>
                <w:noProof/>
                <w:sz w:val="18"/>
              </w:rPr>
              <w:t>Arv</w:t>
            </w:r>
          </w:p>
        </w:tc>
        <w:tc>
          <w:tcPr>
            <w:tcW w:w="720" w:type="dxa"/>
            <w:tcBorders>
              <w:left w:val="dashSmallGap" w:sz="4" w:space="0" w:color="auto"/>
            </w:tcBorders>
            <w:shd w:val="pct10" w:color="auto" w:fill="auto"/>
            <w:vAlign w:val="center"/>
          </w:tcPr>
          <w:p w:rsidR="003563AD" w:rsidRDefault="00251882">
            <w:pPr>
              <w:jc w:val="center"/>
              <w:rPr>
                <w:noProof/>
                <w:sz w:val="18"/>
                <w:szCs w:val="18"/>
              </w:rPr>
            </w:pPr>
            <w:r>
              <w:rPr>
                <w:noProof/>
                <w:sz w:val="18"/>
              </w:rPr>
              <w:t>Kulu</w:t>
            </w:r>
          </w:p>
        </w:tc>
        <w:tc>
          <w:tcPr>
            <w:tcW w:w="900" w:type="dxa"/>
            <w:tcBorders>
              <w:right w:val="dashSmallGap" w:sz="4" w:space="0" w:color="auto"/>
            </w:tcBorders>
            <w:shd w:val="pct10" w:color="auto" w:fill="auto"/>
            <w:textDirection w:val="btLr"/>
            <w:vAlign w:val="center"/>
          </w:tcPr>
          <w:p w:rsidR="003563AD" w:rsidRDefault="00251882">
            <w:pPr>
              <w:ind w:left="113" w:right="113"/>
              <w:jc w:val="center"/>
              <w:rPr>
                <w:noProof/>
                <w:sz w:val="18"/>
                <w:szCs w:val="18"/>
              </w:rPr>
            </w:pPr>
            <w:r>
              <w:rPr>
                <w:noProof/>
                <w:sz w:val="18"/>
              </w:rPr>
              <w:t>Arv</w:t>
            </w:r>
          </w:p>
        </w:tc>
        <w:tc>
          <w:tcPr>
            <w:tcW w:w="720" w:type="dxa"/>
            <w:gridSpan w:val="2"/>
            <w:tcBorders>
              <w:left w:val="dashSmallGap" w:sz="4" w:space="0" w:color="auto"/>
            </w:tcBorders>
            <w:shd w:val="pct10" w:color="auto" w:fill="auto"/>
            <w:vAlign w:val="center"/>
          </w:tcPr>
          <w:p w:rsidR="003563AD" w:rsidRDefault="00251882">
            <w:pPr>
              <w:jc w:val="center"/>
              <w:rPr>
                <w:noProof/>
                <w:sz w:val="18"/>
                <w:szCs w:val="18"/>
              </w:rPr>
            </w:pPr>
            <w:r>
              <w:rPr>
                <w:noProof/>
                <w:sz w:val="18"/>
              </w:rPr>
              <w:t>Kulu</w:t>
            </w:r>
          </w:p>
        </w:tc>
        <w:tc>
          <w:tcPr>
            <w:tcW w:w="540" w:type="dxa"/>
            <w:tcBorders>
              <w:right w:val="dashSmallGap" w:sz="4" w:space="0" w:color="auto"/>
            </w:tcBorders>
            <w:shd w:val="pct10" w:color="auto" w:fill="auto"/>
            <w:textDirection w:val="btLr"/>
            <w:vAlign w:val="center"/>
          </w:tcPr>
          <w:p w:rsidR="003563AD" w:rsidRDefault="00251882">
            <w:pPr>
              <w:ind w:left="113" w:right="113"/>
              <w:jc w:val="center"/>
              <w:rPr>
                <w:noProof/>
                <w:sz w:val="18"/>
                <w:szCs w:val="18"/>
              </w:rPr>
            </w:pPr>
            <w:r>
              <w:rPr>
                <w:noProof/>
                <w:sz w:val="18"/>
              </w:rPr>
              <w:t>Arv</w:t>
            </w:r>
          </w:p>
        </w:tc>
        <w:tc>
          <w:tcPr>
            <w:tcW w:w="648" w:type="dxa"/>
            <w:tcBorders>
              <w:left w:val="dashSmallGap" w:sz="4" w:space="0" w:color="auto"/>
            </w:tcBorders>
            <w:shd w:val="pct10" w:color="auto" w:fill="auto"/>
            <w:vAlign w:val="center"/>
          </w:tcPr>
          <w:p w:rsidR="003563AD" w:rsidRDefault="00251882">
            <w:pPr>
              <w:jc w:val="center"/>
              <w:rPr>
                <w:noProof/>
                <w:sz w:val="18"/>
                <w:szCs w:val="18"/>
              </w:rPr>
            </w:pPr>
            <w:r>
              <w:rPr>
                <w:noProof/>
                <w:sz w:val="18"/>
              </w:rPr>
              <w:t>Kulu</w:t>
            </w:r>
          </w:p>
        </w:tc>
        <w:tc>
          <w:tcPr>
            <w:tcW w:w="432" w:type="dxa"/>
            <w:tcBorders>
              <w:right w:val="dashSmallGap" w:sz="4" w:space="0" w:color="auto"/>
            </w:tcBorders>
            <w:shd w:val="pct10" w:color="auto" w:fill="auto"/>
            <w:textDirection w:val="btLr"/>
            <w:vAlign w:val="center"/>
          </w:tcPr>
          <w:p w:rsidR="003563AD" w:rsidRDefault="00251882">
            <w:pPr>
              <w:ind w:left="113" w:right="113"/>
              <w:jc w:val="center"/>
              <w:rPr>
                <w:noProof/>
                <w:sz w:val="18"/>
                <w:szCs w:val="18"/>
              </w:rPr>
            </w:pPr>
            <w:r>
              <w:rPr>
                <w:noProof/>
                <w:sz w:val="18"/>
              </w:rPr>
              <w:t>Arv</w:t>
            </w:r>
          </w:p>
        </w:tc>
        <w:tc>
          <w:tcPr>
            <w:tcW w:w="720" w:type="dxa"/>
            <w:tcBorders>
              <w:left w:val="dashSmallGap" w:sz="4" w:space="0" w:color="auto"/>
            </w:tcBorders>
            <w:shd w:val="pct10" w:color="auto" w:fill="auto"/>
            <w:vAlign w:val="center"/>
          </w:tcPr>
          <w:p w:rsidR="003563AD" w:rsidRDefault="00251882">
            <w:pPr>
              <w:jc w:val="center"/>
              <w:rPr>
                <w:noProof/>
                <w:sz w:val="18"/>
                <w:szCs w:val="18"/>
              </w:rPr>
            </w:pPr>
            <w:r>
              <w:rPr>
                <w:noProof/>
                <w:sz w:val="18"/>
              </w:rPr>
              <w:t>Kulu</w:t>
            </w:r>
          </w:p>
        </w:tc>
        <w:tc>
          <w:tcPr>
            <w:tcW w:w="540" w:type="dxa"/>
            <w:tcBorders>
              <w:right w:val="dashSmallGap" w:sz="4" w:space="0" w:color="auto"/>
            </w:tcBorders>
            <w:shd w:val="pct10" w:color="auto" w:fill="auto"/>
            <w:textDirection w:val="btLr"/>
            <w:vAlign w:val="center"/>
          </w:tcPr>
          <w:p w:rsidR="003563AD" w:rsidRDefault="00251882">
            <w:pPr>
              <w:ind w:left="113" w:right="113"/>
              <w:jc w:val="center"/>
              <w:rPr>
                <w:noProof/>
                <w:sz w:val="18"/>
                <w:szCs w:val="18"/>
              </w:rPr>
            </w:pPr>
            <w:r>
              <w:rPr>
                <w:noProof/>
                <w:sz w:val="18"/>
              </w:rPr>
              <w:t>Arv</w:t>
            </w:r>
          </w:p>
        </w:tc>
        <w:tc>
          <w:tcPr>
            <w:tcW w:w="720" w:type="dxa"/>
            <w:tcBorders>
              <w:left w:val="dashSmallGap" w:sz="4" w:space="0" w:color="auto"/>
            </w:tcBorders>
            <w:shd w:val="pct10" w:color="auto" w:fill="auto"/>
            <w:vAlign w:val="center"/>
          </w:tcPr>
          <w:p w:rsidR="003563AD" w:rsidRDefault="00251882">
            <w:pPr>
              <w:jc w:val="center"/>
              <w:rPr>
                <w:noProof/>
                <w:sz w:val="18"/>
                <w:szCs w:val="18"/>
              </w:rPr>
            </w:pPr>
            <w:r>
              <w:rPr>
                <w:noProof/>
                <w:sz w:val="18"/>
              </w:rPr>
              <w:t>Kulu</w:t>
            </w:r>
          </w:p>
        </w:tc>
        <w:tc>
          <w:tcPr>
            <w:tcW w:w="720" w:type="dxa"/>
            <w:tcBorders>
              <w:right w:val="dashSmallGap" w:sz="4" w:space="0" w:color="auto"/>
            </w:tcBorders>
            <w:shd w:val="pct10" w:color="auto" w:fill="auto"/>
            <w:vAlign w:val="center"/>
          </w:tcPr>
          <w:p w:rsidR="003563AD" w:rsidRDefault="00251882">
            <w:pPr>
              <w:jc w:val="center"/>
              <w:rPr>
                <w:noProof/>
                <w:sz w:val="18"/>
                <w:szCs w:val="18"/>
              </w:rPr>
            </w:pPr>
            <w:r>
              <w:rPr>
                <w:noProof/>
                <w:sz w:val="18"/>
              </w:rPr>
              <w:t>Väljundite arv kokku</w:t>
            </w:r>
          </w:p>
        </w:tc>
        <w:tc>
          <w:tcPr>
            <w:tcW w:w="900" w:type="dxa"/>
            <w:tcBorders>
              <w:left w:val="dashSmallGap" w:sz="4" w:space="0" w:color="auto"/>
            </w:tcBorders>
            <w:shd w:val="pct10" w:color="auto" w:fill="auto"/>
            <w:vAlign w:val="center"/>
          </w:tcPr>
          <w:p w:rsidR="003563AD" w:rsidRDefault="00251882">
            <w:pPr>
              <w:jc w:val="center"/>
              <w:rPr>
                <w:noProof/>
                <w:sz w:val="18"/>
                <w:szCs w:val="18"/>
              </w:rPr>
            </w:pPr>
            <w:r>
              <w:rPr>
                <w:noProof/>
                <w:sz w:val="18"/>
              </w:rPr>
              <w:t>Kulud kokku</w:t>
            </w:r>
          </w:p>
        </w:tc>
      </w:tr>
      <w:tr w:rsidR="003563AD">
        <w:trPr>
          <w:jc w:val="center"/>
        </w:trPr>
        <w:tc>
          <w:tcPr>
            <w:tcW w:w="2844" w:type="dxa"/>
            <w:gridSpan w:val="3"/>
            <w:vAlign w:val="center"/>
          </w:tcPr>
          <w:p w:rsidR="003563AD" w:rsidRDefault="00251882">
            <w:pPr>
              <w:spacing w:before="60" w:after="60"/>
              <w:ind w:right="-29"/>
              <w:jc w:val="center"/>
              <w:rPr>
                <w:noProof/>
                <w:sz w:val="18"/>
                <w:szCs w:val="18"/>
              </w:rPr>
            </w:pPr>
            <w:r>
              <w:rPr>
                <w:noProof/>
                <w:sz w:val="18"/>
              </w:rPr>
              <w:t>ERIEESMÄRK nr 1</w:t>
            </w:r>
            <w:r>
              <w:rPr>
                <w:rStyle w:val="FootnoteReference"/>
                <w:noProof/>
                <w:sz w:val="18"/>
              </w:rPr>
              <w:footnoteReference w:id="40"/>
            </w:r>
            <w:r>
              <w:rPr>
                <w:noProof/>
                <w:sz w:val="18"/>
              </w:rPr>
              <w:t>…</w:t>
            </w:r>
          </w:p>
        </w:tc>
        <w:tc>
          <w:tcPr>
            <w:tcW w:w="504" w:type="dxa"/>
            <w:tcBorders>
              <w:top w:val="nil"/>
              <w:left w:val="nil"/>
              <w:bottom w:val="nil"/>
              <w:right w:val="nil"/>
            </w:tcBorders>
          </w:tcPr>
          <w:p w:rsidR="003563AD" w:rsidRDefault="003563AD">
            <w:pPr>
              <w:spacing w:before="60" w:after="60"/>
              <w:ind w:right="-29"/>
              <w:jc w:val="center"/>
              <w:rPr>
                <w:noProof/>
                <w:sz w:val="18"/>
                <w:szCs w:val="18"/>
              </w:rPr>
            </w:pPr>
          </w:p>
        </w:tc>
        <w:tc>
          <w:tcPr>
            <w:tcW w:w="720" w:type="dxa"/>
            <w:tcBorders>
              <w:top w:val="nil"/>
              <w:left w:val="nil"/>
              <w:bottom w:val="nil"/>
              <w:right w:val="nil"/>
            </w:tcBorders>
          </w:tcPr>
          <w:p w:rsidR="003563AD" w:rsidRDefault="003563AD">
            <w:pPr>
              <w:spacing w:before="60" w:after="60"/>
              <w:ind w:right="-29"/>
              <w:jc w:val="center"/>
              <w:rPr>
                <w:noProof/>
                <w:sz w:val="18"/>
                <w:szCs w:val="18"/>
              </w:rPr>
            </w:pPr>
          </w:p>
        </w:tc>
        <w:tc>
          <w:tcPr>
            <w:tcW w:w="540" w:type="dxa"/>
            <w:tcBorders>
              <w:top w:val="nil"/>
              <w:left w:val="nil"/>
              <w:bottom w:val="nil"/>
              <w:right w:val="nil"/>
            </w:tcBorders>
          </w:tcPr>
          <w:p w:rsidR="003563AD" w:rsidRDefault="003563AD">
            <w:pPr>
              <w:spacing w:before="60" w:after="60"/>
              <w:ind w:right="-29"/>
              <w:jc w:val="center"/>
              <w:rPr>
                <w:noProof/>
                <w:sz w:val="18"/>
                <w:szCs w:val="18"/>
              </w:rPr>
            </w:pPr>
          </w:p>
        </w:tc>
        <w:tc>
          <w:tcPr>
            <w:tcW w:w="720" w:type="dxa"/>
            <w:tcBorders>
              <w:top w:val="nil"/>
              <w:left w:val="nil"/>
              <w:bottom w:val="nil"/>
              <w:right w:val="nil"/>
            </w:tcBorders>
          </w:tcPr>
          <w:p w:rsidR="003563AD" w:rsidRDefault="003563AD">
            <w:pPr>
              <w:spacing w:before="60" w:after="60"/>
              <w:ind w:right="-29"/>
              <w:jc w:val="center"/>
              <w:rPr>
                <w:noProof/>
                <w:sz w:val="18"/>
                <w:szCs w:val="18"/>
              </w:rPr>
            </w:pPr>
          </w:p>
        </w:tc>
        <w:tc>
          <w:tcPr>
            <w:tcW w:w="720" w:type="dxa"/>
            <w:tcBorders>
              <w:top w:val="nil"/>
              <w:left w:val="nil"/>
              <w:bottom w:val="nil"/>
              <w:right w:val="nil"/>
            </w:tcBorders>
          </w:tcPr>
          <w:p w:rsidR="003563AD" w:rsidRDefault="003563AD">
            <w:pPr>
              <w:spacing w:before="60" w:after="60"/>
              <w:ind w:right="-29"/>
              <w:jc w:val="center"/>
              <w:rPr>
                <w:noProof/>
                <w:sz w:val="18"/>
                <w:szCs w:val="18"/>
              </w:rPr>
            </w:pPr>
          </w:p>
        </w:tc>
        <w:tc>
          <w:tcPr>
            <w:tcW w:w="720" w:type="dxa"/>
            <w:tcBorders>
              <w:top w:val="nil"/>
              <w:left w:val="nil"/>
              <w:bottom w:val="nil"/>
              <w:right w:val="nil"/>
            </w:tcBorders>
          </w:tcPr>
          <w:p w:rsidR="003563AD" w:rsidRDefault="003563AD">
            <w:pPr>
              <w:spacing w:before="60" w:after="60"/>
              <w:ind w:right="-29"/>
              <w:jc w:val="center"/>
              <w:rPr>
                <w:noProof/>
                <w:sz w:val="18"/>
                <w:szCs w:val="18"/>
              </w:rPr>
            </w:pPr>
          </w:p>
        </w:tc>
        <w:tc>
          <w:tcPr>
            <w:tcW w:w="900" w:type="dxa"/>
            <w:tcBorders>
              <w:top w:val="nil"/>
              <w:left w:val="nil"/>
              <w:bottom w:val="nil"/>
              <w:right w:val="nil"/>
            </w:tcBorders>
          </w:tcPr>
          <w:p w:rsidR="003563AD" w:rsidRDefault="003563AD">
            <w:pPr>
              <w:spacing w:before="60" w:after="60"/>
              <w:ind w:right="-29"/>
              <w:jc w:val="center"/>
              <w:rPr>
                <w:noProof/>
                <w:sz w:val="18"/>
                <w:szCs w:val="18"/>
              </w:rPr>
            </w:pPr>
          </w:p>
        </w:tc>
        <w:tc>
          <w:tcPr>
            <w:tcW w:w="720" w:type="dxa"/>
            <w:gridSpan w:val="2"/>
            <w:tcBorders>
              <w:top w:val="nil"/>
              <w:left w:val="nil"/>
              <w:bottom w:val="nil"/>
              <w:right w:val="nil"/>
            </w:tcBorders>
          </w:tcPr>
          <w:p w:rsidR="003563AD" w:rsidRDefault="003563AD">
            <w:pPr>
              <w:spacing w:before="60" w:after="60"/>
              <w:ind w:right="-29"/>
              <w:jc w:val="center"/>
              <w:rPr>
                <w:noProof/>
                <w:sz w:val="18"/>
                <w:szCs w:val="18"/>
              </w:rPr>
            </w:pPr>
          </w:p>
        </w:tc>
        <w:tc>
          <w:tcPr>
            <w:tcW w:w="540" w:type="dxa"/>
            <w:tcBorders>
              <w:top w:val="nil"/>
              <w:left w:val="nil"/>
              <w:bottom w:val="nil"/>
              <w:right w:val="nil"/>
            </w:tcBorders>
          </w:tcPr>
          <w:p w:rsidR="003563AD" w:rsidRDefault="003563AD">
            <w:pPr>
              <w:spacing w:before="60" w:after="60"/>
              <w:ind w:right="-29"/>
              <w:jc w:val="center"/>
              <w:rPr>
                <w:noProof/>
                <w:sz w:val="18"/>
                <w:szCs w:val="18"/>
              </w:rPr>
            </w:pPr>
          </w:p>
        </w:tc>
        <w:tc>
          <w:tcPr>
            <w:tcW w:w="648" w:type="dxa"/>
            <w:tcBorders>
              <w:top w:val="nil"/>
              <w:left w:val="nil"/>
              <w:bottom w:val="nil"/>
              <w:right w:val="nil"/>
            </w:tcBorders>
          </w:tcPr>
          <w:p w:rsidR="003563AD" w:rsidRDefault="003563AD">
            <w:pPr>
              <w:spacing w:before="60" w:after="60"/>
              <w:ind w:right="-29"/>
              <w:jc w:val="center"/>
              <w:rPr>
                <w:noProof/>
                <w:sz w:val="18"/>
                <w:szCs w:val="18"/>
              </w:rPr>
            </w:pPr>
          </w:p>
        </w:tc>
        <w:tc>
          <w:tcPr>
            <w:tcW w:w="432" w:type="dxa"/>
            <w:tcBorders>
              <w:top w:val="nil"/>
              <w:left w:val="nil"/>
              <w:bottom w:val="nil"/>
              <w:right w:val="nil"/>
            </w:tcBorders>
          </w:tcPr>
          <w:p w:rsidR="003563AD" w:rsidRDefault="003563AD">
            <w:pPr>
              <w:spacing w:before="60" w:after="60"/>
              <w:ind w:right="-29"/>
              <w:jc w:val="center"/>
              <w:rPr>
                <w:noProof/>
                <w:sz w:val="18"/>
                <w:szCs w:val="18"/>
              </w:rPr>
            </w:pPr>
          </w:p>
        </w:tc>
        <w:tc>
          <w:tcPr>
            <w:tcW w:w="720" w:type="dxa"/>
            <w:tcBorders>
              <w:top w:val="nil"/>
              <w:left w:val="nil"/>
              <w:bottom w:val="nil"/>
              <w:right w:val="nil"/>
            </w:tcBorders>
          </w:tcPr>
          <w:p w:rsidR="003563AD" w:rsidRDefault="003563AD">
            <w:pPr>
              <w:spacing w:before="60" w:after="60"/>
              <w:ind w:right="-29"/>
              <w:jc w:val="center"/>
              <w:rPr>
                <w:noProof/>
                <w:sz w:val="18"/>
                <w:szCs w:val="18"/>
              </w:rPr>
            </w:pPr>
          </w:p>
        </w:tc>
        <w:tc>
          <w:tcPr>
            <w:tcW w:w="540" w:type="dxa"/>
            <w:tcBorders>
              <w:top w:val="nil"/>
              <w:left w:val="nil"/>
              <w:bottom w:val="nil"/>
              <w:right w:val="nil"/>
            </w:tcBorders>
          </w:tcPr>
          <w:p w:rsidR="003563AD" w:rsidRDefault="003563AD">
            <w:pPr>
              <w:spacing w:before="60" w:after="60"/>
              <w:ind w:right="-29"/>
              <w:jc w:val="center"/>
              <w:rPr>
                <w:noProof/>
                <w:sz w:val="18"/>
                <w:szCs w:val="18"/>
              </w:rPr>
            </w:pPr>
          </w:p>
        </w:tc>
        <w:tc>
          <w:tcPr>
            <w:tcW w:w="720" w:type="dxa"/>
            <w:tcBorders>
              <w:top w:val="nil"/>
              <w:left w:val="nil"/>
              <w:bottom w:val="nil"/>
              <w:right w:val="nil"/>
            </w:tcBorders>
          </w:tcPr>
          <w:p w:rsidR="003563AD" w:rsidRDefault="003563AD">
            <w:pPr>
              <w:spacing w:before="60" w:after="60"/>
              <w:ind w:right="-29"/>
              <w:jc w:val="center"/>
              <w:rPr>
                <w:noProof/>
                <w:sz w:val="18"/>
                <w:szCs w:val="18"/>
              </w:rPr>
            </w:pPr>
          </w:p>
        </w:tc>
        <w:tc>
          <w:tcPr>
            <w:tcW w:w="720" w:type="dxa"/>
            <w:tcBorders>
              <w:top w:val="nil"/>
              <w:left w:val="nil"/>
              <w:bottom w:val="nil"/>
              <w:right w:val="nil"/>
            </w:tcBorders>
          </w:tcPr>
          <w:p w:rsidR="003563AD" w:rsidRDefault="003563AD">
            <w:pPr>
              <w:spacing w:before="60" w:after="60"/>
              <w:ind w:right="-29"/>
              <w:jc w:val="center"/>
              <w:rPr>
                <w:noProof/>
                <w:sz w:val="18"/>
                <w:szCs w:val="18"/>
              </w:rPr>
            </w:pPr>
          </w:p>
        </w:tc>
        <w:tc>
          <w:tcPr>
            <w:tcW w:w="900" w:type="dxa"/>
            <w:tcBorders>
              <w:top w:val="nil"/>
              <w:left w:val="nil"/>
              <w:bottom w:val="nil"/>
              <w:right w:val="nil"/>
            </w:tcBorders>
          </w:tcPr>
          <w:p w:rsidR="003563AD" w:rsidRDefault="003563AD">
            <w:pPr>
              <w:spacing w:before="60" w:after="60"/>
              <w:ind w:right="-29"/>
              <w:jc w:val="center"/>
              <w:rPr>
                <w:noProof/>
                <w:sz w:val="18"/>
                <w:szCs w:val="18"/>
              </w:rPr>
            </w:pPr>
          </w:p>
        </w:tc>
      </w:tr>
      <w:tr w:rsidR="003563AD">
        <w:trPr>
          <w:trHeight w:hRule="exact" w:val="369"/>
          <w:jc w:val="center"/>
        </w:trPr>
        <w:tc>
          <w:tcPr>
            <w:tcW w:w="1423" w:type="dxa"/>
          </w:tcPr>
          <w:p w:rsidR="003563AD" w:rsidRDefault="00251882">
            <w:pPr>
              <w:ind w:right="-29"/>
              <w:jc w:val="center"/>
              <w:rPr>
                <w:noProof/>
                <w:sz w:val="18"/>
                <w:szCs w:val="18"/>
              </w:rPr>
            </w:pPr>
            <w:r>
              <w:rPr>
                <w:noProof/>
                <w:sz w:val="18"/>
              </w:rPr>
              <w:t>- Väljund</w:t>
            </w:r>
          </w:p>
        </w:tc>
        <w:tc>
          <w:tcPr>
            <w:tcW w:w="720" w:type="dxa"/>
          </w:tcPr>
          <w:p w:rsidR="003563AD" w:rsidRDefault="003563AD">
            <w:pPr>
              <w:ind w:right="-29"/>
              <w:jc w:val="center"/>
              <w:rPr>
                <w:noProof/>
                <w:sz w:val="18"/>
                <w:szCs w:val="18"/>
              </w:rPr>
            </w:pPr>
          </w:p>
        </w:tc>
        <w:tc>
          <w:tcPr>
            <w:tcW w:w="701" w:type="dxa"/>
          </w:tcPr>
          <w:p w:rsidR="003563AD" w:rsidRDefault="003563AD">
            <w:pPr>
              <w:ind w:right="-29"/>
              <w:jc w:val="center"/>
              <w:rPr>
                <w:noProof/>
                <w:sz w:val="18"/>
                <w:szCs w:val="18"/>
              </w:rPr>
            </w:pPr>
          </w:p>
        </w:tc>
        <w:tc>
          <w:tcPr>
            <w:tcW w:w="504" w:type="dxa"/>
            <w:tcBorders>
              <w:right w:val="dashSmallGap" w:sz="4" w:space="0" w:color="auto"/>
            </w:tcBorders>
          </w:tcPr>
          <w:p w:rsidR="003563AD" w:rsidRDefault="003563AD">
            <w:pPr>
              <w:ind w:right="-29"/>
              <w:jc w:val="center"/>
              <w:rPr>
                <w:noProof/>
                <w:sz w:val="18"/>
                <w:szCs w:val="18"/>
              </w:rPr>
            </w:pPr>
          </w:p>
        </w:tc>
        <w:tc>
          <w:tcPr>
            <w:tcW w:w="720" w:type="dxa"/>
            <w:tcBorders>
              <w:left w:val="dashSmallGap" w:sz="4" w:space="0" w:color="auto"/>
            </w:tcBorders>
          </w:tcPr>
          <w:p w:rsidR="003563AD" w:rsidRDefault="003563AD">
            <w:pPr>
              <w:ind w:right="-29"/>
              <w:jc w:val="center"/>
              <w:rPr>
                <w:noProof/>
                <w:sz w:val="18"/>
                <w:szCs w:val="18"/>
              </w:rPr>
            </w:pPr>
          </w:p>
        </w:tc>
        <w:tc>
          <w:tcPr>
            <w:tcW w:w="540" w:type="dxa"/>
            <w:tcBorders>
              <w:right w:val="dashSmallGap" w:sz="4" w:space="0" w:color="auto"/>
            </w:tcBorders>
          </w:tcPr>
          <w:p w:rsidR="003563AD" w:rsidRDefault="003563AD">
            <w:pPr>
              <w:ind w:right="-29"/>
              <w:jc w:val="center"/>
              <w:rPr>
                <w:noProof/>
                <w:sz w:val="18"/>
                <w:szCs w:val="18"/>
              </w:rPr>
            </w:pPr>
          </w:p>
        </w:tc>
        <w:tc>
          <w:tcPr>
            <w:tcW w:w="720" w:type="dxa"/>
            <w:tcBorders>
              <w:left w:val="dashSmallGap" w:sz="4" w:space="0" w:color="auto"/>
            </w:tcBorders>
          </w:tcPr>
          <w:p w:rsidR="003563AD" w:rsidRDefault="003563AD">
            <w:pPr>
              <w:ind w:right="-29"/>
              <w:jc w:val="center"/>
              <w:rPr>
                <w:noProof/>
                <w:sz w:val="18"/>
                <w:szCs w:val="18"/>
              </w:rPr>
            </w:pPr>
          </w:p>
        </w:tc>
        <w:tc>
          <w:tcPr>
            <w:tcW w:w="720" w:type="dxa"/>
            <w:tcBorders>
              <w:right w:val="dashSmallGap" w:sz="4" w:space="0" w:color="auto"/>
            </w:tcBorders>
          </w:tcPr>
          <w:p w:rsidR="003563AD" w:rsidRDefault="003563AD">
            <w:pPr>
              <w:ind w:right="-29"/>
              <w:jc w:val="center"/>
              <w:rPr>
                <w:noProof/>
                <w:sz w:val="18"/>
                <w:szCs w:val="18"/>
              </w:rPr>
            </w:pPr>
          </w:p>
        </w:tc>
        <w:tc>
          <w:tcPr>
            <w:tcW w:w="720" w:type="dxa"/>
            <w:tcBorders>
              <w:left w:val="dashSmallGap" w:sz="4" w:space="0" w:color="auto"/>
            </w:tcBorders>
          </w:tcPr>
          <w:p w:rsidR="003563AD" w:rsidRDefault="003563AD">
            <w:pPr>
              <w:ind w:right="-29"/>
              <w:jc w:val="center"/>
              <w:rPr>
                <w:noProof/>
                <w:sz w:val="18"/>
                <w:szCs w:val="18"/>
              </w:rPr>
            </w:pPr>
          </w:p>
        </w:tc>
        <w:tc>
          <w:tcPr>
            <w:tcW w:w="900" w:type="dxa"/>
            <w:tcBorders>
              <w:right w:val="dashSmallGap" w:sz="4" w:space="0" w:color="auto"/>
            </w:tcBorders>
          </w:tcPr>
          <w:p w:rsidR="003563AD" w:rsidRDefault="003563AD">
            <w:pPr>
              <w:ind w:right="-29"/>
              <w:jc w:val="center"/>
              <w:rPr>
                <w:noProof/>
                <w:sz w:val="18"/>
                <w:szCs w:val="18"/>
              </w:rPr>
            </w:pPr>
          </w:p>
        </w:tc>
        <w:tc>
          <w:tcPr>
            <w:tcW w:w="720" w:type="dxa"/>
            <w:gridSpan w:val="2"/>
            <w:tcBorders>
              <w:left w:val="dashSmallGap" w:sz="4" w:space="0" w:color="auto"/>
            </w:tcBorders>
          </w:tcPr>
          <w:p w:rsidR="003563AD" w:rsidRDefault="003563AD">
            <w:pPr>
              <w:ind w:right="-29"/>
              <w:jc w:val="center"/>
              <w:rPr>
                <w:noProof/>
                <w:sz w:val="18"/>
                <w:szCs w:val="18"/>
              </w:rPr>
            </w:pPr>
          </w:p>
        </w:tc>
        <w:tc>
          <w:tcPr>
            <w:tcW w:w="540" w:type="dxa"/>
            <w:tcBorders>
              <w:right w:val="dashSmallGap" w:sz="4" w:space="0" w:color="auto"/>
            </w:tcBorders>
          </w:tcPr>
          <w:p w:rsidR="003563AD" w:rsidRDefault="003563AD">
            <w:pPr>
              <w:ind w:right="-29"/>
              <w:jc w:val="center"/>
              <w:rPr>
                <w:noProof/>
                <w:sz w:val="18"/>
                <w:szCs w:val="18"/>
              </w:rPr>
            </w:pPr>
          </w:p>
        </w:tc>
        <w:tc>
          <w:tcPr>
            <w:tcW w:w="648" w:type="dxa"/>
            <w:tcBorders>
              <w:left w:val="dashSmallGap" w:sz="4" w:space="0" w:color="auto"/>
            </w:tcBorders>
          </w:tcPr>
          <w:p w:rsidR="003563AD" w:rsidRDefault="003563AD">
            <w:pPr>
              <w:ind w:right="-29"/>
              <w:jc w:val="center"/>
              <w:rPr>
                <w:noProof/>
                <w:sz w:val="18"/>
                <w:szCs w:val="18"/>
              </w:rPr>
            </w:pPr>
          </w:p>
        </w:tc>
        <w:tc>
          <w:tcPr>
            <w:tcW w:w="432" w:type="dxa"/>
            <w:tcBorders>
              <w:right w:val="dashSmallGap" w:sz="4" w:space="0" w:color="auto"/>
            </w:tcBorders>
          </w:tcPr>
          <w:p w:rsidR="003563AD" w:rsidRDefault="003563AD">
            <w:pPr>
              <w:ind w:right="-29"/>
              <w:jc w:val="center"/>
              <w:rPr>
                <w:noProof/>
                <w:sz w:val="18"/>
                <w:szCs w:val="18"/>
              </w:rPr>
            </w:pPr>
          </w:p>
        </w:tc>
        <w:tc>
          <w:tcPr>
            <w:tcW w:w="720" w:type="dxa"/>
            <w:tcBorders>
              <w:left w:val="dashSmallGap" w:sz="4" w:space="0" w:color="auto"/>
            </w:tcBorders>
          </w:tcPr>
          <w:p w:rsidR="003563AD" w:rsidRDefault="003563AD">
            <w:pPr>
              <w:ind w:right="-29"/>
              <w:jc w:val="center"/>
              <w:rPr>
                <w:noProof/>
                <w:sz w:val="18"/>
                <w:szCs w:val="18"/>
              </w:rPr>
            </w:pPr>
          </w:p>
        </w:tc>
        <w:tc>
          <w:tcPr>
            <w:tcW w:w="540" w:type="dxa"/>
            <w:tcBorders>
              <w:right w:val="dashSmallGap" w:sz="4" w:space="0" w:color="auto"/>
            </w:tcBorders>
          </w:tcPr>
          <w:p w:rsidR="003563AD" w:rsidRDefault="003563AD">
            <w:pPr>
              <w:ind w:right="-29"/>
              <w:jc w:val="center"/>
              <w:rPr>
                <w:noProof/>
                <w:sz w:val="18"/>
                <w:szCs w:val="18"/>
              </w:rPr>
            </w:pPr>
          </w:p>
        </w:tc>
        <w:tc>
          <w:tcPr>
            <w:tcW w:w="720" w:type="dxa"/>
            <w:tcBorders>
              <w:left w:val="dashSmallGap" w:sz="4" w:space="0" w:color="auto"/>
            </w:tcBorders>
          </w:tcPr>
          <w:p w:rsidR="003563AD" w:rsidRDefault="003563AD">
            <w:pPr>
              <w:ind w:right="-29"/>
              <w:jc w:val="center"/>
              <w:rPr>
                <w:noProof/>
                <w:sz w:val="18"/>
                <w:szCs w:val="18"/>
              </w:rPr>
            </w:pPr>
          </w:p>
        </w:tc>
        <w:tc>
          <w:tcPr>
            <w:tcW w:w="720" w:type="dxa"/>
          </w:tcPr>
          <w:p w:rsidR="003563AD" w:rsidRDefault="003563AD">
            <w:pPr>
              <w:ind w:right="-29"/>
              <w:jc w:val="center"/>
              <w:rPr>
                <w:noProof/>
                <w:sz w:val="18"/>
                <w:szCs w:val="18"/>
              </w:rPr>
            </w:pPr>
          </w:p>
        </w:tc>
        <w:tc>
          <w:tcPr>
            <w:tcW w:w="900" w:type="dxa"/>
          </w:tcPr>
          <w:p w:rsidR="003563AD" w:rsidRDefault="003563AD">
            <w:pPr>
              <w:ind w:right="-29"/>
              <w:jc w:val="center"/>
              <w:rPr>
                <w:noProof/>
                <w:sz w:val="18"/>
                <w:szCs w:val="18"/>
              </w:rPr>
            </w:pPr>
          </w:p>
        </w:tc>
      </w:tr>
      <w:tr w:rsidR="003563AD">
        <w:trPr>
          <w:trHeight w:hRule="exact" w:val="369"/>
          <w:jc w:val="center"/>
        </w:trPr>
        <w:tc>
          <w:tcPr>
            <w:tcW w:w="1423" w:type="dxa"/>
          </w:tcPr>
          <w:p w:rsidR="003563AD" w:rsidRDefault="00251882">
            <w:pPr>
              <w:ind w:right="-29"/>
              <w:jc w:val="center"/>
              <w:rPr>
                <w:noProof/>
                <w:sz w:val="18"/>
                <w:szCs w:val="18"/>
              </w:rPr>
            </w:pPr>
            <w:r>
              <w:rPr>
                <w:noProof/>
                <w:sz w:val="18"/>
              </w:rPr>
              <w:t>- Väljund</w:t>
            </w:r>
          </w:p>
        </w:tc>
        <w:tc>
          <w:tcPr>
            <w:tcW w:w="720" w:type="dxa"/>
          </w:tcPr>
          <w:p w:rsidR="003563AD" w:rsidRDefault="003563AD">
            <w:pPr>
              <w:ind w:right="-29"/>
              <w:jc w:val="center"/>
              <w:rPr>
                <w:noProof/>
                <w:sz w:val="18"/>
                <w:szCs w:val="18"/>
              </w:rPr>
            </w:pPr>
          </w:p>
        </w:tc>
        <w:tc>
          <w:tcPr>
            <w:tcW w:w="701" w:type="dxa"/>
          </w:tcPr>
          <w:p w:rsidR="003563AD" w:rsidRDefault="003563AD">
            <w:pPr>
              <w:ind w:right="-29"/>
              <w:jc w:val="center"/>
              <w:rPr>
                <w:noProof/>
                <w:sz w:val="18"/>
                <w:szCs w:val="18"/>
              </w:rPr>
            </w:pPr>
          </w:p>
        </w:tc>
        <w:tc>
          <w:tcPr>
            <w:tcW w:w="504" w:type="dxa"/>
            <w:tcBorders>
              <w:right w:val="dashSmallGap" w:sz="4" w:space="0" w:color="auto"/>
            </w:tcBorders>
          </w:tcPr>
          <w:p w:rsidR="003563AD" w:rsidRDefault="003563AD">
            <w:pPr>
              <w:ind w:right="-29"/>
              <w:jc w:val="center"/>
              <w:rPr>
                <w:noProof/>
                <w:sz w:val="18"/>
                <w:szCs w:val="18"/>
              </w:rPr>
            </w:pPr>
          </w:p>
        </w:tc>
        <w:tc>
          <w:tcPr>
            <w:tcW w:w="720" w:type="dxa"/>
            <w:tcBorders>
              <w:left w:val="dashSmallGap" w:sz="4" w:space="0" w:color="auto"/>
            </w:tcBorders>
          </w:tcPr>
          <w:p w:rsidR="003563AD" w:rsidRDefault="003563AD">
            <w:pPr>
              <w:ind w:right="-29"/>
              <w:jc w:val="center"/>
              <w:rPr>
                <w:noProof/>
                <w:sz w:val="18"/>
                <w:szCs w:val="18"/>
              </w:rPr>
            </w:pPr>
          </w:p>
        </w:tc>
        <w:tc>
          <w:tcPr>
            <w:tcW w:w="540" w:type="dxa"/>
            <w:tcBorders>
              <w:right w:val="dashSmallGap" w:sz="4" w:space="0" w:color="auto"/>
            </w:tcBorders>
          </w:tcPr>
          <w:p w:rsidR="003563AD" w:rsidRDefault="003563AD">
            <w:pPr>
              <w:ind w:right="-29"/>
              <w:jc w:val="center"/>
              <w:rPr>
                <w:noProof/>
                <w:sz w:val="18"/>
                <w:szCs w:val="18"/>
              </w:rPr>
            </w:pPr>
          </w:p>
        </w:tc>
        <w:tc>
          <w:tcPr>
            <w:tcW w:w="720" w:type="dxa"/>
            <w:tcBorders>
              <w:left w:val="dashSmallGap" w:sz="4" w:space="0" w:color="auto"/>
            </w:tcBorders>
          </w:tcPr>
          <w:p w:rsidR="003563AD" w:rsidRDefault="003563AD">
            <w:pPr>
              <w:ind w:right="-29"/>
              <w:jc w:val="center"/>
              <w:rPr>
                <w:noProof/>
                <w:sz w:val="18"/>
                <w:szCs w:val="18"/>
              </w:rPr>
            </w:pPr>
          </w:p>
        </w:tc>
        <w:tc>
          <w:tcPr>
            <w:tcW w:w="720" w:type="dxa"/>
            <w:tcBorders>
              <w:right w:val="dashSmallGap" w:sz="4" w:space="0" w:color="auto"/>
            </w:tcBorders>
          </w:tcPr>
          <w:p w:rsidR="003563AD" w:rsidRDefault="003563AD">
            <w:pPr>
              <w:ind w:right="-29"/>
              <w:jc w:val="center"/>
              <w:rPr>
                <w:noProof/>
                <w:sz w:val="18"/>
                <w:szCs w:val="18"/>
              </w:rPr>
            </w:pPr>
          </w:p>
        </w:tc>
        <w:tc>
          <w:tcPr>
            <w:tcW w:w="720" w:type="dxa"/>
            <w:tcBorders>
              <w:left w:val="dashSmallGap" w:sz="4" w:space="0" w:color="auto"/>
            </w:tcBorders>
          </w:tcPr>
          <w:p w:rsidR="003563AD" w:rsidRDefault="003563AD">
            <w:pPr>
              <w:ind w:right="-29"/>
              <w:jc w:val="center"/>
              <w:rPr>
                <w:noProof/>
                <w:sz w:val="18"/>
                <w:szCs w:val="18"/>
              </w:rPr>
            </w:pPr>
          </w:p>
        </w:tc>
        <w:tc>
          <w:tcPr>
            <w:tcW w:w="900" w:type="dxa"/>
            <w:tcBorders>
              <w:right w:val="dashSmallGap" w:sz="4" w:space="0" w:color="auto"/>
            </w:tcBorders>
          </w:tcPr>
          <w:p w:rsidR="003563AD" w:rsidRDefault="003563AD">
            <w:pPr>
              <w:ind w:right="-29"/>
              <w:jc w:val="center"/>
              <w:rPr>
                <w:noProof/>
                <w:sz w:val="18"/>
                <w:szCs w:val="18"/>
              </w:rPr>
            </w:pPr>
          </w:p>
        </w:tc>
        <w:tc>
          <w:tcPr>
            <w:tcW w:w="720" w:type="dxa"/>
            <w:gridSpan w:val="2"/>
            <w:tcBorders>
              <w:left w:val="dashSmallGap" w:sz="4" w:space="0" w:color="auto"/>
            </w:tcBorders>
          </w:tcPr>
          <w:p w:rsidR="003563AD" w:rsidRDefault="003563AD">
            <w:pPr>
              <w:ind w:right="-29"/>
              <w:jc w:val="center"/>
              <w:rPr>
                <w:noProof/>
                <w:sz w:val="18"/>
                <w:szCs w:val="18"/>
              </w:rPr>
            </w:pPr>
          </w:p>
        </w:tc>
        <w:tc>
          <w:tcPr>
            <w:tcW w:w="540" w:type="dxa"/>
            <w:tcBorders>
              <w:right w:val="dashSmallGap" w:sz="4" w:space="0" w:color="auto"/>
            </w:tcBorders>
          </w:tcPr>
          <w:p w:rsidR="003563AD" w:rsidRDefault="003563AD">
            <w:pPr>
              <w:ind w:right="-29"/>
              <w:jc w:val="center"/>
              <w:rPr>
                <w:noProof/>
                <w:sz w:val="18"/>
                <w:szCs w:val="18"/>
              </w:rPr>
            </w:pPr>
          </w:p>
        </w:tc>
        <w:tc>
          <w:tcPr>
            <w:tcW w:w="648" w:type="dxa"/>
            <w:tcBorders>
              <w:left w:val="dashSmallGap" w:sz="4" w:space="0" w:color="auto"/>
            </w:tcBorders>
          </w:tcPr>
          <w:p w:rsidR="003563AD" w:rsidRDefault="003563AD">
            <w:pPr>
              <w:ind w:right="-29"/>
              <w:jc w:val="center"/>
              <w:rPr>
                <w:noProof/>
                <w:sz w:val="18"/>
                <w:szCs w:val="18"/>
              </w:rPr>
            </w:pPr>
          </w:p>
        </w:tc>
        <w:tc>
          <w:tcPr>
            <w:tcW w:w="432" w:type="dxa"/>
            <w:tcBorders>
              <w:right w:val="dashSmallGap" w:sz="4" w:space="0" w:color="auto"/>
            </w:tcBorders>
          </w:tcPr>
          <w:p w:rsidR="003563AD" w:rsidRDefault="003563AD">
            <w:pPr>
              <w:ind w:right="-29"/>
              <w:jc w:val="center"/>
              <w:rPr>
                <w:noProof/>
                <w:sz w:val="18"/>
                <w:szCs w:val="18"/>
              </w:rPr>
            </w:pPr>
          </w:p>
        </w:tc>
        <w:tc>
          <w:tcPr>
            <w:tcW w:w="720" w:type="dxa"/>
            <w:tcBorders>
              <w:left w:val="dashSmallGap" w:sz="4" w:space="0" w:color="auto"/>
            </w:tcBorders>
          </w:tcPr>
          <w:p w:rsidR="003563AD" w:rsidRDefault="003563AD">
            <w:pPr>
              <w:ind w:right="-29"/>
              <w:jc w:val="center"/>
              <w:rPr>
                <w:noProof/>
                <w:sz w:val="18"/>
                <w:szCs w:val="18"/>
              </w:rPr>
            </w:pPr>
          </w:p>
        </w:tc>
        <w:tc>
          <w:tcPr>
            <w:tcW w:w="540" w:type="dxa"/>
            <w:tcBorders>
              <w:right w:val="dashSmallGap" w:sz="4" w:space="0" w:color="auto"/>
            </w:tcBorders>
          </w:tcPr>
          <w:p w:rsidR="003563AD" w:rsidRDefault="003563AD">
            <w:pPr>
              <w:ind w:right="-29"/>
              <w:jc w:val="center"/>
              <w:rPr>
                <w:noProof/>
                <w:sz w:val="18"/>
                <w:szCs w:val="18"/>
              </w:rPr>
            </w:pPr>
          </w:p>
        </w:tc>
        <w:tc>
          <w:tcPr>
            <w:tcW w:w="720" w:type="dxa"/>
            <w:tcBorders>
              <w:left w:val="dashSmallGap" w:sz="4" w:space="0" w:color="auto"/>
            </w:tcBorders>
          </w:tcPr>
          <w:p w:rsidR="003563AD" w:rsidRDefault="003563AD">
            <w:pPr>
              <w:ind w:right="-29"/>
              <w:jc w:val="center"/>
              <w:rPr>
                <w:noProof/>
                <w:sz w:val="18"/>
                <w:szCs w:val="18"/>
              </w:rPr>
            </w:pPr>
          </w:p>
        </w:tc>
        <w:tc>
          <w:tcPr>
            <w:tcW w:w="720" w:type="dxa"/>
          </w:tcPr>
          <w:p w:rsidR="003563AD" w:rsidRDefault="003563AD">
            <w:pPr>
              <w:ind w:right="-29"/>
              <w:jc w:val="center"/>
              <w:rPr>
                <w:noProof/>
                <w:sz w:val="18"/>
                <w:szCs w:val="18"/>
              </w:rPr>
            </w:pPr>
          </w:p>
        </w:tc>
        <w:tc>
          <w:tcPr>
            <w:tcW w:w="900" w:type="dxa"/>
          </w:tcPr>
          <w:p w:rsidR="003563AD" w:rsidRDefault="003563AD">
            <w:pPr>
              <w:ind w:right="-29"/>
              <w:jc w:val="center"/>
              <w:rPr>
                <w:noProof/>
                <w:sz w:val="18"/>
                <w:szCs w:val="18"/>
              </w:rPr>
            </w:pPr>
          </w:p>
        </w:tc>
      </w:tr>
      <w:tr w:rsidR="003563AD">
        <w:trPr>
          <w:trHeight w:hRule="exact" w:val="369"/>
          <w:jc w:val="center"/>
        </w:trPr>
        <w:tc>
          <w:tcPr>
            <w:tcW w:w="1423" w:type="dxa"/>
          </w:tcPr>
          <w:p w:rsidR="003563AD" w:rsidRDefault="00251882">
            <w:pPr>
              <w:ind w:right="-29"/>
              <w:jc w:val="center"/>
              <w:rPr>
                <w:noProof/>
                <w:sz w:val="18"/>
                <w:szCs w:val="18"/>
              </w:rPr>
            </w:pPr>
            <w:r>
              <w:rPr>
                <w:noProof/>
                <w:sz w:val="18"/>
              </w:rPr>
              <w:t>- Väljund</w:t>
            </w:r>
          </w:p>
        </w:tc>
        <w:tc>
          <w:tcPr>
            <w:tcW w:w="720" w:type="dxa"/>
          </w:tcPr>
          <w:p w:rsidR="003563AD" w:rsidRDefault="003563AD">
            <w:pPr>
              <w:ind w:right="-29"/>
              <w:jc w:val="center"/>
              <w:rPr>
                <w:noProof/>
                <w:sz w:val="18"/>
                <w:szCs w:val="18"/>
              </w:rPr>
            </w:pPr>
          </w:p>
        </w:tc>
        <w:tc>
          <w:tcPr>
            <w:tcW w:w="701" w:type="dxa"/>
          </w:tcPr>
          <w:p w:rsidR="003563AD" w:rsidRDefault="003563AD">
            <w:pPr>
              <w:ind w:right="-29"/>
              <w:jc w:val="center"/>
              <w:rPr>
                <w:noProof/>
                <w:sz w:val="18"/>
                <w:szCs w:val="18"/>
              </w:rPr>
            </w:pPr>
          </w:p>
        </w:tc>
        <w:tc>
          <w:tcPr>
            <w:tcW w:w="504" w:type="dxa"/>
          </w:tcPr>
          <w:p w:rsidR="003563AD" w:rsidRDefault="003563AD">
            <w:pPr>
              <w:ind w:right="-29"/>
              <w:jc w:val="center"/>
              <w:rPr>
                <w:noProof/>
                <w:sz w:val="18"/>
                <w:szCs w:val="18"/>
              </w:rPr>
            </w:pPr>
          </w:p>
        </w:tc>
        <w:tc>
          <w:tcPr>
            <w:tcW w:w="720" w:type="dxa"/>
          </w:tcPr>
          <w:p w:rsidR="003563AD" w:rsidRDefault="003563AD">
            <w:pPr>
              <w:ind w:right="-29"/>
              <w:jc w:val="center"/>
              <w:rPr>
                <w:noProof/>
                <w:sz w:val="18"/>
                <w:szCs w:val="18"/>
              </w:rPr>
            </w:pPr>
          </w:p>
        </w:tc>
        <w:tc>
          <w:tcPr>
            <w:tcW w:w="540" w:type="dxa"/>
          </w:tcPr>
          <w:p w:rsidR="003563AD" w:rsidRDefault="003563AD">
            <w:pPr>
              <w:ind w:right="-29"/>
              <w:jc w:val="center"/>
              <w:rPr>
                <w:noProof/>
                <w:sz w:val="18"/>
                <w:szCs w:val="18"/>
              </w:rPr>
            </w:pPr>
          </w:p>
        </w:tc>
        <w:tc>
          <w:tcPr>
            <w:tcW w:w="720" w:type="dxa"/>
          </w:tcPr>
          <w:p w:rsidR="003563AD" w:rsidRDefault="003563AD">
            <w:pPr>
              <w:ind w:right="-29"/>
              <w:jc w:val="center"/>
              <w:rPr>
                <w:noProof/>
                <w:sz w:val="18"/>
                <w:szCs w:val="18"/>
              </w:rPr>
            </w:pPr>
          </w:p>
        </w:tc>
        <w:tc>
          <w:tcPr>
            <w:tcW w:w="720" w:type="dxa"/>
          </w:tcPr>
          <w:p w:rsidR="003563AD" w:rsidRDefault="003563AD">
            <w:pPr>
              <w:ind w:right="-29"/>
              <w:jc w:val="center"/>
              <w:rPr>
                <w:noProof/>
                <w:sz w:val="18"/>
                <w:szCs w:val="18"/>
              </w:rPr>
            </w:pPr>
          </w:p>
        </w:tc>
        <w:tc>
          <w:tcPr>
            <w:tcW w:w="720" w:type="dxa"/>
          </w:tcPr>
          <w:p w:rsidR="003563AD" w:rsidRDefault="003563AD">
            <w:pPr>
              <w:ind w:right="-29"/>
              <w:jc w:val="center"/>
              <w:rPr>
                <w:noProof/>
                <w:sz w:val="18"/>
                <w:szCs w:val="18"/>
              </w:rPr>
            </w:pPr>
          </w:p>
        </w:tc>
        <w:tc>
          <w:tcPr>
            <w:tcW w:w="900" w:type="dxa"/>
          </w:tcPr>
          <w:p w:rsidR="003563AD" w:rsidRDefault="003563AD">
            <w:pPr>
              <w:ind w:right="-29"/>
              <w:jc w:val="center"/>
              <w:rPr>
                <w:noProof/>
                <w:sz w:val="18"/>
                <w:szCs w:val="18"/>
              </w:rPr>
            </w:pPr>
          </w:p>
        </w:tc>
        <w:tc>
          <w:tcPr>
            <w:tcW w:w="720" w:type="dxa"/>
            <w:gridSpan w:val="2"/>
          </w:tcPr>
          <w:p w:rsidR="003563AD" w:rsidRDefault="003563AD">
            <w:pPr>
              <w:ind w:right="-29"/>
              <w:jc w:val="center"/>
              <w:rPr>
                <w:noProof/>
                <w:sz w:val="18"/>
                <w:szCs w:val="18"/>
              </w:rPr>
            </w:pPr>
          </w:p>
        </w:tc>
        <w:tc>
          <w:tcPr>
            <w:tcW w:w="540" w:type="dxa"/>
          </w:tcPr>
          <w:p w:rsidR="003563AD" w:rsidRDefault="003563AD">
            <w:pPr>
              <w:ind w:right="-29"/>
              <w:jc w:val="center"/>
              <w:rPr>
                <w:noProof/>
                <w:sz w:val="18"/>
                <w:szCs w:val="18"/>
              </w:rPr>
            </w:pPr>
          </w:p>
        </w:tc>
        <w:tc>
          <w:tcPr>
            <w:tcW w:w="648" w:type="dxa"/>
          </w:tcPr>
          <w:p w:rsidR="003563AD" w:rsidRDefault="003563AD">
            <w:pPr>
              <w:ind w:right="-29"/>
              <w:jc w:val="center"/>
              <w:rPr>
                <w:noProof/>
                <w:sz w:val="18"/>
                <w:szCs w:val="18"/>
              </w:rPr>
            </w:pPr>
          </w:p>
        </w:tc>
        <w:tc>
          <w:tcPr>
            <w:tcW w:w="432" w:type="dxa"/>
          </w:tcPr>
          <w:p w:rsidR="003563AD" w:rsidRDefault="003563AD">
            <w:pPr>
              <w:ind w:right="-29"/>
              <w:jc w:val="center"/>
              <w:rPr>
                <w:noProof/>
                <w:sz w:val="18"/>
                <w:szCs w:val="18"/>
              </w:rPr>
            </w:pPr>
          </w:p>
        </w:tc>
        <w:tc>
          <w:tcPr>
            <w:tcW w:w="720" w:type="dxa"/>
          </w:tcPr>
          <w:p w:rsidR="003563AD" w:rsidRDefault="003563AD">
            <w:pPr>
              <w:ind w:right="-29"/>
              <w:jc w:val="center"/>
              <w:rPr>
                <w:noProof/>
                <w:sz w:val="18"/>
                <w:szCs w:val="18"/>
              </w:rPr>
            </w:pPr>
          </w:p>
        </w:tc>
        <w:tc>
          <w:tcPr>
            <w:tcW w:w="540" w:type="dxa"/>
          </w:tcPr>
          <w:p w:rsidR="003563AD" w:rsidRDefault="003563AD">
            <w:pPr>
              <w:ind w:right="-29"/>
              <w:jc w:val="center"/>
              <w:rPr>
                <w:noProof/>
                <w:sz w:val="18"/>
                <w:szCs w:val="18"/>
              </w:rPr>
            </w:pPr>
          </w:p>
        </w:tc>
        <w:tc>
          <w:tcPr>
            <w:tcW w:w="720" w:type="dxa"/>
          </w:tcPr>
          <w:p w:rsidR="003563AD" w:rsidRDefault="003563AD">
            <w:pPr>
              <w:ind w:right="-29"/>
              <w:jc w:val="center"/>
              <w:rPr>
                <w:noProof/>
                <w:sz w:val="18"/>
                <w:szCs w:val="18"/>
              </w:rPr>
            </w:pPr>
          </w:p>
        </w:tc>
        <w:tc>
          <w:tcPr>
            <w:tcW w:w="720" w:type="dxa"/>
          </w:tcPr>
          <w:p w:rsidR="003563AD" w:rsidRDefault="003563AD">
            <w:pPr>
              <w:ind w:right="-29"/>
              <w:jc w:val="center"/>
              <w:rPr>
                <w:noProof/>
                <w:sz w:val="18"/>
                <w:szCs w:val="18"/>
              </w:rPr>
            </w:pPr>
          </w:p>
        </w:tc>
        <w:tc>
          <w:tcPr>
            <w:tcW w:w="900" w:type="dxa"/>
          </w:tcPr>
          <w:p w:rsidR="003563AD" w:rsidRDefault="003563AD">
            <w:pPr>
              <w:ind w:right="-29"/>
              <w:jc w:val="center"/>
              <w:rPr>
                <w:noProof/>
                <w:sz w:val="18"/>
                <w:szCs w:val="18"/>
              </w:rPr>
            </w:pPr>
          </w:p>
        </w:tc>
      </w:tr>
      <w:tr w:rsidR="003563AD">
        <w:trPr>
          <w:jc w:val="center"/>
        </w:trPr>
        <w:tc>
          <w:tcPr>
            <w:tcW w:w="2844" w:type="dxa"/>
            <w:gridSpan w:val="3"/>
            <w:tcBorders>
              <w:bottom w:val="single" w:sz="12" w:space="0" w:color="auto"/>
            </w:tcBorders>
            <w:vAlign w:val="center"/>
          </w:tcPr>
          <w:p w:rsidR="003563AD" w:rsidRDefault="00251882">
            <w:pPr>
              <w:ind w:right="-29"/>
              <w:jc w:val="center"/>
              <w:rPr>
                <w:noProof/>
                <w:sz w:val="18"/>
                <w:szCs w:val="18"/>
              </w:rPr>
            </w:pPr>
            <w:r>
              <w:rPr>
                <w:noProof/>
                <w:sz w:val="18"/>
              </w:rPr>
              <w:t>Erieesmärk nr 1 kokku</w:t>
            </w:r>
          </w:p>
        </w:tc>
        <w:tc>
          <w:tcPr>
            <w:tcW w:w="504" w:type="dxa"/>
            <w:tcBorders>
              <w:bottom w:val="single" w:sz="12" w:space="0" w:color="auto"/>
            </w:tcBorders>
          </w:tcPr>
          <w:p w:rsidR="003563AD" w:rsidRDefault="003563AD">
            <w:pPr>
              <w:ind w:right="-29"/>
              <w:jc w:val="center"/>
              <w:rPr>
                <w:noProof/>
                <w:sz w:val="18"/>
                <w:szCs w:val="18"/>
              </w:rPr>
            </w:pPr>
          </w:p>
        </w:tc>
        <w:tc>
          <w:tcPr>
            <w:tcW w:w="720" w:type="dxa"/>
            <w:tcBorders>
              <w:bottom w:val="single" w:sz="12" w:space="0" w:color="auto"/>
            </w:tcBorders>
          </w:tcPr>
          <w:p w:rsidR="003563AD" w:rsidRDefault="003563AD">
            <w:pPr>
              <w:ind w:right="-29"/>
              <w:jc w:val="center"/>
              <w:rPr>
                <w:noProof/>
                <w:sz w:val="18"/>
                <w:szCs w:val="18"/>
              </w:rPr>
            </w:pPr>
          </w:p>
        </w:tc>
        <w:tc>
          <w:tcPr>
            <w:tcW w:w="540" w:type="dxa"/>
            <w:tcBorders>
              <w:bottom w:val="single" w:sz="12" w:space="0" w:color="auto"/>
            </w:tcBorders>
          </w:tcPr>
          <w:p w:rsidR="003563AD" w:rsidRDefault="003563AD">
            <w:pPr>
              <w:ind w:right="-29"/>
              <w:jc w:val="center"/>
              <w:rPr>
                <w:noProof/>
                <w:sz w:val="18"/>
                <w:szCs w:val="18"/>
              </w:rPr>
            </w:pPr>
          </w:p>
        </w:tc>
        <w:tc>
          <w:tcPr>
            <w:tcW w:w="720" w:type="dxa"/>
            <w:tcBorders>
              <w:bottom w:val="single" w:sz="12" w:space="0" w:color="auto"/>
            </w:tcBorders>
          </w:tcPr>
          <w:p w:rsidR="003563AD" w:rsidRDefault="003563AD">
            <w:pPr>
              <w:ind w:right="-29"/>
              <w:jc w:val="center"/>
              <w:rPr>
                <w:noProof/>
                <w:sz w:val="18"/>
                <w:szCs w:val="18"/>
              </w:rPr>
            </w:pPr>
          </w:p>
        </w:tc>
        <w:tc>
          <w:tcPr>
            <w:tcW w:w="720" w:type="dxa"/>
            <w:tcBorders>
              <w:bottom w:val="single" w:sz="12" w:space="0" w:color="auto"/>
            </w:tcBorders>
          </w:tcPr>
          <w:p w:rsidR="003563AD" w:rsidRDefault="003563AD">
            <w:pPr>
              <w:ind w:right="-29"/>
              <w:jc w:val="center"/>
              <w:rPr>
                <w:noProof/>
                <w:sz w:val="18"/>
                <w:szCs w:val="18"/>
              </w:rPr>
            </w:pPr>
          </w:p>
        </w:tc>
        <w:tc>
          <w:tcPr>
            <w:tcW w:w="720" w:type="dxa"/>
            <w:tcBorders>
              <w:bottom w:val="single" w:sz="12" w:space="0" w:color="auto"/>
            </w:tcBorders>
          </w:tcPr>
          <w:p w:rsidR="003563AD" w:rsidRDefault="003563AD">
            <w:pPr>
              <w:ind w:right="-29"/>
              <w:jc w:val="center"/>
              <w:rPr>
                <w:noProof/>
                <w:sz w:val="18"/>
                <w:szCs w:val="18"/>
              </w:rPr>
            </w:pPr>
          </w:p>
        </w:tc>
        <w:tc>
          <w:tcPr>
            <w:tcW w:w="900" w:type="dxa"/>
            <w:tcBorders>
              <w:bottom w:val="single" w:sz="12" w:space="0" w:color="auto"/>
            </w:tcBorders>
          </w:tcPr>
          <w:p w:rsidR="003563AD" w:rsidRDefault="003563AD">
            <w:pPr>
              <w:ind w:right="-29"/>
              <w:jc w:val="center"/>
              <w:rPr>
                <w:noProof/>
                <w:sz w:val="18"/>
                <w:szCs w:val="18"/>
              </w:rPr>
            </w:pPr>
          </w:p>
        </w:tc>
        <w:tc>
          <w:tcPr>
            <w:tcW w:w="720" w:type="dxa"/>
            <w:gridSpan w:val="2"/>
            <w:tcBorders>
              <w:bottom w:val="single" w:sz="12" w:space="0" w:color="auto"/>
            </w:tcBorders>
          </w:tcPr>
          <w:p w:rsidR="003563AD" w:rsidRDefault="003563AD">
            <w:pPr>
              <w:ind w:right="-29"/>
              <w:jc w:val="center"/>
              <w:rPr>
                <w:noProof/>
                <w:sz w:val="18"/>
                <w:szCs w:val="18"/>
              </w:rPr>
            </w:pPr>
          </w:p>
        </w:tc>
        <w:tc>
          <w:tcPr>
            <w:tcW w:w="540" w:type="dxa"/>
            <w:tcBorders>
              <w:bottom w:val="single" w:sz="12" w:space="0" w:color="auto"/>
            </w:tcBorders>
          </w:tcPr>
          <w:p w:rsidR="003563AD" w:rsidRDefault="003563AD">
            <w:pPr>
              <w:ind w:right="-29"/>
              <w:jc w:val="center"/>
              <w:rPr>
                <w:noProof/>
                <w:sz w:val="18"/>
                <w:szCs w:val="18"/>
              </w:rPr>
            </w:pPr>
          </w:p>
        </w:tc>
        <w:tc>
          <w:tcPr>
            <w:tcW w:w="648" w:type="dxa"/>
            <w:tcBorders>
              <w:bottom w:val="single" w:sz="12" w:space="0" w:color="auto"/>
            </w:tcBorders>
          </w:tcPr>
          <w:p w:rsidR="003563AD" w:rsidRDefault="003563AD">
            <w:pPr>
              <w:ind w:right="-29"/>
              <w:jc w:val="center"/>
              <w:rPr>
                <w:noProof/>
                <w:sz w:val="18"/>
                <w:szCs w:val="18"/>
              </w:rPr>
            </w:pPr>
          </w:p>
        </w:tc>
        <w:tc>
          <w:tcPr>
            <w:tcW w:w="432" w:type="dxa"/>
            <w:tcBorders>
              <w:bottom w:val="single" w:sz="12" w:space="0" w:color="auto"/>
            </w:tcBorders>
          </w:tcPr>
          <w:p w:rsidR="003563AD" w:rsidRDefault="003563AD">
            <w:pPr>
              <w:ind w:right="-29"/>
              <w:jc w:val="center"/>
              <w:rPr>
                <w:noProof/>
                <w:sz w:val="18"/>
                <w:szCs w:val="18"/>
              </w:rPr>
            </w:pPr>
          </w:p>
        </w:tc>
        <w:tc>
          <w:tcPr>
            <w:tcW w:w="720" w:type="dxa"/>
            <w:tcBorders>
              <w:bottom w:val="single" w:sz="12" w:space="0" w:color="auto"/>
            </w:tcBorders>
          </w:tcPr>
          <w:p w:rsidR="003563AD" w:rsidRDefault="003563AD">
            <w:pPr>
              <w:ind w:right="-29"/>
              <w:jc w:val="center"/>
              <w:rPr>
                <w:noProof/>
                <w:sz w:val="18"/>
                <w:szCs w:val="18"/>
              </w:rPr>
            </w:pPr>
          </w:p>
        </w:tc>
        <w:tc>
          <w:tcPr>
            <w:tcW w:w="540" w:type="dxa"/>
            <w:tcBorders>
              <w:bottom w:val="single" w:sz="12" w:space="0" w:color="auto"/>
            </w:tcBorders>
          </w:tcPr>
          <w:p w:rsidR="003563AD" w:rsidRDefault="003563AD">
            <w:pPr>
              <w:ind w:right="-29"/>
              <w:jc w:val="center"/>
              <w:rPr>
                <w:noProof/>
                <w:sz w:val="18"/>
                <w:szCs w:val="18"/>
              </w:rPr>
            </w:pPr>
          </w:p>
        </w:tc>
        <w:tc>
          <w:tcPr>
            <w:tcW w:w="720" w:type="dxa"/>
            <w:tcBorders>
              <w:bottom w:val="single" w:sz="12" w:space="0" w:color="auto"/>
            </w:tcBorders>
          </w:tcPr>
          <w:p w:rsidR="003563AD" w:rsidRDefault="003563AD">
            <w:pPr>
              <w:ind w:right="-29"/>
              <w:jc w:val="center"/>
              <w:rPr>
                <w:noProof/>
                <w:sz w:val="18"/>
                <w:szCs w:val="18"/>
              </w:rPr>
            </w:pPr>
          </w:p>
        </w:tc>
        <w:tc>
          <w:tcPr>
            <w:tcW w:w="720" w:type="dxa"/>
            <w:tcBorders>
              <w:bottom w:val="single" w:sz="12" w:space="0" w:color="auto"/>
            </w:tcBorders>
          </w:tcPr>
          <w:p w:rsidR="003563AD" w:rsidRDefault="003563AD">
            <w:pPr>
              <w:ind w:right="-29"/>
              <w:jc w:val="center"/>
              <w:rPr>
                <w:noProof/>
                <w:sz w:val="18"/>
                <w:szCs w:val="18"/>
              </w:rPr>
            </w:pPr>
          </w:p>
        </w:tc>
        <w:tc>
          <w:tcPr>
            <w:tcW w:w="900" w:type="dxa"/>
            <w:tcBorders>
              <w:bottom w:val="single" w:sz="12" w:space="0" w:color="auto"/>
            </w:tcBorders>
          </w:tcPr>
          <w:p w:rsidR="003563AD" w:rsidRDefault="003563AD">
            <w:pPr>
              <w:ind w:right="-29"/>
              <w:jc w:val="center"/>
              <w:rPr>
                <w:noProof/>
                <w:sz w:val="18"/>
                <w:szCs w:val="18"/>
              </w:rPr>
            </w:pPr>
          </w:p>
        </w:tc>
      </w:tr>
      <w:tr w:rsidR="003563AD">
        <w:trPr>
          <w:jc w:val="center"/>
        </w:trPr>
        <w:tc>
          <w:tcPr>
            <w:tcW w:w="2844" w:type="dxa"/>
            <w:gridSpan w:val="3"/>
            <w:vAlign w:val="center"/>
          </w:tcPr>
          <w:p w:rsidR="003563AD" w:rsidRDefault="00251882">
            <w:pPr>
              <w:spacing w:before="60" w:after="60"/>
              <w:ind w:right="-29"/>
              <w:jc w:val="center"/>
              <w:rPr>
                <w:noProof/>
                <w:sz w:val="18"/>
                <w:szCs w:val="18"/>
              </w:rPr>
            </w:pPr>
            <w:r>
              <w:rPr>
                <w:noProof/>
                <w:sz w:val="18"/>
              </w:rPr>
              <w:t>ERIEESMÄRK nr 2 ...</w:t>
            </w:r>
          </w:p>
        </w:tc>
        <w:tc>
          <w:tcPr>
            <w:tcW w:w="504" w:type="dxa"/>
            <w:tcBorders>
              <w:top w:val="nil"/>
              <w:left w:val="nil"/>
              <w:bottom w:val="nil"/>
              <w:right w:val="nil"/>
            </w:tcBorders>
          </w:tcPr>
          <w:p w:rsidR="003563AD" w:rsidRDefault="003563AD">
            <w:pPr>
              <w:spacing w:before="60" w:after="60"/>
              <w:ind w:right="-29"/>
              <w:jc w:val="center"/>
              <w:rPr>
                <w:noProof/>
                <w:sz w:val="18"/>
                <w:szCs w:val="18"/>
              </w:rPr>
            </w:pPr>
          </w:p>
        </w:tc>
        <w:tc>
          <w:tcPr>
            <w:tcW w:w="720" w:type="dxa"/>
            <w:tcBorders>
              <w:top w:val="nil"/>
              <w:left w:val="nil"/>
              <w:bottom w:val="nil"/>
              <w:right w:val="nil"/>
            </w:tcBorders>
          </w:tcPr>
          <w:p w:rsidR="003563AD" w:rsidRDefault="003563AD">
            <w:pPr>
              <w:spacing w:before="60" w:after="60"/>
              <w:ind w:right="-29"/>
              <w:jc w:val="center"/>
              <w:rPr>
                <w:noProof/>
                <w:sz w:val="18"/>
                <w:szCs w:val="18"/>
              </w:rPr>
            </w:pPr>
          </w:p>
        </w:tc>
        <w:tc>
          <w:tcPr>
            <w:tcW w:w="540" w:type="dxa"/>
            <w:tcBorders>
              <w:top w:val="nil"/>
              <w:left w:val="nil"/>
              <w:bottom w:val="nil"/>
              <w:right w:val="nil"/>
            </w:tcBorders>
          </w:tcPr>
          <w:p w:rsidR="003563AD" w:rsidRDefault="003563AD">
            <w:pPr>
              <w:spacing w:before="60" w:after="60"/>
              <w:ind w:right="-29"/>
              <w:jc w:val="center"/>
              <w:rPr>
                <w:noProof/>
                <w:sz w:val="18"/>
                <w:szCs w:val="18"/>
              </w:rPr>
            </w:pPr>
          </w:p>
        </w:tc>
        <w:tc>
          <w:tcPr>
            <w:tcW w:w="720" w:type="dxa"/>
            <w:tcBorders>
              <w:top w:val="nil"/>
              <w:left w:val="nil"/>
              <w:bottom w:val="nil"/>
              <w:right w:val="nil"/>
            </w:tcBorders>
          </w:tcPr>
          <w:p w:rsidR="003563AD" w:rsidRDefault="003563AD">
            <w:pPr>
              <w:spacing w:before="60" w:after="60"/>
              <w:ind w:right="-29"/>
              <w:jc w:val="center"/>
              <w:rPr>
                <w:noProof/>
                <w:sz w:val="18"/>
                <w:szCs w:val="18"/>
              </w:rPr>
            </w:pPr>
          </w:p>
        </w:tc>
        <w:tc>
          <w:tcPr>
            <w:tcW w:w="720" w:type="dxa"/>
            <w:tcBorders>
              <w:top w:val="nil"/>
              <w:left w:val="nil"/>
              <w:bottom w:val="nil"/>
              <w:right w:val="nil"/>
            </w:tcBorders>
          </w:tcPr>
          <w:p w:rsidR="003563AD" w:rsidRDefault="003563AD">
            <w:pPr>
              <w:spacing w:before="60" w:after="60"/>
              <w:ind w:right="-29"/>
              <w:jc w:val="center"/>
              <w:rPr>
                <w:noProof/>
                <w:sz w:val="18"/>
                <w:szCs w:val="18"/>
              </w:rPr>
            </w:pPr>
          </w:p>
        </w:tc>
        <w:tc>
          <w:tcPr>
            <w:tcW w:w="720" w:type="dxa"/>
            <w:tcBorders>
              <w:top w:val="nil"/>
              <w:left w:val="nil"/>
              <w:bottom w:val="nil"/>
              <w:right w:val="nil"/>
            </w:tcBorders>
          </w:tcPr>
          <w:p w:rsidR="003563AD" w:rsidRDefault="003563AD">
            <w:pPr>
              <w:spacing w:before="60" w:after="60"/>
              <w:ind w:right="-29"/>
              <w:jc w:val="center"/>
              <w:rPr>
                <w:noProof/>
                <w:sz w:val="18"/>
                <w:szCs w:val="18"/>
              </w:rPr>
            </w:pPr>
          </w:p>
        </w:tc>
        <w:tc>
          <w:tcPr>
            <w:tcW w:w="900" w:type="dxa"/>
            <w:tcBorders>
              <w:top w:val="nil"/>
              <w:left w:val="nil"/>
              <w:bottom w:val="nil"/>
              <w:right w:val="nil"/>
            </w:tcBorders>
          </w:tcPr>
          <w:p w:rsidR="003563AD" w:rsidRDefault="003563AD">
            <w:pPr>
              <w:spacing w:before="60" w:after="60"/>
              <w:ind w:right="-29"/>
              <w:jc w:val="center"/>
              <w:rPr>
                <w:noProof/>
                <w:sz w:val="18"/>
                <w:szCs w:val="18"/>
              </w:rPr>
            </w:pPr>
          </w:p>
        </w:tc>
        <w:tc>
          <w:tcPr>
            <w:tcW w:w="720" w:type="dxa"/>
            <w:gridSpan w:val="2"/>
            <w:tcBorders>
              <w:top w:val="nil"/>
              <w:left w:val="nil"/>
              <w:bottom w:val="nil"/>
              <w:right w:val="nil"/>
            </w:tcBorders>
          </w:tcPr>
          <w:p w:rsidR="003563AD" w:rsidRDefault="003563AD">
            <w:pPr>
              <w:spacing w:before="60" w:after="60"/>
              <w:ind w:right="-29"/>
              <w:jc w:val="center"/>
              <w:rPr>
                <w:noProof/>
                <w:sz w:val="18"/>
                <w:szCs w:val="18"/>
              </w:rPr>
            </w:pPr>
          </w:p>
        </w:tc>
        <w:tc>
          <w:tcPr>
            <w:tcW w:w="540" w:type="dxa"/>
            <w:tcBorders>
              <w:top w:val="nil"/>
              <w:left w:val="nil"/>
              <w:bottom w:val="nil"/>
              <w:right w:val="nil"/>
            </w:tcBorders>
          </w:tcPr>
          <w:p w:rsidR="003563AD" w:rsidRDefault="003563AD">
            <w:pPr>
              <w:spacing w:before="60" w:after="60"/>
              <w:ind w:right="-29"/>
              <w:jc w:val="center"/>
              <w:rPr>
                <w:noProof/>
                <w:sz w:val="18"/>
                <w:szCs w:val="18"/>
              </w:rPr>
            </w:pPr>
          </w:p>
        </w:tc>
        <w:tc>
          <w:tcPr>
            <w:tcW w:w="648" w:type="dxa"/>
            <w:tcBorders>
              <w:top w:val="nil"/>
              <w:left w:val="nil"/>
              <w:bottom w:val="nil"/>
              <w:right w:val="nil"/>
            </w:tcBorders>
          </w:tcPr>
          <w:p w:rsidR="003563AD" w:rsidRDefault="003563AD">
            <w:pPr>
              <w:spacing w:before="60" w:after="60"/>
              <w:ind w:right="-29"/>
              <w:jc w:val="center"/>
              <w:rPr>
                <w:noProof/>
                <w:sz w:val="18"/>
                <w:szCs w:val="18"/>
              </w:rPr>
            </w:pPr>
          </w:p>
        </w:tc>
        <w:tc>
          <w:tcPr>
            <w:tcW w:w="432" w:type="dxa"/>
            <w:tcBorders>
              <w:top w:val="nil"/>
              <w:left w:val="nil"/>
              <w:bottom w:val="nil"/>
              <w:right w:val="nil"/>
            </w:tcBorders>
          </w:tcPr>
          <w:p w:rsidR="003563AD" w:rsidRDefault="003563AD">
            <w:pPr>
              <w:spacing w:before="60" w:after="60"/>
              <w:ind w:right="-29"/>
              <w:jc w:val="center"/>
              <w:rPr>
                <w:noProof/>
                <w:sz w:val="18"/>
                <w:szCs w:val="18"/>
              </w:rPr>
            </w:pPr>
          </w:p>
        </w:tc>
        <w:tc>
          <w:tcPr>
            <w:tcW w:w="720" w:type="dxa"/>
            <w:tcBorders>
              <w:top w:val="nil"/>
              <w:left w:val="nil"/>
              <w:bottom w:val="nil"/>
              <w:right w:val="nil"/>
            </w:tcBorders>
          </w:tcPr>
          <w:p w:rsidR="003563AD" w:rsidRDefault="003563AD">
            <w:pPr>
              <w:spacing w:before="60" w:after="60"/>
              <w:ind w:right="-29"/>
              <w:jc w:val="center"/>
              <w:rPr>
                <w:noProof/>
                <w:sz w:val="18"/>
                <w:szCs w:val="18"/>
              </w:rPr>
            </w:pPr>
          </w:p>
        </w:tc>
        <w:tc>
          <w:tcPr>
            <w:tcW w:w="540" w:type="dxa"/>
            <w:tcBorders>
              <w:top w:val="nil"/>
              <w:left w:val="nil"/>
              <w:bottom w:val="nil"/>
              <w:right w:val="nil"/>
            </w:tcBorders>
          </w:tcPr>
          <w:p w:rsidR="003563AD" w:rsidRDefault="003563AD">
            <w:pPr>
              <w:spacing w:before="60" w:after="60"/>
              <w:ind w:right="-29"/>
              <w:jc w:val="center"/>
              <w:rPr>
                <w:noProof/>
                <w:sz w:val="18"/>
                <w:szCs w:val="18"/>
              </w:rPr>
            </w:pPr>
          </w:p>
        </w:tc>
        <w:tc>
          <w:tcPr>
            <w:tcW w:w="720" w:type="dxa"/>
            <w:tcBorders>
              <w:top w:val="nil"/>
              <w:left w:val="nil"/>
              <w:bottom w:val="nil"/>
              <w:right w:val="nil"/>
            </w:tcBorders>
          </w:tcPr>
          <w:p w:rsidR="003563AD" w:rsidRDefault="003563AD">
            <w:pPr>
              <w:spacing w:before="60" w:after="60"/>
              <w:ind w:right="-29"/>
              <w:jc w:val="center"/>
              <w:rPr>
                <w:noProof/>
                <w:sz w:val="18"/>
                <w:szCs w:val="18"/>
              </w:rPr>
            </w:pPr>
          </w:p>
        </w:tc>
        <w:tc>
          <w:tcPr>
            <w:tcW w:w="720" w:type="dxa"/>
            <w:tcBorders>
              <w:top w:val="nil"/>
              <w:left w:val="nil"/>
              <w:bottom w:val="nil"/>
              <w:right w:val="nil"/>
            </w:tcBorders>
          </w:tcPr>
          <w:p w:rsidR="003563AD" w:rsidRDefault="003563AD">
            <w:pPr>
              <w:spacing w:before="60" w:after="60"/>
              <w:ind w:right="-29"/>
              <w:jc w:val="center"/>
              <w:rPr>
                <w:noProof/>
                <w:sz w:val="18"/>
                <w:szCs w:val="18"/>
              </w:rPr>
            </w:pPr>
          </w:p>
        </w:tc>
        <w:tc>
          <w:tcPr>
            <w:tcW w:w="900" w:type="dxa"/>
            <w:tcBorders>
              <w:top w:val="nil"/>
              <w:left w:val="nil"/>
              <w:bottom w:val="nil"/>
              <w:right w:val="nil"/>
            </w:tcBorders>
          </w:tcPr>
          <w:p w:rsidR="003563AD" w:rsidRDefault="003563AD">
            <w:pPr>
              <w:spacing w:before="60" w:after="60"/>
              <w:ind w:right="-29"/>
              <w:jc w:val="center"/>
              <w:rPr>
                <w:noProof/>
                <w:sz w:val="18"/>
                <w:szCs w:val="18"/>
              </w:rPr>
            </w:pPr>
          </w:p>
        </w:tc>
      </w:tr>
      <w:tr w:rsidR="003563AD">
        <w:trPr>
          <w:trHeight w:hRule="exact" w:val="369"/>
          <w:jc w:val="center"/>
        </w:trPr>
        <w:tc>
          <w:tcPr>
            <w:tcW w:w="1423" w:type="dxa"/>
          </w:tcPr>
          <w:p w:rsidR="003563AD" w:rsidRDefault="00251882">
            <w:pPr>
              <w:ind w:right="-29"/>
              <w:jc w:val="center"/>
              <w:rPr>
                <w:noProof/>
                <w:sz w:val="18"/>
                <w:szCs w:val="18"/>
              </w:rPr>
            </w:pPr>
            <w:r>
              <w:rPr>
                <w:noProof/>
                <w:sz w:val="18"/>
              </w:rPr>
              <w:t>- Väljund</w:t>
            </w:r>
          </w:p>
        </w:tc>
        <w:tc>
          <w:tcPr>
            <w:tcW w:w="720" w:type="dxa"/>
          </w:tcPr>
          <w:p w:rsidR="003563AD" w:rsidRDefault="003563AD">
            <w:pPr>
              <w:ind w:right="-29"/>
              <w:jc w:val="center"/>
              <w:rPr>
                <w:noProof/>
                <w:sz w:val="18"/>
                <w:szCs w:val="18"/>
              </w:rPr>
            </w:pPr>
          </w:p>
        </w:tc>
        <w:tc>
          <w:tcPr>
            <w:tcW w:w="701" w:type="dxa"/>
          </w:tcPr>
          <w:p w:rsidR="003563AD" w:rsidRDefault="003563AD">
            <w:pPr>
              <w:ind w:right="-29"/>
              <w:jc w:val="center"/>
              <w:rPr>
                <w:noProof/>
                <w:sz w:val="18"/>
                <w:szCs w:val="18"/>
              </w:rPr>
            </w:pPr>
          </w:p>
        </w:tc>
        <w:tc>
          <w:tcPr>
            <w:tcW w:w="504" w:type="dxa"/>
          </w:tcPr>
          <w:p w:rsidR="003563AD" w:rsidRDefault="003563AD">
            <w:pPr>
              <w:ind w:right="-29"/>
              <w:jc w:val="center"/>
              <w:rPr>
                <w:noProof/>
                <w:sz w:val="18"/>
                <w:szCs w:val="18"/>
              </w:rPr>
            </w:pPr>
          </w:p>
        </w:tc>
        <w:tc>
          <w:tcPr>
            <w:tcW w:w="720" w:type="dxa"/>
          </w:tcPr>
          <w:p w:rsidR="003563AD" w:rsidRDefault="003563AD">
            <w:pPr>
              <w:ind w:right="-29"/>
              <w:jc w:val="center"/>
              <w:rPr>
                <w:noProof/>
                <w:sz w:val="18"/>
                <w:szCs w:val="18"/>
              </w:rPr>
            </w:pPr>
          </w:p>
        </w:tc>
        <w:tc>
          <w:tcPr>
            <w:tcW w:w="540" w:type="dxa"/>
          </w:tcPr>
          <w:p w:rsidR="003563AD" w:rsidRDefault="003563AD">
            <w:pPr>
              <w:ind w:right="-29"/>
              <w:jc w:val="center"/>
              <w:rPr>
                <w:noProof/>
                <w:sz w:val="18"/>
                <w:szCs w:val="18"/>
              </w:rPr>
            </w:pPr>
          </w:p>
        </w:tc>
        <w:tc>
          <w:tcPr>
            <w:tcW w:w="720" w:type="dxa"/>
          </w:tcPr>
          <w:p w:rsidR="003563AD" w:rsidRDefault="003563AD">
            <w:pPr>
              <w:ind w:right="-29"/>
              <w:jc w:val="center"/>
              <w:rPr>
                <w:noProof/>
                <w:sz w:val="18"/>
                <w:szCs w:val="18"/>
              </w:rPr>
            </w:pPr>
          </w:p>
        </w:tc>
        <w:tc>
          <w:tcPr>
            <w:tcW w:w="720" w:type="dxa"/>
          </w:tcPr>
          <w:p w:rsidR="003563AD" w:rsidRDefault="003563AD">
            <w:pPr>
              <w:ind w:right="-29"/>
              <w:jc w:val="center"/>
              <w:rPr>
                <w:noProof/>
                <w:sz w:val="18"/>
                <w:szCs w:val="18"/>
              </w:rPr>
            </w:pPr>
          </w:p>
        </w:tc>
        <w:tc>
          <w:tcPr>
            <w:tcW w:w="720" w:type="dxa"/>
          </w:tcPr>
          <w:p w:rsidR="003563AD" w:rsidRDefault="003563AD">
            <w:pPr>
              <w:ind w:right="-29"/>
              <w:jc w:val="center"/>
              <w:rPr>
                <w:noProof/>
                <w:sz w:val="18"/>
                <w:szCs w:val="18"/>
              </w:rPr>
            </w:pPr>
          </w:p>
        </w:tc>
        <w:tc>
          <w:tcPr>
            <w:tcW w:w="900" w:type="dxa"/>
          </w:tcPr>
          <w:p w:rsidR="003563AD" w:rsidRDefault="003563AD">
            <w:pPr>
              <w:ind w:right="-29"/>
              <w:jc w:val="center"/>
              <w:rPr>
                <w:noProof/>
                <w:sz w:val="18"/>
                <w:szCs w:val="18"/>
              </w:rPr>
            </w:pPr>
          </w:p>
        </w:tc>
        <w:tc>
          <w:tcPr>
            <w:tcW w:w="720" w:type="dxa"/>
            <w:gridSpan w:val="2"/>
          </w:tcPr>
          <w:p w:rsidR="003563AD" w:rsidRDefault="003563AD">
            <w:pPr>
              <w:ind w:right="-29"/>
              <w:jc w:val="center"/>
              <w:rPr>
                <w:noProof/>
                <w:sz w:val="18"/>
                <w:szCs w:val="18"/>
              </w:rPr>
            </w:pPr>
          </w:p>
        </w:tc>
        <w:tc>
          <w:tcPr>
            <w:tcW w:w="540" w:type="dxa"/>
          </w:tcPr>
          <w:p w:rsidR="003563AD" w:rsidRDefault="003563AD">
            <w:pPr>
              <w:ind w:right="-29"/>
              <w:jc w:val="center"/>
              <w:rPr>
                <w:noProof/>
                <w:sz w:val="18"/>
                <w:szCs w:val="18"/>
              </w:rPr>
            </w:pPr>
          </w:p>
        </w:tc>
        <w:tc>
          <w:tcPr>
            <w:tcW w:w="648" w:type="dxa"/>
          </w:tcPr>
          <w:p w:rsidR="003563AD" w:rsidRDefault="003563AD">
            <w:pPr>
              <w:ind w:right="-29"/>
              <w:jc w:val="center"/>
              <w:rPr>
                <w:noProof/>
                <w:sz w:val="18"/>
                <w:szCs w:val="18"/>
              </w:rPr>
            </w:pPr>
          </w:p>
        </w:tc>
        <w:tc>
          <w:tcPr>
            <w:tcW w:w="432" w:type="dxa"/>
          </w:tcPr>
          <w:p w:rsidR="003563AD" w:rsidRDefault="003563AD">
            <w:pPr>
              <w:ind w:right="-29"/>
              <w:jc w:val="center"/>
              <w:rPr>
                <w:noProof/>
                <w:sz w:val="18"/>
                <w:szCs w:val="18"/>
              </w:rPr>
            </w:pPr>
          </w:p>
        </w:tc>
        <w:tc>
          <w:tcPr>
            <w:tcW w:w="720" w:type="dxa"/>
          </w:tcPr>
          <w:p w:rsidR="003563AD" w:rsidRDefault="003563AD">
            <w:pPr>
              <w:ind w:right="-29"/>
              <w:jc w:val="center"/>
              <w:rPr>
                <w:noProof/>
                <w:sz w:val="18"/>
                <w:szCs w:val="18"/>
              </w:rPr>
            </w:pPr>
          </w:p>
        </w:tc>
        <w:tc>
          <w:tcPr>
            <w:tcW w:w="540" w:type="dxa"/>
          </w:tcPr>
          <w:p w:rsidR="003563AD" w:rsidRDefault="003563AD">
            <w:pPr>
              <w:ind w:right="-29"/>
              <w:jc w:val="center"/>
              <w:rPr>
                <w:noProof/>
                <w:sz w:val="18"/>
                <w:szCs w:val="18"/>
              </w:rPr>
            </w:pPr>
          </w:p>
        </w:tc>
        <w:tc>
          <w:tcPr>
            <w:tcW w:w="720" w:type="dxa"/>
          </w:tcPr>
          <w:p w:rsidR="003563AD" w:rsidRDefault="003563AD">
            <w:pPr>
              <w:ind w:right="-29"/>
              <w:jc w:val="center"/>
              <w:rPr>
                <w:noProof/>
                <w:sz w:val="18"/>
                <w:szCs w:val="18"/>
              </w:rPr>
            </w:pPr>
          </w:p>
        </w:tc>
        <w:tc>
          <w:tcPr>
            <w:tcW w:w="720" w:type="dxa"/>
          </w:tcPr>
          <w:p w:rsidR="003563AD" w:rsidRDefault="003563AD">
            <w:pPr>
              <w:ind w:right="-29"/>
              <w:jc w:val="center"/>
              <w:rPr>
                <w:noProof/>
                <w:sz w:val="18"/>
                <w:szCs w:val="18"/>
              </w:rPr>
            </w:pPr>
          </w:p>
        </w:tc>
        <w:tc>
          <w:tcPr>
            <w:tcW w:w="900" w:type="dxa"/>
          </w:tcPr>
          <w:p w:rsidR="003563AD" w:rsidRDefault="003563AD">
            <w:pPr>
              <w:ind w:right="-29"/>
              <w:jc w:val="center"/>
              <w:rPr>
                <w:noProof/>
                <w:sz w:val="18"/>
                <w:szCs w:val="18"/>
              </w:rPr>
            </w:pPr>
          </w:p>
        </w:tc>
      </w:tr>
      <w:tr w:rsidR="003563AD">
        <w:trPr>
          <w:jc w:val="center"/>
        </w:trPr>
        <w:tc>
          <w:tcPr>
            <w:tcW w:w="2844" w:type="dxa"/>
            <w:gridSpan w:val="3"/>
            <w:tcBorders>
              <w:bottom w:val="single" w:sz="12" w:space="0" w:color="auto"/>
            </w:tcBorders>
            <w:vAlign w:val="center"/>
          </w:tcPr>
          <w:p w:rsidR="003563AD" w:rsidRDefault="00251882">
            <w:pPr>
              <w:jc w:val="center"/>
              <w:rPr>
                <w:noProof/>
                <w:sz w:val="18"/>
                <w:szCs w:val="18"/>
              </w:rPr>
            </w:pPr>
            <w:r>
              <w:rPr>
                <w:noProof/>
                <w:sz w:val="18"/>
              </w:rPr>
              <w:t>Erieesmärk nr 2 kokku</w:t>
            </w:r>
          </w:p>
        </w:tc>
        <w:tc>
          <w:tcPr>
            <w:tcW w:w="504" w:type="dxa"/>
            <w:tcBorders>
              <w:bottom w:val="single" w:sz="12" w:space="0" w:color="auto"/>
            </w:tcBorders>
          </w:tcPr>
          <w:p w:rsidR="003563AD" w:rsidRDefault="003563AD">
            <w:pPr>
              <w:ind w:right="-29"/>
              <w:jc w:val="center"/>
              <w:rPr>
                <w:noProof/>
                <w:sz w:val="18"/>
                <w:szCs w:val="18"/>
              </w:rPr>
            </w:pPr>
          </w:p>
        </w:tc>
        <w:tc>
          <w:tcPr>
            <w:tcW w:w="720" w:type="dxa"/>
            <w:tcBorders>
              <w:bottom w:val="single" w:sz="12" w:space="0" w:color="auto"/>
            </w:tcBorders>
          </w:tcPr>
          <w:p w:rsidR="003563AD" w:rsidRDefault="003563AD">
            <w:pPr>
              <w:ind w:right="-29"/>
              <w:jc w:val="center"/>
              <w:rPr>
                <w:noProof/>
                <w:sz w:val="18"/>
                <w:szCs w:val="18"/>
              </w:rPr>
            </w:pPr>
          </w:p>
        </w:tc>
        <w:tc>
          <w:tcPr>
            <w:tcW w:w="540" w:type="dxa"/>
            <w:tcBorders>
              <w:bottom w:val="single" w:sz="12" w:space="0" w:color="auto"/>
            </w:tcBorders>
          </w:tcPr>
          <w:p w:rsidR="003563AD" w:rsidRDefault="003563AD">
            <w:pPr>
              <w:ind w:right="-29"/>
              <w:jc w:val="center"/>
              <w:rPr>
                <w:noProof/>
                <w:sz w:val="18"/>
                <w:szCs w:val="18"/>
              </w:rPr>
            </w:pPr>
          </w:p>
        </w:tc>
        <w:tc>
          <w:tcPr>
            <w:tcW w:w="720" w:type="dxa"/>
            <w:tcBorders>
              <w:bottom w:val="single" w:sz="12" w:space="0" w:color="auto"/>
            </w:tcBorders>
          </w:tcPr>
          <w:p w:rsidR="003563AD" w:rsidRDefault="003563AD">
            <w:pPr>
              <w:ind w:right="-29"/>
              <w:jc w:val="center"/>
              <w:rPr>
                <w:noProof/>
                <w:sz w:val="18"/>
                <w:szCs w:val="18"/>
              </w:rPr>
            </w:pPr>
          </w:p>
        </w:tc>
        <w:tc>
          <w:tcPr>
            <w:tcW w:w="720" w:type="dxa"/>
            <w:tcBorders>
              <w:bottom w:val="single" w:sz="12" w:space="0" w:color="auto"/>
            </w:tcBorders>
          </w:tcPr>
          <w:p w:rsidR="003563AD" w:rsidRDefault="003563AD">
            <w:pPr>
              <w:ind w:right="-29"/>
              <w:jc w:val="center"/>
              <w:rPr>
                <w:noProof/>
                <w:sz w:val="18"/>
                <w:szCs w:val="18"/>
              </w:rPr>
            </w:pPr>
          </w:p>
        </w:tc>
        <w:tc>
          <w:tcPr>
            <w:tcW w:w="720" w:type="dxa"/>
            <w:tcBorders>
              <w:bottom w:val="single" w:sz="12" w:space="0" w:color="auto"/>
            </w:tcBorders>
          </w:tcPr>
          <w:p w:rsidR="003563AD" w:rsidRDefault="003563AD">
            <w:pPr>
              <w:ind w:right="-29"/>
              <w:jc w:val="center"/>
              <w:rPr>
                <w:noProof/>
                <w:sz w:val="18"/>
                <w:szCs w:val="18"/>
              </w:rPr>
            </w:pPr>
          </w:p>
        </w:tc>
        <w:tc>
          <w:tcPr>
            <w:tcW w:w="951" w:type="dxa"/>
            <w:gridSpan w:val="2"/>
            <w:tcBorders>
              <w:bottom w:val="single" w:sz="12" w:space="0" w:color="auto"/>
            </w:tcBorders>
          </w:tcPr>
          <w:p w:rsidR="003563AD" w:rsidRDefault="003563AD">
            <w:pPr>
              <w:ind w:right="-29"/>
              <w:jc w:val="center"/>
              <w:rPr>
                <w:noProof/>
                <w:sz w:val="18"/>
                <w:szCs w:val="18"/>
              </w:rPr>
            </w:pPr>
          </w:p>
        </w:tc>
        <w:tc>
          <w:tcPr>
            <w:tcW w:w="669" w:type="dxa"/>
            <w:tcBorders>
              <w:bottom w:val="single" w:sz="12" w:space="0" w:color="auto"/>
            </w:tcBorders>
          </w:tcPr>
          <w:p w:rsidR="003563AD" w:rsidRDefault="003563AD">
            <w:pPr>
              <w:ind w:right="-29"/>
              <w:jc w:val="center"/>
              <w:rPr>
                <w:noProof/>
                <w:sz w:val="18"/>
                <w:szCs w:val="18"/>
              </w:rPr>
            </w:pPr>
          </w:p>
        </w:tc>
        <w:tc>
          <w:tcPr>
            <w:tcW w:w="540" w:type="dxa"/>
            <w:tcBorders>
              <w:bottom w:val="single" w:sz="12" w:space="0" w:color="auto"/>
            </w:tcBorders>
          </w:tcPr>
          <w:p w:rsidR="003563AD" w:rsidRDefault="003563AD">
            <w:pPr>
              <w:ind w:right="-29"/>
              <w:jc w:val="center"/>
              <w:rPr>
                <w:noProof/>
                <w:sz w:val="18"/>
                <w:szCs w:val="18"/>
              </w:rPr>
            </w:pPr>
          </w:p>
        </w:tc>
        <w:tc>
          <w:tcPr>
            <w:tcW w:w="648" w:type="dxa"/>
            <w:tcBorders>
              <w:bottom w:val="single" w:sz="12" w:space="0" w:color="auto"/>
            </w:tcBorders>
          </w:tcPr>
          <w:p w:rsidR="003563AD" w:rsidRDefault="003563AD">
            <w:pPr>
              <w:ind w:right="-29"/>
              <w:jc w:val="center"/>
              <w:rPr>
                <w:noProof/>
                <w:sz w:val="18"/>
                <w:szCs w:val="18"/>
              </w:rPr>
            </w:pPr>
          </w:p>
        </w:tc>
        <w:tc>
          <w:tcPr>
            <w:tcW w:w="432" w:type="dxa"/>
            <w:tcBorders>
              <w:bottom w:val="single" w:sz="12" w:space="0" w:color="auto"/>
            </w:tcBorders>
          </w:tcPr>
          <w:p w:rsidR="003563AD" w:rsidRDefault="003563AD">
            <w:pPr>
              <w:ind w:right="-29"/>
              <w:jc w:val="center"/>
              <w:rPr>
                <w:noProof/>
                <w:sz w:val="18"/>
                <w:szCs w:val="18"/>
              </w:rPr>
            </w:pPr>
          </w:p>
        </w:tc>
        <w:tc>
          <w:tcPr>
            <w:tcW w:w="720" w:type="dxa"/>
            <w:tcBorders>
              <w:bottom w:val="single" w:sz="12" w:space="0" w:color="auto"/>
            </w:tcBorders>
          </w:tcPr>
          <w:p w:rsidR="003563AD" w:rsidRDefault="003563AD">
            <w:pPr>
              <w:ind w:right="-29"/>
              <w:jc w:val="center"/>
              <w:rPr>
                <w:noProof/>
                <w:sz w:val="18"/>
                <w:szCs w:val="18"/>
              </w:rPr>
            </w:pPr>
          </w:p>
        </w:tc>
        <w:tc>
          <w:tcPr>
            <w:tcW w:w="540" w:type="dxa"/>
            <w:tcBorders>
              <w:bottom w:val="single" w:sz="12" w:space="0" w:color="auto"/>
            </w:tcBorders>
          </w:tcPr>
          <w:p w:rsidR="003563AD" w:rsidRDefault="003563AD">
            <w:pPr>
              <w:ind w:right="-29"/>
              <w:jc w:val="center"/>
              <w:rPr>
                <w:noProof/>
                <w:sz w:val="18"/>
                <w:szCs w:val="18"/>
              </w:rPr>
            </w:pPr>
          </w:p>
        </w:tc>
        <w:tc>
          <w:tcPr>
            <w:tcW w:w="720" w:type="dxa"/>
            <w:tcBorders>
              <w:bottom w:val="single" w:sz="12" w:space="0" w:color="auto"/>
            </w:tcBorders>
          </w:tcPr>
          <w:p w:rsidR="003563AD" w:rsidRDefault="003563AD">
            <w:pPr>
              <w:ind w:right="-29"/>
              <w:jc w:val="center"/>
              <w:rPr>
                <w:noProof/>
                <w:sz w:val="18"/>
                <w:szCs w:val="18"/>
              </w:rPr>
            </w:pPr>
          </w:p>
        </w:tc>
        <w:tc>
          <w:tcPr>
            <w:tcW w:w="720" w:type="dxa"/>
            <w:tcBorders>
              <w:bottom w:val="single" w:sz="12" w:space="0" w:color="auto"/>
            </w:tcBorders>
          </w:tcPr>
          <w:p w:rsidR="003563AD" w:rsidRDefault="003563AD">
            <w:pPr>
              <w:ind w:right="-29"/>
              <w:jc w:val="center"/>
              <w:rPr>
                <w:noProof/>
                <w:sz w:val="18"/>
                <w:szCs w:val="18"/>
              </w:rPr>
            </w:pPr>
          </w:p>
        </w:tc>
        <w:tc>
          <w:tcPr>
            <w:tcW w:w="900" w:type="dxa"/>
            <w:tcBorders>
              <w:bottom w:val="single" w:sz="12" w:space="0" w:color="auto"/>
            </w:tcBorders>
          </w:tcPr>
          <w:p w:rsidR="003563AD" w:rsidRDefault="003563AD">
            <w:pPr>
              <w:ind w:right="-29"/>
              <w:jc w:val="center"/>
              <w:rPr>
                <w:noProof/>
                <w:sz w:val="18"/>
                <w:szCs w:val="18"/>
              </w:rPr>
            </w:pPr>
          </w:p>
        </w:tc>
      </w:tr>
      <w:tr w:rsidR="003563AD">
        <w:trPr>
          <w:jc w:val="center"/>
        </w:trPr>
        <w:tc>
          <w:tcPr>
            <w:tcW w:w="2844" w:type="dxa"/>
            <w:gridSpan w:val="3"/>
            <w:tcBorders>
              <w:top w:val="single" w:sz="12" w:space="0" w:color="auto"/>
              <w:left w:val="single" w:sz="12" w:space="0" w:color="auto"/>
              <w:bottom w:val="single" w:sz="12" w:space="0" w:color="auto"/>
            </w:tcBorders>
            <w:vAlign w:val="center"/>
          </w:tcPr>
          <w:p w:rsidR="003563AD" w:rsidRDefault="00251882">
            <w:pPr>
              <w:ind w:right="-29"/>
              <w:jc w:val="center"/>
              <w:rPr>
                <w:noProof/>
                <w:sz w:val="18"/>
                <w:szCs w:val="18"/>
              </w:rPr>
            </w:pPr>
            <w:r>
              <w:rPr>
                <w:b/>
                <w:noProof/>
                <w:sz w:val="18"/>
              </w:rPr>
              <w:t>KULUD KOKKU</w:t>
            </w:r>
          </w:p>
        </w:tc>
        <w:tc>
          <w:tcPr>
            <w:tcW w:w="504" w:type="dxa"/>
            <w:tcBorders>
              <w:top w:val="single" w:sz="12" w:space="0" w:color="auto"/>
              <w:bottom w:val="single" w:sz="12" w:space="0" w:color="auto"/>
            </w:tcBorders>
          </w:tcPr>
          <w:p w:rsidR="003563AD" w:rsidRDefault="003563AD">
            <w:pPr>
              <w:spacing w:before="180" w:after="180"/>
              <w:ind w:right="-29"/>
              <w:jc w:val="center"/>
              <w:rPr>
                <w:noProof/>
                <w:sz w:val="18"/>
                <w:szCs w:val="18"/>
              </w:rPr>
            </w:pPr>
          </w:p>
        </w:tc>
        <w:tc>
          <w:tcPr>
            <w:tcW w:w="720" w:type="dxa"/>
            <w:tcBorders>
              <w:top w:val="single" w:sz="12" w:space="0" w:color="auto"/>
              <w:bottom w:val="single" w:sz="12" w:space="0" w:color="auto"/>
            </w:tcBorders>
          </w:tcPr>
          <w:p w:rsidR="003563AD" w:rsidRDefault="003563AD">
            <w:pPr>
              <w:spacing w:before="180" w:after="180"/>
              <w:ind w:right="-29"/>
              <w:jc w:val="center"/>
              <w:rPr>
                <w:noProof/>
                <w:sz w:val="18"/>
                <w:szCs w:val="18"/>
              </w:rPr>
            </w:pPr>
          </w:p>
        </w:tc>
        <w:tc>
          <w:tcPr>
            <w:tcW w:w="540" w:type="dxa"/>
            <w:tcBorders>
              <w:top w:val="single" w:sz="12" w:space="0" w:color="auto"/>
              <w:bottom w:val="single" w:sz="12" w:space="0" w:color="auto"/>
            </w:tcBorders>
          </w:tcPr>
          <w:p w:rsidR="003563AD" w:rsidRDefault="003563AD">
            <w:pPr>
              <w:spacing w:before="180" w:after="180"/>
              <w:ind w:right="-29"/>
              <w:jc w:val="center"/>
              <w:rPr>
                <w:noProof/>
                <w:sz w:val="18"/>
                <w:szCs w:val="18"/>
              </w:rPr>
            </w:pPr>
          </w:p>
        </w:tc>
        <w:tc>
          <w:tcPr>
            <w:tcW w:w="720" w:type="dxa"/>
            <w:tcBorders>
              <w:top w:val="single" w:sz="12" w:space="0" w:color="auto"/>
              <w:bottom w:val="single" w:sz="12" w:space="0" w:color="auto"/>
            </w:tcBorders>
          </w:tcPr>
          <w:p w:rsidR="003563AD" w:rsidRDefault="003563AD">
            <w:pPr>
              <w:spacing w:before="180" w:after="180"/>
              <w:ind w:right="-29"/>
              <w:jc w:val="center"/>
              <w:rPr>
                <w:noProof/>
                <w:sz w:val="18"/>
                <w:szCs w:val="18"/>
              </w:rPr>
            </w:pPr>
          </w:p>
        </w:tc>
        <w:tc>
          <w:tcPr>
            <w:tcW w:w="720" w:type="dxa"/>
            <w:tcBorders>
              <w:top w:val="single" w:sz="12" w:space="0" w:color="auto"/>
              <w:bottom w:val="single" w:sz="12" w:space="0" w:color="auto"/>
            </w:tcBorders>
          </w:tcPr>
          <w:p w:rsidR="003563AD" w:rsidRDefault="003563AD">
            <w:pPr>
              <w:spacing w:before="180" w:after="180"/>
              <w:ind w:right="-29"/>
              <w:jc w:val="center"/>
              <w:rPr>
                <w:noProof/>
                <w:sz w:val="18"/>
                <w:szCs w:val="18"/>
              </w:rPr>
            </w:pPr>
          </w:p>
        </w:tc>
        <w:tc>
          <w:tcPr>
            <w:tcW w:w="720" w:type="dxa"/>
            <w:tcBorders>
              <w:top w:val="single" w:sz="12" w:space="0" w:color="auto"/>
              <w:bottom w:val="single" w:sz="12" w:space="0" w:color="auto"/>
            </w:tcBorders>
          </w:tcPr>
          <w:p w:rsidR="003563AD" w:rsidRDefault="003563AD">
            <w:pPr>
              <w:spacing w:before="180" w:after="180"/>
              <w:ind w:right="-29"/>
              <w:jc w:val="center"/>
              <w:rPr>
                <w:noProof/>
                <w:sz w:val="18"/>
                <w:szCs w:val="18"/>
              </w:rPr>
            </w:pPr>
          </w:p>
        </w:tc>
        <w:tc>
          <w:tcPr>
            <w:tcW w:w="900" w:type="dxa"/>
            <w:tcBorders>
              <w:top w:val="single" w:sz="12" w:space="0" w:color="auto"/>
              <w:bottom w:val="single" w:sz="12" w:space="0" w:color="auto"/>
            </w:tcBorders>
          </w:tcPr>
          <w:p w:rsidR="003563AD" w:rsidRDefault="003563AD">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rsidR="003563AD" w:rsidRDefault="003563AD">
            <w:pPr>
              <w:spacing w:before="180" w:after="180"/>
              <w:ind w:right="-29"/>
              <w:jc w:val="center"/>
              <w:rPr>
                <w:noProof/>
                <w:sz w:val="18"/>
                <w:szCs w:val="18"/>
              </w:rPr>
            </w:pPr>
          </w:p>
        </w:tc>
        <w:tc>
          <w:tcPr>
            <w:tcW w:w="540" w:type="dxa"/>
            <w:tcBorders>
              <w:top w:val="single" w:sz="12" w:space="0" w:color="auto"/>
              <w:bottom w:val="single" w:sz="12" w:space="0" w:color="auto"/>
            </w:tcBorders>
          </w:tcPr>
          <w:p w:rsidR="003563AD" w:rsidRDefault="003563AD">
            <w:pPr>
              <w:spacing w:before="180" w:after="180"/>
              <w:ind w:right="-29"/>
              <w:jc w:val="center"/>
              <w:rPr>
                <w:noProof/>
                <w:sz w:val="18"/>
                <w:szCs w:val="18"/>
              </w:rPr>
            </w:pPr>
          </w:p>
        </w:tc>
        <w:tc>
          <w:tcPr>
            <w:tcW w:w="648" w:type="dxa"/>
            <w:tcBorders>
              <w:top w:val="single" w:sz="12" w:space="0" w:color="auto"/>
              <w:bottom w:val="single" w:sz="12" w:space="0" w:color="auto"/>
            </w:tcBorders>
          </w:tcPr>
          <w:p w:rsidR="003563AD" w:rsidRDefault="003563AD">
            <w:pPr>
              <w:spacing w:before="180" w:after="180"/>
              <w:ind w:right="-29"/>
              <w:jc w:val="center"/>
              <w:rPr>
                <w:noProof/>
                <w:sz w:val="18"/>
                <w:szCs w:val="18"/>
              </w:rPr>
            </w:pPr>
          </w:p>
        </w:tc>
        <w:tc>
          <w:tcPr>
            <w:tcW w:w="432" w:type="dxa"/>
            <w:tcBorders>
              <w:top w:val="single" w:sz="12" w:space="0" w:color="auto"/>
              <w:bottom w:val="single" w:sz="12" w:space="0" w:color="auto"/>
            </w:tcBorders>
          </w:tcPr>
          <w:p w:rsidR="003563AD" w:rsidRDefault="003563AD">
            <w:pPr>
              <w:spacing w:before="180" w:after="180"/>
              <w:ind w:right="-29"/>
              <w:jc w:val="center"/>
              <w:rPr>
                <w:noProof/>
                <w:sz w:val="18"/>
                <w:szCs w:val="18"/>
              </w:rPr>
            </w:pPr>
          </w:p>
        </w:tc>
        <w:tc>
          <w:tcPr>
            <w:tcW w:w="720" w:type="dxa"/>
            <w:tcBorders>
              <w:top w:val="single" w:sz="12" w:space="0" w:color="auto"/>
              <w:bottom w:val="single" w:sz="12" w:space="0" w:color="auto"/>
            </w:tcBorders>
          </w:tcPr>
          <w:p w:rsidR="003563AD" w:rsidRDefault="003563AD">
            <w:pPr>
              <w:spacing w:before="180" w:after="180"/>
              <w:ind w:right="-29"/>
              <w:jc w:val="center"/>
              <w:rPr>
                <w:noProof/>
                <w:sz w:val="18"/>
                <w:szCs w:val="18"/>
              </w:rPr>
            </w:pPr>
          </w:p>
        </w:tc>
        <w:tc>
          <w:tcPr>
            <w:tcW w:w="540" w:type="dxa"/>
            <w:tcBorders>
              <w:top w:val="single" w:sz="12" w:space="0" w:color="auto"/>
              <w:bottom w:val="single" w:sz="12" w:space="0" w:color="auto"/>
            </w:tcBorders>
          </w:tcPr>
          <w:p w:rsidR="003563AD" w:rsidRDefault="003563AD">
            <w:pPr>
              <w:spacing w:before="180" w:after="180"/>
              <w:ind w:right="-29"/>
              <w:jc w:val="center"/>
              <w:rPr>
                <w:noProof/>
                <w:sz w:val="18"/>
                <w:szCs w:val="18"/>
              </w:rPr>
            </w:pPr>
          </w:p>
        </w:tc>
        <w:tc>
          <w:tcPr>
            <w:tcW w:w="720" w:type="dxa"/>
            <w:tcBorders>
              <w:top w:val="single" w:sz="12" w:space="0" w:color="auto"/>
              <w:bottom w:val="single" w:sz="12" w:space="0" w:color="auto"/>
            </w:tcBorders>
          </w:tcPr>
          <w:p w:rsidR="003563AD" w:rsidRDefault="003563AD">
            <w:pPr>
              <w:spacing w:before="180" w:after="180"/>
              <w:ind w:right="-29"/>
              <w:jc w:val="center"/>
              <w:rPr>
                <w:noProof/>
                <w:sz w:val="18"/>
                <w:szCs w:val="18"/>
              </w:rPr>
            </w:pPr>
          </w:p>
        </w:tc>
        <w:tc>
          <w:tcPr>
            <w:tcW w:w="720" w:type="dxa"/>
            <w:tcBorders>
              <w:top w:val="single" w:sz="12" w:space="0" w:color="auto"/>
              <w:bottom w:val="single" w:sz="12" w:space="0" w:color="auto"/>
            </w:tcBorders>
          </w:tcPr>
          <w:p w:rsidR="003563AD" w:rsidRDefault="003563AD">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rsidR="003563AD" w:rsidRDefault="003563AD">
            <w:pPr>
              <w:spacing w:before="180" w:after="180"/>
              <w:ind w:right="-29"/>
              <w:jc w:val="center"/>
              <w:rPr>
                <w:noProof/>
                <w:sz w:val="18"/>
                <w:szCs w:val="18"/>
              </w:rPr>
            </w:pPr>
          </w:p>
        </w:tc>
      </w:tr>
    </w:tbl>
    <w:p w:rsidR="003563AD" w:rsidRDefault="003563AD">
      <w:pPr>
        <w:rPr>
          <w:noProof/>
        </w:rPr>
        <w:sectPr w:rsidR="003563AD">
          <w:pgSz w:w="16840" w:h="11907" w:orient="landscape" w:code="9"/>
          <w:pgMar w:top="1134" w:right="1418" w:bottom="567" w:left="1418" w:header="709" w:footer="709" w:gutter="0"/>
          <w:cols w:space="708"/>
          <w:docGrid w:linePitch="360"/>
        </w:sectPr>
      </w:pPr>
    </w:p>
    <w:p w:rsidR="003563AD" w:rsidRDefault="00251882">
      <w:pPr>
        <w:pStyle w:val="ManualHeading3"/>
        <w:rPr>
          <w:bCs/>
          <w:noProof/>
          <w:szCs w:val="24"/>
        </w:rPr>
      </w:pPr>
      <w:r>
        <w:t>3.2.3.</w:t>
      </w:r>
      <w:r>
        <w:tab/>
      </w:r>
      <w:r>
        <w:rPr>
          <w:noProof/>
        </w:rPr>
        <w:t xml:space="preserve">Hinnanguline </w:t>
      </w:r>
      <w:r>
        <w:rPr>
          <w:noProof/>
        </w:rPr>
        <w:t>mõju haldusassigneeringutele</w:t>
      </w:r>
    </w:p>
    <w:p w:rsidR="003563AD" w:rsidRDefault="00251882">
      <w:pPr>
        <w:pStyle w:val="ManualHeading4"/>
        <w:rPr>
          <w:noProof/>
        </w:rPr>
      </w:pPr>
      <w:r>
        <w:t>3.2.3.1.</w:t>
      </w:r>
      <w:r>
        <w:tab/>
      </w:r>
      <w:r>
        <w:rPr>
          <w:noProof/>
        </w:rPr>
        <w:t xml:space="preserve">Kokkuvõte </w:t>
      </w:r>
    </w:p>
    <w:p w:rsidR="003563AD" w:rsidRDefault="00251882">
      <w:pPr>
        <w:pStyle w:val="ListDash1"/>
        <w:rPr>
          <w:noProof/>
        </w:rPr>
      </w:pPr>
      <w:r>
        <w:rPr>
          <w:rFonts w:ascii="Wingdings" w:hAnsi="Wingdings"/>
          <w:noProof/>
        </w:rPr>
        <w:t></w:t>
      </w:r>
      <w:r>
        <w:rPr>
          <w:noProof/>
        </w:rPr>
        <w:tab/>
        <w:t xml:space="preserve">Ettepanek/algatus ei hõlma haldusassigneeringute kasutamist </w:t>
      </w:r>
    </w:p>
    <w:p w:rsidR="003563AD" w:rsidRDefault="00251882">
      <w:pPr>
        <w:pStyle w:val="ListDash1"/>
        <w:rPr>
          <w:noProof/>
        </w:rPr>
      </w:pPr>
      <w:r>
        <w:rPr>
          <w:noProof/>
        </w:rPr>
        <w:sym w:font="Wingdings" w:char="F0A8"/>
      </w:r>
      <w:r>
        <w:rPr>
          <w:noProof/>
        </w:rPr>
        <w:tab/>
        <w:t>Ettepanek/algatus hõlmab haldusassigneeringute kasutamist, mis toimub järgmiselt:</w:t>
      </w:r>
    </w:p>
    <w:p w:rsidR="003563AD" w:rsidRDefault="00251882">
      <w:pPr>
        <w:rPr>
          <w:noProof/>
          <w:sz w:val="20"/>
        </w:rPr>
      </w:pPr>
      <w:r>
        <w:rPr>
          <w:noProof/>
          <w:sz w:val="20"/>
        </w:rPr>
        <w:t>miljonites eurodes (kolm kohta pärast koma)</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rsidR="003563AD">
        <w:trPr>
          <w:trHeight w:val="585"/>
        </w:trPr>
        <w:tc>
          <w:tcPr>
            <w:tcW w:w="1980" w:type="dxa"/>
          </w:tcPr>
          <w:p w:rsidR="003563AD" w:rsidRDefault="003563AD">
            <w:pPr>
              <w:spacing w:before="60" w:after="60" w:line="200" w:lineRule="exact"/>
              <w:rPr>
                <w:noProof/>
                <w:sz w:val="16"/>
                <w:szCs w:val="16"/>
              </w:rPr>
            </w:pPr>
          </w:p>
        </w:tc>
        <w:tc>
          <w:tcPr>
            <w:tcW w:w="1080" w:type="dxa"/>
            <w:vAlign w:val="center"/>
          </w:tcPr>
          <w:p w:rsidR="003563AD" w:rsidRDefault="00251882">
            <w:pPr>
              <w:spacing w:before="60" w:after="60" w:line="200" w:lineRule="exact"/>
              <w:jc w:val="center"/>
              <w:rPr>
                <w:noProof/>
                <w:sz w:val="16"/>
                <w:szCs w:val="16"/>
              </w:rPr>
            </w:pPr>
            <w:r>
              <w:rPr>
                <w:noProof/>
              </w:rPr>
              <w:t>Aasta</w:t>
            </w:r>
            <w:r>
              <w:rPr>
                <w:noProof/>
                <w:sz w:val="22"/>
              </w:rPr>
              <w:br/>
            </w:r>
            <w:r>
              <w:rPr>
                <w:b/>
                <w:noProof/>
                <w:sz w:val="16"/>
              </w:rPr>
              <w:t xml:space="preserve">N </w:t>
            </w:r>
            <w:r>
              <w:rPr>
                <w:rStyle w:val="FootnoteReference"/>
                <w:b/>
                <w:noProof/>
                <w:sz w:val="16"/>
              </w:rPr>
              <w:footnoteReference w:id="41"/>
            </w:r>
          </w:p>
        </w:tc>
        <w:tc>
          <w:tcPr>
            <w:tcW w:w="1080" w:type="dxa"/>
            <w:vAlign w:val="center"/>
          </w:tcPr>
          <w:p w:rsidR="003563AD" w:rsidRDefault="00251882">
            <w:pPr>
              <w:spacing w:before="60" w:after="60" w:line="200" w:lineRule="exact"/>
              <w:jc w:val="center"/>
              <w:rPr>
                <w:noProof/>
                <w:sz w:val="16"/>
                <w:szCs w:val="16"/>
              </w:rPr>
            </w:pPr>
            <w:r>
              <w:rPr>
                <w:noProof/>
              </w:rPr>
              <w:t>Aasta</w:t>
            </w:r>
            <w:r>
              <w:rPr>
                <w:noProof/>
                <w:sz w:val="22"/>
              </w:rPr>
              <w:br/>
            </w:r>
            <w:r>
              <w:rPr>
                <w:b/>
                <w:noProof/>
                <w:sz w:val="16"/>
              </w:rPr>
              <w:t>N+1</w:t>
            </w:r>
          </w:p>
        </w:tc>
        <w:tc>
          <w:tcPr>
            <w:tcW w:w="1080" w:type="dxa"/>
            <w:vAlign w:val="center"/>
          </w:tcPr>
          <w:p w:rsidR="003563AD" w:rsidRDefault="00251882">
            <w:pPr>
              <w:spacing w:before="60" w:after="60" w:line="200" w:lineRule="exact"/>
              <w:jc w:val="center"/>
              <w:rPr>
                <w:noProof/>
                <w:sz w:val="16"/>
                <w:szCs w:val="16"/>
              </w:rPr>
            </w:pPr>
            <w:r>
              <w:rPr>
                <w:noProof/>
              </w:rPr>
              <w:t>Aasta</w:t>
            </w:r>
            <w:r>
              <w:rPr>
                <w:noProof/>
                <w:sz w:val="22"/>
              </w:rPr>
              <w:br/>
            </w:r>
            <w:r>
              <w:rPr>
                <w:b/>
                <w:noProof/>
                <w:sz w:val="16"/>
              </w:rPr>
              <w:t>N+2</w:t>
            </w:r>
          </w:p>
        </w:tc>
        <w:tc>
          <w:tcPr>
            <w:tcW w:w="1080" w:type="dxa"/>
            <w:vAlign w:val="center"/>
          </w:tcPr>
          <w:p w:rsidR="003563AD" w:rsidRDefault="00251882">
            <w:pPr>
              <w:spacing w:before="60" w:after="60" w:line="200" w:lineRule="exact"/>
              <w:jc w:val="center"/>
              <w:rPr>
                <w:noProof/>
                <w:sz w:val="16"/>
                <w:szCs w:val="16"/>
              </w:rPr>
            </w:pPr>
            <w:r>
              <w:rPr>
                <w:noProof/>
              </w:rPr>
              <w:t>Aasta</w:t>
            </w:r>
            <w:r>
              <w:rPr>
                <w:noProof/>
                <w:sz w:val="22"/>
              </w:rPr>
              <w:br/>
            </w:r>
            <w:r>
              <w:rPr>
                <w:b/>
                <w:noProof/>
                <w:sz w:val="16"/>
              </w:rPr>
              <w:t>N+3</w:t>
            </w:r>
          </w:p>
        </w:tc>
        <w:tc>
          <w:tcPr>
            <w:tcW w:w="3240" w:type="dxa"/>
            <w:vAlign w:val="center"/>
          </w:tcPr>
          <w:p w:rsidR="003563AD" w:rsidRDefault="00251882">
            <w:pPr>
              <w:spacing w:line="200" w:lineRule="exact"/>
              <w:jc w:val="center"/>
              <w:rPr>
                <w:b/>
                <w:noProof/>
                <w:sz w:val="16"/>
                <w:szCs w:val="16"/>
              </w:rPr>
            </w:pPr>
            <w:r>
              <w:rPr>
                <w:noProof/>
                <w:sz w:val="16"/>
              </w:rPr>
              <w:t>Lisage vajalik arv aastaid, et kajastada kogu finantsmõju (vt punkt 1.6)</w:t>
            </w:r>
          </w:p>
        </w:tc>
        <w:tc>
          <w:tcPr>
            <w:tcW w:w="1080" w:type="dxa"/>
            <w:vAlign w:val="center"/>
          </w:tcPr>
          <w:p w:rsidR="003563AD" w:rsidRDefault="00251882">
            <w:pPr>
              <w:spacing w:before="60" w:after="60" w:line="200" w:lineRule="exact"/>
              <w:jc w:val="center"/>
              <w:rPr>
                <w:b/>
                <w:noProof/>
                <w:sz w:val="16"/>
                <w:szCs w:val="16"/>
              </w:rPr>
            </w:pPr>
            <w:r>
              <w:rPr>
                <w:b/>
                <w:noProof/>
                <w:sz w:val="16"/>
              </w:rPr>
              <w:t>KOKKU</w:t>
            </w:r>
          </w:p>
        </w:tc>
      </w:tr>
    </w:tbl>
    <w:p w:rsidR="003563AD" w:rsidRDefault="003563AD">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138"/>
        <w:gridCol w:w="922"/>
        <w:gridCol w:w="1080"/>
        <w:gridCol w:w="1080"/>
        <w:gridCol w:w="1080"/>
        <w:gridCol w:w="1080"/>
        <w:gridCol w:w="1080"/>
        <w:gridCol w:w="1080"/>
        <w:gridCol w:w="1080"/>
      </w:tblGrid>
      <w:tr w:rsidR="003563AD">
        <w:trPr>
          <w:trHeight w:val="585"/>
        </w:trPr>
        <w:tc>
          <w:tcPr>
            <w:tcW w:w="2138" w:type="dxa"/>
            <w:shd w:val="clear" w:color="auto" w:fill="CCCCCC"/>
            <w:vAlign w:val="center"/>
          </w:tcPr>
          <w:p w:rsidR="003563AD" w:rsidRDefault="00251882">
            <w:pPr>
              <w:spacing w:before="60" w:after="60" w:line="200" w:lineRule="exact"/>
              <w:jc w:val="center"/>
              <w:rPr>
                <w:b/>
                <w:noProof/>
                <w:sz w:val="16"/>
                <w:szCs w:val="16"/>
              </w:rPr>
            </w:pPr>
            <w:r>
              <w:rPr>
                <w:b/>
                <w:noProof/>
              </w:rPr>
              <w:t>Mitmeaastase finantsraamistiku RUBRIIK 5</w:t>
            </w:r>
          </w:p>
        </w:tc>
        <w:tc>
          <w:tcPr>
            <w:tcW w:w="922" w:type="dxa"/>
            <w:vAlign w:val="center"/>
          </w:tcPr>
          <w:p w:rsidR="003563AD" w:rsidRDefault="003563AD">
            <w:pPr>
              <w:spacing w:before="60" w:after="60" w:line="200" w:lineRule="exact"/>
              <w:jc w:val="right"/>
              <w:rPr>
                <w:noProof/>
                <w:sz w:val="16"/>
                <w:szCs w:val="16"/>
              </w:rPr>
            </w:pPr>
          </w:p>
        </w:tc>
        <w:tc>
          <w:tcPr>
            <w:tcW w:w="1080" w:type="dxa"/>
            <w:vAlign w:val="center"/>
          </w:tcPr>
          <w:p w:rsidR="003563AD" w:rsidRDefault="003563AD">
            <w:pPr>
              <w:spacing w:before="60" w:after="60" w:line="200" w:lineRule="exact"/>
              <w:jc w:val="right"/>
              <w:rPr>
                <w:noProof/>
                <w:sz w:val="16"/>
                <w:szCs w:val="16"/>
              </w:rPr>
            </w:pPr>
          </w:p>
        </w:tc>
        <w:tc>
          <w:tcPr>
            <w:tcW w:w="1080" w:type="dxa"/>
            <w:vAlign w:val="center"/>
          </w:tcPr>
          <w:p w:rsidR="003563AD" w:rsidRDefault="003563AD">
            <w:pPr>
              <w:spacing w:before="60" w:after="60" w:line="200" w:lineRule="exact"/>
              <w:jc w:val="right"/>
              <w:rPr>
                <w:noProof/>
                <w:sz w:val="16"/>
                <w:szCs w:val="16"/>
              </w:rPr>
            </w:pPr>
          </w:p>
        </w:tc>
        <w:tc>
          <w:tcPr>
            <w:tcW w:w="1080" w:type="dxa"/>
            <w:vAlign w:val="center"/>
          </w:tcPr>
          <w:p w:rsidR="003563AD" w:rsidRDefault="003563AD">
            <w:pPr>
              <w:spacing w:before="60" w:after="60" w:line="200" w:lineRule="exact"/>
              <w:jc w:val="right"/>
              <w:rPr>
                <w:noProof/>
                <w:sz w:val="16"/>
                <w:szCs w:val="16"/>
              </w:rPr>
            </w:pPr>
          </w:p>
        </w:tc>
        <w:tc>
          <w:tcPr>
            <w:tcW w:w="1080" w:type="dxa"/>
            <w:vAlign w:val="center"/>
          </w:tcPr>
          <w:p w:rsidR="003563AD" w:rsidRDefault="003563AD">
            <w:pPr>
              <w:spacing w:before="60" w:after="60" w:line="200" w:lineRule="exact"/>
              <w:jc w:val="right"/>
              <w:rPr>
                <w:noProof/>
                <w:sz w:val="16"/>
                <w:szCs w:val="16"/>
              </w:rPr>
            </w:pPr>
          </w:p>
        </w:tc>
        <w:tc>
          <w:tcPr>
            <w:tcW w:w="1080" w:type="dxa"/>
            <w:vAlign w:val="center"/>
          </w:tcPr>
          <w:p w:rsidR="003563AD" w:rsidRDefault="003563AD">
            <w:pPr>
              <w:spacing w:before="60" w:after="60" w:line="200" w:lineRule="exact"/>
              <w:jc w:val="right"/>
              <w:rPr>
                <w:noProof/>
                <w:sz w:val="16"/>
                <w:szCs w:val="16"/>
              </w:rPr>
            </w:pPr>
          </w:p>
        </w:tc>
        <w:tc>
          <w:tcPr>
            <w:tcW w:w="1080" w:type="dxa"/>
            <w:vAlign w:val="center"/>
          </w:tcPr>
          <w:p w:rsidR="003563AD" w:rsidRDefault="003563AD">
            <w:pPr>
              <w:spacing w:before="60" w:after="60" w:line="200" w:lineRule="exact"/>
              <w:jc w:val="right"/>
              <w:rPr>
                <w:b/>
                <w:noProof/>
                <w:sz w:val="16"/>
                <w:szCs w:val="16"/>
              </w:rPr>
            </w:pPr>
          </w:p>
        </w:tc>
        <w:tc>
          <w:tcPr>
            <w:tcW w:w="1080" w:type="dxa"/>
            <w:vAlign w:val="center"/>
          </w:tcPr>
          <w:p w:rsidR="003563AD" w:rsidRDefault="003563AD">
            <w:pPr>
              <w:spacing w:before="60" w:after="60" w:line="200" w:lineRule="exact"/>
              <w:jc w:val="right"/>
              <w:rPr>
                <w:b/>
                <w:noProof/>
                <w:sz w:val="16"/>
                <w:szCs w:val="16"/>
              </w:rPr>
            </w:pPr>
          </w:p>
        </w:tc>
      </w:tr>
      <w:tr w:rsidR="003563AD">
        <w:trPr>
          <w:trHeight w:val="585"/>
        </w:trPr>
        <w:tc>
          <w:tcPr>
            <w:tcW w:w="2138" w:type="dxa"/>
            <w:vAlign w:val="center"/>
          </w:tcPr>
          <w:p w:rsidR="003563AD" w:rsidRDefault="00251882">
            <w:pPr>
              <w:spacing w:before="60" w:after="60" w:line="200" w:lineRule="exact"/>
              <w:ind w:left="72"/>
              <w:jc w:val="left"/>
              <w:rPr>
                <w:noProof/>
                <w:sz w:val="16"/>
                <w:szCs w:val="16"/>
              </w:rPr>
            </w:pPr>
            <w:r>
              <w:rPr>
                <w:noProof/>
                <w:sz w:val="16"/>
              </w:rPr>
              <w:t xml:space="preserve">Personal </w:t>
            </w:r>
          </w:p>
        </w:tc>
        <w:tc>
          <w:tcPr>
            <w:tcW w:w="922" w:type="dxa"/>
            <w:vAlign w:val="center"/>
          </w:tcPr>
          <w:p w:rsidR="003563AD" w:rsidRDefault="003563AD">
            <w:pPr>
              <w:spacing w:before="60" w:after="60" w:line="200" w:lineRule="exact"/>
              <w:jc w:val="right"/>
              <w:rPr>
                <w:noProof/>
                <w:sz w:val="16"/>
                <w:szCs w:val="16"/>
              </w:rPr>
            </w:pPr>
          </w:p>
        </w:tc>
        <w:tc>
          <w:tcPr>
            <w:tcW w:w="1080" w:type="dxa"/>
            <w:vAlign w:val="center"/>
          </w:tcPr>
          <w:p w:rsidR="003563AD" w:rsidRDefault="003563AD">
            <w:pPr>
              <w:spacing w:before="60" w:after="60" w:line="200" w:lineRule="exact"/>
              <w:jc w:val="right"/>
              <w:rPr>
                <w:noProof/>
                <w:sz w:val="16"/>
                <w:szCs w:val="16"/>
              </w:rPr>
            </w:pPr>
          </w:p>
        </w:tc>
        <w:tc>
          <w:tcPr>
            <w:tcW w:w="1080" w:type="dxa"/>
            <w:vAlign w:val="center"/>
          </w:tcPr>
          <w:p w:rsidR="003563AD" w:rsidRDefault="003563AD">
            <w:pPr>
              <w:spacing w:before="60" w:after="60" w:line="200" w:lineRule="exact"/>
              <w:jc w:val="right"/>
              <w:rPr>
                <w:noProof/>
                <w:sz w:val="16"/>
                <w:szCs w:val="16"/>
              </w:rPr>
            </w:pPr>
          </w:p>
        </w:tc>
        <w:tc>
          <w:tcPr>
            <w:tcW w:w="1080" w:type="dxa"/>
            <w:vAlign w:val="center"/>
          </w:tcPr>
          <w:p w:rsidR="003563AD" w:rsidRDefault="003563AD">
            <w:pPr>
              <w:spacing w:before="60" w:after="60" w:line="200" w:lineRule="exact"/>
              <w:jc w:val="right"/>
              <w:rPr>
                <w:noProof/>
                <w:sz w:val="16"/>
                <w:szCs w:val="16"/>
              </w:rPr>
            </w:pPr>
          </w:p>
        </w:tc>
        <w:tc>
          <w:tcPr>
            <w:tcW w:w="1080" w:type="dxa"/>
            <w:vAlign w:val="center"/>
          </w:tcPr>
          <w:p w:rsidR="003563AD" w:rsidRDefault="003563AD">
            <w:pPr>
              <w:spacing w:before="60" w:after="60" w:line="200" w:lineRule="exact"/>
              <w:jc w:val="right"/>
              <w:rPr>
                <w:noProof/>
                <w:sz w:val="16"/>
                <w:szCs w:val="16"/>
              </w:rPr>
            </w:pPr>
          </w:p>
        </w:tc>
        <w:tc>
          <w:tcPr>
            <w:tcW w:w="1080" w:type="dxa"/>
            <w:vAlign w:val="center"/>
          </w:tcPr>
          <w:p w:rsidR="003563AD" w:rsidRDefault="003563AD">
            <w:pPr>
              <w:spacing w:before="60" w:after="60" w:line="200" w:lineRule="exact"/>
              <w:jc w:val="right"/>
              <w:rPr>
                <w:noProof/>
                <w:sz w:val="16"/>
                <w:szCs w:val="16"/>
              </w:rPr>
            </w:pPr>
          </w:p>
        </w:tc>
        <w:tc>
          <w:tcPr>
            <w:tcW w:w="1080" w:type="dxa"/>
            <w:vAlign w:val="center"/>
          </w:tcPr>
          <w:p w:rsidR="003563AD" w:rsidRDefault="003563AD">
            <w:pPr>
              <w:spacing w:before="60" w:after="60" w:line="200" w:lineRule="exact"/>
              <w:jc w:val="right"/>
              <w:rPr>
                <w:b/>
                <w:noProof/>
                <w:sz w:val="16"/>
                <w:szCs w:val="16"/>
              </w:rPr>
            </w:pPr>
          </w:p>
        </w:tc>
        <w:tc>
          <w:tcPr>
            <w:tcW w:w="1080" w:type="dxa"/>
            <w:vAlign w:val="center"/>
          </w:tcPr>
          <w:p w:rsidR="003563AD" w:rsidRDefault="003563AD">
            <w:pPr>
              <w:spacing w:before="60" w:after="60" w:line="200" w:lineRule="exact"/>
              <w:jc w:val="right"/>
              <w:rPr>
                <w:b/>
                <w:noProof/>
                <w:sz w:val="16"/>
                <w:szCs w:val="16"/>
              </w:rPr>
            </w:pPr>
          </w:p>
        </w:tc>
      </w:tr>
      <w:tr w:rsidR="003563AD">
        <w:trPr>
          <w:trHeight w:val="585"/>
        </w:trPr>
        <w:tc>
          <w:tcPr>
            <w:tcW w:w="2138" w:type="dxa"/>
            <w:vAlign w:val="center"/>
          </w:tcPr>
          <w:p w:rsidR="003563AD" w:rsidRDefault="00251882">
            <w:pPr>
              <w:spacing w:before="60" w:after="60" w:line="200" w:lineRule="exact"/>
              <w:ind w:left="72"/>
              <w:jc w:val="left"/>
              <w:rPr>
                <w:noProof/>
                <w:sz w:val="16"/>
                <w:szCs w:val="16"/>
              </w:rPr>
            </w:pPr>
            <w:r>
              <w:rPr>
                <w:noProof/>
                <w:sz w:val="16"/>
              </w:rPr>
              <w:t xml:space="preserve">Muud halduskulud </w:t>
            </w:r>
          </w:p>
        </w:tc>
        <w:tc>
          <w:tcPr>
            <w:tcW w:w="922" w:type="dxa"/>
            <w:vAlign w:val="center"/>
          </w:tcPr>
          <w:p w:rsidR="003563AD" w:rsidRDefault="003563AD">
            <w:pPr>
              <w:spacing w:before="60" w:after="60" w:line="200" w:lineRule="exact"/>
              <w:jc w:val="right"/>
              <w:rPr>
                <w:noProof/>
                <w:sz w:val="16"/>
                <w:szCs w:val="16"/>
              </w:rPr>
            </w:pPr>
          </w:p>
        </w:tc>
        <w:tc>
          <w:tcPr>
            <w:tcW w:w="1080" w:type="dxa"/>
            <w:vAlign w:val="center"/>
          </w:tcPr>
          <w:p w:rsidR="003563AD" w:rsidRDefault="003563AD">
            <w:pPr>
              <w:spacing w:before="60" w:after="60" w:line="200" w:lineRule="exact"/>
              <w:jc w:val="right"/>
              <w:rPr>
                <w:noProof/>
                <w:sz w:val="16"/>
                <w:szCs w:val="16"/>
              </w:rPr>
            </w:pPr>
          </w:p>
        </w:tc>
        <w:tc>
          <w:tcPr>
            <w:tcW w:w="1080" w:type="dxa"/>
            <w:vAlign w:val="center"/>
          </w:tcPr>
          <w:p w:rsidR="003563AD" w:rsidRDefault="003563AD">
            <w:pPr>
              <w:spacing w:before="60" w:after="60" w:line="200" w:lineRule="exact"/>
              <w:jc w:val="right"/>
              <w:rPr>
                <w:noProof/>
                <w:sz w:val="16"/>
                <w:szCs w:val="16"/>
              </w:rPr>
            </w:pPr>
          </w:p>
        </w:tc>
        <w:tc>
          <w:tcPr>
            <w:tcW w:w="1080" w:type="dxa"/>
            <w:vAlign w:val="center"/>
          </w:tcPr>
          <w:p w:rsidR="003563AD" w:rsidRDefault="003563AD">
            <w:pPr>
              <w:spacing w:before="60" w:after="60" w:line="200" w:lineRule="exact"/>
              <w:jc w:val="right"/>
              <w:rPr>
                <w:noProof/>
                <w:sz w:val="16"/>
                <w:szCs w:val="16"/>
              </w:rPr>
            </w:pPr>
          </w:p>
        </w:tc>
        <w:tc>
          <w:tcPr>
            <w:tcW w:w="1080" w:type="dxa"/>
            <w:vAlign w:val="center"/>
          </w:tcPr>
          <w:p w:rsidR="003563AD" w:rsidRDefault="003563AD">
            <w:pPr>
              <w:spacing w:before="60" w:after="60" w:line="200" w:lineRule="exact"/>
              <w:jc w:val="right"/>
              <w:rPr>
                <w:noProof/>
                <w:sz w:val="16"/>
                <w:szCs w:val="16"/>
              </w:rPr>
            </w:pPr>
          </w:p>
        </w:tc>
        <w:tc>
          <w:tcPr>
            <w:tcW w:w="1080" w:type="dxa"/>
            <w:vAlign w:val="center"/>
          </w:tcPr>
          <w:p w:rsidR="003563AD" w:rsidRDefault="003563AD">
            <w:pPr>
              <w:spacing w:before="60" w:after="60" w:line="200" w:lineRule="exact"/>
              <w:jc w:val="right"/>
              <w:rPr>
                <w:noProof/>
                <w:sz w:val="16"/>
                <w:szCs w:val="16"/>
              </w:rPr>
            </w:pPr>
          </w:p>
        </w:tc>
        <w:tc>
          <w:tcPr>
            <w:tcW w:w="1080" w:type="dxa"/>
            <w:vAlign w:val="center"/>
          </w:tcPr>
          <w:p w:rsidR="003563AD" w:rsidRDefault="003563AD">
            <w:pPr>
              <w:spacing w:before="60" w:after="60" w:line="200" w:lineRule="exact"/>
              <w:jc w:val="right"/>
              <w:rPr>
                <w:b/>
                <w:noProof/>
                <w:sz w:val="16"/>
                <w:szCs w:val="16"/>
              </w:rPr>
            </w:pPr>
          </w:p>
        </w:tc>
        <w:tc>
          <w:tcPr>
            <w:tcW w:w="1080" w:type="dxa"/>
            <w:vAlign w:val="center"/>
          </w:tcPr>
          <w:p w:rsidR="003563AD" w:rsidRDefault="003563AD">
            <w:pPr>
              <w:spacing w:before="60" w:after="60" w:line="200" w:lineRule="exact"/>
              <w:jc w:val="right"/>
              <w:rPr>
                <w:b/>
                <w:noProof/>
                <w:sz w:val="16"/>
                <w:szCs w:val="16"/>
              </w:rPr>
            </w:pPr>
          </w:p>
        </w:tc>
      </w:tr>
      <w:tr w:rsidR="003563AD">
        <w:trPr>
          <w:trHeight w:val="585"/>
        </w:trPr>
        <w:tc>
          <w:tcPr>
            <w:tcW w:w="2138" w:type="dxa"/>
            <w:shd w:val="clear" w:color="auto" w:fill="CCCCCC"/>
            <w:vAlign w:val="center"/>
          </w:tcPr>
          <w:p w:rsidR="003563AD" w:rsidRDefault="00251882">
            <w:pPr>
              <w:spacing w:before="60" w:after="60" w:line="200" w:lineRule="exact"/>
              <w:jc w:val="center"/>
              <w:rPr>
                <w:b/>
                <w:noProof/>
                <w:sz w:val="16"/>
                <w:szCs w:val="16"/>
              </w:rPr>
            </w:pPr>
            <w:r>
              <w:rPr>
                <w:b/>
                <w:noProof/>
              </w:rPr>
              <w:t>Mitmeaastase finantsraamistiku RUBRIIGI 5 vahesumma</w:t>
            </w:r>
            <w:r>
              <w:rPr>
                <w:b/>
                <w:noProof/>
                <w:sz w:val="16"/>
              </w:rPr>
              <w:t xml:space="preserve"> </w:t>
            </w:r>
          </w:p>
        </w:tc>
        <w:tc>
          <w:tcPr>
            <w:tcW w:w="922" w:type="dxa"/>
            <w:vAlign w:val="center"/>
          </w:tcPr>
          <w:p w:rsidR="003563AD" w:rsidRDefault="003563AD">
            <w:pPr>
              <w:spacing w:before="60" w:after="60" w:line="200" w:lineRule="exact"/>
              <w:jc w:val="right"/>
              <w:rPr>
                <w:noProof/>
                <w:sz w:val="16"/>
                <w:szCs w:val="16"/>
              </w:rPr>
            </w:pPr>
          </w:p>
        </w:tc>
        <w:tc>
          <w:tcPr>
            <w:tcW w:w="1080" w:type="dxa"/>
            <w:vAlign w:val="center"/>
          </w:tcPr>
          <w:p w:rsidR="003563AD" w:rsidRDefault="003563AD">
            <w:pPr>
              <w:spacing w:before="60" w:after="60" w:line="200" w:lineRule="exact"/>
              <w:jc w:val="right"/>
              <w:rPr>
                <w:noProof/>
                <w:sz w:val="16"/>
                <w:szCs w:val="16"/>
              </w:rPr>
            </w:pPr>
          </w:p>
        </w:tc>
        <w:tc>
          <w:tcPr>
            <w:tcW w:w="1080" w:type="dxa"/>
            <w:vAlign w:val="center"/>
          </w:tcPr>
          <w:p w:rsidR="003563AD" w:rsidRDefault="003563AD">
            <w:pPr>
              <w:spacing w:before="60" w:after="60" w:line="200" w:lineRule="exact"/>
              <w:jc w:val="right"/>
              <w:rPr>
                <w:noProof/>
                <w:sz w:val="16"/>
                <w:szCs w:val="16"/>
              </w:rPr>
            </w:pPr>
          </w:p>
        </w:tc>
        <w:tc>
          <w:tcPr>
            <w:tcW w:w="1080" w:type="dxa"/>
            <w:vAlign w:val="center"/>
          </w:tcPr>
          <w:p w:rsidR="003563AD" w:rsidRDefault="003563AD">
            <w:pPr>
              <w:spacing w:before="60" w:after="60" w:line="200" w:lineRule="exact"/>
              <w:jc w:val="right"/>
              <w:rPr>
                <w:noProof/>
                <w:sz w:val="16"/>
                <w:szCs w:val="16"/>
              </w:rPr>
            </w:pPr>
          </w:p>
        </w:tc>
        <w:tc>
          <w:tcPr>
            <w:tcW w:w="1080" w:type="dxa"/>
            <w:vAlign w:val="center"/>
          </w:tcPr>
          <w:p w:rsidR="003563AD" w:rsidRDefault="003563AD">
            <w:pPr>
              <w:spacing w:before="60" w:after="60" w:line="200" w:lineRule="exact"/>
              <w:jc w:val="right"/>
              <w:rPr>
                <w:noProof/>
                <w:sz w:val="16"/>
                <w:szCs w:val="16"/>
              </w:rPr>
            </w:pPr>
          </w:p>
        </w:tc>
        <w:tc>
          <w:tcPr>
            <w:tcW w:w="1080" w:type="dxa"/>
            <w:vAlign w:val="center"/>
          </w:tcPr>
          <w:p w:rsidR="003563AD" w:rsidRDefault="003563AD">
            <w:pPr>
              <w:spacing w:before="60" w:after="60" w:line="200" w:lineRule="exact"/>
              <w:jc w:val="right"/>
              <w:rPr>
                <w:noProof/>
                <w:sz w:val="16"/>
                <w:szCs w:val="16"/>
              </w:rPr>
            </w:pPr>
          </w:p>
        </w:tc>
        <w:tc>
          <w:tcPr>
            <w:tcW w:w="1080" w:type="dxa"/>
            <w:vAlign w:val="center"/>
          </w:tcPr>
          <w:p w:rsidR="003563AD" w:rsidRDefault="003563AD">
            <w:pPr>
              <w:spacing w:before="60" w:after="60" w:line="200" w:lineRule="exact"/>
              <w:jc w:val="right"/>
              <w:rPr>
                <w:b/>
                <w:noProof/>
                <w:sz w:val="16"/>
                <w:szCs w:val="16"/>
              </w:rPr>
            </w:pPr>
          </w:p>
        </w:tc>
        <w:tc>
          <w:tcPr>
            <w:tcW w:w="1080" w:type="dxa"/>
            <w:vAlign w:val="center"/>
          </w:tcPr>
          <w:p w:rsidR="003563AD" w:rsidRDefault="003563AD">
            <w:pPr>
              <w:spacing w:before="60" w:after="60" w:line="200" w:lineRule="exact"/>
              <w:jc w:val="right"/>
              <w:rPr>
                <w:b/>
                <w:noProof/>
                <w:sz w:val="16"/>
                <w:szCs w:val="16"/>
              </w:rPr>
            </w:pPr>
          </w:p>
        </w:tc>
      </w:tr>
    </w:tbl>
    <w:p w:rsidR="003563AD" w:rsidRDefault="003563AD">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138"/>
        <w:gridCol w:w="922"/>
        <w:gridCol w:w="1080"/>
        <w:gridCol w:w="1080"/>
        <w:gridCol w:w="1080"/>
        <w:gridCol w:w="1080"/>
        <w:gridCol w:w="1080"/>
        <w:gridCol w:w="1080"/>
        <w:gridCol w:w="1080"/>
      </w:tblGrid>
      <w:tr w:rsidR="003563AD">
        <w:trPr>
          <w:trHeight w:val="585"/>
        </w:trPr>
        <w:tc>
          <w:tcPr>
            <w:tcW w:w="2138" w:type="dxa"/>
            <w:shd w:val="clear" w:color="auto" w:fill="CCCCCC"/>
            <w:vAlign w:val="center"/>
          </w:tcPr>
          <w:p w:rsidR="003563AD" w:rsidRDefault="00251882">
            <w:pPr>
              <w:spacing w:before="60" w:after="60" w:line="200" w:lineRule="exact"/>
              <w:jc w:val="center"/>
              <w:rPr>
                <w:noProof/>
                <w:sz w:val="16"/>
                <w:szCs w:val="16"/>
              </w:rPr>
            </w:pPr>
            <w:r>
              <w:rPr>
                <w:b/>
                <w:noProof/>
              </w:rPr>
              <w:t>Mitmeaastase finantsraamistiku RUBRIIGIST 5</w:t>
            </w:r>
            <w:r>
              <w:rPr>
                <w:rStyle w:val="FootnoteReference"/>
                <w:b/>
                <w:noProof/>
              </w:rPr>
              <w:footnoteReference w:id="42"/>
            </w:r>
            <w:r>
              <w:rPr>
                <w:b/>
                <w:noProof/>
              </w:rPr>
              <w:t xml:space="preserve"> välja jäävad kulud</w:t>
            </w:r>
            <w:r>
              <w:rPr>
                <w:b/>
                <w:noProof/>
                <w:sz w:val="16"/>
              </w:rPr>
              <w:t xml:space="preserve"> </w:t>
            </w:r>
          </w:p>
          <w:p w:rsidR="003563AD" w:rsidRDefault="003563AD">
            <w:pPr>
              <w:spacing w:before="0" w:after="0" w:line="200" w:lineRule="exact"/>
              <w:jc w:val="center"/>
              <w:rPr>
                <w:b/>
                <w:noProof/>
                <w:sz w:val="16"/>
                <w:szCs w:val="16"/>
              </w:rPr>
            </w:pPr>
          </w:p>
        </w:tc>
        <w:tc>
          <w:tcPr>
            <w:tcW w:w="922" w:type="dxa"/>
            <w:vAlign w:val="center"/>
          </w:tcPr>
          <w:p w:rsidR="003563AD" w:rsidRDefault="003563AD">
            <w:pPr>
              <w:spacing w:before="60" w:after="60" w:line="200" w:lineRule="exact"/>
              <w:jc w:val="right"/>
              <w:rPr>
                <w:noProof/>
                <w:sz w:val="16"/>
                <w:szCs w:val="16"/>
              </w:rPr>
            </w:pPr>
          </w:p>
        </w:tc>
        <w:tc>
          <w:tcPr>
            <w:tcW w:w="1080" w:type="dxa"/>
            <w:vAlign w:val="center"/>
          </w:tcPr>
          <w:p w:rsidR="003563AD" w:rsidRDefault="003563AD">
            <w:pPr>
              <w:spacing w:before="60" w:after="60" w:line="200" w:lineRule="exact"/>
              <w:jc w:val="right"/>
              <w:rPr>
                <w:noProof/>
                <w:sz w:val="16"/>
                <w:szCs w:val="16"/>
              </w:rPr>
            </w:pPr>
          </w:p>
        </w:tc>
        <w:tc>
          <w:tcPr>
            <w:tcW w:w="1080" w:type="dxa"/>
            <w:vAlign w:val="center"/>
          </w:tcPr>
          <w:p w:rsidR="003563AD" w:rsidRDefault="003563AD">
            <w:pPr>
              <w:spacing w:before="60" w:after="60" w:line="200" w:lineRule="exact"/>
              <w:jc w:val="right"/>
              <w:rPr>
                <w:noProof/>
                <w:sz w:val="16"/>
                <w:szCs w:val="16"/>
              </w:rPr>
            </w:pPr>
          </w:p>
        </w:tc>
        <w:tc>
          <w:tcPr>
            <w:tcW w:w="1080" w:type="dxa"/>
            <w:vAlign w:val="center"/>
          </w:tcPr>
          <w:p w:rsidR="003563AD" w:rsidRDefault="003563AD">
            <w:pPr>
              <w:spacing w:before="60" w:after="60" w:line="200" w:lineRule="exact"/>
              <w:jc w:val="right"/>
              <w:rPr>
                <w:noProof/>
                <w:sz w:val="16"/>
                <w:szCs w:val="16"/>
              </w:rPr>
            </w:pPr>
          </w:p>
        </w:tc>
        <w:tc>
          <w:tcPr>
            <w:tcW w:w="1080" w:type="dxa"/>
            <w:vAlign w:val="center"/>
          </w:tcPr>
          <w:p w:rsidR="003563AD" w:rsidRDefault="003563AD">
            <w:pPr>
              <w:spacing w:before="60" w:after="60" w:line="200" w:lineRule="exact"/>
              <w:jc w:val="right"/>
              <w:rPr>
                <w:noProof/>
                <w:sz w:val="16"/>
                <w:szCs w:val="16"/>
              </w:rPr>
            </w:pPr>
          </w:p>
        </w:tc>
        <w:tc>
          <w:tcPr>
            <w:tcW w:w="1080" w:type="dxa"/>
            <w:vAlign w:val="center"/>
          </w:tcPr>
          <w:p w:rsidR="003563AD" w:rsidRDefault="003563AD">
            <w:pPr>
              <w:spacing w:before="60" w:after="60" w:line="200" w:lineRule="exact"/>
              <w:jc w:val="right"/>
              <w:rPr>
                <w:noProof/>
                <w:sz w:val="16"/>
                <w:szCs w:val="16"/>
              </w:rPr>
            </w:pPr>
          </w:p>
        </w:tc>
        <w:tc>
          <w:tcPr>
            <w:tcW w:w="1080" w:type="dxa"/>
            <w:vAlign w:val="center"/>
          </w:tcPr>
          <w:p w:rsidR="003563AD" w:rsidRDefault="003563AD">
            <w:pPr>
              <w:spacing w:before="60" w:after="60" w:line="200" w:lineRule="exact"/>
              <w:jc w:val="right"/>
              <w:rPr>
                <w:b/>
                <w:noProof/>
                <w:sz w:val="16"/>
                <w:szCs w:val="16"/>
              </w:rPr>
            </w:pPr>
          </w:p>
        </w:tc>
        <w:tc>
          <w:tcPr>
            <w:tcW w:w="1080" w:type="dxa"/>
            <w:vAlign w:val="center"/>
          </w:tcPr>
          <w:p w:rsidR="003563AD" w:rsidRDefault="003563AD">
            <w:pPr>
              <w:spacing w:before="60" w:after="60" w:line="200" w:lineRule="exact"/>
              <w:jc w:val="right"/>
              <w:rPr>
                <w:b/>
                <w:noProof/>
                <w:sz w:val="16"/>
                <w:szCs w:val="16"/>
              </w:rPr>
            </w:pPr>
          </w:p>
        </w:tc>
      </w:tr>
      <w:tr w:rsidR="003563AD">
        <w:trPr>
          <w:trHeight w:val="585"/>
        </w:trPr>
        <w:tc>
          <w:tcPr>
            <w:tcW w:w="2138" w:type="dxa"/>
            <w:vAlign w:val="center"/>
          </w:tcPr>
          <w:p w:rsidR="003563AD" w:rsidRDefault="00251882">
            <w:pPr>
              <w:spacing w:before="60" w:after="60" w:line="200" w:lineRule="exact"/>
              <w:ind w:left="72"/>
              <w:jc w:val="left"/>
              <w:rPr>
                <w:noProof/>
                <w:sz w:val="16"/>
                <w:szCs w:val="16"/>
              </w:rPr>
            </w:pPr>
            <w:r>
              <w:rPr>
                <w:noProof/>
                <w:sz w:val="16"/>
              </w:rPr>
              <w:t xml:space="preserve">Personal </w:t>
            </w:r>
          </w:p>
        </w:tc>
        <w:tc>
          <w:tcPr>
            <w:tcW w:w="922" w:type="dxa"/>
            <w:vAlign w:val="center"/>
          </w:tcPr>
          <w:p w:rsidR="003563AD" w:rsidRDefault="003563AD">
            <w:pPr>
              <w:spacing w:before="60" w:after="60" w:line="200" w:lineRule="exact"/>
              <w:jc w:val="right"/>
              <w:rPr>
                <w:noProof/>
                <w:sz w:val="16"/>
                <w:szCs w:val="16"/>
              </w:rPr>
            </w:pPr>
          </w:p>
        </w:tc>
        <w:tc>
          <w:tcPr>
            <w:tcW w:w="1080" w:type="dxa"/>
            <w:vAlign w:val="center"/>
          </w:tcPr>
          <w:p w:rsidR="003563AD" w:rsidRDefault="003563AD">
            <w:pPr>
              <w:spacing w:before="60" w:after="60" w:line="200" w:lineRule="exact"/>
              <w:jc w:val="right"/>
              <w:rPr>
                <w:noProof/>
                <w:sz w:val="16"/>
                <w:szCs w:val="16"/>
              </w:rPr>
            </w:pPr>
          </w:p>
        </w:tc>
        <w:tc>
          <w:tcPr>
            <w:tcW w:w="1080" w:type="dxa"/>
            <w:vAlign w:val="center"/>
          </w:tcPr>
          <w:p w:rsidR="003563AD" w:rsidRDefault="003563AD">
            <w:pPr>
              <w:spacing w:before="60" w:after="60" w:line="200" w:lineRule="exact"/>
              <w:jc w:val="right"/>
              <w:rPr>
                <w:noProof/>
                <w:sz w:val="16"/>
                <w:szCs w:val="16"/>
              </w:rPr>
            </w:pPr>
          </w:p>
        </w:tc>
        <w:tc>
          <w:tcPr>
            <w:tcW w:w="1080" w:type="dxa"/>
            <w:vAlign w:val="center"/>
          </w:tcPr>
          <w:p w:rsidR="003563AD" w:rsidRDefault="003563AD">
            <w:pPr>
              <w:spacing w:before="60" w:after="60" w:line="200" w:lineRule="exact"/>
              <w:jc w:val="right"/>
              <w:rPr>
                <w:noProof/>
                <w:sz w:val="16"/>
                <w:szCs w:val="16"/>
              </w:rPr>
            </w:pPr>
          </w:p>
        </w:tc>
        <w:tc>
          <w:tcPr>
            <w:tcW w:w="1080" w:type="dxa"/>
            <w:vAlign w:val="center"/>
          </w:tcPr>
          <w:p w:rsidR="003563AD" w:rsidRDefault="003563AD">
            <w:pPr>
              <w:spacing w:before="60" w:after="60" w:line="200" w:lineRule="exact"/>
              <w:jc w:val="right"/>
              <w:rPr>
                <w:noProof/>
                <w:sz w:val="16"/>
                <w:szCs w:val="16"/>
              </w:rPr>
            </w:pPr>
          </w:p>
        </w:tc>
        <w:tc>
          <w:tcPr>
            <w:tcW w:w="1080" w:type="dxa"/>
            <w:vAlign w:val="center"/>
          </w:tcPr>
          <w:p w:rsidR="003563AD" w:rsidRDefault="003563AD">
            <w:pPr>
              <w:spacing w:before="60" w:after="60" w:line="200" w:lineRule="exact"/>
              <w:jc w:val="right"/>
              <w:rPr>
                <w:noProof/>
                <w:sz w:val="16"/>
                <w:szCs w:val="16"/>
              </w:rPr>
            </w:pPr>
          </w:p>
        </w:tc>
        <w:tc>
          <w:tcPr>
            <w:tcW w:w="1080" w:type="dxa"/>
            <w:vAlign w:val="center"/>
          </w:tcPr>
          <w:p w:rsidR="003563AD" w:rsidRDefault="003563AD">
            <w:pPr>
              <w:spacing w:before="60" w:after="60" w:line="200" w:lineRule="exact"/>
              <w:jc w:val="right"/>
              <w:rPr>
                <w:b/>
                <w:noProof/>
                <w:sz w:val="16"/>
                <w:szCs w:val="16"/>
              </w:rPr>
            </w:pPr>
          </w:p>
        </w:tc>
        <w:tc>
          <w:tcPr>
            <w:tcW w:w="1080" w:type="dxa"/>
            <w:vAlign w:val="center"/>
          </w:tcPr>
          <w:p w:rsidR="003563AD" w:rsidRDefault="003563AD">
            <w:pPr>
              <w:spacing w:before="60" w:after="60" w:line="200" w:lineRule="exact"/>
              <w:jc w:val="right"/>
              <w:rPr>
                <w:b/>
                <w:noProof/>
                <w:sz w:val="16"/>
                <w:szCs w:val="16"/>
              </w:rPr>
            </w:pPr>
          </w:p>
        </w:tc>
      </w:tr>
      <w:tr w:rsidR="003563AD">
        <w:trPr>
          <w:trHeight w:val="585"/>
        </w:trPr>
        <w:tc>
          <w:tcPr>
            <w:tcW w:w="2138" w:type="dxa"/>
            <w:vAlign w:val="center"/>
          </w:tcPr>
          <w:p w:rsidR="003563AD" w:rsidRDefault="00251882">
            <w:pPr>
              <w:spacing w:before="60" w:after="60" w:line="200" w:lineRule="exact"/>
              <w:ind w:left="72"/>
              <w:jc w:val="left"/>
              <w:rPr>
                <w:noProof/>
                <w:sz w:val="16"/>
                <w:szCs w:val="16"/>
              </w:rPr>
            </w:pPr>
            <w:r>
              <w:rPr>
                <w:noProof/>
              </w:rPr>
              <w:t>Muud halduskulud</w:t>
            </w:r>
          </w:p>
        </w:tc>
        <w:tc>
          <w:tcPr>
            <w:tcW w:w="922" w:type="dxa"/>
            <w:vAlign w:val="center"/>
          </w:tcPr>
          <w:p w:rsidR="003563AD" w:rsidRDefault="003563AD">
            <w:pPr>
              <w:spacing w:before="60" w:after="60" w:line="200" w:lineRule="exact"/>
              <w:jc w:val="right"/>
              <w:rPr>
                <w:noProof/>
                <w:sz w:val="16"/>
                <w:szCs w:val="16"/>
              </w:rPr>
            </w:pPr>
          </w:p>
        </w:tc>
        <w:tc>
          <w:tcPr>
            <w:tcW w:w="1080" w:type="dxa"/>
            <w:vAlign w:val="center"/>
          </w:tcPr>
          <w:p w:rsidR="003563AD" w:rsidRDefault="003563AD">
            <w:pPr>
              <w:spacing w:before="60" w:after="60" w:line="200" w:lineRule="exact"/>
              <w:jc w:val="right"/>
              <w:rPr>
                <w:noProof/>
                <w:sz w:val="16"/>
                <w:szCs w:val="16"/>
              </w:rPr>
            </w:pPr>
          </w:p>
        </w:tc>
        <w:tc>
          <w:tcPr>
            <w:tcW w:w="1080" w:type="dxa"/>
            <w:vAlign w:val="center"/>
          </w:tcPr>
          <w:p w:rsidR="003563AD" w:rsidRDefault="003563AD">
            <w:pPr>
              <w:spacing w:before="60" w:after="60" w:line="200" w:lineRule="exact"/>
              <w:jc w:val="right"/>
              <w:rPr>
                <w:noProof/>
                <w:sz w:val="16"/>
                <w:szCs w:val="16"/>
              </w:rPr>
            </w:pPr>
          </w:p>
        </w:tc>
        <w:tc>
          <w:tcPr>
            <w:tcW w:w="1080" w:type="dxa"/>
            <w:vAlign w:val="center"/>
          </w:tcPr>
          <w:p w:rsidR="003563AD" w:rsidRDefault="003563AD">
            <w:pPr>
              <w:spacing w:before="60" w:after="60" w:line="200" w:lineRule="exact"/>
              <w:jc w:val="right"/>
              <w:rPr>
                <w:noProof/>
                <w:sz w:val="16"/>
                <w:szCs w:val="16"/>
              </w:rPr>
            </w:pPr>
          </w:p>
        </w:tc>
        <w:tc>
          <w:tcPr>
            <w:tcW w:w="1080" w:type="dxa"/>
            <w:vAlign w:val="center"/>
          </w:tcPr>
          <w:p w:rsidR="003563AD" w:rsidRDefault="003563AD">
            <w:pPr>
              <w:spacing w:before="60" w:after="60" w:line="200" w:lineRule="exact"/>
              <w:jc w:val="right"/>
              <w:rPr>
                <w:noProof/>
                <w:sz w:val="16"/>
                <w:szCs w:val="16"/>
              </w:rPr>
            </w:pPr>
          </w:p>
        </w:tc>
        <w:tc>
          <w:tcPr>
            <w:tcW w:w="1080" w:type="dxa"/>
            <w:vAlign w:val="center"/>
          </w:tcPr>
          <w:p w:rsidR="003563AD" w:rsidRDefault="003563AD">
            <w:pPr>
              <w:spacing w:before="60" w:after="60" w:line="200" w:lineRule="exact"/>
              <w:jc w:val="right"/>
              <w:rPr>
                <w:noProof/>
                <w:sz w:val="16"/>
                <w:szCs w:val="16"/>
              </w:rPr>
            </w:pPr>
          </w:p>
        </w:tc>
        <w:tc>
          <w:tcPr>
            <w:tcW w:w="1080" w:type="dxa"/>
            <w:vAlign w:val="center"/>
          </w:tcPr>
          <w:p w:rsidR="003563AD" w:rsidRDefault="003563AD">
            <w:pPr>
              <w:spacing w:before="60" w:after="60" w:line="200" w:lineRule="exact"/>
              <w:jc w:val="right"/>
              <w:rPr>
                <w:b/>
                <w:noProof/>
                <w:sz w:val="16"/>
                <w:szCs w:val="16"/>
              </w:rPr>
            </w:pPr>
          </w:p>
        </w:tc>
        <w:tc>
          <w:tcPr>
            <w:tcW w:w="1080" w:type="dxa"/>
            <w:vAlign w:val="center"/>
          </w:tcPr>
          <w:p w:rsidR="003563AD" w:rsidRDefault="003563AD">
            <w:pPr>
              <w:spacing w:before="60" w:after="60" w:line="200" w:lineRule="exact"/>
              <w:jc w:val="right"/>
              <w:rPr>
                <w:b/>
                <w:noProof/>
                <w:sz w:val="16"/>
                <w:szCs w:val="16"/>
              </w:rPr>
            </w:pPr>
          </w:p>
        </w:tc>
      </w:tr>
      <w:tr w:rsidR="003563AD">
        <w:trPr>
          <w:trHeight w:val="585"/>
        </w:trPr>
        <w:tc>
          <w:tcPr>
            <w:tcW w:w="2138" w:type="dxa"/>
            <w:shd w:val="clear" w:color="auto" w:fill="CCCCCC"/>
            <w:vAlign w:val="center"/>
          </w:tcPr>
          <w:p w:rsidR="003563AD" w:rsidRDefault="00251882">
            <w:pPr>
              <w:spacing w:before="60" w:after="60" w:line="200" w:lineRule="exact"/>
              <w:jc w:val="center"/>
              <w:rPr>
                <w:b/>
                <w:noProof/>
                <w:sz w:val="16"/>
                <w:szCs w:val="16"/>
              </w:rPr>
            </w:pPr>
            <w:r>
              <w:rPr>
                <w:b/>
                <w:noProof/>
              </w:rPr>
              <w:t>Mitmeaastase finantsraamistiku RUBRIIGIST 5 välja jäävate kulude vahesumma</w:t>
            </w:r>
            <w:r>
              <w:rPr>
                <w:b/>
                <w:noProof/>
                <w:sz w:val="16"/>
              </w:rPr>
              <w:t xml:space="preserve"> </w:t>
            </w:r>
          </w:p>
        </w:tc>
        <w:tc>
          <w:tcPr>
            <w:tcW w:w="922" w:type="dxa"/>
            <w:vAlign w:val="center"/>
          </w:tcPr>
          <w:p w:rsidR="003563AD" w:rsidRDefault="003563AD">
            <w:pPr>
              <w:spacing w:before="60" w:after="60" w:line="200" w:lineRule="exact"/>
              <w:jc w:val="right"/>
              <w:rPr>
                <w:noProof/>
                <w:sz w:val="16"/>
                <w:szCs w:val="16"/>
              </w:rPr>
            </w:pPr>
          </w:p>
        </w:tc>
        <w:tc>
          <w:tcPr>
            <w:tcW w:w="1080" w:type="dxa"/>
            <w:vAlign w:val="center"/>
          </w:tcPr>
          <w:p w:rsidR="003563AD" w:rsidRDefault="003563AD">
            <w:pPr>
              <w:spacing w:before="60" w:after="60" w:line="200" w:lineRule="exact"/>
              <w:jc w:val="right"/>
              <w:rPr>
                <w:noProof/>
                <w:sz w:val="16"/>
                <w:szCs w:val="16"/>
              </w:rPr>
            </w:pPr>
          </w:p>
        </w:tc>
        <w:tc>
          <w:tcPr>
            <w:tcW w:w="1080" w:type="dxa"/>
            <w:vAlign w:val="center"/>
          </w:tcPr>
          <w:p w:rsidR="003563AD" w:rsidRDefault="003563AD">
            <w:pPr>
              <w:spacing w:before="60" w:after="60" w:line="200" w:lineRule="exact"/>
              <w:jc w:val="right"/>
              <w:rPr>
                <w:noProof/>
                <w:sz w:val="16"/>
                <w:szCs w:val="16"/>
              </w:rPr>
            </w:pPr>
          </w:p>
        </w:tc>
        <w:tc>
          <w:tcPr>
            <w:tcW w:w="1080" w:type="dxa"/>
            <w:vAlign w:val="center"/>
          </w:tcPr>
          <w:p w:rsidR="003563AD" w:rsidRDefault="003563AD">
            <w:pPr>
              <w:spacing w:before="60" w:after="60" w:line="200" w:lineRule="exact"/>
              <w:jc w:val="right"/>
              <w:rPr>
                <w:noProof/>
                <w:sz w:val="16"/>
                <w:szCs w:val="16"/>
              </w:rPr>
            </w:pPr>
          </w:p>
        </w:tc>
        <w:tc>
          <w:tcPr>
            <w:tcW w:w="1080" w:type="dxa"/>
            <w:vAlign w:val="center"/>
          </w:tcPr>
          <w:p w:rsidR="003563AD" w:rsidRDefault="003563AD">
            <w:pPr>
              <w:spacing w:before="60" w:after="60" w:line="200" w:lineRule="exact"/>
              <w:jc w:val="right"/>
              <w:rPr>
                <w:noProof/>
                <w:sz w:val="16"/>
                <w:szCs w:val="16"/>
              </w:rPr>
            </w:pPr>
          </w:p>
        </w:tc>
        <w:tc>
          <w:tcPr>
            <w:tcW w:w="1080" w:type="dxa"/>
            <w:vAlign w:val="center"/>
          </w:tcPr>
          <w:p w:rsidR="003563AD" w:rsidRDefault="003563AD">
            <w:pPr>
              <w:spacing w:before="60" w:after="60" w:line="200" w:lineRule="exact"/>
              <w:jc w:val="right"/>
              <w:rPr>
                <w:noProof/>
                <w:sz w:val="16"/>
                <w:szCs w:val="16"/>
              </w:rPr>
            </w:pPr>
          </w:p>
        </w:tc>
        <w:tc>
          <w:tcPr>
            <w:tcW w:w="1080" w:type="dxa"/>
            <w:vAlign w:val="center"/>
          </w:tcPr>
          <w:p w:rsidR="003563AD" w:rsidRDefault="003563AD">
            <w:pPr>
              <w:spacing w:before="60" w:after="60" w:line="200" w:lineRule="exact"/>
              <w:jc w:val="right"/>
              <w:rPr>
                <w:b/>
                <w:noProof/>
                <w:sz w:val="16"/>
                <w:szCs w:val="16"/>
              </w:rPr>
            </w:pPr>
          </w:p>
        </w:tc>
        <w:tc>
          <w:tcPr>
            <w:tcW w:w="1080" w:type="dxa"/>
            <w:vAlign w:val="center"/>
          </w:tcPr>
          <w:p w:rsidR="003563AD" w:rsidRDefault="003563AD">
            <w:pPr>
              <w:spacing w:before="60" w:after="60" w:line="200" w:lineRule="exact"/>
              <w:jc w:val="right"/>
              <w:rPr>
                <w:b/>
                <w:noProof/>
                <w:sz w:val="16"/>
                <w:szCs w:val="16"/>
              </w:rPr>
            </w:pPr>
          </w:p>
        </w:tc>
      </w:tr>
    </w:tbl>
    <w:p w:rsidR="003563AD" w:rsidRDefault="003563AD">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3563AD">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3563AD" w:rsidRDefault="00251882">
            <w:pPr>
              <w:spacing w:before="60" w:after="60" w:line="200" w:lineRule="exact"/>
              <w:jc w:val="center"/>
              <w:rPr>
                <w:noProof/>
                <w:sz w:val="16"/>
                <w:szCs w:val="16"/>
              </w:rPr>
            </w:pPr>
            <w:r>
              <w:rPr>
                <w:b/>
                <w:noProof/>
                <w:sz w:val="16"/>
              </w:rPr>
              <w:t>KOKKU</w:t>
            </w:r>
          </w:p>
        </w:tc>
        <w:tc>
          <w:tcPr>
            <w:tcW w:w="1080" w:type="dxa"/>
            <w:tcBorders>
              <w:top w:val="single" w:sz="12" w:space="0" w:color="auto"/>
              <w:left w:val="single" w:sz="2" w:space="0" w:color="auto"/>
              <w:bottom w:val="single" w:sz="12" w:space="0" w:color="auto"/>
              <w:right w:val="single" w:sz="2" w:space="0" w:color="auto"/>
            </w:tcBorders>
            <w:vAlign w:val="center"/>
          </w:tcPr>
          <w:p w:rsidR="003563AD" w:rsidRDefault="003563AD">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3563AD" w:rsidRDefault="003563AD">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3563AD" w:rsidRDefault="003563AD">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3563AD" w:rsidRDefault="003563AD">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3563AD" w:rsidRDefault="003563AD">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3563AD" w:rsidRDefault="003563AD">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3563AD" w:rsidRDefault="003563AD">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rsidR="003563AD" w:rsidRDefault="003563AD">
            <w:pPr>
              <w:spacing w:before="60" w:after="60" w:line="200" w:lineRule="exact"/>
              <w:jc w:val="right"/>
              <w:rPr>
                <w:b/>
                <w:noProof/>
                <w:sz w:val="16"/>
                <w:szCs w:val="16"/>
              </w:rPr>
            </w:pPr>
          </w:p>
        </w:tc>
      </w:tr>
    </w:tbl>
    <w:p w:rsidR="003563AD" w:rsidRDefault="00251882">
      <w:pPr>
        <w:rPr>
          <w:noProof/>
          <w:sz w:val="18"/>
        </w:rPr>
        <w:sectPr w:rsidR="003563AD">
          <w:headerReference w:type="default" r:id="rId18"/>
          <w:footerReference w:type="default" r:id="rId19"/>
          <w:headerReference w:type="first" r:id="rId20"/>
          <w:footerReference w:type="first" r:id="rId21"/>
          <w:pgSz w:w="11907" w:h="16840"/>
          <w:pgMar w:top="1134" w:right="1418" w:bottom="1134" w:left="1418" w:header="709" w:footer="709" w:gutter="0"/>
          <w:cols w:space="708"/>
          <w:docGrid w:linePitch="360"/>
        </w:sectPr>
      </w:pPr>
      <w:r>
        <w:rPr>
          <w:noProof/>
          <w:sz w:val="18"/>
        </w:rPr>
        <w:t>Personali ja muude halduskuludega seotud assigneeringute vajadused kaetakse asjaomase peadirektoraadi poolt kõnealuse meetme haldamiseks juba antud ja/või ümberpaigutatud assi</w:t>
      </w:r>
      <w:r>
        <w:rPr>
          <w:noProof/>
          <w:sz w:val="18"/>
        </w:rPr>
        <w:t>gneeringute raames, täiendades neid vajaduse korral täiendava te assigneeringutega, mida võidakse anda haldavale peadirektoraadile iga-aastase vahendite eraldamise menetluse käigus, arvestades eelarvepiirangutega.</w:t>
      </w:r>
    </w:p>
    <w:p w:rsidR="003563AD" w:rsidRDefault="00251882">
      <w:pPr>
        <w:pStyle w:val="ManualHeading4"/>
        <w:rPr>
          <w:bCs/>
          <w:noProof/>
          <w:szCs w:val="24"/>
        </w:rPr>
      </w:pPr>
      <w:r>
        <w:t>3.2.3.2.</w:t>
      </w:r>
      <w:r>
        <w:tab/>
      </w:r>
      <w:r>
        <w:rPr>
          <w:noProof/>
        </w:rPr>
        <w:t>Hinnanguline personalivajadus</w:t>
      </w:r>
    </w:p>
    <w:p w:rsidR="003563AD" w:rsidRDefault="00251882">
      <w:pPr>
        <w:pStyle w:val="ListDash1"/>
        <w:rPr>
          <w:noProof/>
        </w:rPr>
      </w:pPr>
      <w:r>
        <w:rPr>
          <w:rFonts w:ascii="Wingdings" w:hAnsi="Wingdings"/>
          <w:noProof/>
        </w:rPr>
        <w:t></w:t>
      </w:r>
      <w:r>
        <w:rPr>
          <w:noProof/>
        </w:rPr>
        <w:tab/>
        <w:t>E</w:t>
      </w:r>
      <w:r>
        <w:rPr>
          <w:noProof/>
        </w:rPr>
        <w:t xml:space="preserve">ttepanek/algatus ei nõua personali kasutamist </w:t>
      </w:r>
    </w:p>
    <w:p w:rsidR="003563AD" w:rsidRDefault="00251882">
      <w:pPr>
        <w:pStyle w:val="ListDash1"/>
        <w:rPr>
          <w:noProof/>
        </w:rPr>
      </w:pPr>
      <w:r>
        <w:rPr>
          <w:noProof/>
        </w:rPr>
        <w:sym w:font="Wingdings" w:char="F0A8"/>
      </w:r>
      <w:r>
        <w:rPr>
          <w:noProof/>
        </w:rPr>
        <w:tab/>
        <w:t>Ettepanek/algatus hõlmab personali kasutamist, mis toimub järgmiselt:</w:t>
      </w:r>
    </w:p>
    <w:p w:rsidR="003563AD" w:rsidRDefault="00251882">
      <w:pPr>
        <w:spacing w:after="60"/>
        <w:jc w:val="right"/>
        <w:rPr>
          <w:i/>
          <w:noProof/>
          <w:sz w:val="20"/>
        </w:rPr>
      </w:pPr>
      <w:r>
        <w:rPr>
          <w:i/>
          <w:noProof/>
          <w:sz w:val="20"/>
        </w:rPr>
        <w:t>Hinnang täistööaja ekvivalendina</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
        <w:gridCol w:w="1952"/>
        <w:gridCol w:w="1954"/>
        <w:gridCol w:w="805"/>
        <w:gridCol w:w="851"/>
        <w:gridCol w:w="3118"/>
        <w:gridCol w:w="710"/>
        <w:gridCol w:w="420"/>
        <w:gridCol w:w="237"/>
        <w:gridCol w:w="237"/>
      </w:tblGrid>
      <w:tr w:rsidR="003563AD">
        <w:trPr>
          <w:gridBefore w:val="1"/>
          <w:wBefore w:w="6" w:type="pct"/>
          <w:trHeight w:val="289"/>
          <w:jc w:val="center"/>
        </w:trPr>
        <w:tc>
          <w:tcPr>
            <w:tcW w:w="1897" w:type="pct"/>
            <w:gridSpan w:val="2"/>
            <w:shd w:val="clear" w:color="auto" w:fill="auto"/>
          </w:tcPr>
          <w:p w:rsidR="003563AD" w:rsidRDefault="003563AD">
            <w:pPr>
              <w:pStyle w:val="Text1"/>
              <w:spacing w:before="40" w:after="40"/>
              <w:ind w:left="0"/>
              <w:jc w:val="center"/>
              <w:rPr>
                <w:i/>
                <w:noProof/>
                <w:sz w:val="16"/>
                <w:szCs w:val="16"/>
              </w:rPr>
            </w:pPr>
          </w:p>
        </w:tc>
        <w:tc>
          <w:tcPr>
            <w:tcW w:w="391" w:type="pct"/>
            <w:shd w:val="clear" w:color="auto" w:fill="auto"/>
            <w:vAlign w:val="center"/>
          </w:tcPr>
          <w:p w:rsidR="003563AD" w:rsidRDefault="00251882">
            <w:pPr>
              <w:spacing w:before="20" w:after="20"/>
              <w:jc w:val="center"/>
              <w:rPr>
                <w:noProof/>
                <w:sz w:val="16"/>
                <w:szCs w:val="16"/>
              </w:rPr>
            </w:pPr>
            <w:r>
              <w:rPr>
                <w:noProof/>
              </w:rPr>
              <w:t>Aasta</w:t>
            </w:r>
            <w:r>
              <w:rPr>
                <w:noProof/>
                <w:sz w:val="22"/>
              </w:rPr>
              <w:br/>
            </w:r>
            <w:r>
              <w:rPr>
                <w:b/>
                <w:noProof/>
                <w:sz w:val="16"/>
              </w:rPr>
              <w:t>N</w:t>
            </w:r>
          </w:p>
        </w:tc>
        <w:tc>
          <w:tcPr>
            <w:tcW w:w="413" w:type="pct"/>
            <w:shd w:val="clear" w:color="auto" w:fill="auto"/>
            <w:vAlign w:val="center"/>
          </w:tcPr>
          <w:p w:rsidR="003563AD" w:rsidRDefault="00251882">
            <w:pPr>
              <w:spacing w:before="20" w:after="20"/>
              <w:jc w:val="center"/>
              <w:rPr>
                <w:noProof/>
                <w:sz w:val="16"/>
                <w:szCs w:val="16"/>
              </w:rPr>
            </w:pPr>
            <w:r>
              <w:rPr>
                <w:noProof/>
              </w:rPr>
              <w:t>Aasta</w:t>
            </w:r>
            <w:r>
              <w:rPr>
                <w:noProof/>
                <w:sz w:val="22"/>
              </w:rPr>
              <w:br/>
            </w:r>
            <w:r>
              <w:rPr>
                <w:b/>
                <w:noProof/>
                <w:sz w:val="16"/>
              </w:rPr>
              <w:t>N+1</w:t>
            </w:r>
          </w:p>
        </w:tc>
        <w:tc>
          <w:tcPr>
            <w:tcW w:w="1514" w:type="pct"/>
            <w:shd w:val="clear" w:color="auto" w:fill="auto"/>
            <w:vAlign w:val="center"/>
          </w:tcPr>
          <w:p w:rsidR="003563AD" w:rsidRDefault="00251882">
            <w:pPr>
              <w:spacing w:before="20" w:after="20"/>
              <w:jc w:val="center"/>
              <w:rPr>
                <w:noProof/>
                <w:sz w:val="16"/>
                <w:szCs w:val="16"/>
              </w:rPr>
            </w:pPr>
            <w:r>
              <w:rPr>
                <w:noProof/>
                <w:sz w:val="16"/>
              </w:rPr>
              <w:t xml:space="preserve">Aasta </w:t>
            </w:r>
            <w:r>
              <w:rPr>
                <w:b/>
                <w:noProof/>
                <w:sz w:val="16"/>
              </w:rPr>
              <w:t>N+2</w:t>
            </w:r>
          </w:p>
        </w:tc>
        <w:tc>
          <w:tcPr>
            <w:tcW w:w="345" w:type="pct"/>
            <w:shd w:val="clear" w:color="auto" w:fill="auto"/>
            <w:vAlign w:val="center"/>
          </w:tcPr>
          <w:p w:rsidR="003563AD" w:rsidRDefault="00251882">
            <w:pPr>
              <w:spacing w:before="20" w:after="20"/>
              <w:jc w:val="center"/>
              <w:rPr>
                <w:noProof/>
                <w:sz w:val="16"/>
                <w:szCs w:val="16"/>
              </w:rPr>
            </w:pPr>
            <w:r>
              <w:rPr>
                <w:noProof/>
                <w:sz w:val="16"/>
              </w:rPr>
              <w:t xml:space="preserve">Aasta </w:t>
            </w:r>
            <w:r>
              <w:rPr>
                <w:b/>
                <w:noProof/>
                <w:sz w:val="16"/>
              </w:rPr>
              <w:t>N+3</w:t>
            </w:r>
          </w:p>
        </w:tc>
        <w:tc>
          <w:tcPr>
            <w:tcW w:w="434" w:type="pct"/>
            <w:gridSpan w:val="3"/>
            <w:shd w:val="clear" w:color="auto" w:fill="auto"/>
            <w:vAlign w:val="center"/>
          </w:tcPr>
          <w:p w:rsidR="003563AD" w:rsidRDefault="00251882">
            <w:pPr>
              <w:jc w:val="center"/>
              <w:rPr>
                <w:b/>
                <w:noProof/>
                <w:sz w:val="16"/>
                <w:szCs w:val="16"/>
              </w:rPr>
            </w:pPr>
            <w:r>
              <w:rPr>
                <w:noProof/>
                <w:sz w:val="16"/>
              </w:rPr>
              <w:t xml:space="preserve">Lisage vajalik arv aastaid, et kajastada kogu finants-mõju (vt </w:t>
            </w:r>
            <w:r>
              <w:rPr>
                <w:noProof/>
                <w:sz w:val="16"/>
              </w:rPr>
              <w:t>punkt 1.6)</w:t>
            </w:r>
          </w:p>
        </w:tc>
      </w:tr>
      <w:tr w:rsidR="003563AD">
        <w:trPr>
          <w:gridBefore w:val="1"/>
          <w:wBefore w:w="6" w:type="pct"/>
          <w:trHeight w:val="289"/>
          <w:jc w:val="center"/>
        </w:trPr>
        <w:tc>
          <w:tcPr>
            <w:tcW w:w="4215" w:type="pct"/>
            <w:gridSpan w:val="5"/>
            <w:shd w:val="clear" w:color="auto" w:fill="auto"/>
          </w:tcPr>
          <w:p w:rsidR="003563AD" w:rsidRDefault="00251882">
            <w:pPr>
              <w:spacing w:before="20" w:after="20"/>
              <w:rPr>
                <w:noProof/>
                <w:sz w:val="16"/>
                <w:szCs w:val="16"/>
              </w:rPr>
            </w:pPr>
            <w:r>
              <w:rPr>
                <w:b/>
                <w:noProof/>
                <w:sz w:val="16"/>
              </w:rPr>
              <w:sym w:font="Wingdings" w:char="F09F"/>
            </w:r>
            <w:r>
              <w:rPr>
                <w:b/>
                <w:noProof/>
                <w:sz w:val="16"/>
              </w:rPr>
              <w:t xml:space="preserve"> </w:t>
            </w:r>
            <w:r>
              <w:rPr>
                <w:b/>
                <w:noProof/>
              </w:rPr>
              <w:t>Ametikohtade loeteluga ette nähtud ametikohad (ametnikud ja ajutised töötajad)</w:t>
            </w:r>
          </w:p>
        </w:tc>
        <w:tc>
          <w:tcPr>
            <w:tcW w:w="345" w:type="pct"/>
            <w:shd w:val="clear" w:color="auto" w:fill="auto"/>
            <w:vAlign w:val="center"/>
          </w:tcPr>
          <w:p w:rsidR="003563AD" w:rsidRDefault="003563AD">
            <w:pPr>
              <w:spacing w:before="20" w:after="20"/>
              <w:jc w:val="center"/>
              <w:rPr>
                <w:noProof/>
                <w:sz w:val="16"/>
                <w:szCs w:val="16"/>
              </w:rPr>
            </w:pPr>
          </w:p>
        </w:tc>
        <w:tc>
          <w:tcPr>
            <w:tcW w:w="434" w:type="pct"/>
            <w:gridSpan w:val="3"/>
            <w:shd w:val="clear" w:color="auto" w:fill="auto"/>
            <w:vAlign w:val="center"/>
          </w:tcPr>
          <w:p w:rsidR="003563AD" w:rsidRDefault="003563AD">
            <w:pPr>
              <w:jc w:val="center"/>
              <w:rPr>
                <w:noProof/>
                <w:sz w:val="16"/>
                <w:szCs w:val="16"/>
              </w:rPr>
            </w:pPr>
          </w:p>
        </w:tc>
      </w:tr>
      <w:tr w:rsidR="003563AD">
        <w:trPr>
          <w:gridBefore w:val="1"/>
          <w:wBefore w:w="6" w:type="pct"/>
          <w:trHeight w:val="289"/>
          <w:jc w:val="center"/>
        </w:trPr>
        <w:tc>
          <w:tcPr>
            <w:tcW w:w="1897" w:type="pct"/>
            <w:gridSpan w:val="2"/>
            <w:shd w:val="clear" w:color="auto" w:fill="auto"/>
            <w:vAlign w:val="center"/>
          </w:tcPr>
          <w:p w:rsidR="003563AD" w:rsidRDefault="00251882">
            <w:pPr>
              <w:pStyle w:val="Text1"/>
              <w:spacing w:beforeLines="20" w:before="48" w:afterLines="20" w:after="48"/>
              <w:ind w:left="134"/>
              <w:jc w:val="left"/>
              <w:rPr>
                <w:b/>
                <w:noProof/>
                <w:sz w:val="16"/>
                <w:szCs w:val="16"/>
              </w:rPr>
            </w:pPr>
            <w:r>
              <w:rPr>
                <w:noProof/>
                <w:sz w:val="16"/>
              </w:rPr>
              <w:t>XX 01 01 01 (komisjoni peakorteris ja esindustes)</w:t>
            </w:r>
          </w:p>
        </w:tc>
        <w:tc>
          <w:tcPr>
            <w:tcW w:w="391" w:type="pct"/>
            <w:shd w:val="clear" w:color="auto" w:fill="auto"/>
            <w:vAlign w:val="center"/>
          </w:tcPr>
          <w:p w:rsidR="003563AD" w:rsidRDefault="003563AD">
            <w:pPr>
              <w:spacing w:beforeLines="20" w:before="48" w:afterLines="20" w:after="48"/>
              <w:jc w:val="center"/>
              <w:rPr>
                <w:noProof/>
                <w:sz w:val="16"/>
                <w:szCs w:val="16"/>
              </w:rPr>
            </w:pPr>
          </w:p>
        </w:tc>
        <w:tc>
          <w:tcPr>
            <w:tcW w:w="413" w:type="pct"/>
            <w:shd w:val="clear" w:color="auto" w:fill="auto"/>
            <w:vAlign w:val="center"/>
          </w:tcPr>
          <w:p w:rsidR="003563AD" w:rsidRDefault="003563AD">
            <w:pPr>
              <w:spacing w:beforeLines="20" w:before="48" w:afterLines="20" w:after="48"/>
              <w:jc w:val="center"/>
              <w:rPr>
                <w:noProof/>
                <w:sz w:val="16"/>
                <w:szCs w:val="16"/>
              </w:rPr>
            </w:pPr>
          </w:p>
        </w:tc>
        <w:tc>
          <w:tcPr>
            <w:tcW w:w="1514" w:type="pct"/>
            <w:shd w:val="clear" w:color="auto" w:fill="auto"/>
            <w:vAlign w:val="center"/>
          </w:tcPr>
          <w:p w:rsidR="003563AD" w:rsidRDefault="003563AD">
            <w:pPr>
              <w:spacing w:beforeLines="20" w:before="48" w:afterLines="20" w:after="48"/>
              <w:jc w:val="center"/>
              <w:rPr>
                <w:noProof/>
                <w:sz w:val="16"/>
                <w:szCs w:val="16"/>
              </w:rPr>
            </w:pPr>
          </w:p>
        </w:tc>
        <w:tc>
          <w:tcPr>
            <w:tcW w:w="345" w:type="pct"/>
            <w:shd w:val="clear" w:color="auto" w:fill="auto"/>
            <w:vAlign w:val="center"/>
          </w:tcPr>
          <w:p w:rsidR="003563AD" w:rsidRDefault="003563AD">
            <w:pPr>
              <w:spacing w:beforeLines="20" w:before="48" w:afterLines="20" w:after="48"/>
              <w:jc w:val="center"/>
              <w:rPr>
                <w:noProof/>
                <w:sz w:val="16"/>
                <w:szCs w:val="16"/>
              </w:rPr>
            </w:pPr>
          </w:p>
        </w:tc>
        <w:tc>
          <w:tcPr>
            <w:tcW w:w="204" w:type="pct"/>
            <w:shd w:val="clear" w:color="auto" w:fill="auto"/>
            <w:vAlign w:val="center"/>
          </w:tcPr>
          <w:p w:rsidR="003563AD" w:rsidRDefault="003563AD">
            <w:pPr>
              <w:spacing w:beforeLines="20" w:before="48" w:afterLines="20" w:after="48"/>
              <w:jc w:val="center"/>
              <w:rPr>
                <w:noProof/>
                <w:sz w:val="16"/>
                <w:szCs w:val="16"/>
              </w:rPr>
            </w:pPr>
          </w:p>
        </w:tc>
        <w:tc>
          <w:tcPr>
            <w:tcW w:w="115" w:type="pct"/>
            <w:shd w:val="clear" w:color="auto" w:fill="auto"/>
            <w:vAlign w:val="center"/>
          </w:tcPr>
          <w:p w:rsidR="003563AD" w:rsidRDefault="003563AD">
            <w:pPr>
              <w:spacing w:beforeLines="20" w:before="48" w:afterLines="20" w:after="48"/>
              <w:jc w:val="center"/>
              <w:rPr>
                <w:noProof/>
                <w:sz w:val="16"/>
                <w:szCs w:val="16"/>
              </w:rPr>
            </w:pPr>
          </w:p>
        </w:tc>
        <w:tc>
          <w:tcPr>
            <w:tcW w:w="115" w:type="pct"/>
            <w:shd w:val="clear" w:color="auto" w:fill="auto"/>
            <w:vAlign w:val="center"/>
          </w:tcPr>
          <w:p w:rsidR="003563AD" w:rsidRDefault="003563AD">
            <w:pPr>
              <w:spacing w:beforeLines="20" w:before="48" w:afterLines="20" w:after="48"/>
              <w:jc w:val="center"/>
              <w:rPr>
                <w:noProof/>
                <w:sz w:val="16"/>
                <w:szCs w:val="16"/>
              </w:rPr>
            </w:pPr>
          </w:p>
        </w:tc>
      </w:tr>
      <w:tr w:rsidR="003563AD">
        <w:trPr>
          <w:gridBefore w:val="1"/>
          <w:wBefore w:w="6" w:type="pct"/>
          <w:trHeight w:val="289"/>
          <w:jc w:val="center"/>
        </w:trPr>
        <w:tc>
          <w:tcPr>
            <w:tcW w:w="1897" w:type="pct"/>
            <w:gridSpan w:val="2"/>
            <w:shd w:val="clear" w:color="auto" w:fill="auto"/>
            <w:vAlign w:val="center"/>
          </w:tcPr>
          <w:p w:rsidR="003563AD" w:rsidRDefault="00251882">
            <w:pPr>
              <w:pStyle w:val="Text1"/>
              <w:spacing w:beforeLines="20" w:before="48" w:afterLines="20" w:after="48"/>
              <w:ind w:left="134"/>
              <w:jc w:val="left"/>
              <w:rPr>
                <w:noProof/>
                <w:sz w:val="16"/>
                <w:szCs w:val="16"/>
              </w:rPr>
            </w:pPr>
            <w:r>
              <w:rPr>
                <w:noProof/>
                <w:sz w:val="16"/>
              </w:rPr>
              <w:t>XX 01 01 02 (delegatsioonides)</w:t>
            </w:r>
          </w:p>
        </w:tc>
        <w:tc>
          <w:tcPr>
            <w:tcW w:w="391" w:type="pct"/>
            <w:shd w:val="clear" w:color="auto" w:fill="auto"/>
            <w:vAlign w:val="center"/>
          </w:tcPr>
          <w:p w:rsidR="003563AD" w:rsidRDefault="003563AD">
            <w:pPr>
              <w:spacing w:beforeLines="20" w:before="48" w:afterLines="20" w:after="48"/>
              <w:jc w:val="center"/>
              <w:rPr>
                <w:noProof/>
                <w:sz w:val="16"/>
                <w:szCs w:val="16"/>
              </w:rPr>
            </w:pPr>
          </w:p>
        </w:tc>
        <w:tc>
          <w:tcPr>
            <w:tcW w:w="413" w:type="pct"/>
            <w:shd w:val="clear" w:color="auto" w:fill="auto"/>
            <w:vAlign w:val="center"/>
          </w:tcPr>
          <w:p w:rsidR="003563AD" w:rsidRDefault="003563AD">
            <w:pPr>
              <w:spacing w:beforeLines="20" w:before="48" w:afterLines="20" w:after="48"/>
              <w:jc w:val="center"/>
              <w:rPr>
                <w:noProof/>
                <w:sz w:val="16"/>
                <w:szCs w:val="16"/>
              </w:rPr>
            </w:pPr>
          </w:p>
        </w:tc>
        <w:tc>
          <w:tcPr>
            <w:tcW w:w="1514" w:type="pct"/>
            <w:shd w:val="clear" w:color="auto" w:fill="auto"/>
            <w:vAlign w:val="center"/>
          </w:tcPr>
          <w:p w:rsidR="003563AD" w:rsidRDefault="003563AD">
            <w:pPr>
              <w:spacing w:beforeLines="20" w:before="48" w:afterLines="20" w:after="48"/>
              <w:jc w:val="center"/>
              <w:rPr>
                <w:noProof/>
                <w:sz w:val="16"/>
                <w:szCs w:val="16"/>
              </w:rPr>
            </w:pPr>
          </w:p>
        </w:tc>
        <w:tc>
          <w:tcPr>
            <w:tcW w:w="345" w:type="pct"/>
            <w:shd w:val="clear" w:color="auto" w:fill="auto"/>
            <w:vAlign w:val="center"/>
          </w:tcPr>
          <w:p w:rsidR="003563AD" w:rsidRDefault="003563AD">
            <w:pPr>
              <w:spacing w:beforeLines="20" w:before="48" w:afterLines="20" w:after="48"/>
              <w:jc w:val="center"/>
              <w:rPr>
                <w:noProof/>
                <w:sz w:val="16"/>
                <w:szCs w:val="16"/>
              </w:rPr>
            </w:pPr>
          </w:p>
        </w:tc>
        <w:tc>
          <w:tcPr>
            <w:tcW w:w="204" w:type="pct"/>
            <w:shd w:val="clear" w:color="auto" w:fill="auto"/>
            <w:vAlign w:val="center"/>
          </w:tcPr>
          <w:p w:rsidR="003563AD" w:rsidRDefault="003563AD">
            <w:pPr>
              <w:spacing w:beforeLines="20" w:before="48" w:afterLines="20" w:after="48"/>
              <w:jc w:val="center"/>
              <w:rPr>
                <w:noProof/>
                <w:sz w:val="16"/>
                <w:szCs w:val="16"/>
              </w:rPr>
            </w:pPr>
          </w:p>
        </w:tc>
        <w:tc>
          <w:tcPr>
            <w:tcW w:w="115" w:type="pct"/>
            <w:shd w:val="clear" w:color="auto" w:fill="auto"/>
            <w:vAlign w:val="center"/>
          </w:tcPr>
          <w:p w:rsidR="003563AD" w:rsidRDefault="003563AD">
            <w:pPr>
              <w:spacing w:beforeLines="20" w:before="48" w:afterLines="20" w:after="48"/>
              <w:jc w:val="center"/>
              <w:rPr>
                <w:noProof/>
                <w:sz w:val="16"/>
                <w:szCs w:val="16"/>
              </w:rPr>
            </w:pPr>
          </w:p>
        </w:tc>
        <w:tc>
          <w:tcPr>
            <w:tcW w:w="115" w:type="pct"/>
            <w:shd w:val="clear" w:color="auto" w:fill="auto"/>
            <w:vAlign w:val="center"/>
          </w:tcPr>
          <w:p w:rsidR="003563AD" w:rsidRDefault="003563AD">
            <w:pPr>
              <w:spacing w:beforeLines="20" w:before="48" w:afterLines="20" w:after="48"/>
              <w:jc w:val="center"/>
              <w:rPr>
                <w:noProof/>
                <w:sz w:val="16"/>
                <w:szCs w:val="16"/>
              </w:rPr>
            </w:pPr>
          </w:p>
        </w:tc>
      </w:tr>
      <w:tr w:rsidR="003563AD">
        <w:trPr>
          <w:gridBefore w:val="1"/>
          <w:wBefore w:w="6" w:type="pct"/>
          <w:trHeight w:val="289"/>
          <w:jc w:val="center"/>
        </w:trPr>
        <w:tc>
          <w:tcPr>
            <w:tcW w:w="1897" w:type="pct"/>
            <w:gridSpan w:val="2"/>
            <w:shd w:val="clear" w:color="auto" w:fill="auto"/>
            <w:vAlign w:val="center"/>
          </w:tcPr>
          <w:p w:rsidR="003563AD" w:rsidRDefault="00251882">
            <w:pPr>
              <w:pStyle w:val="Text1"/>
              <w:spacing w:beforeLines="20" w:before="48" w:afterLines="20" w:after="48"/>
              <w:ind w:left="134"/>
              <w:jc w:val="left"/>
              <w:rPr>
                <w:noProof/>
                <w:sz w:val="16"/>
                <w:szCs w:val="16"/>
              </w:rPr>
            </w:pPr>
            <w:r>
              <w:rPr>
                <w:noProof/>
                <w:sz w:val="16"/>
              </w:rPr>
              <w:t>XX 01 05 01 (kaudne teadustegevus)</w:t>
            </w:r>
          </w:p>
        </w:tc>
        <w:tc>
          <w:tcPr>
            <w:tcW w:w="391" w:type="pct"/>
            <w:shd w:val="clear" w:color="auto" w:fill="auto"/>
            <w:vAlign w:val="center"/>
          </w:tcPr>
          <w:p w:rsidR="003563AD" w:rsidRDefault="003563AD">
            <w:pPr>
              <w:spacing w:beforeLines="20" w:before="48" w:afterLines="20" w:after="48"/>
              <w:jc w:val="center"/>
              <w:rPr>
                <w:noProof/>
                <w:sz w:val="16"/>
                <w:szCs w:val="16"/>
              </w:rPr>
            </w:pPr>
          </w:p>
        </w:tc>
        <w:tc>
          <w:tcPr>
            <w:tcW w:w="413" w:type="pct"/>
            <w:shd w:val="clear" w:color="auto" w:fill="auto"/>
            <w:vAlign w:val="center"/>
          </w:tcPr>
          <w:p w:rsidR="003563AD" w:rsidRDefault="003563AD">
            <w:pPr>
              <w:spacing w:beforeLines="20" w:before="48" w:afterLines="20" w:after="48"/>
              <w:jc w:val="center"/>
              <w:rPr>
                <w:noProof/>
                <w:sz w:val="16"/>
                <w:szCs w:val="16"/>
              </w:rPr>
            </w:pPr>
          </w:p>
        </w:tc>
        <w:tc>
          <w:tcPr>
            <w:tcW w:w="1514" w:type="pct"/>
            <w:shd w:val="clear" w:color="auto" w:fill="auto"/>
            <w:vAlign w:val="center"/>
          </w:tcPr>
          <w:p w:rsidR="003563AD" w:rsidRDefault="003563AD">
            <w:pPr>
              <w:spacing w:beforeLines="20" w:before="48" w:afterLines="20" w:after="48"/>
              <w:jc w:val="center"/>
              <w:rPr>
                <w:noProof/>
                <w:sz w:val="16"/>
                <w:szCs w:val="16"/>
              </w:rPr>
            </w:pPr>
          </w:p>
        </w:tc>
        <w:tc>
          <w:tcPr>
            <w:tcW w:w="345" w:type="pct"/>
            <w:shd w:val="clear" w:color="auto" w:fill="auto"/>
            <w:vAlign w:val="center"/>
          </w:tcPr>
          <w:p w:rsidR="003563AD" w:rsidRDefault="003563AD">
            <w:pPr>
              <w:spacing w:beforeLines="20" w:before="48" w:afterLines="20" w:after="48"/>
              <w:jc w:val="center"/>
              <w:rPr>
                <w:noProof/>
                <w:sz w:val="16"/>
                <w:szCs w:val="16"/>
              </w:rPr>
            </w:pPr>
          </w:p>
        </w:tc>
        <w:tc>
          <w:tcPr>
            <w:tcW w:w="204" w:type="pct"/>
            <w:shd w:val="clear" w:color="auto" w:fill="auto"/>
            <w:vAlign w:val="center"/>
          </w:tcPr>
          <w:p w:rsidR="003563AD" w:rsidRDefault="003563AD">
            <w:pPr>
              <w:spacing w:beforeLines="20" w:before="48" w:afterLines="20" w:after="48"/>
              <w:jc w:val="center"/>
              <w:rPr>
                <w:noProof/>
                <w:sz w:val="16"/>
                <w:szCs w:val="16"/>
              </w:rPr>
            </w:pPr>
          </w:p>
        </w:tc>
        <w:tc>
          <w:tcPr>
            <w:tcW w:w="115" w:type="pct"/>
            <w:shd w:val="clear" w:color="auto" w:fill="auto"/>
            <w:vAlign w:val="center"/>
          </w:tcPr>
          <w:p w:rsidR="003563AD" w:rsidRDefault="003563AD">
            <w:pPr>
              <w:spacing w:beforeLines="20" w:before="48" w:afterLines="20" w:after="48"/>
              <w:jc w:val="center"/>
              <w:rPr>
                <w:noProof/>
                <w:sz w:val="16"/>
                <w:szCs w:val="16"/>
              </w:rPr>
            </w:pPr>
          </w:p>
        </w:tc>
        <w:tc>
          <w:tcPr>
            <w:tcW w:w="115" w:type="pct"/>
            <w:shd w:val="clear" w:color="auto" w:fill="auto"/>
            <w:vAlign w:val="center"/>
          </w:tcPr>
          <w:p w:rsidR="003563AD" w:rsidRDefault="003563AD">
            <w:pPr>
              <w:spacing w:beforeLines="20" w:before="48" w:afterLines="20" w:after="48"/>
              <w:jc w:val="center"/>
              <w:rPr>
                <w:noProof/>
                <w:sz w:val="16"/>
                <w:szCs w:val="16"/>
              </w:rPr>
            </w:pPr>
          </w:p>
        </w:tc>
      </w:tr>
      <w:tr w:rsidR="003563AD">
        <w:trPr>
          <w:gridBefore w:val="1"/>
          <w:wBefore w:w="6" w:type="pct"/>
          <w:trHeight w:val="289"/>
          <w:jc w:val="center"/>
        </w:trPr>
        <w:tc>
          <w:tcPr>
            <w:tcW w:w="1897" w:type="pct"/>
            <w:gridSpan w:val="2"/>
            <w:shd w:val="clear" w:color="auto" w:fill="auto"/>
            <w:vAlign w:val="center"/>
          </w:tcPr>
          <w:p w:rsidR="003563AD" w:rsidRDefault="00251882">
            <w:pPr>
              <w:pStyle w:val="Text1"/>
              <w:spacing w:beforeLines="20" w:before="48" w:afterLines="20" w:after="48"/>
              <w:ind w:left="134"/>
              <w:jc w:val="left"/>
              <w:rPr>
                <w:noProof/>
                <w:sz w:val="16"/>
                <w:szCs w:val="16"/>
              </w:rPr>
            </w:pPr>
            <w:r>
              <w:rPr>
                <w:noProof/>
                <w:sz w:val="16"/>
              </w:rPr>
              <w:t xml:space="preserve">10 01 05 01 (otsene </w:t>
            </w:r>
            <w:r>
              <w:rPr>
                <w:noProof/>
                <w:sz w:val="16"/>
              </w:rPr>
              <w:t>teadustegevus)</w:t>
            </w:r>
          </w:p>
        </w:tc>
        <w:tc>
          <w:tcPr>
            <w:tcW w:w="391" w:type="pct"/>
            <w:shd w:val="clear" w:color="auto" w:fill="auto"/>
            <w:vAlign w:val="center"/>
          </w:tcPr>
          <w:p w:rsidR="003563AD" w:rsidRDefault="003563AD">
            <w:pPr>
              <w:spacing w:beforeLines="20" w:before="48" w:afterLines="20" w:after="48"/>
              <w:jc w:val="center"/>
              <w:rPr>
                <w:noProof/>
                <w:sz w:val="16"/>
                <w:szCs w:val="16"/>
              </w:rPr>
            </w:pPr>
          </w:p>
        </w:tc>
        <w:tc>
          <w:tcPr>
            <w:tcW w:w="413" w:type="pct"/>
            <w:shd w:val="clear" w:color="auto" w:fill="auto"/>
            <w:vAlign w:val="center"/>
          </w:tcPr>
          <w:p w:rsidR="003563AD" w:rsidRDefault="003563AD">
            <w:pPr>
              <w:spacing w:beforeLines="20" w:before="48" w:afterLines="20" w:after="48"/>
              <w:jc w:val="center"/>
              <w:rPr>
                <w:noProof/>
                <w:sz w:val="16"/>
                <w:szCs w:val="16"/>
              </w:rPr>
            </w:pPr>
          </w:p>
        </w:tc>
        <w:tc>
          <w:tcPr>
            <w:tcW w:w="1514" w:type="pct"/>
            <w:shd w:val="clear" w:color="auto" w:fill="auto"/>
            <w:vAlign w:val="center"/>
          </w:tcPr>
          <w:p w:rsidR="003563AD" w:rsidRDefault="003563AD">
            <w:pPr>
              <w:spacing w:beforeLines="20" w:before="48" w:afterLines="20" w:after="48"/>
              <w:jc w:val="center"/>
              <w:rPr>
                <w:noProof/>
                <w:sz w:val="16"/>
                <w:szCs w:val="16"/>
              </w:rPr>
            </w:pPr>
          </w:p>
        </w:tc>
        <w:tc>
          <w:tcPr>
            <w:tcW w:w="345" w:type="pct"/>
            <w:shd w:val="clear" w:color="auto" w:fill="auto"/>
            <w:vAlign w:val="center"/>
          </w:tcPr>
          <w:p w:rsidR="003563AD" w:rsidRDefault="003563AD">
            <w:pPr>
              <w:spacing w:beforeLines="20" w:before="48" w:afterLines="20" w:after="48"/>
              <w:jc w:val="center"/>
              <w:rPr>
                <w:noProof/>
                <w:sz w:val="16"/>
                <w:szCs w:val="16"/>
              </w:rPr>
            </w:pPr>
          </w:p>
        </w:tc>
        <w:tc>
          <w:tcPr>
            <w:tcW w:w="204" w:type="pct"/>
            <w:shd w:val="clear" w:color="auto" w:fill="auto"/>
            <w:vAlign w:val="center"/>
          </w:tcPr>
          <w:p w:rsidR="003563AD" w:rsidRDefault="003563AD">
            <w:pPr>
              <w:spacing w:beforeLines="20" w:before="48" w:afterLines="20" w:after="48"/>
              <w:jc w:val="center"/>
              <w:rPr>
                <w:noProof/>
                <w:sz w:val="16"/>
                <w:szCs w:val="16"/>
              </w:rPr>
            </w:pPr>
          </w:p>
        </w:tc>
        <w:tc>
          <w:tcPr>
            <w:tcW w:w="115" w:type="pct"/>
            <w:shd w:val="clear" w:color="auto" w:fill="auto"/>
            <w:vAlign w:val="center"/>
          </w:tcPr>
          <w:p w:rsidR="003563AD" w:rsidRDefault="003563AD">
            <w:pPr>
              <w:spacing w:beforeLines="20" w:before="48" w:afterLines="20" w:after="48"/>
              <w:jc w:val="center"/>
              <w:rPr>
                <w:noProof/>
                <w:sz w:val="16"/>
                <w:szCs w:val="16"/>
              </w:rPr>
            </w:pPr>
          </w:p>
        </w:tc>
        <w:tc>
          <w:tcPr>
            <w:tcW w:w="115" w:type="pct"/>
            <w:shd w:val="clear" w:color="auto" w:fill="auto"/>
            <w:vAlign w:val="center"/>
          </w:tcPr>
          <w:p w:rsidR="003563AD" w:rsidRDefault="003563AD">
            <w:pPr>
              <w:spacing w:beforeLines="20" w:before="48" w:afterLines="20" w:after="48"/>
              <w:jc w:val="center"/>
              <w:rPr>
                <w:noProof/>
                <w:sz w:val="16"/>
                <w:szCs w:val="16"/>
              </w:rPr>
            </w:pPr>
          </w:p>
        </w:tc>
      </w:tr>
      <w:tr w:rsidR="003563AD">
        <w:trPr>
          <w:gridAfter w:val="4"/>
          <w:wAfter w:w="779" w:type="pct"/>
          <w:trHeight w:val="248"/>
          <w:jc w:val="center"/>
        </w:trPr>
        <w:tc>
          <w:tcPr>
            <w:tcW w:w="4221" w:type="pct"/>
            <w:gridSpan w:val="6"/>
            <w:shd w:val="clear" w:color="auto" w:fill="auto"/>
            <w:vAlign w:val="center"/>
          </w:tcPr>
          <w:p w:rsidR="003563AD" w:rsidRDefault="00251882">
            <w:pPr>
              <w:pStyle w:val="Text1"/>
              <w:spacing w:before="60" w:after="60"/>
              <w:ind w:left="0"/>
              <w:jc w:val="left"/>
              <w:rPr>
                <w:b/>
                <w:noProof/>
                <w:sz w:val="16"/>
                <w:szCs w:val="16"/>
              </w:rPr>
            </w:pPr>
            <w:r>
              <w:rPr>
                <w:b/>
                <w:noProof/>
                <w:sz w:val="16"/>
              </w:rPr>
              <w:sym w:font="Wingdings" w:char="F09F"/>
            </w:r>
            <w:r>
              <w:rPr>
                <w:b/>
                <w:noProof/>
                <w:sz w:val="16"/>
              </w:rPr>
              <w:t xml:space="preserve"> Koosseisuväline personal (täistööajale taandatud töötajad)</w:t>
            </w:r>
            <w:r>
              <w:rPr>
                <w:rStyle w:val="FootnoteReference"/>
                <w:b/>
                <w:noProof/>
                <w:sz w:val="16"/>
              </w:rPr>
              <w:footnoteReference w:id="43"/>
            </w:r>
          </w:p>
          <w:p w:rsidR="003563AD" w:rsidRDefault="003563AD">
            <w:pPr>
              <w:pStyle w:val="Text1"/>
              <w:spacing w:before="0" w:after="0"/>
              <w:ind w:left="0"/>
              <w:jc w:val="left"/>
              <w:rPr>
                <w:noProof/>
                <w:sz w:val="16"/>
                <w:szCs w:val="16"/>
              </w:rPr>
            </w:pPr>
          </w:p>
        </w:tc>
      </w:tr>
      <w:tr w:rsidR="003563AD">
        <w:trPr>
          <w:gridBefore w:val="1"/>
          <w:wBefore w:w="6" w:type="pct"/>
          <w:trHeight w:val="289"/>
          <w:jc w:val="center"/>
        </w:trPr>
        <w:tc>
          <w:tcPr>
            <w:tcW w:w="1897" w:type="pct"/>
            <w:gridSpan w:val="2"/>
            <w:shd w:val="clear" w:color="auto" w:fill="auto"/>
            <w:vAlign w:val="center"/>
          </w:tcPr>
          <w:p w:rsidR="003563AD" w:rsidRDefault="00251882">
            <w:pPr>
              <w:pStyle w:val="Text1"/>
              <w:spacing w:beforeLines="20" w:before="48" w:afterLines="20" w:after="48"/>
              <w:ind w:left="136"/>
              <w:jc w:val="left"/>
              <w:rPr>
                <w:b/>
                <w:noProof/>
                <w:sz w:val="16"/>
                <w:szCs w:val="16"/>
              </w:rPr>
            </w:pPr>
            <w:r>
              <w:rPr>
                <w:noProof/>
                <w:sz w:val="16"/>
              </w:rPr>
              <w:t>XX 01 02 01 (üldvahenditest rahastatavad lepingulised töötajad, riikide lähetatud eksperdid ja renditööjõud)</w:t>
            </w:r>
          </w:p>
        </w:tc>
        <w:tc>
          <w:tcPr>
            <w:tcW w:w="391" w:type="pct"/>
            <w:shd w:val="clear" w:color="auto" w:fill="auto"/>
            <w:vAlign w:val="center"/>
          </w:tcPr>
          <w:p w:rsidR="003563AD" w:rsidRDefault="003563AD">
            <w:pPr>
              <w:spacing w:beforeLines="20" w:before="48" w:afterLines="20" w:after="48"/>
              <w:jc w:val="center"/>
              <w:rPr>
                <w:noProof/>
                <w:sz w:val="16"/>
                <w:szCs w:val="16"/>
              </w:rPr>
            </w:pPr>
          </w:p>
        </w:tc>
        <w:tc>
          <w:tcPr>
            <w:tcW w:w="413" w:type="pct"/>
            <w:shd w:val="clear" w:color="auto" w:fill="auto"/>
            <w:vAlign w:val="center"/>
          </w:tcPr>
          <w:p w:rsidR="003563AD" w:rsidRDefault="003563AD">
            <w:pPr>
              <w:spacing w:beforeLines="20" w:before="48" w:afterLines="20" w:after="48"/>
              <w:jc w:val="center"/>
              <w:rPr>
                <w:noProof/>
                <w:sz w:val="16"/>
                <w:szCs w:val="16"/>
              </w:rPr>
            </w:pPr>
          </w:p>
        </w:tc>
        <w:tc>
          <w:tcPr>
            <w:tcW w:w="1514" w:type="pct"/>
            <w:shd w:val="clear" w:color="auto" w:fill="auto"/>
            <w:vAlign w:val="center"/>
          </w:tcPr>
          <w:p w:rsidR="003563AD" w:rsidRDefault="003563AD">
            <w:pPr>
              <w:spacing w:beforeLines="20" w:before="48" w:afterLines="20" w:after="48"/>
              <w:jc w:val="center"/>
              <w:rPr>
                <w:noProof/>
                <w:sz w:val="16"/>
                <w:szCs w:val="16"/>
              </w:rPr>
            </w:pPr>
          </w:p>
        </w:tc>
        <w:tc>
          <w:tcPr>
            <w:tcW w:w="345" w:type="pct"/>
            <w:shd w:val="clear" w:color="auto" w:fill="auto"/>
            <w:vAlign w:val="center"/>
          </w:tcPr>
          <w:p w:rsidR="003563AD" w:rsidRDefault="003563AD">
            <w:pPr>
              <w:spacing w:beforeLines="20" w:before="48" w:afterLines="20" w:after="48"/>
              <w:jc w:val="center"/>
              <w:rPr>
                <w:noProof/>
                <w:sz w:val="16"/>
                <w:szCs w:val="16"/>
              </w:rPr>
            </w:pPr>
          </w:p>
        </w:tc>
        <w:tc>
          <w:tcPr>
            <w:tcW w:w="204" w:type="pct"/>
            <w:shd w:val="clear" w:color="auto" w:fill="auto"/>
            <w:vAlign w:val="center"/>
          </w:tcPr>
          <w:p w:rsidR="003563AD" w:rsidRDefault="003563AD">
            <w:pPr>
              <w:spacing w:beforeLines="20" w:before="48" w:afterLines="20" w:after="48"/>
              <w:jc w:val="center"/>
              <w:rPr>
                <w:noProof/>
                <w:sz w:val="16"/>
                <w:szCs w:val="16"/>
              </w:rPr>
            </w:pPr>
          </w:p>
        </w:tc>
        <w:tc>
          <w:tcPr>
            <w:tcW w:w="115" w:type="pct"/>
            <w:shd w:val="clear" w:color="auto" w:fill="auto"/>
            <w:vAlign w:val="center"/>
          </w:tcPr>
          <w:p w:rsidR="003563AD" w:rsidRDefault="003563AD">
            <w:pPr>
              <w:spacing w:beforeLines="20" w:before="48" w:afterLines="20" w:after="48"/>
              <w:jc w:val="center"/>
              <w:rPr>
                <w:noProof/>
                <w:sz w:val="16"/>
                <w:szCs w:val="16"/>
              </w:rPr>
            </w:pPr>
          </w:p>
        </w:tc>
        <w:tc>
          <w:tcPr>
            <w:tcW w:w="115" w:type="pct"/>
            <w:shd w:val="clear" w:color="auto" w:fill="auto"/>
            <w:vAlign w:val="center"/>
          </w:tcPr>
          <w:p w:rsidR="003563AD" w:rsidRDefault="003563AD">
            <w:pPr>
              <w:spacing w:beforeLines="20" w:before="48" w:afterLines="20" w:after="48"/>
              <w:jc w:val="center"/>
              <w:rPr>
                <w:noProof/>
                <w:sz w:val="16"/>
                <w:szCs w:val="16"/>
              </w:rPr>
            </w:pPr>
          </w:p>
        </w:tc>
      </w:tr>
      <w:tr w:rsidR="003563AD">
        <w:trPr>
          <w:gridBefore w:val="1"/>
          <w:wBefore w:w="6" w:type="pct"/>
          <w:trHeight w:val="289"/>
          <w:jc w:val="center"/>
        </w:trPr>
        <w:tc>
          <w:tcPr>
            <w:tcW w:w="1897" w:type="pct"/>
            <w:gridSpan w:val="2"/>
            <w:shd w:val="clear" w:color="auto" w:fill="auto"/>
            <w:vAlign w:val="center"/>
          </w:tcPr>
          <w:p w:rsidR="003563AD" w:rsidRDefault="00251882">
            <w:pPr>
              <w:pStyle w:val="Text1"/>
              <w:spacing w:beforeLines="20" w:before="48" w:afterLines="20" w:after="48"/>
              <w:ind w:left="136"/>
              <w:jc w:val="left"/>
              <w:rPr>
                <w:noProof/>
                <w:sz w:val="16"/>
                <w:szCs w:val="16"/>
              </w:rPr>
            </w:pPr>
            <w:r>
              <w:rPr>
                <w:noProof/>
                <w:sz w:val="16"/>
              </w:rPr>
              <w:t xml:space="preserve">XX 01 02 02 (lepingulised töötajad, kohalikud </w:t>
            </w:r>
            <w:r>
              <w:rPr>
                <w:noProof/>
                <w:sz w:val="16"/>
              </w:rPr>
              <w:t>töötajad, riikide lähetatud eksperdid, renditööjõud ja noored eksperdid delegatsioonides)</w:t>
            </w:r>
          </w:p>
        </w:tc>
        <w:tc>
          <w:tcPr>
            <w:tcW w:w="391" w:type="pct"/>
            <w:shd w:val="clear" w:color="auto" w:fill="auto"/>
            <w:vAlign w:val="center"/>
          </w:tcPr>
          <w:p w:rsidR="003563AD" w:rsidRDefault="003563AD">
            <w:pPr>
              <w:spacing w:beforeLines="20" w:before="48" w:afterLines="20" w:after="48"/>
              <w:jc w:val="center"/>
              <w:rPr>
                <w:noProof/>
                <w:sz w:val="16"/>
                <w:szCs w:val="16"/>
              </w:rPr>
            </w:pPr>
          </w:p>
        </w:tc>
        <w:tc>
          <w:tcPr>
            <w:tcW w:w="413" w:type="pct"/>
            <w:shd w:val="clear" w:color="auto" w:fill="auto"/>
            <w:vAlign w:val="center"/>
          </w:tcPr>
          <w:p w:rsidR="003563AD" w:rsidRDefault="003563AD">
            <w:pPr>
              <w:spacing w:beforeLines="20" w:before="48" w:afterLines="20" w:after="48"/>
              <w:jc w:val="center"/>
              <w:rPr>
                <w:noProof/>
                <w:sz w:val="16"/>
                <w:szCs w:val="16"/>
              </w:rPr>
            </w:pPr>
          </w:p>
        </w:tc>
        <w:tc>
          <w:tcPr>
            <w:tcW w:w="1514" w:type="pct"/>
            <w:shd w:val="clear" w:color="auto" w:fill="auto"/>
            <w:vAlign w:val="center"/>
          </w:tcPr>
          <w:p w:rsidR="003563AD" w:rsidRDefault="003563AD">
            <w:pPr>
              <w:spacing w:beforeLines="20" w:before="48" w:afterLines="20" w:after="48"/>
              <w:jc w:val="center"/>
              <w:rPr>
                <w:noProof/>
                <w:sz w:val="16"/>
                <w:szCs w:val="16"/>
              </w:rPr>
            </w:pPr>
          </w:p>
        </w:tc>
        <w:tc>
          <w:tcPr>
            <w:tcW w:w="345" w:type="pct"/>
            <w:shd w:val="clear" w:color="auto" w:fill="auto"/>
            <w:vAlign w:val="center"/>
          </w:tcPr>
          <w:p w:rsidR="003563AD" w:rsidRDefault="003563AD">
            <w:pPr>
              <w:spacing w:beforeLines="20" w:before="48" w:afterLines="20" w:after="48"/>
              <w:jc w:val="center"/>
              <w:rPr>
                <w:noProof/>
                <w:sz w:val="16"/>
                <w:szCs w:val="16"/>
              </w:rPr>
            </w:pPr>
          </w:p>
        </w:tc>
        <w:tc>
          <w:tcPr>
            <w:tcW w:w="204" w:type="pct"/>
            <w:shd w:val="clear" w:color="auto" w:fill="auto"/>
            <w:vAlign w:val="center"/>
          </w:tcPr>
          <w:p w:rsidR="003563AD" w:rsidRDefault="003563AD">
            <w:pPr>
              <w:spacing w:beforeLines="20" w:before="48" w:afterLines="20" w:after="48"/>
              <w:jc w:val="center"/>
              <w:rPr>
                <w:noProof/>
                <w:sz w:val="16"/>
                <w:szCs w:val="16"/>
              </w:rPr>
            </w:pPr>
          </w:p>
        </w:tc>
        <w:tc>
          <w:tcPr>
            <w:tcW w:w="115" w:type="pct"/>
            <w:shd w:val="clear" w:color="auto" w:fill="auto"/>
            <w:vAlign w:val="center"/>
          </w:tcPr>
          <w:p w:rsidR="003563AD" w:rsidRDefault="003563AD">
            <w:pPr>
              <w:spacing w:beforeLines="20" w:before="48" w:afterLines="20" w:after="48"/>
              <w:jc w:val="center"/>
              <w:rPr>
                <w:noProof/>
                <w:sz w:val="16"/>
                <w:szCs w:val="16"/>
              </w:rPr>
            </w:pPr>
          </w:p>
        </w:tc>
        <w:tc>
          <w:tcPr>
            <w:tcW w:w="115" w:type="pct"/>
            <w:shd w:val="clear" w:color="auto" w:fill="auto"/>
            <w:vAlign w:val="center"/>
          </w:tcPr>
          <w:p w:rsidR="003563AD" w:rsidRDefault="003563AD">
            <w:pPr>
              <w:spacing w:beforeLines="20" w:before="48" w:afterLines="20" w:after="48"/>
              <w:jc w:val="center"/>
              <w:rPr>
                <w:noProof/>
                <w:sz w:val="16"/>
                <w:szCs w:val="16"/>
              </w:rPr>
            </w:pPr>
          </w:p>
        </w:tc>
      </w:tr>
      <w:tr w:rsidR="003563AD">
        <w:trPr>
          <w:gridBefore w:val="1"/>
          <w:wBefore w:w="6" w:type="pct"/>
          <w:trHeight w:val="289"/>
          <w:jc w:val="center"/>
        </w:trPr>
        <w:tc>
          <w:tcPr>
            <w:tcW w:w="948" w:type="pct"/>
            <w:vMerge w:val="restart"/>
            <w:shd w:val="clear" w:color="auto" w:fill="auto"/>
            <w:vAlign w:val="center"/>
          </w:tcPr>
          <w:p w:rsidR="003563AD" w:rsidRDefault="00251882">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aa</w:t>
            </w:r>
            <w:r>
              <w:rPr>
                <w:b/>
                <w:i/>
                <w:noProof/>
                <w:sz w:val="16"/>
              </w:rPr>
              <w:t xml:space="preserve"> </w:t>
            </w:r>
            <w:r>
              <w:rPr>
                <w:rStyle w:val="FootnoteReference"/>
                <w:b/>
                <w:i/>
                <w:noProof/>
                <w:sz w:val="16"/>
              </w:rPr>
              <w:footnoteReference w:id="44"/>
            </w:r>
          </w:p>
          <w:p w:rsidR="003563AD" w:rsidRDefault="003563AD">
            <w:pPr>
              <w:pStyle w:val="Text1"/>
              <w:spacing w:beforeLines="20" w:before="48" w:afterLines="20" w:after="48"/>
              <w:ind w:left="136"/>
              <w:jc w:val="left"/>
              <w:rPr>
                <w:b/>
                <w:noProof/>
                <w:sz w:val="16"/>
                <w:szCs w:val="16"/>
              </w:rPr>
            </w:pPr>
          </w:p>
        </w:tc>
        <w:tc>
          <w:tcPr>
            <w:tcW w:w="949" w:type="pct"/>
            <w:shd w:val="clear" w:color="auto" w:fill="auto"/>
            <w:vAlign w:val="center"/>
          </w:tcPr>
          <w:p w:rsidR="003563AD" w:rsidRDefault="00251882">
            <w:pPr>
              <w:pStyle w:val="Text1"/>
              <w:spacing w:beforeLines="20" w:before="48" w:afterLines="20" w:after="48"/>
              <w:ind w:left="136"/>
              <w:jc w:val="left"/>
              <w:rPr>
                <w:b/>
                <w:noProof/>
                <w:sz w:val="16"/>
                <w:szCs w:val="16"/>
              </w:rPr>
            </w:pPr>
            <w:r>
              <w:rPr>
                <w:noProof/>
                <w:sz w:val="16"/>
              </w:rPr>
              <w:t>- Peakorteris</w:t>
            </w:r>
          </w:p>
          <w:p w:rsidR="003563AD" w:rsidRDefault="003563AD">
            <w:pPr>
              <w:pStyle w:val="Text1"/>
              <w:spacing w:beforeLines="20" w:before="48" w:afterLines="20" w:after="48"/>
              <w:ind w:left="136"/>
              <w:jc w:val="left"/>
              <w:rPr>
                <w:b/>
                <w:noProof/>
                <w:sz w:val="16"/>
                <w:szCs w:val="16"/>
              </w:rPr>
            </w:pPr>
          </w:p>
        </w:tc>
        <w:tc>
          <w:tcPr>
            <w:tcW w:w="391" w:type="pct"/>
            <w:shd w:val="clear" w:color="auto" w:fill="auto"/>
            <w:vAlign w:val="center"/>
          </w:tcPr>
          <w:p w:rsidR="003563AD" w:rsidRDefault="003563AD">
            <w:pPr>
              <w:pStyle w:val="Text1"/>
              <w:spacing w:beforeLines="20" w:before="48" w:afterLines="20" w:after="48"/>
              <w:ind w:left="0"/>
              <w:rPr>
                <w:noProof/>
                <w:sz w:val="16"/>
                <w:szCs w:val="16"/>
              </w:rPr>
            </w:pPr>
          </w:p>
        </w:tc>
        <w:tc>
          <w:tcPr>
            <w:tcW w:w="413" w:type="pct"/>
            <w:shd w:val="clear" w:color="auto" w:fill="auto"/>
            <w:vAlign w:val="center"/>
          </w:tcPr>
          <w:p w:rsidR="003563AD" w:rsidRDefault="003563AD">
            <w:pPr>
              <w:spacing w:beforeLines="20" w:before="48" w:afterLines="20" w:after="48"/>
              <w:jc w:val="center"/>
              <w:rPr>
                <w:noProof/>
                <w:sz w:val="16"/>
                <w:szCs w:val="16"/>
              </w:rPr>
            </w:pPr>
          </w:p>
        </w:tc>
        <w:tc>
          <w:tcPr>
            <w:tcW w:w="1514" w:type="pct"/>
            <w:shd w:val="clear" w:color="auto" w:fill="auto"/>
            <w:vAlign w:val="center"/>
          </w:tcPr>
          <w:p w:rsidR="003563AD" w:rsidRDefault="003563AD">
            <w:pPr>
              <w:spacing w:beforeLines="20" w:before="48" w:afterLines="20" w:after="48"/>
              <w:jc w:val="center"/>
              <w:rPr>
                <w:noProof/>
                <w:sz w:val="16"/>
                <w:szCs w:val="16"/>
              </w:rPr>
            </w:pPr>
          </w:p>
        </w:tc>
        <w:tc>
          <w:tcPr>
            <w:tcW w:w="345" w:type="pct"/>
            <w:shd w:val="clear" w:color="auto" w:fill="auto"/>
            <w:vAlign w:val="center"/>
          </w:tcPr>
          <w:p w:rsidR="003563AD" w:rsidRDefault="003563AD">
            <w:pPr>
              <w:spacing w:beforeLines="20" w:before="48" w:afterLines="20" w:after="48"/>
              <w:jc w:val="center"/>
              <w:rPr>
                <w:noProof/>
                <w:sz w:val="16"/>
                <w:szCs w:val="16"/>
              </w:rPr>
            </w:pPr>
          </w:p>
        </w:tc>
        <w:tc>
          <w:tcPr>
            <w:tcW w:w="204" w:type="pct"/>
            <w:shd w:val="clear" w:color="auto" w:fill="auto"/>
            <w:vAlign w:val="center"/>
          </w:tcPr>
          <w:p w:rsidR="003563AD" w:rsidRDefault="003563AD">
            <w:pPr>
              <w:spacing w:beforeLines="20" w:before="48" w:afterLines="20" w:after="48"/>
              <w:jc w:val="center"/>
              <w:rPr>
                <w:noProof/>
                <w:sz w:val="16"/>
                <w:szCs w:val="16"/>
              </w:rPr>
            </w:pPr>
          </w:p>
        </w:tc>
        <w:tc>
          <w:tcPr>
            <w:tcW w:w="115" w:type="pct"/>
            <w:shd w:val="clear" w:color="auto" w:fill="auto"/>
            <w:vAlign w:val="center"/>
          </w:tcPr>
          <w:p w:rsidR="003563AD" w:rsidRDefault="003563AD">
            <w:pPr>
              <w:spacing w:beforeLines="20" w:before="48" w:afterLines="20" w:after="48"/>
              <w:jc w:val="center"/>
              <w:rPr>
                <w:noProof/>
                <w:sz w:val="16"/>
                <w:szCs w:val="16"/>
              </w:rPr>
            </w:pPr>
          </w:p>
        </w:tc>
        <w:tc>
          <w:tcPr>
            <w:tcW w:w="115" w:type="pct"/>
            <w:shd w:val="clear" w:color="auto" w:fill="auto"/>
            <w:vAlign w:val="center"/>
          </w:tcPr>
          <w:p w:rsidR="003563AD" w:rsidRDefault="003563AD">
            <w:pPr>
              <w:spacing w:beforeLines="20" w:before="48" w:afterLines="20" w:after="48"/>
              <w:jc w:val="center"/>
              <w:rPr>
                <w:noProof/>
                <w:sz w:val="16"/>
                <w:szCs w:val="16"/>
              </w:rPr>
            </w:pPr>
          </w:p>
        </w:tc>
      </w:tr>
      <w:tr w:rsidR="003563AD">
        <w:trPr>
          <w:gridBefore w:val="1"/>
          <w:wBefore w:w="6" w:type="pct"/>
          <w:trHeight w:val="289"/>
          <w:jc w:val="center"/>
        </w:trPr>
        <w:tc>
          <w:tcPr>
            <w:tcW w:w="948" w:type="pct"/>
            <w:vMerge/>
            <w:shd w:val="clear" w:color="auto" w:fill="auto"/>
            <w:vAlign w:val="center"/>
          </w:tcPr>
          <w:p w:rsidR="003563AD" w:rsidRDefault="003563AD">
            <w:pPr>
              <w:pStyle w:val="Text1"/>
              <w:spacing w:beforeLines="20" w:before="48" w:afterLines="20" w:after="48"/>
              <w:ind w:left="136"/>
              <w:jc w:val="left"/>
              <w:rPr>
                <w:b/>
                <w:noProof/>
                <w:sz w:val="16"/>
                <w:szCs w:val="16"/>
              </w:rPr>
            </w:pPr>
          </w:p>
        </w:tc>
        <w:tc>
          <w:tcPr>
            <w:tcW w:w="949" w:type="pct"/>
            <w:shd w:val="clear" w:color="auto" w:fill="auto"/>
            <w:vAlign w:val="center"/>
          </w:tcPr>
          <w:p w:rsidR="003563AD" w:rsidRDefault="00251882">
            <w:pPr>
              <w:pStyle w:val="Text1"/>
              <w:spacing w:beforeLines="20" w:before="48" w:afterLines="20" w:after="48"/>
              <w:ind w:left="136"/>
              <w:jc w:val="left"/>
              <w:rPr>
                <w:b/>
                <w:noProof/>
                <w:sz w:val="16"/>
                <w:szCs w:val="16"/>
              </w:rPr>
            </w:pPr>
            <w:r>
              <w:rPr>
                <w:noProof/>
                <w:sz w:val="16"/>
              </w:rPr>
              <w:t xml:space="preserve">- Delegatsioonides </w:t>
            </w:r>
          </w:p>
        </w:tc>
        <w:tc>
          <w:tcPr>
            <w:tcW w:w="391" w:type="pct"/>
            <w:shd w:val="clear" w:color="auto" w:fill="auto"/>
            <w:vAlign w:val="center"/>
          </w:tcPr>
          <w:p w:rsidR="003563AD" w:rsidRDefault="003563AD">
            <w:pPr>
              <w:pStyle w:val="Text1"/>
              <w:spacing w:beforeLines="20" w:before="48" w:afterLines="20" w:after="48"/>
              <w:ind w:left="0"/>
              <w:rPr>
                <w:noProof/>
                <w:sz w:val="16"/>
                <w:szCs w:val="16"/>
              </w:rPr>
            </w:pPr>
          </w:p>
        </w:tc>
        <w:tc>
          <w:tcPr>
            <w:tcW w:w="413" w:type="pct"/>
            <w:shd w:val="clear" w:color="auto" w:fill="auto"/>
            <w:vAlign w:val="center"/>
          </w:tcPr>
          <w:p w:rsidR="003563AD" w:rsidRDefault="003563AD">
            <w:pPr>
              <w:spacing w:beforeLines="20" w:before="48" w:afterLines="20" w:after="48"/>
              <w:jc w:val="center"/>
              <w:rPr>
                <w:noProof/>
                <w:sz w:val="16"/>
                <w:szCs w:val="16"/>
              </w:rPr>
            </w:pPr>
          </w:p>
        </w:tc>
        <w:tc>
          <w:tcPr>
            <w:tcW w:w="1514" w:type="pct"/>
            <w:shd w:val="clear" w:color="auto" w:fill="auto"/>
            <w:vAlign w:val="center"/>
          </w:tcPr>
          <w:p w:rsidR="003563AD" w:rsidRDefault="003563AD">
            <w:pPr>
              <w:spacing w:beforeLines="20" w:before="48" w:afterLines="20" w:after="48"/>
              <w:jc w:val="center"/>
              <w:rPr>
                <w:noProof/>
                <w:sz w:val="16"/>
                <w:szCs w:val="16"/>
              </w:rPr>
            </w:pPr>
          </w:p>
        </w:tc>
        <w:tc>
          <w:tcPr>
            <w:tcW w:w="345" w:type="pct"/>
            <w:shd w:val="clear" w:color="auto" w:fill="auto"/>
            <w:vAlign w:val="center"/>
          </w:tcPr>
          <w:p w:rsidR="003563AD" w:rsidRDefault="003563AD">
            <w:pPr>
              <w:spacing w:beforeLines="20" w:before="48" w:afterLines="20" w:after="48"/>
              <w:jc w:val="center"/>
              <w:rPr>
                <w:noProof/>
                <w:sz w:val="16"/>
                <w:szCs w:val="16"/>
              </w:rPr>
            </w:pPr>
          </w:p>
        </w:tc>
        <w:tc>
          <w:tcPr>
            <w:tcW w:w="204" w:type="pct"/>
            <w:shd w:val="clear" w:color="auto" w:fill="auto"/>
            <w:vAlign w:val="center"/>
          </w:tcPr>
          <w:p w:rsidR="003563AD" w:rsidRDefault="003563AD">
            <w:pPr>
              <w:spacing w:beforeLines="20" w:before="48" w:afterLines="20" w:after="48"/>
              <w:jc w:val="center"/>
              <w:rPr>
                <w:noProof/>
                <w:sz w:val="16"/>
                <w:szCs w:val="16"/>
              </w:rPr>
            </w:pPr>
          </w:p>
        </w:tc>
        <w:tc>
          <w:tcPr>
            <w:tcW w:w="115" w:type="pct"/>
            <w:shd w:val="clear" w:color="auto" w:fill="auto"/>
            <w:vAlign w:val="center"/>
          </w:tcPr>
          <w:p w:rsidR="003563AD" w:rsidRDefault="003563AD">
            <w:pPr>
              <w:spacing w:beforeLines="20" w:before="48" w:afterLines="20" w:after="48"/>
              <w:jc w:val="center"/>
              <w:rPr>
                <w:noProof/>
                <w:sz w:val="16"/>
                <w:szCs w:val="16"/>
              </w:rPr>
            </w:pPr>
          </w:p>
        </w:tc>
        <w:tc>
          <w:tcPr>
            <w:tcW w:w="115" w:type="pct"/>
            <w:shd w:val="clear" w:color="auto" w:fill="auto"/>
            <w:vAlign w:val="center"/>
          </w:tcPr>
          <w:p w:rsidR="003563AD" w:rsidRDefault="003563AD">
            <w:pPr>
              <w:spacing w:beforeLines="20" w:before="48" w:afterLines="20" w:after="48"/>
              <w:jc w:val="center"/>
              <w:rPr>
                <w:noProof/>
                <w:sz w:val="16"/>
                <w:szCs w:val="16"/>
              </w:rPr>
            </w:pPr>
          </w:p>
        </w:tc>
      </w:tr>
      <w:tr w:rsidR="003563AD">
        <w:trPr>
          <w:gridBefore w:val="1"/>
          <w:wBefore w:w="6" w:type="pct"/>
          <w:trHeight w:val="289"/>
          <w:jc w:val="center"/>
        </w:trPr>
        <w:tc>
          <w:tcPr>
            <w:tcW w:w="1897" w:type="pct"/>
            <w:gridSpan w:val="2"/>
            <w:shd w:val="clear" w:color="auto" w:fill="auto"/>
            <w:vAlign w:val="center"/>
          </w:tcPr>
          <w:p w:rsidR="003563AD" w:rsidRDefault="00251882">
            <w:pPr>
              <w:pStyle w:val="Text1"/>
              <w:spacing w:beforeLines="20" w:before="48" w:afterLines="20" w:after="48"/>
              <w:ind w:left="136"/>
              <w:jc w:val="left"/>
              <w:rPr>
                <w:noProof/>
                <w:sz w:val="16"/>
                <w:szCs w:val="16"/>
              </w:rPr>
            </w:pPr>
            <w:r>
              <w:rPr>
                <w:b/>
                <w:noProof/>
              </w:rPr>
              <w:t>XX</w:t>
            </w:r>
            <w:r>
              <w:rPr>
                <w:noProof/>
              </w:rPr>
              <w:t xml:space="preserve"> 01 05 02 (lepingulised töötajad, renditööjõud ja riikide lähetatud eksperdid kaudse teadustegevuse valdkonnas)</w:t>
            </w:r>
          </w:p>
        </w:tc>
        <w:tc>
          <w:tcPr>
            <w:tcW w:w="391" w:type="pct"/>
            <w:shd w:val="clear" w:color="auto" w:fill="auto"/>
            <w:vAlign w:val="center"/>
          </w:tcPr>
          <w:p w:rsidR="003563AD" w:rsidRDefault="003563AD">
            <w:pPr>
              <w:spacing w:beforeLines="20" w:before="48" w:afterLines="20" w:after="48"/>
              <w:jc w:val="center"/>
              <w:rPr>
                <w:noProof/>
                <w:sz w:val="16"/>
                <w:szCs w:val="16"/>
              </w:rPr>
            </w:pPr>
          </w:p>
        </w:tc>
        <w:tc>
          <w:tcPr>
            <w:tcW w:w="413" w:type="pct"/>
            <w:shd w:val="clear" w:color="auto" w:fill="auto"/>
            <w:vAlign w:val="center"/>
          </w:tcPr>
          <w:p w:rsidR="003563AD" w:rsidRDefault="003563AD">
            <w:pPr>
              <w:spacing w:beforeLines="20" w:before="48" w:afterLines="20" w:after="48"/>
              <w:jc w:val="center"/>
              <w:rPr>
                <w:noProof/>
                <w:sz w:val="16"/>
                <w:szCs w:val="16"/>
              </w:rPr>
            </w:pPr>
          </w:p>
        </w:tc>
        <w:tc>
          <w:tcPr>
            <w:tcW w:w="1514" w:type="pct"/>
            <w:shd w:val="clear" w:color="auto" w:fill="auto"/>
            <w:vAlign w:val="center"/>
          </w:tcPr>
          <w:p w:rsidR="003563AD" w:rsidRDefault="003563AD">
            <w:pPr>
              <w:spacing w:beforeLines="20" w:before="48" w:afterLines="20" w:after="48"/>
              <w:jc w:val="center"/>
              <w:rPr>
                <w:noProof/>
                <w:sz w:val="16"/>
                <w:szCs w:val="16"/>
              </w:rPr>
            </w:pPr>
          </w:p>
        </w:tc>
        <w:tc>
          <w:tcPr>
            <w:tcW w:w="345" w:type="pct"/>
            <w:shd w:val="clear" w:color="auto" w:fill="auto"/>
            <w:vAlign w:val="center"/>
          </w:tcPr>
          <w:p w:rsidR="003563AD" w:rsidRDefault="003563AD">
            <w:pPr>
              <w:spacing w:beforeLines="20" w:before="48" w:afterLines="20" w:after="48"/>
              <w:jc w:val="center"/>
              <w:rPr>
                <w:noProof/>
                <w:sz w:val="16"/>
                <w:szCs w:val="16"/>
              </w:rPr>
            </w:pPr>
          </w:p>
        </w:tc>
        <w:tc>
          <w:tcPr>
            <w:tcW w:w="204" w:type="pct"/>
            <w:shd w:val="clear" w:color="auto" w:fill="auto"/>
            <w:vAlign w:val="center"/>
          </w:tcPr>
          <w:p w:rsidR="003563AD" w:rsidRDefault="003563AD">
            <w:pPr>
              <w:spacing w:beforeLines="20" w:before="48" w:afterLines="20" w:after="48"/>
              <w:jc w:val="center"/>
              <w:rPr>
                <w:noProof/>
                <w:sz w:val="16"/>
                <w:szCs w:val="16"/>
              </w:rPr>
            </w:pPr>
          </w:p>
        </w:tc>
        <w:tc>
          <w:tcPr>
            <w:tcW w:w="115" w:type="pct"/>
            <w:shd w:val="clear" w:color="auto" w:fill="auto"/>
            <w:vAlign w:val="center"/>
          </w:tcPr>
          <w:p w:rsidR="003563AD" w:rsidRDefault="003563AD">
            <w:pPr>
              <w:spacing w:beforeLines="20" w:before="48" w:afterLines="20" w:after="48"/>
              <w:jc w:val="center"/>
              <w:rPr>
                <w:noProof/>
                <w:sz w:val="16"/>
                <w:szCs w:val="16"/>
              </w:rPr>
            </w:pPr>
          </w:p>
        </w:tc>
        <w:tc>
          <w:tcPr>
            <w:tcW w:w="115" w:type="pct"/>
            <w:shd w:val="clear" w:color="auto" w:fill="auto"/>
            <w:vAlign w:val="center"/>
          </w:tcPr>
          <w:p w:rsidR="003563AD" w:rsidRDefault="003563AD">
            <w:pPr>
              <w:spacing w:beforeLines="20" w:before="48" w:afterLines="20" w:after="48"/>
              <w:jc w:val="center"/>
              <w:rPr>
                <w:noProof/>
                <w:sz w:val="16"/>
                <w:szCs w:val="16"/>
              </w:rPr>
            </w:pPr>
          </w:p>
        </w:tc>
      </w:tr>
      <w:tr w:rsidR="003563AD">
        <w:trPr>
          <w:gridBefore w:val="1"/>
          <w:wBefore w:w="6" w:type="pct"/>
          <w:trHeight w:val="289"/>
          <w:jc w:val="center"/>
        </w:trPr>
        <w:tc>
          <w:tcPr>
            <w:tcW w:w="1897" w:type="pct"/>
            <w:gridSpan w:val="2"/>
            <w:shd w:val="clear" w:color="auto" w:fill="auto"/>
            <w:vAlign w:val="center"/>
          </w:tcPr>
          <w:p w:rsidR="003563AD" w:rsidRDefault="00251882">
            <w:pPr>
              <w:pStyle w:val="Text1"/>
              <w:spacing w:beforeLines="20" w:before="48" w:afterLines="20" w:after="48"/>
              <w:ind w:left="136"/>
              <w:jc w:val="left"/>
              <w:rPr>
                <w:noProof/>
                <w:sz w:val="16"/>
                <w:szCs w:val="16"/>
              </w:rPr>
            </w:pPr>
            <w:r>
              <w:rPr>
                <w:noProof/>
                <w:sz w:val="16"/>
              </w:rPr>
              <w:t>10 01 05 02 (lepingulised töötajad, renditööjõud ja riikide lähetatud eksperdid otsese teadustegevuse valdkonnas)</w:t>
            </w:r>
          </w:p>
        </w:tc>
        <w:tc>
          <w:tcPr>
            <w:tcW w:w="391" w:type="pct"/>
            <w:shd w:val="clear" w:color="auto" w:fill="auto"/>
            <w:vAlign w:val="center"/>
          </w:tcPr>
          <w:p w:rsidR="003563AD" w:rsidRDefault="003563AD">
            <w:pPr>
              <w:spacing w:beforeLines="20" w:before="48" w:afterLines="20" w:after="48"/>
              <w:jc w:val="center"/>
              <w:rPr>
                <w:noProof/>
                <w:sz w:val="16"/>
                <w:szCs w:val="16"/>
              </w:rPr>
            </w:pPr>
          </w:p>
        </w:tc>
        <w:tc>
          <w:tcPr>
            <w:tcW w:w="413" w:type="pct"/>
            <w:shd w:val="clear" w:color="auto" w:fill="auto"/>
            <w:vAlign w:val="center"/>
          </w:tcPr>
          <w:p w:rsidR="003563AD" w:rsidRDefault="003563AD">
            <w:pPr>
              <w:spacing w:beforeLines="20" w:before="48" w:afterLines="20" w:after="48"/>
              <w:jc w:val="center"/>
              <w:rPr>
                <w:noProof/>
                <w:sz w:val="16"/>
                <w:szCs w:val="16"/>
              </w:rPr>
            </w:pPr>
          </w:p>
        </w:tc>
        <w:tc>
          <w:tcPr>
            <w:tcW w:w="1514" w:type="pct"/>
            <w:shd w:val="clear" w:color="auto" w:fill="auto"/>
            <w:vAlign w:val="center"/>
          </w:tcPr>
          <w:p w:rsidR="003563AD" w:rsidRDefault="003563AD">
            <w:pPr>
              <w:spacing w:beforeLines="20" w:before="48" w:afterLines="20" w:after="48"/>
              <w:jc w:val="center"/>
              <w:rPr>
                <w:noProof/>
                <w:sz w:val="16"/>
                <w:szCs w:val="16"/>
              </w:rPr>
            </w:pPr>
          </w:p>
        </w:tc>
        <w:tc>
          <w:tcPr>
            <w:tcW w:w="345" w:type="pct"/>
            <w:shd w:val="clear" w:color="auto" w:fill="auto"/>
            <w:vAlign w:val="center"/>
          </w:tcPr>
          <w:p w:rsidR="003563AD" w:rsidRDefault="003563AD">
            <w:pPr>
              <w:spacing w:beforeLines="20" w:before="48" w:afterLines="20" w:after="48"/>
              <w:jc w:val="center"/>
              <w:rPr>
                <w:noProof/>
                <w:sz w:val="16"/>
                <w:szCs w:val="16"/>
              </w:rPr>
            </w:pPr>
          </w:p>
        </w:tc>
        <w:tc>
          <w:tcPr>
            <w:tcW w:w="204" w:type="pct"/>
            <w:shd w:val="clear" w:color="auto" w:fill="auto"/>
            <w:vAlign w:val="center"/>
          </w:tcPr>
          <w:p w:rsidR="003563AD" w:rsidRDefault="003563AD">
            <w:pPr>
              <w:spacing w:beforeLines="20" w:before="48" w:afterLines="20" w:after="48"/>
              <w:jc w:val="center"/>
              <w:rPr>
                <w:noProof/>
                <w:sz w:val="16"/>
                <w:szCs w:val="16"/>
              </w:rPr>
            </w:pPr>
          </w:p>
        </w:tc>
        <w:tc>
          <w:tcPr>
            <w:tcW w:w="115" w:type="pct"/>
            <w:shd w:val="clear" w:color="auto" w:fill="auto"/>
            <w:vAlign w:val="center"/>
          </w:tcPr>
          <w:p w:rsidR="003563AD" w:rsidRDefault="003563AD">
            <w:pPr>
              <w:spacing w:beforeLines="20" w:before="48" w:afterLines="20" w:after="48"/>
              <w:jc w:val="center"/>
              <w:rPr>
                <w:noProof/>
                <w:sz w:val="16"/>
                <w:szCs w:val="16"/>
              </w:rPr>
            </w:pPr>
          </w:p>
        </w:tc>
        <w:tc>
          <w:tcPr>
            <w:tcW w:w="115" w:type="pct"/>
            <w:shd w:val="clear" w:color="auto" w:fill="auto"/>
            <w:vAlign w:val="center"/>
          </w:tcPr>
          <w:p w:rsidR="003563AD" w:rsidRDefault="003563AD">
            <w:pPr>
              <w:spacing w:beforeLines="20" w:before="48" w:afterLines="20" w:after="48"/>
              <w:jc w:val="center"/>
              <w:rPr>
                <w:noProof/>
                <w:sz w:val="16"/>
                <w:szCs w:val="16"/>
              </w:rPr>
            </w:pPr>
          </w:p>
        </w:tc>
      </w:tr>
      <w:tr w:rsidR="003563AD">
        <w:trPr>
          <w:gridBefore w:val="1"/>
          <w:wBefore w:w="6" w:type="pct"/>
          <w:trHeight w:val="289"/>
          <w:jc w:val="center"/>
        </w:trPr>
        <w:tc>
          <w:tcPr>
            <w:tcW w:w="1897" w:type="pct"/>
            <w:gridSpan w:val="2"/>
            <w:tcBorders>
              <w:bottom w:val="double" w:sz="4" w:space="0" w:color="auto"/>
            </w:tcBorders>
            <w:shd w:val="clear" w:color="auto" w:fill="auto"/>
            <w:vAlign w:val="center"/>
          </w:tcPr>
          <w:p w:rsidR="003563AD" w:rsidRDefault="00251882">
            <w:pPr>
              <w:pStyle w:val="Text1"/>
              <w:spacing w:beforeLines="20" w:before="48" w:afterLines="20" w:after="48"/>
              <w:ind w:left="134"/>
              <w:jc w:val="left"/>
              <w:rPr>
                <w:noProof/>
                <w:sz w:val="16"/>
                <w:szCs w:val="16"/>
              </w:rPr>
            </w:pPr>
            <w:r>
              <w:rPr>
                <w:noProof/>
                <w:sz w:val="16"/>
              </w:rPr>
              <w:t xml:space="preserve">Muud </w:t>
            </w:r>
            <w:r>
              <w:rPr>
                <w:noProof/>
                <w:sz w:val="16"/>
              </w:rPr>
              <w:t>eelarveread (täpsustage)</w:t>
            </w:r>
          </w:p>
        </w:tc>
        <w:tc>
          <w:tcPr>
            <w:tcW w:w="391" w:type="pct"/>
            <w:tcBorders>
              <w:bottom w:val="double" w:sz="4" w:space="0" w:color="auto"/>
            </w:tcBorders>
            <w:shd w:val="clear" w:color="auto" w:fill="auto"/>
            <w:vAlign w:val="center"/>
          </w:tcPr>
          <w:p w:rsidR="003563AD" w:rsidRDefault="003563AD">
            <w:pPr>
              <w:spacing w:beforeLines="20" w:before="48" w:afterLines="20" w:after="48"/>
              <w:jc w:val="center"/>
              <w:rPr>
                <w:noProof/>
                <w:sz w:val="16"/>
                <w:szCs w:val="16"/>
              </w:rPr>
            </w:pPr>
          </w:p>
        </w:tc>
        <w:tc>
          <w:tcPr>
            <w:tcW w:w="413" w:type="pct"/>
            <w:tcBorders>
              <w:bottom w:val="double" w:sz="4" w:space="0" w:color="auto"/>
            </w:tcBorders>
            <w:shd w:val="clear" w:color="auto" w:fill="auto"/>
            <w:vAlign w:val="center"/>
          </w:tcPr>
          <w:p w:rsidR="003563AD" w:rsidRDefault="003563AD">
            <w:pPr>
              <w:spacing w:beforeLines="20" w:before="48" w:afterLines="20" w:after="48"/>
              <w:jc w:val="center"/>
              <w:rPr>
                <w:noProof/>
                <w:sz w:val="16"/>
                <w:szCs w:val="16"/>
              </w:rPr>
            </w:pPr>
          </w:p>
        </w:tc>
        <w:tc>
          <w:tcPr>
            <w:tcW w:w="1514" w:type="pct"/>
            <w:tcBorders>
              <w:bottom w:val="double" w:sz="4" w:space="0" w:color="auto"/>
            </w:tcBorders>
            <w:shd w:val="clear" w:color="auto" w:fill="auto"/>
            <w:vAlign w:val="center"/>
          </w:tcPr>
          <w:p w:rsidR="003563AD" w:rsidRDefault="003563AD">
            <w:pPr>
              <w:spacing w:beforeLines="20" w:before="48" w:afterLines="20" w:after="48"/>
              <w:jc w:val="center"/>
              <w:rPr>
                <w:noProof/>
                <w:sz w:val="16"/>
                <w:szCs w:val="16"/>
              </w:rPr>
            </w:pPr>
          </w:p>
        </w:tc>
        <w:tc>
          <w:tcPr>
            <w:tcW w:w="345" w:type="pct"/>
            <w:tcBorders>
              <w:bottom w:val="double" w:sz="4" w:space="0" w:color="auto"/>
            </w:tcBorders>
            <w:shd w:val="clear" w:color="auto" w:fill="auto"/>
            <w:vAlign w:val="center"/>
          </w:tcPr>
          <w:p w:rsidR="003563AD" w:rsidRDefault="003563AD">
            <w:pPr>
              <w:spacing w:beforeLines="20" w:before="48" w:afterLines="20" w:after="48"/>
              <w:jc w:val="center"/>
              <w:rPr>
                <w:noProof/>
                <w:sz w:val="16"/>
                <w:szCs w:val="16"/>
              </w:rPr>
            </w:pPr>
          </w:p>
        </w:tc>
        <w:tc>
          <w:tcPr>
            <w:tcW w:w="204" w:type="pct"/>
            <w:tcBorders>
              <w:bottom w:val="double" w:sz="4" w:space="0" w:color="auto"/>
            </w:tcBorders>
            <w:shd w:val="clear" w:color="auto" w:fill="auto"/>
            <w:vAlign w:val="center"/>
          </w:tcPr>
          <w:p w:rsidR="003563AD" w:rsidRDefault="003563AD">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3563AD" w:rsidRDefault="003563AD">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3563AD" w:rsidRDefault="003563AD">
            <w:pPr>
              <w:spacing w:beforeLines="20" w:before="48" w:afterLines="20" w:after="48"/>
              <w:jc w:val="center"/>
              <w:rPr>
                <w:noProof/>
                <w:sz w:val="16"/>
                <w:szCs w:val="16"/>
              </w:rPr>
            </w:pPr>
          </w:p>
        </w:tc>
      </w:tr>
      <w:tr w:rsidR="003563AD">
        <w:trPr>
          <w:gridBefore w:val="1"/>
          <w:wBefore w:w="6" w:type="pct"/>
          <w:trHeight w:val="289"/>
          <w:jc w:val="center"/>
        </w:trPr>
        <w:tc>
          <w:tcPr>
            <w:tcW w:w="1897" w:type="pct"/>
            <w:gridSpan w:val="2"/>
            <w:tcBorders>
              <w:top w:val="double" w:sz="4" w:space="0" w:color="auto"/>
            </w:tcBorders>
            <w:shd w:val="clear" w:color="auto" w:fill="auto"/>
            <w:vAlign w:val="center"/>
          </w:tcPr>
          <w:p w:rsidR="003563AD" w:rsidRDefault="00251882">
            <w:pPr>
              <w:pStyle w:val="Text1"/>
              <w:spacing w:beforeLines="20" w:before="48" w:afterLines="20" w:after="48"/>
              <w:ind w:left="136"/>
              <w:jc w:val="left"/>
              <w:rPr>
                <w:noProof/>
                <w:sz w:val="16"/>
                <w:szCs w:val="16"/>
              </w:rPr>
            </w:pPr>
            <w:r>
              <w:rPr>
                <w:b/>
                <w:noProof/>
                <w:sz w:val="16"/>
              </w:rPr>
              <w:t>KOKKU</w:t>
            </w:r>
          </w:p>
        </w:tc>
        <w:tc>
          <w:tcPr>
            <w:tcW w:w="391" w:type="pct"/>
            <w:tcBorders>
              <w:top w:val="double" w:sz="4" w:space="0" w:color="auto"/>
            </w:tcBorders>
            <w:shd w:val="clear" w:color="auto" w:fill="auto"/>
            <w:vAlign w:val="center"/>
          </w:tcPr>
          <w:p w:rsidR="003563AD" w:rsidRDefault="003563AD">
            <w:pPr>
              <w:spacing w:beforeLines="20" w:before="48" w:afterLines="20" w:after="48"/>
              <w:jc w:val="center"/>
              <w:rPr>
                <w:b/>
                <w:noProof/>
                <w:sz w:val="16"/>
                <w:szCs w:val="16"/>
              </w:rPr>
            </w:pPr>
          </w:p>
        </w:tc>
        <w:tc>
          <w:tcPr>
            <w:tcW w:w="413" w:type="pct"/>
            <w:tcBorders>
              <w:top w:val="double" w:sz="4" w:space="0" w:color="auto"/>
            </w:tcBorders>
            <w:shd w:val="clear" w:color="auto" w:fill="auto"/>
            <w:vAlign w:val="center"/>
          </w:tcPr>
          <w:p w:rsidR="003563AD" w:rsidRDefault="003563AD">
            <w:pPr>
              <w:spacing w:beforeLines="20" w:before="48" w:afterLines="20" w:after="48"/>
              <w:jc w:val="center"/>
              <w:rPr>
                <w:b/>
                <w:noProof/>
                <w:sz w:val="16"/>
                <w:szCs w:val="16"/>
              </w:rPr>
            </w:pPr>
          </w:p>
        </w:tc>
        <w:tc>
          <w:tcPr>
            <w:tcW w:w="1514" w:type="pct"/>
            <w:tcBorders>
              <w:top w:val="double" w:sz="4" w:space="0" w:color="auto"/>
            </w:tcBorders>
            <w:shd w:val="clear" w:color="auto" w:fill="auto"/>
            <w:vAlign w:val="center"/>
          </w:tcPr>
          <w:p w:rsidR="003563AD" w:rsidRDefault="003563AD">
            <w:pPr>
              <w:spacing w:beforeLines="20" w:before="48" w:afterLines="20" w:after="48"/>
              <w:jc w:val="center"/>
              <w:rPr>
                <w:b/>
                <w:noProof/>
                <w:sz w:val="16"/>
                <w:szCs w:val="16"/>
              </w:rPr>
            </w:pPr>
          </w:p>
        </w:tc>
        <w:tc>
          <w:tcPr>
            <w:tcW w:w="345" w:type="pct"/>
            <w:tcBorders>
              <w:top w:val="double" w:sz="4" w:space="0" w:color="auto"/>
            </w:tcBorders>
            <w:shd w:val="clear" w:color="auto" w:fill="auto"/>
            <w:vAlign w:val="center"/>
          </w:tcPr>
          <w:p w:rsidR="003563AD" w:rsidRDefault="003563AD">
            <w:pPr>
              <w:spacing w:beforeLines="20" w:before="48" w:afterLines="20" w:after="48"/>
              <w:jc w:val="center"/>
              <w:rPr>
                <w:b/>
                <w:noProof/>
                <w:sz w:val="16"/>
                <w:szCs w:val="16"/>
              </w:rPr>
            </w:pPr>
          </w:p>
        </w:tc>
        <w:tc>
          <w:tcPr>
            <w:tcW w:w="204" w:type="pct"/>
            <w:tcBorders>
              <w:top w:val="double" w:sz="4" w:space="0" w:color="auto"/>
            </w:tcBorders>
            <w:shd w:val="clear" w:color="auto" w:fill="auto"/>
            <w:vAlign w:val="center"/>
          </w:tcPr>
          <w:p w:rsidR="003563AD" w:rsidRDefault="003563AD">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3563AD" w:rsidRDefault="003563AD">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3563AD" w:rsidRDefault="003563AD">
            <w:pPr>
              <w:spacing w:beforeLines="20" w:before="48" w:afterLines="20" w:after="48"/>
              <w:jc w:val="center"/>
              <w:rPr>
                <w:b/>
                <w:noProof/>
                <w:sz w:val="16"/>
                <w:szCs w:val="16"/>
              </w:rPr>
            </w:pPr>
          </w:p>
        </w:tc>
      </w:tr>
    </w:tbl>
    <w:p w:rsidR="003563AD" w:rsidRDefault="00251882">
      <w:pPr>
        <w:pStyle w:val="Text1"/>
        <w:spacing w:before="60" w:after="60"/>
        <w:ind w:left="851"/>
        <w:rPr>
          <w:noProof/>
          <w:sz w:val="18"/>
          <w:szCs w:val="18"/>
        </w:rPr>
      </w:pPr>
      <w:r>
        <w:rPr>
          <w:b/>
          <w:noProof/>
        </w:rPr>
        <w:t>XX</w:t>
      </w:r>
      <w:r>
        <w:rPr>
          <w:noProof/>
        </w:rPr>
        <w:t xml:space="preserve"> osutab asjaomasele poliitikavaldkonnale või eelarvejaotisele.</w:t>
      </w:r>
    </w:p>
    <w:p w:rsidR="003563AD" w:rsidRDefault="00251882">
      <w:pPr>
        <w:pStyle w:val="Text1"/>
        <w:rPr>
          <w:noProof/>
          <w:sz w:val="18"/>
          <w:szCs w:val="18"/>
        </w:rPr>
      </w:pPr>
      <w:r>
        <w:rPr>
          <w:noProof/>
          <w:sz w:val="18"/>
        </w:rPr>
        <w:t xml:space="preserve">Personalivajadused kaetakse haldavale peadirektoraadile juba jaotatud ja/või peadirektoraadis ümberpaigutatud vahenditest, vajaduse korral koos </w:t>
      </w:r>
      <w:r>
        <w:rPr>
          <w:noProof/>
          <w:sz w:val="18"/>
        </w:rPr>
        <w:t>lisaeraldistega, mis võidakse meedet juhtivale peadirektoraadile anda iga-aastase vahendite eraldamise protseduuri raames, võttes arvesse eelarvepiiranguid.</w:t>
      </w:r>
    </w:p>
    <w:p w:rsidR="003563AD" w:rsidRDefault="00251882">
      <w:pPr>
        <w:rPr>
          <w:noProof/>
          <w:sz w:val="20"/>
        </w:rPr>
      </w:pPr>
      <w:r>
        <w:rPr>
          <w:noProof/>
          <w:sz w:val="20"/>
        </w:rPr>
        <w:t>Ülesannete kirjeldus:</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3563AD">
        <w:tc>
          <w:tcPr>
            <w:tcW w:w="3240" w:type="dxa"/>
          </w:tcPr>
          <w:p w:rsidR="003563AD" w:rsidRDefault="00251882">
            <w:pPr>
              <w:rPr>
                <w:noProof/>
                <w:sz w:val="20"/>
              </w:rPr>
            </w:pPr>
            <w:r>
              <w:rPr>
                <w:noProof/>
                <w:sz w:val="20"/>
              </w:rPr>
              <w:t>Ametnikud ja ajutine personal</w:t>
            </w:r>
          </w:p>
        </w:tc>
        <w:tc>
          <w:tcPr>
            <w:tcW w:w="7200" w:type="dxa"/>
          </w:tcPr>
          <w:p w:rsidR="003563AD" w:rsidRDefault="003563AD">
            <w:pPr>
              <w:rPr>
                <w:noProof/>
                <w:sz w:val="20"/>
              </w:rPr>
            </w:pPr>
          </w:p>
        </w:tc>
      </w:tr>
      <w:tr w:rsidR="003563AD">
        <w:tc>
          <w:tcPr>
            <w:tcW w:w="3240" w:type="dxa"/>
          </w:tcPr>
          <w:p w:rsidR="003563AD" w:rsidRDefault="00251882">
            <w:pPr>
              <w:spacing w:before="60" w:after="60"/>
              <w:rPr>
                <w:noProof/>
                <w:sz w:val="20"/>
              </w:rPr>
            </w:pPr>
            <w:r>
              <w:rPr>
                <w:noProof/>
                <w:sz w:val="20"/>
              </w:rPr>
              <w:t>Koosseisuvälised töötajad</w:t>
            </w:r>
          </w:p>
        </w:tc>
        <w:tc>
          <w:tcPr>
            <w:tcW w:w="7200" w:type="dxa"/>
          </w:tcPr>
          <w:p w:rsidR="003563AD" w:rsidRDefault="003563AD">
            <w:pPr>
              <w:rPr>
                <w:noProof/>
                <w:sz w:val="20"/>
              </w:rPr>
            </w:pPr>
          </w:p>
        </w:tc>
      </w:tr>
    </w:tbl>
    <w:p w:rsidR="003563AD" w:rsidRDefault="003563AD">
      <w:pPr>
        <w:rPr>
          <w:noProof/>
        </w:rPr>
        <w:sectPr w:rsidR="003563AD">
          <w:pgSz w:w="11907" w:h="16840"/>
          <w:pgMar w:top="1134" w:right="1418" w:bottom="1134" w:left="1418" w:header="709" w:footer="709" w:gutter="0"/>
          <w:cols w:space="708"/>
          <w:docGrid w:linePitch="360"/>
        </w:sectPr>
      </w:pPr>
    </w:p>
    <w:p w:rsidR="003563AD" w:rsidRDefault="00251882">
      <w:pPr>
        <w:pStyle w:val="ManualHeading3"/>
        <w:rPr>
          <w:bCs/>
          <w:noProof/>
          <w:szCs w:val="24"/>
        </w:rPr>
      </w:pPr>
      <w:r>
        <w:t>3.2.4.</w:t>
      </w:r>
      <w:r>
        <w:tab/>
      </w:r>
      <w:r>
        <w:rPr>
          <w:noProof/>
        </w:rPr>
        <w:t xml:space="preserve">Kooskõla kehtiva mitmeaastase finantsraamistikuga </w:t>
      </w:r>
    </w:p>
    <w:p w:rsidR="003563AD" w:rsidRDefault="00251882">
      <w:pPr>
        <w:pStyle w:val="ListDash1"/>
        <w:rPr>
          <w:noProof/>
        </w:rPr>
      </w:pPr>
      <w:r>
        <w:rPr>
          <w:noProof/>
        </w:rPr>
        <w:sym w:font="Wingdings" w:char="F0A8"/>
      </w:r>
      <w:r>
        <w:rPr>
          <w:noProof/>
        </w:rPr>
        <w:tab/>
        <w:t>Ettepanek/algatus on kooskõlas kehtiva mitmeaastase finantsraamistikuga.</w:t>
      </w:r>
    </w:p>
    <w:p w:rsidR="003563AD" w:rsidRDefault="00251882">
      <w:pPr>
        <w:pStyle w:val="ListDash1"/>
        <w:rPr>
          <w:noProof/>
        </w:rPr>
      </w:pPr>
      <w:r>
        <w:rPr>
          <w:noProof/>
        </w:rPr>
        <w:sym w:font="Wingdings" w:char="F0A8"/>
      </w:r>
      <w:r>
        <w:rPr>
          <w:noProof/>
        </w:rPr>
        <w:tab/>
        <w:t>Ettepanekuga/algatusega kaasneb mitmeaastase finantsraamistiku asjaomase rubriigi ümberplaneerimin</w:t>
      </w:r>
      <w:r>
        <w:rPr>
          <w:noProof/>
        </w:rPr>
        <w:t>e.</w:t>
      </w:r>
    </w:p>
    <w:p w:rsidR="003563AD" w:rsidRDefault="00251882">
      <w:pPr>
        <w:pStyle w:val="Text1"/>
        <w:pBdr>
          <w:top w:val="single" w:sz="4" w:space="1" w:color="auto"/>
          <w:left w:val="single" w:sz="4" w:space="4" w:color="auto"/>
          <w:bottom w:val="single" w:sz="4" w:space="1" w:color="auto"/>
          <w:right w:val="single" w:sz="4" w:space="4" w:color="auto"/>
        </w:pBdr>
        <w:rPr>
          <w:noProof/>
          <w:sz w:val="20"/>
        </w:rPr>
      </w:pPr>
      <w:r>
        <w:rPr>
          <w:noProof/>
          <w:sz w:val="20"/>
        </w:rPr>
        <w:t>Selgitage ümberplaneerimist, osutades asjaomastele rubriikidele, eelarveridadele ja summadele.</w:t>
      </w:r>
    </w:p>
    <w:p w:rsidR="003563AD" w:rsidRDefault="003563AD">
      <w:pPr>
        <w:pStyle w:val="Text1"/>
        <w:pBdr>
          <w:top w:val="single" w:sz="4" w:space="1" w:color="auto"/>
          <w:left w:val="single" w:sz="4" w:space="4" w:color="auto"/>
          <w:bottom w:val="single" w:sz="4" w:space="1" w:color="auto"/>
          <w:right w:val="single" w:sz="4" w:space="4" w:color="auto"/>
        </w:pBdr>
        <w:rPr>
          <w:noProof/>
        </w:rPr>
      </w:pPr>
    </w:p>
    <w:p w:rsidR="003563AD" w:rsidRDefault="00251882">
      <w:pPr>
        <w:pStyle w:val="ListDash1"/>
        <w:rPr>
          <w:noProof/>
        </w:rPr>
      </w:pPr>
      <w:r>
        <w:rPr>
          <w:noProof/>
        </w:rPr>
        <w:sym w:font="Wingdings" w:char="F0A8"/>
      </w:r>
      <w:r>
        <w:rPr>
          <w:noProof/>
        </w:rPr>
        <w:tab/>
        <w:t>Ettepanek/algatus eeldab paindlikkusinstrumendi kohaldamist või mitmeaastase finantsraamistiku läbivaatamist.</w:t>
      </w:r>
    </w:p>
    <w:p w:rsidR="003563AD" w:rsidRDefault="003563AD">
      <w:pPr>
        <w:pStyle w:val="ListDash1"/>
        <w:rPr>
          <w:noProof/>
        </w:rPr>
      </w:pPr>
    </w:p>
    <w:p w:rsidR="003563AD" w:rsidRDefault="00251882">
      <w:pPr>
        <w:pStyle w:val="Text1"/>
        <w:pBdr>
          <w:top w:val="single" w:sz="4" w:space="1" w:color="auto"/>
          <w:left w:val="single" w:sz="4" w:space="4" w:color="auto"/>
          <w:bottom w:val="single" w:sz="4" w:space="1" w:color="auto"/>
          <w:right w:val="single" w:sz="4" w:space="4" w:color="auto"/>
        </w:pBdr>
      </w:pPr>
      <w:r>
        <w:t xml:space="preserve">ESMA, EBA ja EIOPA täidetavate ülesannetega </w:t>
      </w:r>
      <w:r>
        <w:t xml:space="preserve">seotud personalikulud on arvestatud kooskõlas Euroopa järelevalveasutuste 2015. aasta eelarveprojekti kulude klassifikatsiooniga. </w:t>
      </w:r>
    </w:p>
    <w:p w:rsidR="003563AD" w:rsidRDefault="00251882">
      <w:pPr>
        <w:pStyle w:val="Text1"/>
        <w:pBdr>
          <w:top w:val="single" w:sz="4" w:space="1" w:color="auto"/>
          <w:left w:val="single" w:sz="4" w:space="4" w:color="auto"/>
          <w:bottom w:val="single" w:sz="4" w:space="1" w:color="auto"/>
          <w:right w:val="single" w:sz="4" w:space="4" w:color="auto"/>
        </w:pBdr>
      </w:pPr>
      <w:r>
        <w:t xml:space="preserve">Komisjoni ettepanek sisaldab sätteid, mille kohaselt peavad kolm Euroopa järelevalveasutust välja töötama mitu regulatiivset </w:t>
      </w:r>
      <w:r>
        <w:t>tehnilist standardit.</w:t>
      </w:r>
    </w:p>
    <w:p w:rsidR="003563AD" w:rsidRDefault="00251882">
      <w:pPr>
        <w:pStyle w:val="Text1"/>
        <w:pBdr>
          <w:top w:val="single" w:sz="4" w:space="1" w:color="auto"/>
          <w:left w:val="single" w:sz="4" w:space="4" w:color="auto"/>
          <w:bottom w:val="single" w:sz="4" w:space="1" w:color="auto"/>
          <w:right w:val="single" w:sz="4" w:space="4" w:color="auto"/>
        </w:pBdr>
      </w:pPr>
      <w:r>
        <w:t xml:space="preserve">ESMA peab koostama ja oma ametlikul veebisaidil säilitama loetelu kõikidest </w:t>
      </w:r>
      <w:proofErr w:type="spellStart"/>
      <w:r>
        <w:t>väärtpaberistamistest</w:t>
      </w:r>
      <w:proofErr w:type="spellEnd"/>
      <w:r>
        <w:t xml:space="preserve">, mille algatajad, sponsorid ja eriotstarbelised </w:t>
      </w:r>
      <w:proofErr w:type="spellStart"/>
      <w:r>
        <w:t>väärtpaberistamisüksused</w:t>
      </w:r>
      <w:proofErr w:type="spellEnd"/>
      <w:r>
        <w:t xml:space="preserve"> on teatanud, et vastavad lihtsa, läbipaistva ja standarditud </w:t>
      </w:r>
      <w:proofErr w:type="spellStart"/>
      <w:r>
        <w:t>väärtpaberistamise</w:t>
      </w:r>
      <w:proofErr w:type="spellEnd"/>
      <w:r>
        <w:t xml:space="preserve"> nõuet</w:t>
      </w:r>
      <w:r>
        <w:t xml:space="preserve">ele (artikli 14 lõige 2). </w:t>
      </w:r>
    </w:p>
    <w:p w:rsidR="003563AD" w:rsidRDefault="00251882">
      <w:pPr>
        <w:pBdr>
          <w:top w:val="single" w:sz="4" w:space="1" w:color="auto"/>
          <w:left w:val="single" w:sz="4" w:space="4" w:color="auto"/>
          <w:bottom w:val="single" w:sz="4" w:space="1" w:color="auto"/>
          <w:right w:val="single" w:sz="4" w:space="4" w:color="auto"/>
        </w:pBdr>
        <w:ind w:left="850"/>
        <w:rPr>
          <w:noProof/>
          <w:color w:val="0000FF"/>
        </w:rPr>
      </w:pPr>
      <w:r>
        <w:rPr>
          <w:noProof/>
          <w:color w:val="0000FF"/>
        </w:rPr>
        <w:t>Uusi järelevalvealaseid pädevusi kolmele Euroopa järelevalveasutusele ei anta, kuid neil palutakse tõhustada järelevalvealast koostööd ning lihtsa, läbipaistva ja standarditud väärtpaberistamise kriteeriumide lähendamist (vt 3. p</w:t>
      </w:r>
      <w:r>
        <w:rPr>
          <w:noProof/>
          <w:color w:val="0000FF"/>
        </w:rPr>
        <w:t>eatükk). See eesmärk on esmatähtis, kuna hoiab ära väärtpaberistamisturu killustumise Euroopa Liidus.</w:t>
      </w:r>
    </w:p>
    <w:p w:rsidR="003563AD" w:rsidRDefault="00251882">
      <w:pPr>
        <w:pStyle w:val="Text1"/>
        <w:pBdr>
          <w:top w:val="single" w:sz="4" w:space="1" w:color="auto"/>
          <w:left w:val="single" w:sz="4" w:space="4" w:color="auto"/>
          <w:bottom w:val="single" w:sz="4" w:space="1" w:color="auto"/>
          <w:right w:val="single" w:sz="4" w:space="4" w:color="auto"/>
        </w:pBdr>
      </w:pPr>
      <w:r>
        <w:rPr>
          <w:noProof/>
          <w:color w:val="0000FF"/>
        </w:rPr>
        <w:t xml:space="preserve">Lisaks peavad ESMA, EBA ja EIOPA avaldama ühisaruande lihtsa, läbipaistva ja standarditud väärtpaberistamise nõuete rakendamise kohta ning </w:t>
      </w:r>
      <w:r>
        <w:t xml:space="preserve">lihtsa, </w:t>
      </w:r>
      <w:r>
        <w:t xml:space="preserve">läbipaistva ja standarditud </w:t>
      </w:r>
      <w:proofErr w:type="spellStart"/>
      <w:r>
        <w:t>väärtpaberistamise</w:t>
      </w:r>
      <w:proofErr w:type="spellEnd"/>
      <w:r>
        <w:t xml:space="preserve"> teadete süsteemi toimimise ja turu toimimise kohta. Ühtlasi antakse aru meetmetest, mida järelevalveasutused on võtnud, ning olulistest riskidest ja uutest nõrkadest kohtadest, mis võivad olla tekkinud. Esimen</w:t>
      </w:r>
      <w:r>
        <w:t>e aruanne avaldatakse kaks aastat pärast käesoleva määruse jõustumist ja edasised aruanded iga kolme aasta järel.</w:t>
      </w:r>
    </w:p>
    <w:p w:rsidR="003563AD" w:rsidRDefault="00251882">
      <w:pPr>
        <w:pStyle w:val="Text1"/>
        <w:pBdr>
          <w:top w:val="single" w:sz="4" w:space="1" w:color="auto"/>
          <w:left w:val="single" w:sz="4" w:space="4" w:color="auto"/>
          <w:bottom w:val="single" w:sz="4" w:space="1" w:color="auto"/>
          <w:right w:val="single" w:sz="4" w:space="4" w:color="auto"/>
        </w:pBdr>
      </w:pPr>
      <w:r>
        <w:t>Ajakava kohaselt on Euroopa järelevalveasutustel vaja täiendavaid ressursse alates 2016. aasta lõpust, et alustada ettevalmistustöödega ja mää</w:t>
      </w:r>
      <w:r>
        <w:t>ruse tõrgeteta rakendamisega. Pidades silmas ametikohtade laadi, on uute tehniliste standardite edukaks ja õigeaegseks kehtestamiseks vaja eelkõige eraldada täiendavaid vahendeid selliste ülesannete jaoks nagu poliitika kujundamine ning õigusaktide ja mõju</w:t>
      </w:r>
      <w:r>
        <w:t xml:space="preserve">hinnangute koostamine. </w:t>
      </w:r>
    </w:p>
    <w:p w:rsidR="003563AD" w:rsidRDefault="00251882">
      <w:pPr>
        <w:pStyle w:val="Text1"/>
        <w:pBdr>
          <w:top w:val="single" w:sz="4" w:space="1" w:color="auto"/>
          <w:left w:val="single" w:sz="4" w:space="4" w:color="auto"/>
          <w:bottom w:val="single" w:sz="4" w:space="1" w:color="auto"/>
          <w:right w:val="single" w:sz="4" w:space="4" w:color="auto"/>
        </w:pBdr>
      </w:pPr>
      <w:r>
        <w:t>Selleks tööks on vajalikud kahe- ja mitmepoolsed kohtumised sidusrühmadega, valikute analüüs ja hindamine ning konsultatsioonidokumentide koostamine, avalik konsultatsioon sidusrühmadega, liikmesriikide järelevalveasutuste esindajat</w:t>
      </w:r>
      <w:r>
        <w:t>est koosnevate alaliste eksperdirühmade moodustamine ja juhtimine, turuosalistest ja investorite esindajatest koosnevate ajutiste eksperdirühmade moodustamine ja juhtimine, konsultatsioonide käigus saadud vastuste analüüs, tasuvusanalüüside tegemine ja õig</w:t>
      </w:r>
      <w:r>
        <w:t>usakti teksti koostamine.</w:t>
      </w:r>
    </w:p>
    <w:p w:rsidR="003563AD" w:rsidRDefault="00251882">
      <w:pPr>
        <w:pStyle w:val="Text1"/>
        <w:pBdr>
          <w:top w:val="single" w:sz="4" w:space="1" w:color="auto"/>
          <w:left w:val="single" w:sz="4" w:space="4" w:color="auto"/>
          <w:bottom w:val="single" w:sz="4" w:space="1" w:color="auto"/>
          <w:right w:val="single" w:sz="4" w:space="4" w:color="auto"/>
        </w:pBdr>
      </w:pPr>
      <w:r>
        <w:t xml:space="preserve">Osa nõutud tööst on tihedalt seotud käimasoleva tehnilise tööga kapitalinõuete määruse, CRA3, </w:t>
      </w:r>
      <w:proofErr w:type="spellStart"/>
      <w:r>
        <w:t>Solventsus</w:t>
      </w:r>
      <w:proofErr w:type="spellEnd"/>
      <w:r>
        <w:t xml:space="preserve"> II ja Euroopa turu infrastruktuuri määruse raames.</w:t>
      </w:r>
    </w:p>
    <w:p w:rsidR="003563AD" w:rsidRDefault="00251882">
      <w:pPr>
        <w:pStyle w:val="Text1"/>
        <w:pBdr>
          <w:top w:val="single" w:sz="4" w:space="1" w:color="auto"/>
          <w:left w:val="single" w:sz="4" w:space="4" w:color="auto"/>
          <w:bottom w:val="single" w:sz="4" w:space="1" w:color="auto"/>
          <w:right w:val="single" w:sz="4" w:space="4" w:color="auto"/>
        </w:pBdr>
        <w:rPr>
          <w:noProof/>
        </w:rPr>
      </w:pPr>
      <w:r>
        <w:t>See tähendab, et alates 2017. ja 2018. aastast vajatakse täiendavaid ajuti</w:t>
      </w:r>
      <w:r>
        <w:t>si teenistujaid, kuna Euroopa järelevalveasutused peaksid hakkama täitma uusi ülesandeid. Kõnealused uued ülesanded on sätestatud kavandatud määruses ning neid on täpsemalt kirjeldatud seletuskirjas.</w:t>
      </w:r>
    </w:p>
    <w:p w:rsidR="003563AD" w:rsidRDefault="00251882">
      <w:pPr>
        <w:pStyle w:val="ManualHeading3"/>
        <w:rPr>
          <w:bCs/>
          <w:noProof/>
          <w:szCs w:val="24"/>
        </w:rPr>
      </w:pPr>
      <w:r>
        <w:t>3.2.5.</w:t>
      </w:r>
      <w:r>
        <w:tab/>
      </w:r>
      <w:r>
        <w:rPr>
          <w:noProof/>
        </w:rPr>
        <w:t xml:space="preserve">Kolmandate isikute rahaline toetus </w:t>
      </w:r>
    </w:p>
    <w:p w:rsidR="003563AD" w:rsidRDefault="00251882">
      <w:pPr>
        <w:pStyle w:val="ListDash1"/>
        <w:rPr>
          <w:noProof/>
        </w:rPr>
      </w:pPr>
      <w:r>
        <w:rPr>
          <w:noProof/>
        </w:rPr>
        <w:t>Ettepanek/alg</w:t>
      </w:r>
      <w:r>
        <w:rPr>
          <w:noProof/>
        </w:rPr>
        <w:t xml:space="preserve">atus ei hõlma kolmandate isikute poolset kaasrahastamist </w:t>
      </w:r>
    </w:p>
    <w:p w:rsidR="003563AD" w:rsidRDefault="00251882">
      <w:pPr>
        <w:pStyle w:val="ListDash1"/>
        <w:rPr>
          <w:noProof/>
        </w:rPr>
      </w:pPr>
      <w:r>
        <w:rPr>
          <w:noProof/>
        </w:rPr>
        <w:t>Ettepanek/algatus hõlmab kaasrahastamist, mille hinnanguline summa on järgmine:</w:t>
      </w:r>
    </w:p>
    <w:p w:rsidR="003563AD" w:rsidRDefault="00251882">
      <w:pPr>
        <w:jc w:val="right"/>
        <w:rPr>
          <w:noProof/>
          <w:sz w:val="20"/>
        </w:rPr>
      </w:pPr>
      <w:r>
        <w:rPr>
          <w:noProof/>
          <w:sz w:val="20"/>
        </w:rPr>
        <w:t>assigneeringud miljonites eurodes (kolm kohta pärast koma)</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3563AD">
        <w:trPr>
          <w:cantSplit/>
        </w:trPr>
        <w:tc>
          <w:tcPr>
            <w:tcW w:w="2340" w:type="dxa"/>
          </w:tcPr>
          <w:p w:rsidR="003563AD" w:rsidRDefault="003563AD">
            <w:pPr>
              <w:spacing w:before="60" w:after="60"/>
              <w:rPr>
                <w:noProof/>
                <w:sz w:val="20"/>
              </w:rPr>
            </w:pPr>
          </w:p>
        </w:tc>
        <w:tc>
          <w:tcPr>
            <w:tcW w:w="964" w:type="dxa"/>
            <w:vAlign w:val="center"/>
          </w:tcPr>
          <w:p w:rsidR="003563AD" w:rsidRDefault="00251882">
            <w:pPr>
              <w:jc w:val="center"/>
              <w:rPr>
                <w:noProof/>
                <w:sz w:val="20"/>
              </w:rPr>
            </w:pPr>
            <w:r>
              <w:rPr>
                <w:noProof/>
              </w:rPr>
              <w:t>Aasta</w:t>
            </w:r>
            <w:r>
              <w:rPr>
                <w:noProof/>
                <w:sz w:val="22"/>
              </w:rPr>
              <w:br/>
            </w:r>
            <w:r>
              <w:rPr>
                <w:b/>
                <w:noProof/>
                <w:sz w:val="20"/>
              </w:rPr>
              <w:t>N</w:t>
            </w:r>
          </w:p>
        </w:tc>
        <w:tc>
          <w:tcPr>
            <w:tcW w:w="964" w:type="dxa"/>
            <w:vAlign w:val="center"/>
          </w:tcPr>
          <w:p w:rsidR="003563AD" w:rsidRDefault="00251882">
            <w:pPr>
              <w:jc w:val="center"/>
              <w:rPr>
                <w:noProof/>
                <w:sz w:val="20"/>
              </w:rPr>
            </w:pPr>
            <w:r>
              <w:rPr>
                <w:noProof/>
              </w:rPr>
              <w:t>Aasta</w:t>
            </w:r>
            <w:r>
              <w:rPr>
                <w:noProof/>
                <w:sz w:val="22"/>
              </w:rPr>
              <w:br/>
            </w:r>
            <w:r>
              <w:rPr>
                <w:b/>
                <w:noProof/>
                <w:sz w:val="20"/>
              </w:rPr>
              <w:t>N+1</w:t>
            </w:r>
          </w:p>
        </w:tc>
        <w:tc>
          <w:tcPr>
            <w:tcW w:w="964" w:type="dxa"/>
            <w:vAlign w:val="center"/>
          </w:tcPr>
          <w:p w:rsidR="003563AD" w:rsidRDefault="00251882">
            <w:pPr>
              <w:jc w:val="center"/>
              <w:rPr>
                <w:noProof/>
                <w:sz w:val="20"/>
              </w:rPr>
            </w:pPr>
            <w:r>
              <w:rPr>
                <w:noProof/>
              </w:rPr>
              <w:t>Aasta</w:t>
            </w:r>
            <w:r>
              <w:rPr>
                <w:noProof/>
                <w:sz w:val="22"/>
              </w:rPr>
              <w:br/>
            </w:r>
            <w:r>
              <w:rPr>
                <w:b/>
                <w:noProof/>
                <w:sz w:val="20"/>
              </w:rPr>
              <w:t>N+2</w:t>
            </w:r>
          </w:p>
        </w:tc>
        <w:tc>
          <w:tcPr>
            <w:tcW w:w="964" w:type="dxa"/>
            <w:vAlign w:val="center"/>
          </w:tcPr>
          <w:p w:rsidR="003563AD" w:rsidRDefault="00251882">
            <w:pPr>
              <w:jc w:val="center"/>
              <w:rPr>
                <w:noProof/>
                <w:sz w:val="20"/>
              </w:rPr>
            </w:pPr>
            <w:r>
              <w:rPr>
                <w:noProof/>
              </w:rPr>
              <w:t>Aasta</w:t>
            </w:r>
            <w:r>
              <w:rPr>
                <w:noProof/>
                <w:sz w:val="22"/>
              </w:rPr>
              <w:br/>
            </w:r>
            <w:r>
              <w:rPr>
                <w:b/>
                <w:noProof/>
                <w:sz w:val="20"/>
              </w:rPr>
              <w:t>N+3</w:t>
            </w:r>
          </w:p>
        </w:tc>
        <w:tc>
          <w:tcPr>
            <w:tcW w:w="2892" w:type="dxa"/>
            <w:gridSpan w:val="3"/>
            <w:vAlign w:val="center"/>
          </w:tcPr>
          <w:p w:rsidR="003563AD" w:rsidRDefault="00251882">
            <w:pPr>
              <w:jc w:val="center"/>
              <w:rPr>
                <w:b/>
                <w:noProof/>
                <w:sz w:val="20"/>
              </w:rPr>
            </w:pPr>
            <w:r>
              <w:rPr>
                <w:noProof/>
                <w:sz w:val="20"/>
              </w:rPr>
              <w:t xml:space="preserve">Lisage vajalik arv </w:t>
            </w:r>
            <w:r>
              <w:rPr>
                <w:noProof/>
                <w:sz w:val="20"/>
              </w:rPr>
              <w:t>aastaid, et kajastada kogu finantsmõju (vt punkt 1.6)</w:t>
            </w:r>
          </w:p>
        </w:tc>
        <w:tc>
          <w:tcPr>
            <w:tcW w:w="1158" w:type="dxa"/>
            <w:vAlign w:val="center"/>
          </w:tcPr>
          <w:p w:rsidR="003563AD" w:rsidRDefault="00251882">
            <w:pPr>
              <w:spacing w:before="60" w:after="60"/>
              <w:jc w:val="center"/>
              <w:rPr>
                <w:noProof/>
                <w:sz w:val="20"/>
              </w:rPr>
            </w:pPr>
            <w:r>
              <w:rPr>
                <w:noProof/>
                <w:sz w:val="20"/>
              </w:rPr>
              <w:t>Kokku</w:t>
            </w:r>
          </w:p>
        </w:tc>
      </w:tr>
      <w:tr w:rsidR="003563AD">
        <w:trPr>
          <w:cantSplit/>
        </w:trPr>
        <w:tc>
          <w:tcPr>
            <w:tcW w:w="2340" w:type="dxa"/>
          </w:tcPr>
          <w:p w:rsidR="003563AD" w:rsidRDefault="00251882">
            <w:pPr>
              <w:rPr>
                <w:noProof/>
              </w:rPr>
            </w:pPr>
            <w:r>
              <w:rPr>
                <w:noProof/>
                <w:sz w:val="20"/>
              </w:rPr>
              <w:t>Täpsustage kaasrahastav asutus</w:t>
            </w:r>
            <w:r>
              <w:rPr>
                <w:i/>
                <w:noProof/>
                <w:sz w:val="20"/>
              </w:rPr>
              <w:t xml:space="preserve"> </w:t>
            </w:r>
          </w:p>
        </w:tc>
        <w:tc>
          <w:tcPr>
            <w:tcW w:w="964" w:type="dxa"/>
            <w:vAlign w:val="center"/>
          </w:tcPr>
          <w:p w:rsidR="003563AD" w:rsidRDefault="003563AD">
            <w:pPr>
              <w:spacing w:before="60" w:after="60"/>
              <w:jc w:val="center"/>
              <w:rPr>
                <w:noProof/>
                <w:sz w:val="20"/>
              </w:rPr>
            </w:pPr>
          </w:p>
        </w:tc>
        <w:tc>
          <w:tcPr>
            <w:tcW w:w="964" w:type="dxa"/>
            <w:vAlign w:val="center"/>
          </w:tcPr>
          <w:p w:rsidR="003563AD" w:rsidRDefault="003563AD">
            <w:pPr>
              <w:spacing w:before="60" w:after="60"/>
              <w:jc w:val="center"/>
              <w:rPr>
                <w:noProof/>
                <w:sz w:val="20"/>
              </w:rPr>
            </w:pPr>
          </w:p>
        </w:tc>
        <w:tc>
          <w:tcPr>
            <w:tcW w:w="964" w:type="dxa"/>
            <w:vAlign w:val="center"/>
          </w:tcPr>
          <w:p w:rsidR="003563AD" w:rsidRDefault="003563AD">
            <w:pPr>
              <w:spacing w:before="60" w:after="60"/>
              <w:jc w:val="center"/>
              <w:rPr>
                <w:noProof/>
                <w:sz w:val="20"/>
              </w:rPr>
            </w:pPr>
          </w:p>
        </w:tc>
        <w:tc>
          <w:tcPr>
            <w:tcW w:w="964" w:type="dxa"/>
            <w:vAlign w:val="center"/>
          </w:tcPr>
          <w:p w:rsidR="003563AD" w:rsidRDefault="003563AD">
            <w:pPr>
              <w:spacing w:before="60" w:after="60"/>
              <w:jc w:val="center"/>
              <w:rPr>
                <w:noProof/>
                <w:sz w:val="20"/>
              </w:rPr>
            </w:pPr>
          </w:p>
        </w:tc>
        <w:tc>
          <w:tcPr>
            <w:tcW w:w="964" w:type="dxa"/>
            <w:vAlign w:val="center"/>
          </w:tcPr>
          <w:p w:rsidR="003563AD" w:rsidRDefault="003563AD">
            <w:pPr>
              <w:spacing w:before="60" w:after="60"/>
              <w:jc w:val="center"/>
              <w:rPr>
                <w:noProof/>
                <w:sz w:val="20"/>
              </w:rPr>
            </w:pPr>
          </w:p>
        </w:tc>
        <w:tc>
          <w:tcPr>
            <w:tcW w:w="964" w:type="dxa"/>
            <w:vAlign w:val="center"/>
          </w:tcPr>
          <w:p w:rsidR="003563AD" w:rsidRDefault="003563AD">
            <w:pPr>
              <w:spacing w:before="60" w:after="60"/>
              <w:jc w:val="center"/>
              <w:rPr>
                <w:noProof/>
                <w:sz w:val="20"/>
              </w:rPr>
            </w:pPr>
          </w:p>
        </w:tc>
        <w:tc>
          <w:tcPr>
            <w:tcW w:w="964" w:type="dxa"/>
            <w:vAlign w:val="center"/>
          </w:tcPr>
          <w:p w:rsidR="003563AD" w:rsidRDefault="003563AD">
            <w:pPr>
              <w:spacing w:before="60" w:after="60"/>
              <w:jc w:val="center"/>
              <w:rPr>
                <w:noProof/>
                <w:sz w:val="20"/>
              </w:rPr>
            </w:pPr>
          </w:p>
        </w:tc>
        <w:tc>
          <w:tcPr>
            <w:tcW w:w="1158" w:type="dxa"/>
            <w:vAlign w:val="center"/>
          </w:tcPr>
          <w:p w:rsidR="003563AD" w:rsidRDefault="003563AD">
            <w:pPr>
              <w:spacing w:before="60" w:after="60"/>
              <w:jc w:val="center"/>
              <w:rPr>
                <w:noProof/>
                <w:sz w:val="20"/>
              </w:rPr>
            </w:pPr>
          </w:p>
        </w:tc>
      </w:tr>
      <w:tr w:rsidR="003563AD">
        <w:trPr>
          <w:cantSplit/>
        </w:trPr>
        <w:tc>
          <w:tcPr>
            <w:tcW w:w="2340" w:type="dxa"/>
          </w:tcPr>
          <w:p w:rsidR="003563AD" w:rsidRDefault="00251882">
            <w:pPr>
              <w:spacing w:before="60" w:after="60"/>
              <w:jc w:val="left"/>
              <w:rPr>
                <w:noProof/>
                <w:sz w:val="20"/>
              </w:rPr>
            </w:pPr>
            <w:r>
              <w:rPr>
                <w:noProof/>
                <w:sz w:val="20"/>
              </w:rPr>
              <w:t xml:space="preserve">Kaasrahastatavad assigneeringud KOKKU </w:t>
            </w:r>
          </w:p>
        </w:tc>
        <w:tc>
          <w:tcPr>
            <w:tcW w:w="964" w:type="dxa"/>
            <w:vAlign w:val="center"/>
          </w:tcPr>
          <w:p w:rsidR="003563AD" w:rsidRDefault="003563AD">
            <w:pPr>
              <w:spacing w:before="60" w:after="60"/>
              <w:jc w:val="center"/>
              <w:rPr>
                <w:noProof/>
                <w:sz w:val="20"/>
              </w:rPr>
            </w:pPr>
          </w:p>
        </w:tc>
        <w:tc>
          <w:tcPr>
            <w:tcW w:w="964" w:type="dxa"/>
            <w:vAlign w:val="center"/>
          </w:tcPr>
          <w:p w:rsidR="003563AD" w:rsidRDefault="003563AD">
            <w:pPr>
              <w:spacing w:before="60" w:after="60"/>
              <w:jc w:val="center"/>
              <w:rPr>
                <w:noProof/>
                <w:sz w:val="20"/>
              </w:rPr>
            </w:pPr>
          </w:p>
        </w:tc>
        <w:tc>
          <w:tcPr>
            <w:tcW w:w="964" w:type="dxa"/>
            <w:vAlign w:val="center"/>
          </w:tcPr>
          <w:p w:rsidR="003563AD" w:rsidRDefault="003563AD">
            <w:pPr>
              <w:spacing w:before="60" w:after="60"/>
              <w:jc w:val="center"/>
              <w:rPr>
                <w:noProof/>
                <w:sz w:val="20"/>
              </w:rPr>
            </w:pPr>
          </w:p>
        </w:tc>
        <w:tc>
          <w:tcPr>
            <w:tcW w:w="964" w:type="dxa"/>
            <w:vAlign w:val="center"/>
          </w:tcPr>
          <w:p w:rsidR="003563AD" w:rsidRDefault="003563AD">
            <w:pPr>
              <w:spacing w:before="60" w:after="60"/>
              <w:jc w:val="center"/>
              <w:rPr>
                <w:noProof/>
                <w:sz w:val="20"/>
              </w:rPr>
            </w:pPr>
          </w:p>
        </w:tc>
        <w:tc>
          <w:tcPr>
            <w:tcW w:w="964" w:type="dxa"/>
            <w:vAlign w:val="center"/>
          </w:tcPr>
          <w:p w:rsidR="003563AD" w:rsidRDefault="003563AD">
            <w:pPr>
              <w:spacing w:before="60" w:after="60"/>
              <w:jc w:val="center"/>
              <w:rPr>
                <w:noProof/>
                <w:sz w:val="20"/>
              </w:rPr>
            </w:pPr>
          </w:p>
        </w:tc>
        <w:tc>
          <w:tcPr>
            <w:tcW w:w="964" w:type="dxa"/>
            <w:vAlign w:val="center"/>
          </w:tcPr>
          <w:p w:rsidR="003563AD" w:rsidRDefault="003563AD">
            <w:pPr>
              <w:spacing w:before="60" w:after="60"/>
              <w:jc w:val="center"/>
              <w:rPr>
                <w:noProof/>
                <w:sz w:val="20"/>
              </w:rPr>
            </w:pPr>
          </w:p>
        </w:tc>
        <w:tc>
          <w:tcPr>
            <w:tcW w:w="964" w:type="dxa"/>
            <w:vAlign w:val="center"/>
          </w:tcPr>
          <w:p w:rsidR="003563AD" w:rsidRDefault="003563AD">
            <w:pPr>
              <w:spacing w:before="60" w:after="60"/>
              <w:jc w:val="center"/>
              <w:rPr>
                <w:noProof/>
                <w:sz w:val="20"/>
              </w:rPr>
            </w:pPr>
          </w:p>
        </w:tc>
        <w:tc>
          <w:tcPr>
            <w:tcW w:w="1158" w:type="dxa"/>
            <w:vAlign w:val="center"/>
          </w:tcPr>
          <w:p w:rsidR="003563AD" w:rsidRDefault="003563AD">
            <w:pPr>
              <w:spacing w:before="60" w:after="60"/>
              <w:jc w:val="center"/>
              <w:rPr>
                <w:noProof/>
                <w:sz w:val="20"/>
              </w:rPr>
            </w:pPr>
          </w:p>
        </w:tc>
      </w:tr>
    </w:tbl>
    <w:p w:rsidR="003563AD" w:rsidRDefault="00251882">
      <w:pPr>
        <w:rPr>
          <w:noProof/>
        </w:rPr>
      </w:pPr>
      <w:r>
        <w:rPr>
          <w:noProof/>
        </w:rPr>
        <w:br/>
      </w:r>
    </w:p>
    <w:p w:rsidR="003563AD" w:rsidRDefault="00251882">
      <w:pPr>
        <w:pStyle w:val="ManualHeading2"/>
        <w:rPr>
          <w:bCs/>
          <w:noProof/>
          <w:szCs w:val="24"/>
        </w:rPr>
      </w:pPr>
      <w:r>
        <w:rPr>
          <w:noProof/>
        </w:rPr>
        <w:br w:type="page"/>
      </w:r>
      <w:r>
        <w:t>3.3.</w:t>
      </w:r>
      <w:r>
        <w:tab/>
      </w:r>
      <w:r>
        <w:rPr>
          <w:noProof/>
        </w:rPr>
        <w:t xml:space="preserve">Hinnanguline mõju tuludele </w:t>
      </w:r>
    </w:p>
    <w:p w:rsidR="003563AD" w:rsidRDefault="00251882">
      <w:pPr>
        <w:pStyle w:val="ListDash1"/>
        <w:rPr>
          <w:noProof/>
        </w:rPr>
      </w:pPr>
      <w:r>
        <w:rPr>
          <w:rFonts w:ascii="Wingdings" w:hAnsi="Wingdings"/>
          <w:noProof/>
        </w:rPr>
        <w:t></w:t>
      </w:r>
      <w:r>
        <w:rPr>
          <w:noProof/>
        </w:rPr>
        <w:tab/>
        <w:t>Ettepanekul/algatusel puudub finantsmõju tuludele.</w:t>
      </w:r>
    </w:p>
    <w:p w:rsidR="003563AD" w:rsidRDefault="00251882">
      <w:pPr>
        <w:pStyle w:val="ListDash1"/>
        <w:rPr>
          <w:noProof/>
        </w:rPr>
      </w:pPr>
      <w:r>
        <w:rPr>
          <w:noProof/>
        </w:rPr>
        <w:sym w:font="Wingdings" w:char="F0A8"/>
      </w:r>
      <w:r>
        <w:rPr>
          <w:noProof/>
        </w:rPr>
        <w:tab/>
      </w:r>
      <w:r>
        <w:rPr>
          <w:noProof/>
        </w:rPr>
        <w:t>Ettepanekul/algatusel on järgmine finantsmõju:</w:t>
      </w:r>
    </w:p>
    <w:p w:rsidR="003563AD" w:rsidRDefault="00251882">
      <w:pPr>
        <w:pStyle w:val="ListNumberLevel3"/>
        <w:rPr>
          <w:noProof/>
        </w:rPr>
      </w:pPr>
      <w:r>
        <w:rPr>
          <w:noProof/>
        </w:rPr>
        <w:sym w:font="Wingdings" w:char="F0A8"/>
      </w:r>
      <w:r>
        <w:rPr>
          <w:noProof/>
        </w:rPr>
        <w:tab/>
        <w:t xml:space="preserve">omavahenditele </w:t>
      </w:r>
    </w:p>
    <w:p w:rsidR="003563AD" w:rsidRDefault="00251882">
      <w:pPr>
        <w:pStyle w:val="ListNumberLevel3"/>
        <w:rPr>
          <w:noProof/>
        </w:rPr>
      </w:pPr>
      <w:r>
        <w:rPr>
          <w:noProof/>
        </w:rPr>
        <w:sym w:font="Wingdings" w:char="F0A8"/>
      </w:r>
      <w:r>
        <w:rPr>
          <w:noProof/>
        </w:rPr>
        <w:tab/>
        <w:t xml:space="preserve">mitmesugustele tuludele </w:t>
      </w:r>
    </w:p>
    <w:p w:rsidR="003563AD" w:rsidRDefault="00251882">
      <w:pPr>
        <w:jc w:val="right"/>
        <w:rPr>
          <w:i/>
          <w:noProof/>
          <w:sz w:val="20"/>
        </w:rPr>
      </w:pPr>
      <w:r>
        <w:rPr>
          <w:noProof/>
        </w:rPr>
        <w:t>miljonites eurodes (kolm kohta pärast koma)</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3563AD">
        <w:trPr>
          <w:trHeight w:val="388"/>
        </w:trPr>
        <w:tc>
          <w:tcPr>
            <w:tcW w:w="2144" w:type="dxa"/>
            <w:vMerge w:val="restart"/>
            <w:vAlign w:val="center"/>
          </w:tcPr>
          <w:p w:rsidR="003563AD" w:rsidRDefault="00251882">
            <w:pPr>
              <w:spacing w:before="40" w:after="40"/>
              <w:rPr>
                <w:noProof/>
                <w:sz w:val="18"/>
              </w:rPr>
            </w:pPr>
            <w:r>
              <w:rPr>
                <w:noProof/>
                <w:sz w:val="18"/>
              </w:rPr>
              <w:t>Tulude eelarverida:</w:t>
            </w:r>
          </w:p>
        </w:tc>
        <w:tc>
          <w:tcPr>
            <w:tcW w:w="1276" w:type="dxa"/>
            <w:vMerge w:val="restart"/>
            <w:vAlign w:val="center"/>
          </w:tcPr>
          <w:p w:rsidR="003563AD" w:rsidRDefault="00251882">
            <w:pPr>
              <w:jc w:val="center"/>
              <w:rPr>
                <w:noProof/>
                <w:sz w:val="18"/>
              </w:rPr>
            </w:pPr>
            <w:r>
              <w:rPr>
                <w:noProof/>
                <w:sz w:val="18"/>
              </w:rPr>
              <w:t>Jooksva aasta eelarves kättesaadavad assigneeringud</w:t>
            </w:r>
          </w:p>
        </w:tc>
        <w:tc>
          <w:tcPr>
            <w:tcW w:w="7200" w:type="dxa"/>
            <w:gridSpan w:val="7"/>
            <w:vAlign w:val="center"/>
          </w:tcPr>
          <w:p w:rsidR="003563AD" w:rsidRDefault="00251882">
            <w:pPr>
              <w:jc w:val="center"/>
              <w:rPr>
                <w:noProof/>
                <w:sz w:val="18"/>
              </w:rPr>
            </w:pPr>
            <w:r>
              <w:rPr>
                <w:noProof/>
                <w:sz w:val="18"/>
              </w:rPr>
              <w:t>Ettepaneku/algatuse mõju</w:t>
            </w:r>
            <w:r>
              <w:rPr>
                <w:rStyle w:val="FootnoteReference"/>
                <w:noProof/>
                <w:sz w:val="18"/>
              </w:rPr>
              <w:footnoteReference w:id="45"/>
            </w:r>
          </w:p>
        </w:tc>
      </w:tr>
      <w:tr w:rsidR="003563AD">
        <w:trPr>
          <w:trHeight w:val="388"/>
        </w:trPr>
        <w:tc>
          <w:tcPr>
            <w:tcW w:w="2144" w:type="dxa"/>
            <w:vMerge/>
          </w:tcPr>
          <w:p w:rsidR="003563AD" w:rsidRDefault="003563AD">
            <w:pPr>
              <w:spacing w:before="40" w:after="40"/>
              <w:rPr>
                <w:noProof/>
                <w:sz w:val="18"/>
              </w:rPr>
            </w:pPr>
          </w:p>
        </w:tc>
        <w:tc>
          <w:tcPr>
            <w:tcW w:w="1276" w:type="dxa"/>
            <w:vMerge/>
          </w:tcPr>
          <w:p w:rsidR="003563AD" w:rsidRDefault="003563AD">
            <w:pPr>
              <w:spacing w:beforeLines="40" w:before="96" w:afterLines="40" w:after="96"/>
              <w:rPr>
                <w:i/>
                <w:noProof/>
                <w:sz w:val="18"/>
              </w:rPr>
            </w:pPr>
          </w:p>
        </w:tc>
        <w:tc>
          <w:tcPr>
            <w:tcW w:w="1080" w:type="dxa"/>
            <w:vAlign w:val="center"/>
          </w:tcPr>
          <w:p w:rsidR="003563AD" w:rsidRDefault="00251882">
            <w:pPr>
              <w:jc w:val="center"/>
              <w:rPr>
                <w:noProof/>
                <w:sz w:val="18"/>
              </w:rPr>
            </w:pPr>
            <w:r>
              <w:rPr>
                <w:noProof/>
              </w:rPr>
              <w:t>Aasta</w:t>
            </w:r>
            <w:r>
              <w:rPr>
                <w:noProof/>
                <w:sz w:val="22"/>
              </w:rPr>
              <w:br/>
            </w:r>
            <w:r>
              <w:rPr>
                <w:b/>
                <w:noProof/>
                <w:sz w:val="18"/>
              </w:rPr>
              <w:t>N</w:t>
            </w:r>
          </w:p>
        </w:tc>
        <w:tc>
          <w:tcPr>
            <w:tcW w:w="900" w:type="dxa"/>
            <w:vAlign w:val="center"/>
          </w:tcPr>
          <w:p w:rsidR="003563AD" w:rsidRDefault="00251882">
            <w:pPr>
              <w:jc w:val="center"/>
              <w:rPr>
                <w:noProof/>
                <w:sz w:val="18"/>
              </w:rPr>
            </w:pPr>
            <w:r>
              <w:rPr>
                <w:noProof/>
              </w:rPr>
              <w:t>Aasta</w:t>
            </w:r>
            <w:r>
              <w:rPr>
                <w:noProof/>
                <w:sz w:val="22"/>
              </w:rPr>
              <w:br/>
            </w:r>
            <w:r>
              <w:rPr>
                <w:b/>
                <w:noProof/>
                <w:sz w:val="18"/>
              </w:rPr>
              <w:t>N+1</w:t>
            </w:r>
          </w:p>
        </w:tc>
        <w:tc>
          <w:tcPr>
            <w:tcW w:w="900" w:type="dxa"/>
            <w:vAlign w:val="center"/>
          </w:tcPr>
          <w:p w:rsidR="003563AD" w:rsidRDefault="00251882">
            <w:pPr>
              <w:jc w:val="center"/>
              <w:rPr>
                <w:noProof/>
                <w:sz w:val="18"/>
              </w:rPr>
            </w:pPr>
            <w:r>
              <w:rPr>
                <w:noProof/>
              </w:rPr>
              <w:t>Aasta</w:t>
            </w:r>
            <w:r>
              <w:rPr>
                <w:noProof/>
                <w:sz w:val="22"/>
              </w:rPr>
              <w:br/>
            </w:r>
            <w:r>
              <w:rPr>
                <w:b/>
                <w:noProof/>
                <w:sz w:val="18"/>
              </w:rPr>
              <w:t>N+2</w:t>
            </w:r>
          </w:p>
        </w:tc>
        <w:tc>
          <w:tcPr>
            <w:tcW w:w="1080" w:type="dxa"/>
            <w:vAlign w:val="center"/>
          </w:tcPr>
          <w:p w:rsidR="003563AD" w:rsidRDefault="00251882">
            <w:pPr>
              <w:jc w:val="center"/>
              <w:rPr>
                <w:noProof/>
                <w:sz w:val="18"/>
              </w:rPr>
            </w:pPr>
            <w:r>
              <w:rPr>
                <w:noProof/>
              </w:rPr>
              <w:t>Aasta</w:t>
            </w:r>
            <w:r>
              <w:rPr>
                <w:noProof/>
                <w:sz w:val="22"/>
              </w:rPr>
              <w:br/>
            </w:r>
            <w:r>
              <w:rPr>
                <w:b/>
                <w:noProof/>
                <w:sz w:val="18"/>
              </w:rPr>
              <w:t>N+3</w:t>
            </w:r>
          </w:p>
        </w:tc>
        <w:tc>
          <w:tcPr>
            <w:tcW w:w="3240" w:type="dxa"/>
            <w:gridSpan w:val="3"/>
            <w:vAlign w:val="center"/>
          </w:tcPr>
          <w:p w:rsidR="003563AD" w:rsidRDefault="00251882">
            <w:pPr>
              <w:jc w:val="center"/>
              <w:rPr>
                <w:b/>
                <w:noProof/>
                <w:sz w:val="18"/>
              </w:rPr>
            </w:pPr>
            <w:r>
              <w:rPr>
                <w:noProof/>
                <w:sz w:val="18"/>
              </w:rPr>
              <w:t>Lisage vajalik arv aastaid, et kajastada kogu finantsmõju (vt punkt 1.6)</w:t>
            </w:r>
          </w:p>
        </w:tc>
      </w:tr>
      <w:tr w:rsidR="003563AD">
        <w:trPr>
          <w:trHeight w:val="388"/>
        </w:trPr>
        <w:tc>
          <w:tcPr>
            <w:tcW w:w="2144" w:type="dxa"/>
            <w:vAlign w:val="center"/>
          </w:tcPr>
          <w:p w:rsidR="003563AD" w:rsidRDefault="00251882">
            <w:pPr>
              <w:spacing w:before="40" w:after="40"/>
              <w:rPr>
                <w:noProof/>
                <w:sz w:val="18"/>
              </w:rPr>
            </w:pPr>
            <w:r>
              <w:rPr>
                <w:noProof/>
                <w:sz w:val="18"/>
              </w:rPr>
              <w:t>Artikkel ………….</w:t>
            </w:r>
          </w:p>
        </w:tc>
        <w:tc>
          <w:tcPr>
            <w:tcW w:w="1276" w:type="dxa"/>
          </w:tcPr>
          <w:p w:rsidR="003563AD" w:rsidRDefault="003563AD">
            <w:pPr>
              <w:spacing w:beforeLines="40" w:before="96" w:afterLines="40" w:after="96"/>
              <w:jc w:val="center"/>
              <w:rPr>
                <w:i/>
                <w:noProof/>
                <w:sz w:val="18"/>
              </w:rPr>
            </w:pPr>
          </w:p>
        </w:tc>
        <w:tc>
          <w:tcPr>
            <w:tcW w:w="1080" w:type="dxa"/>
          </w:tcPr>
          <w:p w:rsidR="003563AD" w:rsidRDefault="003563AD">
            <w:pPr>
              <w:spacing w:beforeLines="40" w:before="96" w:afterLines="40" w:after="96"/>
              <w:jc w:val="center"/>
              <w:rPr>
                <w:noProof/>
                <w:sz w:val="18"/>
              </w:rPr>
            </w:pPr>
          </w:p>
        </w:tc>
        <w:tc>
          <w:tcPr>
            <w:tcW w:w="900" w:type="dxa"/>
          </w:tcPr>
          <w:p w:rsidR="003563AD" w:rsidRDefault="003563AD">
            <w:pPr>
              <w:spacing w:beforeLines="40" w:before="96" w:afterLines="40" w:after="96"/>
              <w:jc w:val="center"/>
              <w:rPr>
                <w:noProof/>
                <w:sz w:val="18"/>
              </w:rPr>
            </w:pPr>
          </w:p>
        </w:tc>
        <w:tc>
          <w:tcPr>
            <w:tcW w:w="900" w:type="dxa"/>
          </w:tcPr>
          <w:p w:rsidR="003563AD" w:rsidRDefault="003563AD">
            <w:pPr>
              <w:spacing w:beforeLines="40" w:before="96" w:afterLines="40" w:after="96"/>
              <w:jc w:val="center"/>
              <w:rPr>
                <w:noProof/>
                <w:sz w:val="18"/>
              </w:rPr>
            </w:pPr>
          </w:p>
        </w:tc>
        <w:tc>
          <w:tcPr>
            <w:tcW w:w="1080" w:type="dxa"/>
          </w:tcPr>
          <w:p w:rsidR="003563AD" w:rsidRDefault="003563AD">
            <w:pPr>
              <w:spacing w:beforeLines="40" w:before="96" w:afterLines="40" w:after="96"/>
              <w:jc w:val="center"/>
              <w:rPr>
                <w:noProof/>
                <w:sz w:val="18"/>
              </w:rPr>
            </w:pPr>
          </w:p>
        </w:tc>
        <w:tc>
          <w:tcPr>
            <w:tcW w:w="1080" w:type="dxa"/>
          </w:tcPr>
          <w:p w:rsidR="003563AD" w:rsidRDefault="003563AD">
            <w:pPr>
              <w:spacing w:beforeLines="40" w:before="96" w:afterLines="40" w:after="96"/>
              <w:jc w:val="center"/>
              <w:rPr>
                <w:noProof/>
                <w:sz w:val="18"/>
              </w:rPr>
            </w:pPr>
          </w:p>
        </w:tc>
        <w:tc>
          <w:tcPr>
            <w:tcW w:w="1080" w:type="dxa"/>
          </w:tcPr>
          <w:p w:rsidR="003563AD" w:rsidRDefault="003563AD">
            <w:pPr>
              <w:spacing w:beforeLines="40" w:before="96" w:afterLines="40" w:after="96"/>
              <w:jc w:val="center"/>
              <w:rPr>
                <w:noProof/>
                <w:sz w:val="18"/>
              </w:rPr>
            </w:pPr>
          </w:p>
        </w:tc>
        <w:tc>
          <w:tcPr>
            <w:tcW w:w="1080" w:type="dxa"/>
          </w:tcPr>
          <w:p w:rsidR="003563AD" w:rsidRDefault="003563AD">
            <w:pPr>
              <w:spacing w:beforeLines="40" w:before="96" w:afterLines="40" w:after="96"/>
              <w:jc w:val="center"/>
              <w:rPr>
                <w:noProof/>
                <w:sz w:val="18"/>
              </w:rPr>
            </w:pPr>
          </w:p>
        </w:tc>
      </w:tr>
    </w:tbl>
    <w:p w:rsidR="003563AD" w:rsidRDefault="00251882">
      <w:pPr>
        <w:pStyle w:val="Text1"/>
        <w:rPr>
          <w:noProof/>
          <w:sz w:val="20"/>
        </w:rPr>
      </w:pPr>
      <w:r>
        <w:rPr>
          <w:noProof/>
          <w:sz w:val="20"/>
        </w:rPr>
        <w:t>Mitmesuguste sihtotstarbeliste tulude puhul täpsustage, milliseid kulude eelarveridasid ettepanek mõjutab.</w:t>
      </w:r>
    </w:p>
    <w:p w:rsidR="003563AD" w:rsidRDefault="003563AD">
      <w:pPr>
        <w:pStyle w:val="Text1"/>
        <w:pBdr>
          <w:top w:val="single" w:sz="4" w:space="1" w:color="auto"/>
          <w:left w:val="single" w:sz="4" w:space="4" w:color="auto"/>
          <w:bottom w:val="single" w:sz="4" w:space="1" w:color="auto"/>
          <w:right w:val="single" w:sz="4" w:space="4" w:color="auto"/>
        </w:pBdr>
        <w:rPr>
          <w:noProof/>
        </w:rPr>
      </w:pPr>
    </w:p>
    <w:p w:rsidR="003563AD" w:rsidRDefault="00251882">
      <w:pPr>
        <w:pStyle w:val="Text1"/>
        <w:rPr>
          <w:noProof/>
          <w:sz w:val="20"/>
        </w:rPr>
      </w:pPr>
      <w:r>
        <w:rPr>
          <w:noProof/>
          <w:sz w:val="20"/>
        </w:rPr>
        <w:t xml:space="preserve">Täpsustage tuludele avalduva </w:t>
      </w:r>
      <w:r>
        <w:rPr>
          <w:noProof/>
          <w:sz w:val="20"/>
        </w:rPr>
        <w:t>mõju arvutusmeetod.</w:t>
      </w:r>
    </w:p>
    <w:p w:rsidR="003563AD" w:rsidRDefault="003563AD">
      <w:pPr>
        <w:pStyle w:val="Text1"/>
        <w:pBdr>
          <w:top w:val="single" w:sz="4" w:space="1" w:color="auto"/>
          <w:left w:val="single" w:sz="4" w:space="4" w:color="auto"/>
          <w:bottom w:val="single" w:sz="4" w:space="1" w:color="auto"/>
          <w:right w:val="single" w:sz="4" w:space="4" w:color="auto"/>
        </w:pBdr>
      </w:pPr>
    </w:p>
    <w:p w:rsidR="003563AD" w:rsidRDefault="003563AD">
      <w:pPr>
        <w:pStyle w:val="Text1"/>
        <w:pBdr>
          <w:top w:val="single" w:sz="4" w:space="1" w:color="auto"/>
          <w:left w:val="single" w:sz="4" w:space="4" w:color="auto"/>
          <w:bottom w:val="single" w:sz="4" w:space="1" w:color="auto"/>
          <w:right w:val="single" w:sz="4" w:space="4" w:color="auto"/>
        </w:pBdr>
      </w:pPr>
    </w:p>
    <w:p w:rsidR="003563AD" w:rsidRDefault="003563AD">
      <w:pPr>
        <w:rPr>
          <w:b/>
          <w:noProof/>
          <w:szCs w:val="24"/>
        </w:rPr>
      </w:pPr>
    </w:p>
    <w:p w:rsidR="003563AD" w:rsidRDefault="00251882">
      <w:pPr>
        <w:spacing w:before="0" w:after="200" w:line="276" w:lineRule="auto"/>
        <w:jc w:val="left"/>
        <w:rPr>
          <w:b/>
          <w:noProof/>
          <w:szCs w:val="24"/>
        </w:rPr>
      </w:pPr>
      <w:r>
        <w:rPr>
          <w:noProof/>
        </w:rPr>
        <w:br w:type="page"/>
      </w:r>
    </w:p>
    <w:p w:rsidR="003563AD" w:rsidRDefault="00251882">
      <w:pPr>
        <w:rPr>
          <w:b/>
          <w:noProof/>
          <w:szCs w:val="24"/>
        </w:rPr>
      </w:pPr>
      <w:r>
        <w:rPr>
          <w:b/>
          <w:noProof/>
        </w:rPr>
        <w:t>Euroopa Parlamendi ja nõukogu määruse ettepanekule lihtsa, läbipaistva ja standarditud väärtpaberistamise Euroopa raamistiku kohta lisatud finantsselgituse lisa</w:t>
      </w:r>
    </w:p>
    <w:p w:rsidR="003563AD" w:rsidRDefault="003563AD">
      <w:pPr>
        <w:rPr>
          <w:b/>
          <w:noProof/>
          <w:szCs w:val="24"/>
        </w:rPr>
      </w:pPr>
    </w:p>
    <w:p w:rsidR="003563AD" w:rsidRDefault="00251882">
      <w:pPr>
        <w:rPr>
          <w:noProof/>
        </w:rPr>
      </w:pPr>
      <w:r>
        <w:rPr>
          <w:noProof/>
        </w:rPr>
        <w:t xml:space="preserve">ESMA, EBA ja EIOPA täidetavate ülesannetega seotud personalikulud on </w:t>
      </w:r>
      <w:r>
        <w:rPr>
          <w:noProof/>
        </w:rPr>
        <w:t xml:space="preserve">arvestatud kooskõlas Euroopa järelevalveasutuste 2015. aasta eelarveprojekti kulude klassifikatsiooniga. </w:t>
      </w:r>
    </w:p>
    <w:p w:rsidR="003563AD" w:rsidRDefault="00251882">
      <w:pPr>
        <w:rPr>
          <w:noProof/>
        </w:rPr>
      </w:pPr>
      <w:r>
        <w:rPr>
          <w:noProof/>
        </w:rPr>
        <w:t xml:space="preserve">Komisjoni ettepanek sisaldab sätteid, mille kohaselt peavad kolm Euroopa järelevalveasutust </w:t>
      </w:r>
      <w:r>
        <w:rPr>
          <w:b/>
          <w:noProof/>
        </w:rPr>
        <w:t xml:space="preserve">välja töötama mitu regulatiivset tehnilist standardit, </w:t>
      </w:r>
      <w:r>
        <w:rPr>
          <w:b/>
          <w:noProof/>
        </w:rPr>
        <w:t>kaasa arvatud alljärgnevad</w:t>
      </w:r>
      <w:r>
        <w:rPr>
          <w:noProof/>
        </w:rPr>
        <w:t>.</w:t>
      </w:r>
    </w:p>
    <w:p w:rsidR="003563AD" w:rsidRDefault="00251882">
      <w:pPr>
        <w:rPr>
          <w:noProof/>
        </w:rPr>
      </w:pPr>
      <w:r>
        <w:rPr>
          <w:noProof/>
        </w:rPr>
        <w:t>- regulatiivne tehniline standard, milles täpsustatakse riski säilitamise nõuet ja riski säilitamist käsitleva aruande vormi (artikli 4 lõige 6);</w:t>
      </w:r>
    </w:p>
    <w:p w:rsidR="003563AD" w:rsidRDefault="00251882">
      <w:pPr>
        <w:rPr>
          <w:noProof/>
        </w:rPr>
      </w:pPr>
      <w:r>
        <w:rPr>
          <w:noProof/>
        </w:rPr>
        <w:t xml:space="preserve">- regulatiivne tehniline standard, milles täpsustatakse teavet, mida algataja, </w:t>
      </w:r>
      <w:r>
        <w:rPr>
          <w:noProof/>
        </w:rPr>
        <w:t>sponsor või eriotstarbeline väärtpaberistamisüksus peaks esitama, et täita artikli 5 lõike 1 punktide a ja e kohased kohustused, ja teabe esitus standardvormidena;</w:t>
      </w:r>
    </w:p>
    <w:p w:rsidR="003563AD" w:rsidRDefault="00251882">
      <w:pPr>
        <w:rPr>
          <w:noProof/>
        </w:rPr>
      </w:pPr>
      <w:r>
        <w:rPr>
          <w:noProof/>
        </w:rPr>
        <w:t>- regulatiivne tehniline standard, milles täpsustatakse teavet, mida algataja, sponsor või e</w:t>
      </w:r>
      <w:r>
        <w:rPr>
          <w:noProof/>
        </w:rPr>
        <w:t>riotstarbeline väärtpaberistamisüksus peaks esitama, et täita artikli 14 lõike 1 (lihtsa, läbipaistva ja standarditud väärtpaberistamise teade) kohased kohustused, ja teabe esitus standardvormidena;</w:t>
      </w:r>
    </w:p>
    <w:p w:rsidR="003563AD" w:rsidRDefault="00251882">
      <w:pPr>
        <w:rPr>
          <w:rFonts w:eastAsia="Times New Roman"/>
          <w:noProof/>
          <w:szCs w:val="24"/>
        </w:rPr>
      </w:pPr>
      <w:r>
        <w:rPr>
          <w:noProof/>
        </w:rPr>
        <w:t>- regulatiivne tehniline standard, milles täpsustatakse k</w:t>
      </w:r>
      <w:r>
        <w:rPr>
          <w:noProof/>
        </w:rPr>
        <w:t xml:space="preserve">riteeriume selle kindlaksmääramiseks, milline pandikirjade või väärtpaberistamise kord vähendab piisaval määral vastaspoole krediidiriski (Euroopa turu infrastruktuuri määruse muudatus); </w:t>
      </w:r>
    </w:p>
    <w:p w:rsidR="003563AD" w:rsidRDefault="00251882">
      <w:pPr>
        <w:rPr>
          <w:noProof/>
          <w:szCs w:val="24"/>
        </w:rPr>
      </w:pPr>
      <w:r>
        <w:rPr>
          <w:noProof/>
        </w:rPr>
        <w:t>- regulatiivne tehniline standard, milles täpsustatakse riskijuhtimi</w:t>
      </w:r>
      <w:r>
        <w:rPr>
          <w:noProof/>
        </w:rPr>
        <w:t>se protsessi, sealhulgas tagatise taset ja liiki ning eraldamiskorda (Euroopa turu infrastruktuuri määruse muudatus);</w:t>
      </w:r>
    </w:p>
    <w:p w:rsidR="003563AD" w:rsidRDefault="00251882">
      <w:pPr>
        <w:rPr>
          <w:noProof/>
          <w:szCs w:val="24"/>
        </w:rPr>
      </w:pPr>
      <w:r>
        <w:rPr>
          <w:noProof/>
        </w:rPr>
        <w:t>- regulatiivne tehniline standard, milles täpsustatakse menetlusi, mida vastaspooled ja asjaomased pädevad asutused peavad järgima, kui na</w:t>
      </w:r>
      <w:r>
        <w:rPr>
          <w:noProof/>
        </w:rPr>
        <w:t>d kohaldavad artikli 11 lõigetes 6–10 nimetatud erandeid (Euroopa turu infrastruktuuri määruse muudatus);</w:t>
      </w:r>
    </w:p>
    <w:p w:rsidR="003563AD" w:rsidRDefault="00251882">
      <w:pPr>
        <w:rPr>
          <w:noProof/>
          <w:szCs w:val="24"/>
        </w:rPr>
      </w:pPr>
      <w:r>
        <w:rPr>
          <w:noProof/>
        </w:rPr>
        <w:t xml:space="preserve">- regulatiivne tehniline standard, milles täpsustatakse artikli 11 lõigetes 5–10 osutatud kohaldatavaid kriteeriume, sealhulgas eelkõige selle kohta, </w:t>
      </w:r>
      <w:r>
        <w:rPr>
          <w:noProof/>
        </w:rPr>
        <w:t>mida tuleks pidada praktiliseks ja õiguslikuks takistuseks omavahendite kohesele ülekandmisele või võlgnevuste tagasimaksmisele vastaspoolte vahel (Euroopa turu infrastruktuuri määruse muudatus);</w:t>
      </w:r>
    </w:p>
    <w:p w:rsidR="003563AD" w:rsidRDefault="00251882">
      <w:pPr>
        <w:rPr>
          <w:noProof/>
        </w:rPr>
      </w:pPr>
      <w:r>
        <w:rPr>
          <w:noProof/>
        </w:rPr>
        <w:t>- regulatiivne tehniline standard, millega kehtestatakse sta</w:t>
      </w:r>
      <w:r>
        <w:rPr>
          <w:noProof/>
        </w:rPr>
        <w:t>ndardvormingud, -vormid ja -menetlused teabevahetuseks pädevate asutuste ja ESMA vahel.</w:t>
      </w:r>
    </w:p>
    <w:p w:rsidR="003563AD" w:rsidRDefault="00251882">
      <w:pPr>
        <w:rPr>
          <w:rFonts w:asciiTheme="majorBidi" w:hAnsiTheme="majorBidi" w:cstheme="majorBidi"/>
          <w:noProof/>
        </w:rPr>
      </w:pPr>
      <w:r>
        <w:rPr>
          <w:noProof/>
        </w:rPr>
        <w:t xml:space="preserve">ESMA peab koostama ja oma ametlikul veebisaidil säilitama </w:t>
      </w:r>
      <w:r>
        <w:rPr>
          <w:b/>
          <w:noProof/>
        </w:rPr>
        <w:t>loetelu kõikidest väärtpaberistamistest</w:t>
      </w:r>
      <w:r>
        <w:rPr>
          <w:noProof/>
        </w:rPr>
        <w:t>, mille algatajad, sponsorid ja eriotstarbelised väärtpaberistamisüksus</w:t>
      </w:r>
      <w:r>
        <w:rPr>
          <w:noProof/>
        </w:rPr>
        <w:t xml:space="preserve">ed on kinnitanud, et vastavad lihtsa, läbipaistva ja standarditud väärtpaberistamise nõuetele (artikli 14 lõige 2). </w:t>
      </w:r>
    </w:p>
    <w:p w:rsidR="003563AD" w:rsidRDefault="00251882">
      <w:pPr>
        <w:rPr>
          <w:noProof/>
        </w:rPr>
      </w:pPr>
      <w:r>
        <w:rPr>
          <w:noProof/>
        </w:rPr>
        <w:t xml:space="preserve">Uusi järelevalvealaseid pädevusi kolmele Euroopa järelevalveasutusele ei anta, kuid neil palutakse </w:t>
      </w:r>
      <w:r>
        <w:rPr>
          <w:b/>
          <w:noProof/>
        </w:rPr>
        <w:t>tõhustada järelevalvealast koostööd ning</w:t>
      </w:r>
      <w:r>
        <w:rPr>
          <w:b/>
          <w:noProof/>
        </w:rPr>
        <w:t xml:space="preserve"> lihtsa, läbipaistva ja standarditud väärtpaberistamise kriteeriumide lähendamist</w:t>
      </w:r>
      <w:r>
        <w:rPr>
          <w:noProof/>
        </w:rPr>
        <w:t xml:space="preserve"> (vt 3. peatükk). See eesmärk on esmatähtis, kuna hoiab ära väärtpaberistamisturu killustumise üle Euroopa Liidu.</w:t>
      </w:r>
    </w:p>
    <w:p w:rsidR="003563AD" w:rsidRDefault="00251882">
      <w:pPr>
        <w:rPr>
          <w:rFonts w:asciiTheme="majorBidi" w:hAnsiTheme="majorBidi" w:cstheme="majorBidi"/>
          <w:noProof/>
        </w:rPr>
      </w:pPr>
      <w:r>
        <w:rPr>
          <w:noProof/>
        </w:rPr>
        <w:t xml:space="preserve">Lisaks peavad ESMA, EBA ja EIOPA </w:t>
      </w:r>
      <w:r>
        <w:rPr>
          <w:rFonts w:asciiTheme="majorBidi" w:hAnsiTheme="majorBidi" w:cstheme="majorBidi"/>
          <w:noProof/>
        </w:rPr>
        <w:t xml:space="preserve">avaldama </w:t>
      </w:r>
      <w:r>
        <w:rPr>
          <w:rFonts w:asciiTheme="majorBidi" w:hAnsiTheme="majorBidi" w:cstheme="majorBidi"/>
          <w:b/>
          <w:noProof/>
        </w:rPr>
        <w:t>ühisaruande lihtsa,</w:t>
      </w:r>
      <w:r>
        <w:rPr>
          <w:rFonts w:asciiTheme="majorBidi" w:hAnsiTheme="majorBidi" w:cstheme="majorBidi"/>
          <w:b/>
          <w:noProof/>
        </w:rPr>
        <w:t xml:space="preserve"> läbipaistva ja standarditud väärtpaberistamise nõuete rakendamise kohta</w:t>
      </w:r>
      <w:r>
        <w:rPr>
          <w:rFonts w:asciiTheme="majorBidi" w:hAnsiTheme="majorBidi" w:cstheme="majorBidi"/>
          <w:noProof/>
        </w:rPr>
        <w:t xml:space="preserve"> </w:t>
      </w:r>
      <w:r>
        <w:rPr>
          <w:noProof/>
        </w:rPr>
        <w:t xml:space="preserve">ning lihtsa, läbipaistva ja standarditud väärtpaberistamise teadete süsteemi toimimise ja </w:t>
      </w:r>
      <w:r>
        <w:rPr>
          <w:rFonts w:asciiTheme="majorBidi" w:hAnsiTheme="majorBidi" w:cstheme="majorBidi"/>
          <w:noProof/>
        </w:rPr>
        <w:t>turu toimimise kohta. Ühtlasi antakse aru meetmetest, mida järelevalveasutused on võtnud, nin</w:t>
      </w:r>
      <w:r>
        <w:rPr>
          <w:rFonts w:asciiTheme="majorBidi" w:hAnsiTheme="majorBidi" w:cstheme="majorBidi"/>
          <w:noProof/>
        </w:rPr>
        <w:t>g olulistest riskidest ja uutest nõrkadest kohtadest, mis võivad olla tekkinud. Esimene aruanne avaldatakse kaks aastat pärast käesoleva määruse jõustumist ja edasised aruanded iga kolme aasta järel.</w:t>
      </w:r>
    </w:p>
    <w:p w:rsidR="003563AD" w:rsidRDefault="00251882">
      <w:pPr>
        <w:rPr>
          <w:noProof/>
        </w:rPr>
      </w:pPr>
      <w:r>
        <w:rPr>
          <w:b/>
          <w:noProof/>
        </w:rPr>
        <w:t>Ajakava kohaselt</w:t>
      </w:r>
      <w:r>
        <w:rPr>
          <w:noProof/>
        </w:rPr>
        <w:t xml:space="preserve"> on Euroopa järelevalveasutustel vaja tä</w:t>
      </w:r>
      <w:r>
        <w:rPr>
          <w:noProof/>
        </w:rPr>
        <w:t>iendavaid ressursse alates 2016. aasta lõpust, et alustada ettevalmistustöödega ja määruse tõrgeteta rakendamisega. Pidades silmas ametikohtade laadi, on uute tehniliste standardite edukaks ja õigeaegseks kehtestamiseks vaja eelkõige eraldada täiendavaid v</w:t>
      </w:r>
      <w:r>
        <w:rPr>
          <w:noProof/>
        </w:rPr>
        <w:t xml:space="preserve">ahendeid selliste ülesannete jaoks nagu poliitika kujundamine ning õigusaktide ja mõjuhinnangute koostamine. </w:t>
      </w:r>
    </w:p>
    <w:p w:rsidR="003563AD" w:rsidRDefault="00251882">
      <w:pPr>
        <w:rPr>
          <w:noProof/>
        </w:rPr>
      </w:pPr>
      <w:r>
        <w:rPr>
          <w:noProof/>
        </w:rPr>
        <w:t>Selleks tööks on vajalikud kahe- ja mitmepoolsed kohtumised sidusrühmadega, valikute analüüs ja hindamine ning konsultatsioonidokumentide koostami</w:t>
      </w:r>
      <w:r>
        <w:rPr>
          <w:noProof/>
        </w:rPr>
        <w:t>ne, avalik konsultatsioon sidusrühmadega, liikmesriikide järelevalveasutuste esindajatest koosnevate alaliste eksperdirühmade moodustamine ja juhtimine, turuosalistest ja investorite esindajatest koosnevate ajutiste eksperdirühmade moodustamine ja juhtimin</w:t>
      </w:r>
      <w:r>
        <w:rPr>
          <w:noProof/>
        </w:rPr>
        <w:t>e, konsultatsioonide käigus saadud vastuste analüüs, tasuvusanalüüside tegemine ja õigusakti teksti koostamine.</w:t>
      </w:r>
    </w:p>
    <w:p w:rsidR="003563AD" w:rsidRDefault="00251882">
      <w:pPr>
        <w:rPr>
          <w:noProof/>
        </w:rPr>
      </w:pPr>
      <w:r>
        <w:rPr>
          <w:noProof/>
        </w:rPr>
        <w:t>Osa nõutud tööst on tihedalt seotud käimasoleva tehnilise tööga kapitalinõuete määruse, CRA3, Solventsus II ja Euroopa turu infrastruktuuri määr</w:t>
      </w:r>
      <w:r>
        <w:rPr>
          <w:noProof/>
        </w:rPr>
        <w:t>use raames.</w:t>
      </w:r>
    </w:p>
    <w:p w:rsidR="003563AD" w:rsidRDefault="00251882">
      <w:pPr>
        <w:rPr>
          <w:noProof/>
        </w:rPr>
      </w:pPr>
      <w:r>
        <w:rPr>
          <w:noProof/>
        </w:rPr>
        <w:t>See tähendab, et alates 2016. aasta lõpust vajatakse täiendavaid ajutisi teenistujaid. Eeldatakse, et see kasv säilib 2017. ja 2018. aastal, kuna Euroopa järelevalveasutused peavad täitma uusi ülesandeid. Kõnealused uued ülesanded on sätestatud</w:t>
      </w:r>
      <w:r>
        <w:rPr>
          <w:noProof/>
        </w:rPr>
        <w:t xml:space="preserve"> kavandatud määruses ning neid on täpsemalt kirjeldatud seletuskirjas.</w:t>
      </w:r>
    </w:p>
    <w:p w:rsidR="003563AD" w:rsidRDefault="003563AD">
      <w:pPr>
        <w:rPr>
          <w:b/>
          <w:noProof/>
          <w:szCs w:val="24"/>
        </w:rPr>
      </w:pPr>
    </w:p>
    <w:p w:rsidR="003563AD" w:rsidRDefault="00251882">
      <w:pPr>
        <w:rPr>
          <w:b/>
          <w:noProof/>
          <w:szCs w:val="24"/>
        </w:rPr>
      </w:pPr>
      <w:r>
        <w:rPr>
          <w:b/>
          <w:noProof/>
        </w:rPr>
        <w:t>Eeldused lisaressursside kohta:</w:t>
      </w:r>
    </w:p>
    <w:p w:rsidR="003563AD" w:rsidRDefault="003563AD">
      <w:pPr>
        <w:spacing w:before="0" w:after="200" w:line="276" w:lineRule="auto"/>
        <w:jc w:val="left"/>
        <w:rPr>
          <w:noProof/>
          <w:szCs w:val="24"/>
        </w:rPr>
      </w:pPr>
    </w:p>
    <w:p w:rsidR="003563AD" w:rsidRDefault="00251882">
      <w:pPr>
        <w:spacing w:before="0" w:after="200" w:line="276" w:lineRule="auto"/>
        <w:jc w:val="left"/>
        <w:rPr>
          <w:noProof/>
          <w:szCs w:val="24"/>
        </w:rPr>
      </w:pPr>
      <w:r>
        <w:rPr>
          <w:noProof/>
        </w:rPr>
        <w:t>eeldatakse, et kaheksa täiendavat ametikohta täidetakse ajutiste teenistujatega, kelle tegevusüksus ja palgaaste on AD7;</w:t>
      </w:r>
    </w:p>
    <w:p w:rsidR="003563AD" w:rsidRDefault="00251882">
      <w:pPr>
        <w:spacing w:before="0" w:after="200" w:line="276" w:lineRule="auto"/>
        <w:jc w:val="left"/>
        <w:rPr>
          <w:noProof/>
          <w:szCs w:val="24"/>
        </w:rPr>
      </w:pPr>
      <w:r>
        <w:rPr>
          <w:noProof/>
        </w:rPr>
        <w:t>eri kategooria töötajate keskm</w:t>
      </w:r>
      <w:r>
        <w:rPr>
          <w:noProof/>
        </w:rPr>
        <w:t>ised palgakulud põhinevad eelarve peadirektoraadi suunistel;</w:t>
      </w:r>
    </w:p>
    <w:p w:rsidR="003563AD" w:rsidRDefault="00251882">
      <w:pPr>
        <w:spacing w:before="0" w:after="200" w:line="276" w:lineRule="auto"/>
        <w:jc w:val="left"/>
        <w:rPr>
          <w:noProof/>
          <w:szCs w:val="24"/>
        </w:rPr>
      </w:pPr>
      <w:r>
        <w:rPr>
          <w:noProof/>
        </w:rPr>
        <w:t xml:space="preserve">Palga paranduskoefitsient on Pariisi puhul 1,168 </w:t>
      </w:r>
    </w:p>
    <w:p w:rsidR="003563AD" w:rsidRDefault="00251882">
      <w:pPr>
        <w:spacing w:before="0" w:after="200" w:line="276" w:lineRule="auto"/>
        <w:jc w:val="left"/>
        <w:rPr>
          <w:noProof/>
          <w:szCs w:val="24"/>
        </w:rPr>
      </w:pPr>
      <w:r>
        <w:rPr>
          <w:noProof/>
        </w:rPr>
        <w:t>Palga paranduskoefitsient on Londoni puhul 1,507</w:t>
      </w:r>
    </w:p>
    <w:p w:rsidR="003563AD" w:rsidRDefault="00251882">
      <w:pPr>
        <w:spacing w:before="0" w:after="200" w:line="276" w:lineRule="auto"/>
        <w:jc w:val="left"/>
        <w:rPr>
          <w:noProof/>
          <w:szCs w:val="24"/>
        </w:rPr>
      </w:pPr>
      <w:r>
        <w:rPr>
          <w:noProof/>
        </w:rPr>
        <w:t xml:space="preserve">Palga paranduskoefitsient on Frankfurdi puhul 0,972 </w:t>
      </w:r>
    </w:p>
    <w:p w:rsidR="003563AD" w:rsidRDefault="00251882">
      <w:pPr>
        <w:pStyle w:val="Bullet0"/>
        <w:numPr>
          <w:ilvl w:val="0"/>
          <w:numId w:val="18"/>
        </w:numPr>
        <w:rPr>
          <w:noProof/>
        </w:rPr>
      </w:pPr>
      <w:r>
        <w:rPr>
          <w:noProof/>
        </w:rPr>
        <w:t>Lähetuskulud on hinnanguliselt 10 000 eurot</w:t>
      </w:r>
      <w:r>
        <w:rPr>
          <w:noProof/>
        </w:rPr>
        <w:t>.</w:t>
      </w:r>
    </w:p>
    <w:p w:rsidR="003563AD" w:rsidRDefault="00251882">
      <w:pPr>
        <w:pStyle w:val="Bullet0"/>
        <w:numPr>
          <w:ilvl w:val="0"/>
          <w:numId w:val="24"/>
        </w:numPr>
        <w:rPr>
          <w:noProof/>
        </w:rPr>
      </w:pPr>
      <w:r>
        <w:rPr>
          <w:noProof/>
        </w:rPr>
        <w:t>Värbamiskulud (sõidu-, hotelli-, arstliku läbivaatuse, sisseseadmis- ja muud hüvitised, kolimiskulud jne) on hinnanguliselt 12 700 eurot.</w:t>
      </w:r>
    </w:p>
    <w:p w:rsidR="003563AD" w:rsidRDefault="003563AD">
      <w:pPr>
        <w:rPr>
          <w:noProof/>
        </w:rPr>
      </w:pPr>
    </w:p>
    <w:p w:rsidR="003563AD" w:rsidRDefault="003563AD">
      <w:pPr>
        <w:rPr>
          <w:noProof/>
        </w:rPr>
      </w:pPr>
    </w:p>
    <w:p w:rsidR="003563AD" w:rsidRDefault="003563AD">
      <w:pPr>
        <w:rPr>
          <w:noProof/>
        </w:rPr>
      </w:pPr>
    </w:p>
    <w:p w:rsidR="003563AD" w:rsidRDefault="003563AD">
      <w:pPr>
        <w:rPr>
          <w:noProof/>
        </w:rPr>
      </w:pPr>
    </w:p>
    <w:p w:rsidR="003563AD" w:rsidRDefault="00251882">
      <w:pPr>
        <w:rPr>
          <w:noProof/>
        </w:rPr>
      </w:pPr>
      <w:r>
        <w:rPr>
          <w:noProof/>
        </w:rPr>
        <w:t>ESMA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2268"/>
        <w:gridCol w:w="1276"/>
        <w:gridCol w:w="992"/>
        <w:gridCol w:w="992"/>
        <w:gridCol w:w="1100"/>
      </w:tblGrid>
      <w:tr w:rsidR="003563AD">
        <w:tc>
          <w:tcPr>
            <w:tcW w:w="2659" w:type="dxa"/>
            <w:vMerge w:val="restart"/>
            <w:shd w:val="clear" w:color="auto" w:fill="auto"/>
            <w:vAlign w:val="center"/>
          </w:tcPr>
          <w:p w:rsidR="003563AD" w:rsidRDefault="00251882">
            <w:pPr>
              <w:spacing w:after="0"/>
              <w:jc w:val="center"/>
              <w:rPr>
                <w:b/>
                <w:noProof/>
                <w:sz w:val="20"/>
              </w:rPr>
            </w:pPr>
            <w:r>
              <w:rPr>
                <w:b/>
                <w:noProof/>
                <w:sz w:val="20"/>
              </w:rPr>
              <w:t>Kulu liik</w:t>
            </w:r>
          </w:p>
        </w:tc>
        <w:tc>
          <w:tcPr>
            <w:tcW w:w="2268" w:type="dxa"/>
            <w:vMerge w:val="restart"/>
            <w:shd w:val="clear" w:color="auto" w:fill="auto"/>
            <w:vAlign w:val="center"/>
          </w:tcPr>
          <w:p w:rsidR="003563AD" w:rsidRDefault="00251882">
            <w:pPr>
              <w:spacing w:after="0"/>
              <w:jc w:val="center"/>
              <w:rPr>
                <w:b/>
                <w:noProof/>
                <w:sz w:val="20"/>
              </w:rPr>
            </w:pPr>
            <w:r>
              <w:rPr>
                <w:b/>
                <w:noProof/>
                <w:sz w:val="20"/>
              </w:rPr>
              <w:t>Arvutamine</w:t>
            </w:r>
          </w:p>
        </w:tc>
        <w:tc>
          <w:tcPr>
            <w:tcW w:w="4360" w:type="dxa"/>
            <w:gridSpan w:val="4"/>
            <w:shd w:val="clear" w:color="auto" w:fill="auto"/>
            <w:vAlign w:val="center"/>
          </w:tcPr>
          <w:p w:rsidR="003563AD" w:rsidRDefault="00251882">
            <w:pPr>
              <w:spacing w:after="0"/>
              <w:jc w:val="center"/>
              <w:rPr>
                <w:b/>
                <w:noProof/>
                <w:sz w:val="20"/>
              </w:rPr>
            </w:pPr>
            <w:r>
              <w:rPr>
                <w:b/>
                <w:noProof/>
                <w:sz w:val="20"/>
              </w:rPr>
              <w:t>Maksumus (tuhandetes)</w:t>
            </w:r>
          </w:p>
        </w:tc>
      </w:tr>
      <w:tr w:rsidR="003563AD">
        <w:tc>
          <w:tcPr>
            <w:tcW w:w="2659" w:type="dxa"/>
            <w:vMerge/>
            <w:shd w:val="clear" w:color="auto" w:fill="auto"/>
            <w:vAlign w:val="center"/>
          </w:tcPr>
          <w:p w:rsidR="003563AD" w:rsidRDefault="003563AD">
            <w:pPr>
              <w:spacing w:after="0"/>
              <w:jc w:val="center"/>
              <w:rPr>
                <w:b/>
                <w:noProof/>
                <w:sz w:val="20"/>
              </w:rPr>
            </w:pPr>
          </w:p>
        </w:tc>
        <w:tc>
          <w:tcPr>
            <w:tcW w:w="2268" w:type="dxa"/>
            <w:vMerge/>
            <w:shd w:val="clear" w:color="auto" w:fill="auto"/>
            <w:vAlign w:val="center"/>
          </w:tcPr>
          <w:p w:rsidR="003563AD" w:rsidRDefault="003563AD">
            <w:pPr>
              <w:spacing w:after="0"/>
              <w:jc w:val="center"/>
              <w:rPr>
                <w:b/>
                <w:noProof/>
                <w:sz w:val="20"/>
              </w:rPr>
            </w:pPr>
          </w:p>
        </w:tc>
        <w:tc>
          <w:tcPr>
            <w:tcW w:w="1276" w:type="dxa"/>
            <w:shd w:val="clear" w:color="auto" w:fill="auto"/>
            <w:vAlign w:val="center"/>
          </w:tcPr>
          <w:p w:rsidR="003563AD" w:rsidRDefault="00251882">
            <w:pPr>
              <w:spacing w:after="0"/>
              <w:jc w:val="center"/>
              <w:rPr>
                <w:b/>
                <w:noProof/>
                <w:sz w:val="20"/>
              </w:rPr>
            </w:pPr>
            <w:r>
              <w:rPr>
                <w:b/>
                <w:noProof/>
                <w:sz w:val="20"/>
              </w:rPr>
              <w:t>2017</w:t>
            </w:r>
          </w:p>
        </w:tc>
        <w:tc>
          <w:tcPr>
            <w:tcW w:w="992" w:type="dxa"/>
            <w:shd w:val="clear" w:color="auto" w:fill="auto"/>
            <w:vAlign w:val="center"/>
          </w:tcPr>
          <w:p w:rsidR="003563AD" w:rsidRDefault="00251882">
            <w:pPr>
              <w:spacing w:after="0"/>
              <w:jc w:val="center"/>
              <w:rPr>
                <w:b/>
                <w:noProof/>
                <w:sz w:val="20"/>
              </w:rPr>
            </w:pPr>
            <w:r>
              <w:rPr>
                <w:b/>
                <w:noProof/>
                <w:sz w:val="20"/>
              </w:rPr>
              <w:t>2018</w:t>
            </w:r>
          </w:p>
        </w:tc>
        <w:tc>
          <w:tcPr>
            <w:tcW w:w="992" w:type="dxa"/>
            <w:shd w:val="clear" w:color="auto" w:fill="auto"/>
            <w:vAlign w:val="center"/>
          </w:tcPr>
          <w:p w:rsidR="003563AD" w:rsidRDefault="00251882">
            <w:pPr>
              <w:spacing w:after="0"/>
              <w:jc w:val="center"/>
              <w:rPr>
                <w:b/>
                <w:noProof/>
                <w:sz w:val="20"/>
              </w:rPr>
            </w:pPr>
            <w:r>
              <w:rPr>
                <w:b/>
                <w:noProof/>
                <w:sz w:val="20"/>
              </w:rPr>
              <w:t>2019</w:t>
            </w:r>
          </w:p>
        </w:tc>
        <w:tc>
          <w:tcPr>
            <w:tcW w:w="1100" w:type="dxa"/>
            <w:shd w:val="clear" w:color="auto" w:fill="auto"/>
            <w:vAlign w:val="center"/>
          </w:tcPr>
          <w:p w:rsidR="003563AD" w:rsidRDefault="00251882">
            <w:pPr>
              <w:spacing w:after="0"/>
              <w:jc w:val="center"/>
              <w:rPr>
                <w:b/>
                <w:noProof/>
                <w:sz w:val="20"/>
              </w:rPr>
            </w:pPr>
            <w:r>
              <w:rPr>
                <w:b/>
                <w:noProof/>
                <w:sz w:val="20"/>
              </w:rPr>
              <w:t>Kokku</w:t>
            </w:r>
          </w:p>
        </w:tc>
      </w:tr>
      <w:tr w:rsidR="003563AD">
        <w:tc>
          <w:tcPr>
            <w:tcW w:w="2659" w:type="dxa"/>
            <w:shd w:val="clear" w:color="auto" w:fill="auto"/>
          </w:tcPr>
          <w:p w:rsidR="003563AD" w:rsidRDefault="00251882">
            <w:pPr>
              <w:spacing w:after="0"/>
              <w:rPr>
                <w:noProof/>
                <w:sz w:val="20"/>
              </w:rPr>
            </w:pPr>
            <w:r>
              <w:rPr>
                <w:noProof/>
                <w:sz w:val="20"/>
              </w:rPr>
              <w:t>Personalikulud</w:t>
            </w:r>
          </w:p>
        </w:tc>
        <w:tc>
          <w:tcPr>
            <w:tcW w:w="2268" w:type="dxa"/>
            <w:shd w:val="clear" w:color="auto" w:fill="auto"/>
          </w:tcPr>
          <w:p w:rsidR="003563AD" w:rsidRDefault="003563AD">
            <w:pPr>
              <w:spacing w:after="0"/>
              <w:rPr>
                <w:noProof/>
                <w:sz w:val="20"/>
              </w:rPr>
            </w:pPr>
          </w:p>
        </w:tc>
        <w:tc>
          <w:tcPr>
            <w:tcW w:w="1276" w:type="dxa"/>
            <w:shd w:val="clear" w:color="auto" w:fill="auto"/>
          </w:tcPr>
          <w:p w:rsidR="003563AD" w:rsidRDefault="003563AD">
            <w:pPr>
              <w:spacing w:after="0"/>
              <w:rPr>
                <w:noProof/>
                <w:sz w:val="20"/>
              </w:rPr>
            </w:pPr>
          </w:p>
        </w:tc>
        <w:tc>
          <w:tcPr>
            <w:tcW w:w="992" w:type="dxa"/>
            <w:shd w:val="clear" w:color="auto" w:fill="auto"/>
          </w:tcPr>
          <w:p w:rsidR="003563AD" w:rsidRDefault="003563AD">
            <w:pPr>
              <w:spacing w:after="0"/>
              <w:rPr>
                <w:noProof/>
                <w:sz w:val="20"/>
              </w:rPr>
            </w:pPr>
          </w:p>
        </w:tc>
        <w:tc>
          <w:tcPr>
            <w:tcW w:w="992" w:type="dxa"/>
            <w:shd w:val="clear" w:color="auto" w:fill="auto"/>
          </w:tcPr>
          <w:p w:rsidR="003563AD" w:rsidRDefault="003563AD">
            <w:pPr>
              <w:spacing w:after="0"/>
              <w:rPr>
                <w:noProof/>
                <w:sz w:val="20"/>
              </w:rPr>
            </w:pPr>
          </w:p>
        </w:tc>
        <w:tc>
          <w:tcPr>
            <w:tcW w:w="1100" w:type="dxa"/>
            <w:shd w:val="clear" w:color="auto" w:fill="auto"/>
          </w:tcPr>
          <w:p w:rsidR="003563AD" w:rsidRDefault="003563AD">
            <w:pPr>
              <w:spacing w:after="0"/>
              <w:rPr>
                <w:noProof/>
                <w:sz w:val="20"/>
              </w:rPr>
            </w:pPr>
          </w:p>
        </w:tc>
      </w:tr>
      <w:tr w:rsidR="003563AD">
        <w:tc>
          <w:tcPr>
            <w:tcW w:w="2659" w:type="dxa"/>
            <w:shd w:val="clear" w:color="auto" w:fill="auto"/>
          </w:tcPr>
          <w:p w:rsidR="003563AD" w:rsidRDefault="00251882">
            <w:pPr>
              <w:spacing w:after="0"/>
              <w:rPr>
                <w:noProof/>
                <w:sz w:val="20"/>
              </w:rPr>
            </w:pPr>
            <w:r>
              <w:rPr>
                <w:noProof/>
                <w:sz w:val="20"/>
              </w:rPr>
              <w:t xml:space="preserve">Palgad ja </w:t>
            </w:r>
            <w:r>
              <w:rPr>
                <w:noProof/>
                <w:sz w:val="20"/>
              </w:rPr>
              <w:t>hüvitised</w:t>
            </w:r>
          </w:p>
        </w:tc>
        <w:tc>
          <w:tcPr>
            <w:tcW w:w="2268" w:type="dxa"/>
            <w:shd w:val="clear" w:color="auto" w:fill="auto"/>
          </w:tcPr>
          <w:p w:rsidR="003563AD" w:rsidRDefault="00251882">
            <w:pPr>
              <w:spacing w:after="0"/>
              <w:rPr>
                <w:noProof/>
                <w:sz w:val="20"/>
              </w:rPr>
            </w:pPr>
            <w:r>
              <w:rPr>
                <w:noProof/>
                <w:sz w:val="20"/>
              </w:rPr>
              <w:t>= 3 x 132 x 1,168</w:t>
            </w:r>
          </w:p>
        </w:tc>
        <w:tc>
          <w:tcPr>
            <w:tcW w:w="1276" w:type="dxa"/>
            <w:shd w:val="clear" w:color="auto" w:fill="auto"/>
          </w:tcPr>
          <w:p w:rsidR="003563AD" w:rsidRDefault="00251882">
            <w:pPr>
              <w:spacing w:after="0"/>
              <w:rPr>
                <w:noProof/>
                <w:sz w:val="20"/>
              </w:rPr>
            </w:pPr>
            <w:r>
              <w:rPr>
                <w:noProof/>
                <w:sz w:val="20"/>
              </w:rPr>
              <w:t>463</w:t>
            </w:r>
          </w:p>
        </w:tc>
        <w:tc>
          <w:tcPr>
            <w:tcW w:w="992" w:type="dxa"/>
            <w:shd w:val="clear" w:color="auto" w:fill="auto"/>
          </w:tcPr>
          <w:p w:rsidR="003563AD" w:rsidRDefault="00251882">
            <w:pPr>
              <w:spacing w:after="0"/>
              <w:rPr>
                <w:noProof/>
                <w:sz w:val="20"/>
              </w:rPr>
            </w:pPr>
            <w:r>
              <w:rPr>
                <w:noProof/>
                <w:sz w:val="20"/>
              </w:rPr>
              <w:t>463</w:t>
            </w:r>
          </w:p>
        </w:tc>
        <w:tc>
          <w:tcPr>
            <w:tcW w:w="992" w:type="dxa"/>
            <w:shd w:val="clear" w:color="auto" w:fill="auto"/>
          </w:tcPr>
          <w:p w:rsidR="003563AD" w:rsidRDefault="00251882">
            <w:pPr>
              <w:spacing w:after="0"/>
              <w:rPr>
                <w:noProof/>
                <w:sz w:val="20"/>
              </w:rPr>
            </w:pPr>
            <w:r>
              <w:rPr>
                <w:noProof/>
                <w:sz w:val="20"/>
              </w:rPr>
              <w:t>463</w:t>
            </w:r>
          </w:p>
        </w:tc>
        <w:tc>
          <w:tcPr>
            <w:tcW w:w="1100" w:type="dxa"/>
            <w:shd w:val="clear" w:color="auto" w:fill="auto"/>
          </w:tcPr>
          <w:p w:rsidR="003563AD" w:rsidRDefault="00251882">
            <w:pPr>
              <w:spacing w:after="0"/>
              <w:rPr>
                <w:noProof/>
                <w:sz w:val="20"/>
              </w:rPr>
            </w:pPr>
            <w:r>
              <w:rPr>
                <w:noProof/>
                <w:sz w:val="20"/>
              </w:rPr>
              <w:t>1 389</w:t>
            </w:r>
          </w:p>
        </w:tc>
      </w:tr>
      <w:tr w:rsidR="003563AD">
        <w:tc>
          <w:tcPr>
            <w:tcW w:w="2659" w:type="dxa"/>
            <w:shd w:val="clear" w:color="auto" w:fill="auto"/>
          </w:tcPr>
          <w:p w:rsidR="003563AD" w:rsidRDefault="00251882">
            <w:pPr>
              <w:spacing w:after="0"/>
              <w:rPr>
                <w:noProof/>
                <w:sz w:val="20"/>
              </w:rPr>
            </w:pPr>
            <w:r>
              <w:rPr>
                <w:noProof/>
                <w:sz w:val="20"/>
              </w:rPr>
              <w:t>Värbamiskulud</w:t>
            </w:r>
          </w:p>
        </w:tc>
        <w:tc>
          <w:tcPr>
            <w:tcW w:w="2268" w:type="dxa"/>
            <w:shd w:val="clear" w:color="auto" w:fill="auto"/>
          </w:tcPr>
          <w:p w:rsidR="003563AD" w:rsidRDefault="00251882">
            <w:pPr>
              <w:spacing w:after="0"/>
              <w:rPr>
                <w:noProof/>
                <w:sz w:val="20"/>
              </w:rPr>
            </w:pPr>
            <w:r>
              <w:rPr>
                <w:noProof/>
                <w:sz w:val="20"/>
              </w:rPr>
              <w:t>= 3 x 13</w:t>
            </w:r>
          </w:p>
        </w:tc>
        <w:tc>
          <w:tcPr>
            <w:tcW w:w="1276" w:type="dxa"/>
            <w:shd w:val="clear" w:color="auto" w:fill="auto"/>
          </w:tcPr>
          <w:p w:rsidR="003563AD" w:rsidRDefault="00251882">
            <w:pPr>
              <w:spacing w:after="0"/>
              <w:rPr>
                <w:noProof/>
                <w:sz w:val="20"/>
              </w:rPr>
            </w:pPr>
            <w:r>
              <w:rPr>
                <w:noProof/>
                <w:sz w:val="20"/>
              </w:rPr>
              <w:t>39</w:t>
            </w:r>
          </w:p>
        </w:tc>
        <w:tc>
          <w:tcPr>
            <w:tcW w:w="992" w:type="dxa"/>
            <w:shd w:val="clear" w:color="auto" w:fill="auto"/>
          </w:tcPr>
          <w:p w:rsidR="003563AD" w:rsidRDefault="003563AD">
            <w:pPr>
              <w:spacing w:after="0"/>
              <w:rPr>
                <w:noProof/>
                <w:sz w:val="20"/>
              </w:rPr>
            </w:pPr>
          </w:p>
        </w:tc>
        <w:tc>
          <w:tcPr>
            <w:tcW w:w="992" w:type="dxa"/>
            <w:shd w:val="clear" w:color="auto" w:fill="auto"/>
          </w:tcPr>
          <w:p w:rsidR="003563AD" w:rsidRDefault="003563AD">
            <w:pPr>
              <w:spacing w:after="0"/>
              <w:rPr>
                <w:noProof/>
                <w:sz w:val="20"/>
              </w:rPr>
            </w:pPr>
          </w:p>
        </w:tc>
        <w:tc>
          <w:tcPr>
            <w:tcW w:w="1100" w:type="dxa"/>
            <w:shd w:val="clear" w:color="auto" w:fill="auto"/>
          </w:tcPr>
          <w:p w:rsidR="003563AD" w:rsidRDefault="00251882">
            <w:pPr>
              <w:spacing w:after="0"/>
              <w:rPr>
                <w:noProof/>
                <w:sz w:val="20"/>
              </w:rPr>
            </w:pPr>
            <w:r>
              <w:rPr>
                <w:noProof/>
                <w:sz w:val="20"/>
              </w:rPr>
              <w:t>39</w:t>
            </w:r>
          </w:p>
        </w:tc>
      </w:tr>
      <w:tr w:rsidR="003563AD">
        <w:tc>
          <w:tcPr>
            <w:tcW w:w="2659" w:type="dxa"/>
            <w:shd w:val="clear" w:color="auto" w:fill="auto"/>
          </w:tcPr>
          <w:p w:rsidR="003563AD" w:rsidRDefault="00251882">
            <w:pPr>
              <w:spacing w:after="0"/>
              <w:rPr>
                <w:noProof/>
                <w:sz w:val="20"/>
              </w:rPr>
            </w:pPr>
            <w:r>
              <w:rPr>
                <w:noProof/>
                <w:sz w:val="20"/>
              </w:rPr>
              <w:t>Lähetuskulud</w:t>
            </w:r>
          </w:p>
        </w:tc>
        <w:tc>
          <w:tcPr>
            <w:tcW w:w="2268" w:type="dxa"/>
            <w:shd w:val="clear" w:color="auto" w:fill="auto"/>
          </w:tcPr>
          <w:p w:rsidR="003563AD" w:rsidRDefault="00251882">
            <w:pPr>
              <w:spacing w:after="0"/>
              <w:rPr>
                <w:noProof/>
                <w:sz w:val="20"/>
              </w:rPr>
            </w:pPr>
            <w:r>
              <w:rPr>
                <w:noProof/>
                <w:sz w:val="20"/>
              </w:rPr>
              <w:t>= 3 x 10</w:t>
            </w:r>
          </w:p>
        </w:tc>
        <w:tc>
          <w:tcPr>
            <w:tcW w:w="1276" w:type="dxa"/>
            <w:shd w:val="clear" w:color="auto" w:fill="auto"/>
          </w:tcPr>
          <w:p w:rsidR="003563AD" w:rsidRDefault="00251882">
            <w:pPr>
              <w:spacing w:after="0"/>
              <w:rPr>
                <w:noProof/>
                <w:sz w:val="20"/>
              </w:rPr>
            </w:pPr>
            <w:r>
              <w:rPr>
                <w:noProof/>
                <w:sz w:val="20"/>
              </w:rPr>
              <w:t>30</w:t>
            </w:r>
          </w:p>
        </w:tc>
        <w:tc>
          <w:tcPr>
            <w:tcW w:w="992" w:type="dxa"/>
            <w:shd w:val="clear" w:color="auto" w:fill="auto"/>
          </w:tcPr>
          <w:p w:rsidR="003563AD" w:rsidRDefault="00251882">
            <w:pPr>
              <w:spacing w:after="0"/>
              <w:rPr>
                <w:noProof/>
                <w:sz w:val="20"/>
              </w:rPr>
            </w:pPr>
            <w:r>
              <w:rPr>
                <w:noProof/>
                <w:sz w:val="20"/>
              </w:rPr>
              <w:t>30</w:t>
            </w:r>
          </w:p>
        </w:tc>
        <w:tc>
          <w:tcPr>
            <w:tcW w:w="992" w:type="dxa"/>
            <w:shd w:val="clear" w:color="auto" w:fill="auto"/>
          </w:tcPr>
          <w:p w:rsidR="003563AD" w:rsidRDefault="00251882">
            <w:pPr>
              <w:spacing w:after="0"/>
              <w:rPr>
                <w:noProof/>
                <w:sz w:val="20"/>
              </w:rPr>
            </w:pPr>
            <w:r>
              <w:rPr>
                <w:noProof/>
                <w:sz w:val="20"/>
              </w:rPr>
              <w:t>30</w:t>
            </w:r>
          </w:p>
        </w:tc>
        <w:tc>
          <w:tcPr>
            <w:tcW w:w="1100" w:type="dxa"/>
            <w:shd w:val="clear" w:color="auto" w:fill="auto"/>
          </w:tcPr>
          <w:p w:rsidR="003563AD" w:rsidRDefault="00251882">
            <w:pPr>
              <w:spacing w:after="0"/>
              <w:rPr>
                <w:noProof/>
                <w:sz w:val="20"/>
              </w:rPr>
            </w:pPr>
            <w:r>
              <w:rPr>
                <w:noProof/>
                <w:sz w:val="20"/>
              </w:rPr>
              <w:t>90</w:t>
            </w:r>
          </w:p>
        </w:tc>
      </w:tr>
      <w:tr w:rsidR="003563AD">
        <w:tc>
          <w:tcPr>
            <w:tcW w:w="2659" w:type="dxa"/>
            <w:shd w:val="clear" w:color="auto" w:fill="auto"/>
          </w:tcPr>
          <w:p w:rsidR="003563AD" w:rsidRDefault="00251882">
            <w:pPr>
              <w:spacing w:after="0"/>
              <w:rPr>
                <w:noProof/>
                <w:sz w:val="20"/>
              </w:rPr>
            </w:pPr>
            <w:r>
              <w:rPr>
                <w:noProof/>
                <w:sz w:val="20"/>
              </w:rPr>
              <w:t>Kokku</w:t>
            </w:r>
          </w:p>
        </w:tc>
        <w:tc>
          <w:tcPr>
            <w:tcW w:w="2268" w:type="dxa"/>
            <w:shd w:val="clear" w:color="auto" w:fill="auto"/>
          </w:tcPr>
          <w:p w:rsidR="003563AD" w:rsidRDefault="003563AD">
            <w:pPr>
              <w:spacing w:after="0"/>
              <w:rPr>
                <w:noProof/>
                <w:sz w:val="20"/>
              </w:rPr>
            </w:pPr>
          </w:p>
        </w:tc>
        <w:tc>
          <w:tcPr>
            <w:tcW w:w="1276" w:type="dxa"/>
            <w:shd w:val="clear" w:color="auto" w:fill="auto"/>
          </w:tcPr>
          <w:p w:rsidR="003563AD" w:rsidRDefault="00251882">
            <w:pPr>
              <w:spacing w:after="0"/>
              <w:rPr>
                <w:noProof/>
                <w:sz w:val="20"/>
              </w:rPr>
            </w:pPr>
            <w:r>
              <w:rPr>
                <w:noProof/>
                <w:sz w:val="20"/>
              </w:rPr>
              <w:t>532</w:t>
            </w:r>
          </w:p>
        </w:tc>
        <w:tc>
          <w:tcPr>
            <w:tcW w:w="992" w:type="dxa"/>
            <w:shd w:val="clear" w:color="auto" w:fill="auto"/>
          </w:tcPr>
          <w:p w:rsidR="003563AD" w:rsidRDefault="00251882">
            <w:pPr>
              <w:spacing w:after="0"/>
              <w:rPr>
                <w:noProof/>
                <w:sz w:val="20"/>
              </w:rPr>
            </w:pPr>
            <w:r>
              <w:rPr>
                <w:noProof/>
                <w:sz w:val="20"/>
              </w:rPr>
              <w:t>493</w:t>
            </w:r>
          </w:p>
        </w:tc>
        <w:tc>
          <w:tcPr>
            <w:tcW w:w="992" w:type="dxa"/>
            <w:shd w:val="clear" w:color="auto" w:fill="auto"/>
          </w:tcPr>
          <w:p w:rsidR="003563AD" w:rsidRDefault="00251882">
            <w:pPr>
              <w:spacing w:after="0"/>
              <w:rPr>
                <w:noProof/>
                <w:sz w:val="20"/>
              </w:rPr>
            </w:pPr>
            <w:r>
              <w:rPr>
                <w:noProof/>
                <w:sz w:val="20"/>
              </w:rPr>
              <w:t>493</w:t>
            </w:r>
          </w:p>
        </w:tc>
        <w:tc>
          <w:tcPr>
            <w:tcW w:w="1100" w:type="dxa"/>
            <w:shd w:val="clear" w:color="auto" w:fill="auto"/>
          </w:tcPr>
          <w:p w:rsidR="003563AD" w:rsidRDefault="00251882">
            <w:pPr>
              <w:spacing w:after="0"/>
              <w:rPr>
                <w:noProof/>
                <w:sz w:val="20"/>
              </w:rPr>
            </w:pPr>
            <w:r>
              <w:rPr>
                <w:noProof/>
                <w:sz w:val="20"/>
              </w:rPr>
              <w:t>1 518</w:t>
            </w:r>
          </w:p>
        </w:tc>
      </w:tr>
    </w:tbl>
    <w:p w:rsidR="003563AD" w:rsidRDefault="003563AD">
      <w:pPr>
        <w:tabs>
          <w:tab w:val="left" w:pos="4252"/>
        </w:tabs>
        <w:spacing w:before="0" w:after="0"/>
        <w:jc w:val="left"/>
        <w:rPr>
          <w:i/>
          <w:noProof/>
        </w:rPr>
      </w:pPr>
    </w:p>
    <w:tbl>
      <w:tblPr>
        <w:tblW w:w="3840" w:type="dxa"/>
        <w:tblInd w:w="93" w:type="dxa"/>
        <w:tblLook w:val="04A0" w:firstRow="1" w:lastRow="0" w:firstColumn="1" w:lastColumn="0" w:noHBand="0" w:noVBand="1"/>
      </w:tblPr>
      <w:tblGrid>
        <w:gridCol w:w="960"/>
        <w:gridCol w:w="960"/>
        <w:gridCol w:w="960"/>
        <w:gridCol w:w="960"/>
      </w:tblGrid>
      <w:tr w:rsidR="003563AD">
        <w:trPr>
          <w:trHeight w:val="300"/>
        </w:trPr>
        <w:tc>
          <w:tcPr>
            <w:tcW w:w="960" w:type="dxa"/>
            <w:tcBorders>
              <w:top w:val="nil"/>
              <w:left w:val="nil"/>
              <w:bottom w:val="nil"/>
              <w:right w:val="nil"/>
            </w:tcBorders>
            <w:shd w:val="clear" w:color="auto" w:fill="auto"/>
            <w:noWrap/>
            <w:vAlign w:val="bottom"/>
          </w:tcPr>
          <w:p w:rsidR="003563AD" w:rsidRDefault="003563AD">
            <w:pPr>
              <w:spacing w:before="0" w:after="0"/>
              <w:jc w:val="right"/>
              <w:rPr>
                <w:rFonts w:ascii="Calibri" w:eastAsia="Times New Roman" w:hAnsi="Calibri"/>
                <w:noProof/>
                <w:sz w:val="22"/>
              </w:rPr>
            </w:pPr>
          </w:p>
        </w:tc>
        <w:tc>
          <w:tcPr>
            <w:tcW w:w="960" w:type="dxa"/>
            <w:tcBorders>
              <w:top w:val="nil"/>
              <w:left w:val="nil"/>
              <w:bottom w:val="nil"/>
              <w:right w:val="nil"/>
            </w:tcBorders>
            <w:shd w:val="clear" w:color="auto" w:fill="auto"/>
            <w:noWrap/>
            <w:vAlign w:val="bottom"/>
          </w:tcPr>
          <w:p w:rsidR="003563AD" w:rsidRDefault="003563AD">
            <w:pPr>
              <w:spacing w:before="0" w:after="0"/>
              <w:jc w:val="right"/>
              <w:rPr>
                <w:rFonts w:ascii="Calibri" w:eastAsia="Times New Roman" w:hAnsi="Calibri"/>
                <w:noProof/>
                <w:sz w:val="22"/>
              </w:rPr>
            </w:pPr>
          </w:p>
        </w:tc>
        <w:tc>
          <w:tcPr>
            <w:tcW w:w="960" w:type="dxa"/>
            <w:tcBorders>
              <w:top w:val="nil"/>
              <w:left w:val="nil"/>
              <w:bottom w:val="nil"/>
              <w:right w:val="nil"/>
            </w:tcBorders>
            <w:shd w:val="clear" w:color="auto" w:fill="auto"/>
            <w:noWrap/>
            <w:vAlign w:val="bottom"/>
          </w:tcPr>
          <w:p w:rsidR="003563AD" w:rsidRDefault="003563AD">
            <w:pPr>
              <w:spacing w:before="0" w:after="0"/>
              <w:jc w:val="right"/>
              <w:rPr>
                <w:rFonts w:ascii="Calibri" w:eastAsia="Times New Roman" w:hAnsi="Calibri"/>
                <w:noProof/>
                <w:sz w:val="22"/>
              </w:rPr>
            </w:pPr>
          </w:p>
        </w:tc>
        <w:tc>
          <w:tcPr>
            <w:tcW w:w="960" w:type="dxa"/>
            <w:tcBorders>
              <w:top w:val="nil"/>
              <w:left w:val="nil"/>
              <w:bottom w:val="nil"/>
              <w:right w:val="nil"/>
            </w:tcBorders>
            <w:shd w:val="clear" w:color="auto" w:fill="auto"/>
            <w:noWrap/>
            <w:vAlign w:val="bottom"/>
          </w:tcPr>
          <w:p w:rsidR="003563AD" w:rsidRDefault="003563AD">
            <w:pPr>
              <w:spacing w:before="0" w:after="0"/>
              <w:jc w:val="right"/>
              <w:rPr>
                <w:rFonts w:ascii="Calibri" w:eastAsia="Times New Roman" w:hAnsi="Calibri"/>
                <w:noProof/>
                <w:sz w:val="22"/>
              </w:rPr>
            </w:pPr>
          </w:p>
        </w:tc>
      </w:tr>
    </w:tbl>
    <w:p w:rsidR="003563AD" w:rsidRDefault="00251882">
      <w:pPr>
        <w:rPr>
          <w:noProof/>
        </w:rPr>
      </w:pPr>
      <w:r>
        <w:rPr>
          <w:noProof/>
        </w:rPr>
        <w:t>EBA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2268"/>
        <w:gridCol w:w="1276"/>
        <w:gridCol w:w="992"/>
        <w:gridCol w:w="992"/>
        <w:gridCol w:w="1100"/>
      </w:tblGrid>
      <w:tr w:rsidR="003563AD">
        <w:tc>
          <w:tcPr>
            <w:tcW w:w="2659" w:type="dxa"/>
            <w:vMerge w:val="restart"/>
            <w:shd w:val="clear" w:color="auto" w:fill="auto"/>
            <w:vAlign w:val="center"/>
          </w:tcPr>
          <w:p w:rsidR="003563AD" w:rsidRDefault="00251882">
            <w:pPr>
              <w:spacing w:after="0"/>
              <w:jc w:val="center"/>
              <w:rPr>
                <w:b/>
                <w:noProof/>
                <w:sz w:val="20"/>
              </w:rPr>
            </w:pPr>
            <w:r>
              <w:rPr>
                <w:b/>
                <w:noProof/>
                <w:sz w:val="20"/>
              </w:rPr>
              <w:t>Kulu liik</w:t>
            </w:r>
          </w:p>
        </w:tc>
        <w:tc>
          <w:tcPr>
            <w:tcW w:w="2268" w:type="dxa"/>
            <w:vMerge w:val="restart"/>
            <w:shd w:val="clear" w:color="auto" w:fill="auto"/>
            <w:vAlign w:val="center"/>
          </w:tcPr>
          <w:p w:rsidR="003563AD" w:rsidRDefault="00251882">
            <w:pPr>
              <w:spacing w:after="0"/>
              <w:jc w:val="center"/>
              <w:rPr>
                <w:b/>
                <w:noProof/>
                <w:sz w:val="20"/>
              </w:rPr>
            </w:pPr>
            <w:r>
              <w:rPr>
                <w:b/>
                <w:noProof/>
                <w:sz w:val="20"/>
              </w:rPr>
              <w:t>Arvutamine</w:t>
            </w:r>
          </w:p>
        </w:tc>
        <w:tc>
          <w:tcPr>
            <w:tcW w:w="4360" w:type="dxa"/>
            <w:gridSpan w:val="4"/>
            <w:shd w:val="clear" w:color="auto" w:fill="auto"/>
            <w:vAlign w:val="center"/>
          </w:tcPr>
          <w:p w:rsidR="003563AD" w:rsidRDefault="00251882">
            <w:pPr>
              <w:spacing w:after="0"/>
              <w:jc w:val="center"/>
              <w:rPr>
                <w:b/>
                <w:noProof/>
                <w:sz w:val="20"/>
              </w:rPr>
            </w:pPr>
            <w:r>
              <w:rPr>
                <w:b/>
                <w:noProof/>
                <w:sz w:val="20"/>
              </w:rPr>
              <w:t>Maksumus (tuhandetes)</w:t>
            </w:r>
          </w:p>
        </w:tc>
      </w:tr>
      <w:tr w:rsidR="003563AD">
        <w:tc>
          <w:tcPr>
            <w:tcW w:w="2659" w:type="dxa"/>
            <w:vMerge/>
            <w:shd w:val="clear" w:color="auto" w:fill="auto"/>
            <w:vAlign w:val="center"/>
          </w:tcPr>
          <w:p w:rsidR="003563AD" w:rsidRDefault="003563AD">
            <w:pPr>
              <w:spacing w:after="0"/>
              <w:jc w:val="center"/>
              <w:rPr>
                <w:b/>
                <w:noProof/>
                <w:sz w:val="20"/>
              </w:rPr>
            </w:pPr>
          </w:p>
        </w:tc>
        <w:tc>
          <w:tcPr>
            <w:tcW w:w="2268" w:type="dxa"/>
            <w:vMerge/>
            <w:shd w:val="clear" w:color="auto" w:fill="auto"/>
            <w:vAlign w:val="center"/>
          </w:tcPr>
          <w:p w:rsidR="003563AD" w:rsidRDefault="003563AD">
            <w:pPr>
              <w:spacing w:after="0"/>
              <w:jc w:val="center"/>
              <w:rPr>
                <w:b/>
                <w:noProof/>
                <w:sz w:val="20"/>
              </w:rPr>
            </w:pPr>
          </w:p>
        </w:tc>
        <w:tc>
          <w:tcPr>
            <w:tcW w:w="1276" w:type="dxa"/>
            <w:shd w:val="clear" w:color="auto" w:fill="auto"/>
            <w:vAlign w:val="center"/>
          </w:tcPr>
          <w:p w:rsidR="003563AD" w:rsidRDefault="00251882">
            <w:pPr>
              <w:spacing w:after="0"/>
              <w:jc w:val="center"/>
              <w:rPr>
                <w:b/>
                <w:noProof/>
                <w:sz w:val="20"/>
              </w:rPr>
            </w:pPr>
            <w:r>
              <w:rPr>
                <w:b/>
                <w:noProof/>
                <w:sz w:val="20"/>
              </w:rPr>
              <w:t>2017</w:t>
            </w:r>
          </w:p>
        </w:tc>
        <w:tc>
          <w:tcPr>
            <w:tcW w:w="992" w:type="dxa"/>
            <w:shd w:val="clear" w:color="auto" w:fill="auto"/>
            <w:vAlign w:val="center"/>
          </w:tcPr>
          <w:p w:rsidR="003563AD" w:rsidRDefault="00251882">
            <w:pPr>
              <w:spacing w:after="0"/>
              <w:jc w:val="center"/>
              <w:rPr>
                <w:b/>
                <w:noProof/>
                <w:sz w:val="20"/>
              </w:rPr>
            </w:pPr>
            <w:r>
              <w:rPr>
                <w:b/>
                <w:noProof/>
                <w:sz w:val="20"/>
              </w:rPr>
              <w:t>2018</w:t>
            </w:r>
          </w:p>
        </w:tc>
        <w:tc>
          <w:tcPr>
            <w:tcW w:w="992" w:type="dxa"/>
            <w:shd w:val="clear" w:color="auto" w:fill="auto"/>
            <w:vAlign w:val="center"/>
          </w:tcPr>
          <w:p w:rsidR="003563AD" w:rsidRDefault="00251882">
            <w:pPr>
              <w:spacing w:after="0"/>
              <w:jc w:val="center"/>
              <w:rPr>
                <w:b/>
                <w:noProof/>
                <w:sz w:val="20"/>
              </w:rPr>
            </w:pPr>
            <w:r>
              <w:rPr>
                <w:b/>
                <w:noProof/>
                <w:sz w:val="20"/>
              </w:rPr>
              <w:t>2019</w:t>
            </w:r>
          </w:p>
        </w:tc>
        <w:tc>
          <w:tcPr>
            <w:tcW w:w="1100" w:type="dxa"/>
            <w:shd w:val="clear" w:color="auto" w:fill="auto"/>
            <w:vAlign w:val="center"/>
          </w:tcPr>
          <w:p w:rsidR="003563AD" w:rsidRDefault="00251882">
            <w:pPr>
              <w:spacing w:after="0"/>
              <w:jc w:val="center"/>
              <w:rPr>
                <w:b/>
                <w:noProof/>
                <w:sz w:val="20"/>
              </w:rPr>
            </w:pPr>
            <w:r>
              <w:rPr>
                <w:b/>
                <w:noProof/>
                <w:sz w:val="20"/>
              </w:rPr>
              <w:t>Kokku</w:t>
            </w:r>
          </w:p>
        </w:tc>
      </w:tr>
      <w:tr w:rsidR="003563AD">
        <w:tc>
          <w:tcPr>
            <w:tcW w:w="2659" w:type="dxa"/>
            <w:shd w:val="clear" w:color="auto" w:fill="auto"/>
          </w:tcPr>
          <w:p w:rsidR="003563AD" w:rsidRDefault="00251882">
            <w:pPr>
              <w:spacing w:after="0"/>
              <w:rPr>
                <w:noProof/>
                <w:sz w:val="20"/>
              </w:rPr>
            </w:pPr>
            <w:r>
              <w:rPr>
                <w:noProof/>
                <w:sz w:val="20"/>
              </w:rPr>
              <w:t>Personalikulud</w:t>
            </w:r>
          </w:p>
        </w:tc>
        <w:tc>
          <w:tcPr>
            <w:tcW w:w="2268" w:type="dxa"/>
            <w:shd w:val="clear" w:color="auto" w:fill="auto"/>
          </w:tcPr>
          <w:p w:rsidR="003563AD" w:rsidRDefault="003563AD">
            <w:pPr>
              <w:spacing w:after="0"/>
              <w:rPr>
                <w:noProof/>
                <w:sz w:val="20"/>
              </w:rPr>
            </w:pPr>
          </w:p>
        </w:tc>
        <w:tc>
          <w:tcPr>
            <w:tcW w:w="1276" w:type="dxa"/>
            <w:shd w:val="clear" w:color="auto" w:fill="auto"/>
          </w:tcPr>
          <w:p w:rsidR="003563AD" w:rsidRDefault="003563AD">
            <w:pPr>
              <w:spacing w:after="0"/>
              <w:rPr>
                <w:noProof/>
                <w:sz w:val="20"/>
              </w:rPr>
            </w:pPr>
          </w:p>
        </w:tc>
        <w:tc>
          <w:tcPr>
            <w:tcW w:w="992" w:type="dxa"/>
            <w:shd w:val="clear" w:color="auto" w:fill="auto"/>
          </w:tcPr>
          <w:p w:rsidR="003563AD" w:rsidRDefault="003563AD">
            <w:pPr>
              <w:spacing w:after="0"/>
              <w:rPr>
                <w:noProof/>
                <w:sz w:val="20"/>
              </w:rPr>
            </w:pPr>
          </w:p>
        </w:tc>
        <w:tc>
          <w:tcPr>
            <w:tcW w:w="992" w:type="dxa"/>
            <w:shd w:val="clear" w:color="auto" w:fill="auto"/>
          </w:tcPr>
          <w:p w:rsidR="003563AD" w:rsidRDefault="003563AD">
            <w:pPr>
              <w:spacing w:after="0"/>
              <w:rPr>
                <w:noProof/>
                <w:sz w:val="20"/>
              </w:rPr>
            </w:pPr>
          </w:p>
        </w:tc>
        <w:tc>
          <w:tcPr>
            <w:tcW w:w="1100" w:type="dxa"/>
            <w:shd w:val="clear" w:color="auto" w:fill="auto"/>
          </w:tcPr>
          <w:p w:rsidR="003563AD" w:rsidRDefault="003563AD">
            <w:pPr>
              <w:spacing w:after="0"/>
              <w:rPr>
                <w:noProof/>
                <w:sz w:val="20"/>
              </w:rPr>
            </w:pPr>
          </w:p>
        </w:tc>
      </w:tr>
      <w:tr w:rsidR="003563AD">
        <w:tc>
          <w:tcPr>
            <w:tcW w:w="2659" w:type="dxa"/>
            <w:shd w:val="clear" w:color="auto" w:fill="auto"/>
          </w:tcPr>
          <w:p w:rsidR="003563AD" w:rsidRDefault="00251882">
            <w:pPr>
              <w:spacing w:after="0"/>
              <w:rPr>
                <w:noProof/>
                <w:sz w:val="20"/>
              </w:rPr>
            </w:pPr>
            <w:r>
              <w:rPr>
                <w:noProof/>
                <w:sz w:val="20"/>
              </w:rPr>
              <w:t xml:space="preserve">Palgad ja </w:t>
            </w:r>
            <w:r>
              <w:rPr>
                <w:noProof/>
                <w:sz w:val="20"/>
              </w:rPr>
              <w:t>hüvitised</w:t>
            </w:r>
          </w:p>
        </w:tc>
        <w:tc>
          <w:tcPr>
            <w:tcW w:w="2268" w:type="dxa"/>
            <w:shd w:val="clear" w:color="auto" w:fill="auto"/>
          </w:tcPr>
          <w:p w:rsidR="003563AD" w:rsidRDefault="00251882">
            <w:pPr>
              <w:spacing w:after="0"/>
              <w:rPr>
                <w:noProof/>
                <w:sz w:val="20"/>
              </w:rPr>
            </w:pPr>
            <w:r>
              <w:rPr>
                <w:noProof/>
                <w:sz w:val="20"/>
              </w:rPr>
              <w:t>= 3 x 132 x 1,507</w:t>
            </w:r>
          </w:p>
        </w:tc>
        <w:tc>
          <w:tcPr>
            <w:tcW w:w="1276" w:type="dxa"/>
            <w:shd w:val="clear" w:color="auto" w:fill="auto"/>
          </w:tcPr>
          <w:p w:rsidR="003563AD" w:rsidRDefault="00251882">
            <w:pPr>
              <w:spacing w:after="0"/>
              <w:rPr>
                <w:noProof/>
                <w:sz w:val="20"/>
              </w:rPr>
            </w:pPr>
            <w:r>
              <w:rPr>
                <w:noProof/>
                <w:sz w:val="20"/>
              </w:rPr>
              <w:t>597</w:t>
            </w:r>
          </w:p>
        </w:tc>
        <w:tc>
          <w:tcPr>
            <w:tcW w:w="992" w:type="dxa"/>
            <w:shd w:val="clear" w:color="auto" w:fill="auto"/>
          </w:tcPr>
          <w:p w:rsidR="003563AD" w:rsidRDefault="00251882">
            <w:pPr>
              <w:spacing w:after="0"/>
              <w:rPr>
                <w:noProof/>
                <w:sz w:val="20"/>
              </w:rPr>
            </w:pPr>
            <w:r>
              <w:rPr>
                <w:noProof/>
                <w:sz w:val="20"/>
              </w:rPr>
              <w:t>597</w:t>
            </w:r>
          </w:p>
        </w:tc>
        <w:tc>
          <w:tcPr>
            <w:tcW w:w="992" w:type="dxa"/>
            <w:shd w:val="clear" w:color="auto" w:fill="auto"/>
          </w:tcPr>
          <w:p w:rsidR="003563AD" w:rsidRDefault="00251882">
            <w:pPr>
              <w:spacing w:after="0"/>
              <w:rPr>
                <w:noProof/>
                <w:sz w:val="20"/>
              </w:rPr>
            </w:pPr>
            <w:r>
              <w:rPr>
                <w:noProof/>
                <w:sz w:val="20"/>
              </w:rPr>
              <w:t>597</w:t>
            </w:r>
          </w:p>
        </w:tc>
        <w:tc>
          <w:tcPr>
            <w:tcW w:w="1100" w:type="dxa"/>
            <w:shd w:val="clear" w:color="auto" w:fill="auto"/>
          </w:tcPr>
          <w:p w:rsidR="003563AD" w:rsidRDefault="00251882">
            <w:pPr>
              <w:spacing w:after="0"/>
              <w:rPr>
                <w:noProof/>
                <w:sz w:val="20"/>
              </w:rPr>
            </w:pPr>
            <w:r>
              <w:rPr>
                <w:noProof/>
                <w:sz w:val="20"/>
              </w:rPr>
              <w:t>1 791</w:t>
            </w:r>
          </w:p>
        </w:tc>
      </w:tr>
      <w:tr w:rsidR="003563AD">
        <w:tc>
          <w:tcPr>
            <w:tcW w:w="2659" w:type="dxa"/>
            <w:shd w:val="clear" w:color="auto" w:fill="auto"/>
          </w:tcPr>
          <w:p w:rsidR="003563AD" w:rsidRDefault="00251882">
            <w:pPr>
              <w:spacing w:after="0"/>
              <w:rPr>
                <w:noProof/>
                <w:sz w:val="20"/>
              </w:rPr>
            </w:pPr>
            <w:r>
              <w:rPr>
                <w:noProof/>
                <w:sz w:val="20"/>
              </w:rPr>
              <w:t>Värbamiskulud</w:t>
            </w:r>
          </w:p>
        </w:tc>
        <w:tc>
          <w:tcPr>
            <w:tcW w:w="2268" w:type="dxa"/>
            <w:shd w:val="clear" w:color="auto" w:fill="auto"/>
          </w:tcPr>
          <w:p w:rsidR="003563AD" w:rsidRDefault="00251882">
            <w:pPr>
              <w:spacing w:after="0"/>
              <w:rPr>
                <w:noProof/>
                <w:sz w:val="20"/>
              </w:rPr>
            </w:pPr>
            <w:r>
              <w:rPr>
                <w:noProof/>
                <w:sz w:val="20"/>
              </w:rPr>
              <w:t>= 3 x 13</w:t>
            </w:r>
          </w:p>
        </w:tc>
        <w:tc>
          <w:tcPr>
            <w:tcW w:w="1276" w:type="dxa"/>
            <w:shd w:val="clear" w:color="auto" w:fill="auto"/>
          </w:tcPr>
          <w:p w:rsidR="003563AD" w:rsidRDefault="00251882">
            <w:pPr>
              <w:spacing w:after="0"/>
              <w:rPr>
                <w:noProof/>
                <w:sz w:val="20"/>
              </w:rPr>
            </w:pPr>
            <w:r>
              <w:rPr>
                <w:noProof/>
                <w:sz w:val="20"/>
              </w:rPr>
              <w:t>39</w:t>
            </w:r>
          </w:p>
        </w:tc>
        <w:tc>
          <w:tcPr>
            <w:tcW w:w="992" w:type="dxa"/>
            <w:shd w:val="clear" w:color="auto" w:fill="auto"/>
          </w:tcPr>
          <w:p w:rsidR="003563AD" w:rsidRDefault="003563AD">
            <w:pPr>
              <w:spacing w:after="0"/>
              <w:rPr>
                <w:noProof/>
                <w:sz w:val="20"/>
              </w:rPr>
            </w:pPr>
          </w:p>
        </w:tc>
        <w:tc>
          <w:tcPr>
            <w:tcW w:w="992" w:type="dxa"/>
            <w:shd w:val="clear" w:color="auto" w:fill="auto"/>
          </w:tcPr>
          <w:p w:rsidR="003563AD" w:rsidRDefault="003563AD">
            <w:pPr>
              <w:spacing w:after="0"/>
              <w:rPr>
                <w:noProof/>
                <w:sz w:val="20"/>
              </w:rPr>
            </w:pPr>
          </w:p>
        </w:tc>
        <w:tc>
          <w:tcPr>
            <w:tcW w:w="1100" w:type="dxa"/>
            <w:shd w:val="clear" w:color="auto" w:fill="auto"/>
          </w:tcPr>
          <w:p w:rsidR="003563AD" w:rsidRDefault="00251882">
            <w:pPr>
              <w:spacing w:after="0"/>
              <w:rPr>
                <w:noProof/>
                <w:sz w:val="20"/>
              </w:rPr>
            </w:pPr>
            <w:r>
              <w:rPr>
                <w:noProof/>
                <w:sz w:val="20"/>
              </w:rPr>
              <w:t>39</w:t>
            </w:r>
          </w:p>
        </w:tc>
      </w:tr>
      <w:tr w:rsidR="003563AD">
        <w:tc>
          <w:tcPr>
            <w:tcW w:w="2659" w:type="dxa"/>
            <w:shd w:val="clear" w:color="auto" w:fill="auto"/>
          </w:tcPr>
          <w:p w:rsidR="003563AD" w:rsidRDefault="00251882">
            <w:pPr>
              <w:spacing w:after="0"/>
              <w:rPr>
                <w:noProof/>
                <w:sz w:val="20"/>
              </w:rPr>
            </w:pPr>
            <w:r>
              <w:rPr>
                <w:noProof/>
                <w:sz w:val="20"/>
              </w:rPr>
              <w:t>Lähetuskulud</w:t>
            </w:r>
          </w:p>
        </w:tc>
        <w:tc>
          <w:tcPr>
            <w:tcW w:w="2268" w:type="dxa"/>
            <w:shd w:val="clear" w:color="auto" w:fill="auto"/>
          </w:tcPr>
          <w:p w:rsidR="003563AD" w:rsidRDefault="00251882">
            <w:pPr>
              <w:spacing w:after="0"/>
              <w:rPr>
                <w:noProof/>
                <w:sz w:val="20"/>
              </w:rPr>
            </w:pPr>
            <w:r>
              <w:rPr>
                <w:noProof/>
                <w:sz w:val="20"/>
              </w:rPr>
              <w:t>= 3 x 10</w:t>
            </w:r>
          </w:p>
        </w:tc>
        <w:tc>
          <w:tcPr>
            <w:tcW w:w="1276" w:type="dxa"/>
            <w:shd w:val="clear" w:color="auto" w:fill="auto"/>
          </w:tcPr>
          <w:p w:rsidR="003563AD" w:rsidRDefault="00251882">
            <w:pPr>
              <w:spacing w:after="0"/>
              <w:rPr>
                <w:noProof/>
                <w:sz w:val="20"/>
              </w:rPr>
            </w:pPr>
            <w:r>
              <w:rPr>
                <w:noProof/>
                <w:sz w:val="20"/>
              </w:rPr>
              <w:t>30</w:t>
            </w:r>
          </w:p>
        </w:tc>
        <w:tc>
          <w:tcPr>
            <w:tcW w:w="992" w:type="dxa"/>
            <w:shd w:val="clear" w:color="auto" w:fill="auto"/>
          </w:tcPr>
          <w:p w:rsidR="003563AD" w:rsidRDefault="00251882">
            <w:pPr>
              <w:spacing w:after="0"/>
              <w:rPr>
                <w:noProof/>
                <w:sz w:val="20"/>
              </w:rPr>
            </w:pPr>
            <w:r>
              <w:rPr>
                <w:noProof/>
                <w:sz w:val="20"/>
              </w:rPr>
              <w:t>30</w:t>
            </w:r>
          </w:p>
        </w:tc>
        <w:tc>
          <w:tcPr>
            <w:tcW w:w="992" w:type="dxa"/>
            <w:shd w:val="clear" w:color="auto" w:fill="auto"/>
          </w:tcPr>
          <w:p w:rsidR="003563AD" w:rsidRDefault="00251882">
            <w:pPr>
              <w:spacing w:after="0"/>
              <w:rPr>
                <w:noProof/>
                <w:sz w:val="20"/>
              </w:rPr>
            </w:pPr>
            <w:r>
              <w:rPr>
                <w:noProof/>
                <w:sz w:val="20"/>
              </w:rPr>
              <w:t>30</w:t>
            </w:r>
          </w:p>
        </w:tc>
        <w:tc>
          <w:tcPr>
            <w:tcW w:w="1100" w:type="dxa"/>
            <w:shd w:val="clear" w:color="auto" w:fill="auto"/>
          </w:tcPr>
          <w:p w:rsidR="003563AD" w:rsidRDefault="00251882">
            <w:pPr>
              <w:spacing w:after="0"/>
              <w:rPr>
                <w:noProof/>
                <w:sz w:val="20"/>
              </w:rPr>
            </w:pPr>
            <w:r>
              <w:rPr>
                <w:noProof/>
                <w:sz w:val="20"/>
              </w:rPr>
              <w:t>90</w:t>
            </w:r>
          </w:p>
        </w:tc>
      </w:tr>
      <w:tr w:rsidR="003563AD">
        <w:tc>
          <w:tcPr>
            <w:tcW w:w="2659" w:type="dxa"/>
            <w:shd w:val="clear" w:color="auto" w:fill="auto"/>
          </w:tcPr>
          <w:p w:rsidR="003563AD" w:rsidRDefault="00251882">
            <w:pPr>
              <w:spacing w:after="0"/>
              <w:rPr>
                <w:noProof/>
                <w:sz w:val="20"/>
              </w:rPr>
            </w:pPr>
            <w:r>
              <w:rPr>
                <w:noProof/>
                <w:sz w:val="20"/>
              </w:rPr>
              <w:t>Kokku</w:t>
            </w:r>
          </w:p>
        </w:tc>
        <w:tc>
          <w:tcPr>
            <w:tcW w:w="2268" w:type="dxa"/>
            <w:shd w:val="clear" w:color="auto" w:fill="auto"/>
          </w:tcPr>
          <w:p w:rsidR="003563AD" w:rsidRDefault="003563AD">
            <w:pPr>
              <w:spacing w:after="0"/>
              <w:rPr>
                <w:noProof/>
                <w:sz w:val="20"/>
              </w:rPr>
            </w:pPr>
          </w:p>
        </w:tc>
        <w:tc>
          <w:tcPr>
            <w:tcW w:w="1276" w:type="dxa"/>
            <w:shd w:val="clear" w:color="auto" w:fill="auto"/>
          </w:tcPr>
          <w:p w:rsidR="003563AD" w:rsidRDefault="00251882">
            <w:pPr>
              <w:spacing w:after="0"/>
              <w:rPr>
                <w:noProof/>
                <w:sz w:val="20"/>
              </w:rPr>
            </w:pPr>
            <w:r>
              <w:rPr>
                <w:noProof/>
                <w:sz w:val="20"/>
              </w:rPr>
              <w:t>666</w:t>
            </w:r>
          </w:p>
        </w:tc>
        <w:tc>
          <w:tcPr>
            <w:tcW w:w="992" w:type="dxa"/>
            <w:shd w:val="clear" w:color="auto" w:fill="auto"/>
          </w:tcPr>
          <w:p w:rsidR="003563AD" w:rsidRDefault="00251882">
            <w:pPr>
              <w:spacing w:after="0"/>
              <w:rPr>
                <w:noProof/>
                <w:sz w:val="20"/>
              </w:rPr>
            </w:pPr>
            <w:r>
              <w:rPr>
                <w:noProof/>
                <w:sz w:val="20"/>
              </w:rPr>
              <w:t>627</w:t>
            </w:r>
          </w:p>
        </w:tc>
        <w:tc>
          <w:tcPr>
            <w:tcW w:w="992" w:type="dxa"/>
            <w:shd w:val="clear" w:color="auto" w:fill="auto"/>
          </w:tcPr>
          <w:p w:rsidR="003563AD" w:rsidRDefault="00251882">
            <w:pPr>
              <w:spacing w:after="0"/>
              <w:rPr>
                <w:noProof/>
                <w:sz w:val="20"/>
              </w:rPr>
            </w:pPr>
            <w:r>
              <w:rPr>
                <w:noProof/>
                <w:sz w:val="20"/>
              </w:rPr>
              <w:t>627</w:t>
            </w:r>
          </w:p>
        </w:tc>
        <w:tc>
          <w:tcPr>
            <w:tcW w:w="1100" w:type="dxa"/>
            <w:shd w:val="clear" w:color="auto" w:fill="auto"/>
          </w:tcPr>
          <w:p w:rsidR="003563AD" w:rsidRDefault="00251882">
            <w:pPr>
              <w:spacing w:after="0"/>
              <w:rPr>
                <w:noProof/>
                <w:sz w:val="20"/>
              </w:rPr>
            </w:pPr>
            <w:r>
              <w:rPr>
                <w:noProof/>
                <w:sz w:val="20"/>
              </w:rPr>
              <w:t>1 920</w:t>
            </w:r>
          </w:p>
        </w:tc>
      </w:tr>
    </w:tbl>
    <w:p w:rsidR="003563AD" w:rsidRDefault="003563AD">
      <w:pPr>
        <w:rPr>
          <w:b/>
          <w:noProof/>
        </w:rPr>
      </w:pPr>
    </w:p>
    <w:p w:rsidR="003563AD" w:rsidRDefault="00251882">
      <w:pPr>
        <w:rPr>
          <w:b/>
          <w:noProof/>
        </w:rPr>
      </w:pPr>
      <w:r>
        <w:rPr>
          <w:b/>
          <w:noProof/>
        </w:rPr>
        <w:t>EIOPA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2268"/>
        <w:gridCol w:w="1276"/>
        <w:gridCol w:w="992"/>
        <w:gridCol w:w="992"/>
        <w:gridCol w:w="1100"/>
      </w:tblGrid>
      <w:tr w:rsidR="003563AD">
        <w:tc>
          <w:tcPr>
            <w:tcW w:w="2659" w:type="dxa"/>
            <w:vMerge w:val="restart"/>
            <w:shd w:val="clear" w:color="auto" w:fill="auto"/>
            <w:vAlign w:val="center"/>
          </w:tcPr>
          <w:p w:rsidR="003563AD" w:rsidRDefault="00251882">
            <w:pPr>
              <w:spacing w:after="0"/>
              <w:jc w:val="center"/>
              <w:rPr>
                <w:b/>
                <w:noProof/>
                <w:sz w:val="20"/>
              </w:rPr>
            </w:pPr>
            <w:r>
              <w:rPr>
                <w:b/>
                <w:noProof/>
                <w:sz w:val="20"/>
              </w:rPr>
              <w:t>Kulu liik</w:t>
            </w:r>
          </w:p>
        </w:tc>
        <w:tc>
          <w:tcPr>
            <w:tcW w:w="2268" w:type="dxa"/>
            <w:vMerge w:val="restart"/>
            <w:shd w:val="clear" w:color="auto" w:fill="auto"/>
            <w:vAlign w:val="center"/>
          </w:tcPr>
          <w:p w:rsidR="003563AD" w:rsidRDefault="00251882">
            <w:pPr>
              <w:spacing w:after="0"/>
              <w:jc w:val="center"/>
              <w:rPr>
                <w:b/>
                <w:noProof/>
                <w:sz w:val="20"/>
              </w:rPr>
            </w:pPr>
            <w:r>
              <w:rPr>
                <w:b/>
                <w:noProof/>
                <w:sz w:val="20"/>
              </w:rPr>
              <w:t>Arvutamine</w:t>
            </w:r>
          </w:p>
        </w:tc>
        <w:tc>
          <w:tcPr>
            <w:tcW w:w="4360" w:type="dxa"/>
            <w:gridSpan w:val="4"/>
            <w:shd w:val="clear" w:color="auto" w:fill="auto"/>
            <w:vAlign w:val="center"/>
          </w:tcPr>
          <w:p w:rsidR="003563AD" w:rsidRDefault="00251882">
            <w:pPr>
              <w:spacing w:after="0"/>
              <w:jc w:val="center"/>
              <w:rPr>
                <w:b/>
                <w:noProof/>
                <w:sz w:val="20"/>
              </w:rPr>
            </w:pPr>
            <w:r>
              <w:rPr>
                <w:b/>
                <w:noProof/>
                <w:sz w:val="20"/>
              </w:rPr>
              <w:t>Maksumus (tuhandetes)</w:t>
            </w:r>
          </w:p>
        </w:tc>
      </w:tr>
      <w:tr w:rsidR="003563AD">
        <w:tc>
          <w:tcPr>
            <w:tcW w:w="2659" w:type="dxa"/>
            <w:vMerge/>
            <w:shd w:val="clear" w:color="auto" w:fill="auto"/>
            <w:vAlign w:val="center"/>
          </w:tcPr>
          <w:p w:rsidR="003563AD" w:rsidRDefault="003563AD">
            <w:pPr>
              <w:spacing w:after="0"/>
              <w:jc w:val="center"/>
              <w:rPr>
                <w:b/>
                <w:noProof/>
                <w:sz w:val="20"/>
              </w:rPr>
            </w:pPr>
          </w:p>
        </w:tc>
        <w:tc>
          <w:tcPr>
            <w:tcW w:w="2268" w:type="dxa"/>
            <w:vMerge/>
            <w:shd w:val="clear" w:color="auto" w:fill="auto"/>
            <w:vAlign w:val="center"/>
          </w:tcPr>
          <w:p w:rsidR="003563AD" w:rsidRDefault="003563AD">
            <w:pPr>
              <w:spacing w:after="0"/>
              <w:jc w:val="center"/>
              <w:rPr>
                <w:b/>
                <w:noProof/>
                <w:sz w:val="20"/>
              </w:rPr>
            </w:pPr>
          </w:p>
        </w:tc>
        <w:tc>
          <w:tcPr>
            <w:tcW w:w="1276" w:type="dxa"/>
            <w:shd w:val="clear" w:color="auto" w:fill="auto"/>
            <w:vAlign w:val="center"/>
          </w:tcPr>
          <w:p w:rsidR="003563AD" w:rsidRDefault="00251882">
            <w:pPr>
              <w:spacing w:after="0"/>
              <w:jc w:val="center"/>
              <w:rPr>
                <w:b/>
                <w:noProof/>
                <w:sz w:val="20"/>
              </w:rPr>
            </w:pPr>
            <w:r>
              <w:rPr>
                <w:b/>
                <w:noProof/>
                <w:sz w:val="20"/>
              </w:rPr>
              <w:t>2017</w:t>
            </w:r>
          </w:p>
        </w:tc>
        <w:tc>
          <w:tcPr>
            <w:tcW w:w="992" w:type="dxa"/>
            <w:shd w:val="clear" w:color="auto" w:fill="auto"/>
            <w:vAlign w:val="center"/>
          </w:tcPr>
          <w:p w:rsidR="003563AD" w:rsidRDefault="00251882">
            <w:pPr>
              <w:spacing w:after="0"/>
              <w:jc w:val="center"/>
              <w:rPr>
                <w:b/>
                <w:noProof/>
                <w:sz w:val="20"/>
              </w:rPr>
            </w:pPr>
            <w:r>
              <w:rPr>
                <w:b/>
                <w:noProof/>
                <w:sz w:val="20"/>
              </w:rPr>
              <w:t>2018</w:t>
            </w:r>
          </w:p>
        </w:tc>
        <w:tc>
          <w:tcPr>
            <w:tcW w:w="992" w:type="dxa"/>
            <w:shd w:val="clear" w:color="auto" w:fill="auto"/>
            <w:vAlign w:val="center"/>
          </w:tcPr>
          <w:p w:rsidR="003563AD" w:rsidRDefault="00251882">
            <w:pPr>
              <w:spacing w:after="0"/>
              <w:jc w:val="center"/>
              <w:rPr>
                <w:b/>
                <w:noProof/>
                <w:sz w:val="20"/>
              </w:rPr>
            </w:pPr>
            <w:r>
              <w:rPr>
                <w:b/>
                <w:noProof/>
                <w:sz w:val="20"/>
              </w:rPr>
              <w:t>2019</w:t>
            </w:r>
          </w:p>
        </w:tc>
        <w:tc>
          <w:tcPr>
            <w:tcW w:w="1100" w:type="dxa"/>
            <w:shd w:val="clear" w:color="auto" w:fill="auto"/>
            <w:vAlign w:val="center"/>
          </w:tcPr>
          <w:p w:rsidR="003563AD" w:rsidRDefault="00251882">
            <w:pPr>
              <w:spacing w:after="0"/>
              <w:jc w:val="center"/>
              <w:rPr>
                <w:b/>
                <w:noProof/>
                <w:sz w:val="20"/>
              </w:rPr>
            </w:pPr>
            <w:r>
              <w:rPr>
                <w:b/>
                <w:noProof/>
                <w:sz w:val="20"/>
              </w:rPr>
              <w:t>Kokku</w:t>
            </w:r>
          </w:p>
        </w:tc>
      </w:tr>
      <w:tr w:rsidR="003563AD">
        <w:tc>
          <w:tcPr>
            <w:tcW w:w="2659" w:type="dxa"/>
            <w:shd w:val="clear" w:color="auto" w:fill="auto"/>
          </w:tcPr>
          <w:p w:rsidR="003563AD" w:rsidRDefault="00251882">
            <w:pPr>
              <w:spacing w:after="0"/>
              <w:rPr>
                <w:noProof/>
                <w:sz w:val="20"/>
              </w:rPr>
            </w:pPr>
            <w:r>
              <w:rPr>
                <w:noProof/>
                <w:sz w:val="20"/>
              </w:rPr>
              <w:t>Personalikulud</w:t>
            </w:r>
          </w:p>
        </w:tc>
        <w:tc>
          <w:tcPr>
            <w:tcW w:w="2268" w:type="dxa"/>
            <w:shd w:val="clear" w:color="auto" w:fill="auto"/>
          </w:tcPr>
          <w:p w:rsidR="003563AD" w:rsidRDefault="003563AD">
            <w:pPr>
              <w:spacing w:after="0"/>
              <w:rPr>
                <w:noProof/>
                <w:sz w:val="20"/>
              </w:rPr>
            </w:pPr>
          </w:p>
        </w:tc>
        <w:tc>
          <w:tcPr>
            <w:tcW w:w="1276" w:type="dxa"/>
            <w:shd w:val="clear" w:color="auto" w:fill="auto"/>
          </w:tcPr>
          <w:p w:rsidR="003563AD" w:rsidRDefault="003563AD">
            <w:pPr>
              <w:spacing w:after="0"/>
              <w:rPr>
                <w:noProof/>
                <w:sz w:val="20"/>
              </w:rPr>
            </w:pPr>
          </w:p>
        </w:tc>
        <w:tc>
          <w:tcPr>
            <w:tcW w:w="992" w:type="dxa"/>
            <w:shd w:val="clear" w:color="auto" w:fill="auto"/>
          </w:tcPr>
          <w:p w:rsidR="003563AD" w:rsidRDefault="003563AD">
            <w:pPr>
              <w:spacing w:after="0"/>
              <w:rPr>
                <w:noProof/>
                <w:sz w:val="20"/>
              </w:rPr>
            </w:pPr>
          </w:p>
        </w:tc>
        <w:tc>
          <w:tcPr>
            <w:tcW w:w="992" w:type="dxa"/>
            <w:shd w:val="clear" w:color="auto" w:fill="auto"/>
          </w:tcPr>
          <w:p w:rsidR="003563AD" w:rsidRDefault="003563AD">
            <w:pPr>
              <w:spacing w:after="0"/>
              <w:rPr>
                <w:noProof/>
                <w:sz w:val="20"/>
              </w:rPr>
            </w:pPr>
          </w:p>
        </w:tc>
        <w:tc>
          <w:tcPr>
            <w:tcW w:w="1100" w:type="dxa"/>
            <w:shd w:val="clear" w:color="auto" w:fill="auto"/>
          </w:tcPr>
          <w:p w:rsidR="003563AD" w:rsidRDefault="003563AD">
            <w:pPr>
              <w:spacing w:after="0"/>
              <w:rPr>
                <w:noProof/>
                <w:sz w:val="20"/>
              </w:rPr>
            </w:pPr>
          </w:p>
        </w:tc>
      </w:tr>
      <w:tr w:rsidR="003563AD">
        <w:tc>
          <w:tcPr>
            <w:tcW w:w="2659" w:type="dxa"/>
            <w:shd w:val="clear" w:color="auto" w:fill="auto"/>
          </w:tcPr>
          <w:p w:rsidR="003563AD" w:rsidRDefault="00251882">
            <w:pPr>
              <w:spacing w:after="0"/>
              <w:rPr>
                <w:noProof/>
                <w:sz w:val="20"/>
              </w:rPr>
            </w:pPr>
            <w:r>
              <w:rPr>
                <w:noProof/>
                <w:sz w:val="20"/>
              </w:rPr>
              <w:t>Palgad ja hüvitised</w:t>
            </w:r>
          </w:p>
        </w:tc>
        <w:tc>
          <w:tcPr>
            <w:tcW w:w="2268" w:type="dxa"/>
            <w:shd w:val="clear" w:color="auto" w:fill="auto"/>
          </w:tcPr>
          <w:p w:rsidR="003563AD" w:rsidRDefault="00251882">
            <w:pPr>
              <w:spacing w:after="0"/>
              <w:rPr>
                <w:noProof/>
                <w:sz w:val="20"/>
              </w:rPr>
            </w:pPr>
            <w:r>
              <w:rPr>
                <w:noProof/>
                <w:sz w:val="20"/>
              </w:rPr>
              <w:t>= 2 x 132 x 0,972</w:t>
            </w:r>
          </w:p>
        </w:tc>
        <w:tc>
          <w:tcPr>
            <w:tcW w:w="1276" w:type="dxa"/>
            <w:shd w:val="clear" w:color="auto" w:fill="auto"/>
          </w:tcPr>
          <w:p w:rsidR="003563AD" w:rsidRDefault="00251882">
            <w:pPr>
              <w:spacing w:after="0"/>
              <w:rPr>
                <w:noProof/>
                <w:sz w:val="20"/>
              </w:rPr>
            </w:pPr>
            <w:r>
              <w:rPr>
                <w:noProof/>
                <w:sz w:val="20"/>
              </w:rPr>
              <w:t>257</w:t>
            </w:r>
          </w:p>
        </w:tc>
        <w:tc>
          <w:tcPr>
            <w:tcW w:w="992" w:type="dxa"/>
            <w:shd w:val="clear" w:color="auto" w:fill="auto"/>
          </w:tcPr>
          <w:p w:rsidR="003563AD" w:rsidRDefault="00251882">
            <w:pPr>
              <w:spacing w:after="0"/>
              <w:rPr>
                <w:noProof/>
                <w:sz w:val="20"/>
              </w:rPr>
            </w:pPr>
            <w:r>
              <w:rPr>
                <w:noProof/>
                <w:sz w:val="20"/>
              </w:rPr>
              <w:t>257</w:t>
            </w:r>
          </w:p>
        </w:tc>
        <w:tc>
          <w:tcPr>
            <w:tcW w:w="992" w:type="dxa"/>
            <w:shd w:val="clear" w:color="auto" w:fill="auto"/>
          </w:tcPr>
          <w:p w:rsidR="003563AD" w:rsidRDefault="00251882">
            <w:pPr>
              <w:spacing w:after="0"/>
              <w:rPr>
                <w:noProof/>
                <w:sz w:val="20"/>
              </w:rPr>
            </w:pPr>
            <w:r>
              <w:rPr>
                <w:noProof/>
                <w:sz w:val="20"/>
              </w:rPr>
              <w:t>257</w:t>
            </w:r>
          </w:p>
        </w:tc>
        <w:tc>
          <w:tcPr>
            <w:tcW w:w="1100" w:type="dxa"/>
            <w:shd w:val="clear" w:color="auto" w:fill="auto"/>
          </w:tcPr>
          <w:p w:rsidR="003563AD" w:rsidRDefault="00251882">
            <w:pPr>
              <w:spacing w:after="0"/>
              <w:rPr>
                <w:noProof/>
                <w:sz w:val="20"/>
              </w:rPr>
            </w:pPr>
            <w:r>
              <w:rPr>
                <w:noProof/>
                <w:sz w:val="20"/>
              </w:rPr>
              <w:t>771</w:t>
            </w:r>
          </w:p>
        </w:tc>
      </w:tr>
      <w:tr w:rsidR="003563AD">
        <w:tc>
          <w:tcPr>
            <w:tcW w:w="2659" w:type="dxa"/>
            <w:shd w:val="clear" w:color="auto" w:fill="auto"/>
          </w:tcPr>
          <w:p w:rsidR="003563AD" w:rsidRDefault="00251882">
            <w:pPr>
              <w:spacing w:after="0"/>
              <w:rPr>
                <w:noProof/>
                <w:sz w:val="20"/>
              </w:rPr>
            </w:pPr>
            <w:r>
              <w:rPr>
                <w:noProof/>
                <w:sz w:val="20"/>
              </w:rPr>
              <w:t>Värbamiskulud</w:t>
            </w:r>
          </w:p>
        </w:tc>
        <w:tc>
          <w:tcPr>
            <w:tcW w:w="2268" w:type="dxa"/>
            <w:shd w:val="clear" w:color="auto" w:fill="auto"/>
          </w:tcPr>
          <w:p w:rsidR="003563AD" w:rsidRDefault="00251882">
            <w:pPr>
              <w:spacing w:after="0"/>
              <w:rPr>
                <w:noProof/>
                <w:sz w:val="20"/>
              </w:rPr>
            </w:pPr>
            <w:r>
              <w:rPr>
                <w:noProof/>
                <w:sz w:val="20"/>
              </w:rPr>
              <w:t>= 1 x 13</w:t>
            </w:r>
          </w:p>
        </w:tc>
        <w:tc>
          <w:tcPr>
            <w:tcW w:w="1276" w:type="dxa"/>
            <w:shd w:val="clear" w:color="auto" w:fill="auto"/>
          </w:tcPr>
          <w:p w:rsidR="003563AD" w:rsidRDefault="00251882">
            <w:pPr>
              <w:spacing w:after="0"/>
              <w:rPr>
                <w:noProof/>
                <w:sz w:val="20"/>
              </w:rPr>
            </w:pPr>
            <w:r>
              <w:rPr>
                <w:noProof/>
                <w:sz w:val="20"/>
              </w:rPr>
              <w:t>39</w:t>
            </w:r>
          </w:p>
        </w:tc>
        <w:tc>
          <w:tcPr>
            <w:tcW w:w="992" w:type="dxa"/>
            <w:shd w:val="clear" w:color="auto" w:fill="auto"/>
          </w:tcPr>
          <w:p w:rsidR="003563AD" w:rsidRDefault="003563AD">
            <w:pPr>
              <w:spacing w:after="0"/>
              <w:rPr>
                <w:noProof/>
                <w:sz w:val="20"/>
              </w:rPr>
            </w:pPr>
          </w:p>
        </w:tc>
        <w:tc>
          <w:tcPr>
            <w:tcW w:w="992" w:type="dxa"/>
            <w:shd w:val="clear" w:color="auto" w:fill="auto"/>
          </w:tcPr>
          <w:p w:rsidR="003563AD" w:rsidRDefault="003563AD">
            <w:pPr>
              <w:spacing w:after="0"/>
              <w:rPr>
                <w:noProof/>
                <w:sz w:val="20"/>
              </w:rPr>
            </w:pPr>
          </w:p>
        </w:tc>
        <w:tc>
          <w:tcPr>
            <w:tcW w:w="1100" w:type="dxa"/>
            <w:shd w:val="clear" w:color="auto" w:fill="auto"/>
          </w:tcPr>
          <w:p w:rsidR="003563AD" w:rsidRDefault="00251882">
            <w:pPr>
              <w:spacing w:after="0"/>
              <w:rPr>
                <w:noProof/>
                <w:sz w:val="20"/>
              </w:rPr>
            </w:pPr>
            <w:r>
              <w:rPr>
                <w:noProof/>
                <w:sz w:val="20"/>
              </w:rPr>
              <w:t>39</w:t>
            </w:r>
          </w:p>
        </w:tc>
      </w:tr>
      <w:tr w:rsidR="003563AD">
        <w:tc>
          <w:tcPr>
            <w:tcW w:w="2659" w:type="dxa"/>
            <w:shd w:val="clear" w:color="auto" w:fill="auto"/>
          </w:tcPr>
          <w:p w:rsidR="003563AD" w:rsidRDefault="00251882">
            <w:pPr>
              <w:spacing w:after="0"/>
              <w:rPr>
                <w:noProof/>
                <w:sz w:val="20"/>
              </w:rPr>
            </w:pPr>
            <w:r>
              <w:rPr>
                <w:noProof/>
                <w:sz w:val="20"/>
              </w:rPr>
              <w:t>Lähetuskulud</w:t>
            </w:r>
          </w:p>
        </w:tc>
        <w:tc>
          <w:tcPr>
            <w:tcW w:w="2268" w:type="dxa"/>
            <w:shd w:val="clear" w:color="auto" w:fill="auto"/>
          </w:tcPr>
          <w:p w:rsidR="003563AD" w:rsidRDefault="00251882">
            <w:pPr>
              <w:spacing w:after="0"/>
              <w:rPr>
                <w:noProof/>
                <w:sz w:val="20"/>
              </w:rPr>
            </w:pPr>
            <w:r>
              <w:rPr>
                <w:noProof/>
                <w:sz w:val="20"/>
              </w:rPr>
              <w:t>= 1 x 10</w:t>
            </w:r>
          </w:p>
        </w:tc>
        <w:tc>
          <w:tcPr>
            <w:tcW w:w="1276" w:type="dxa"/>
            <w:shd w:val="clear" w:color="auto" w:fill="auto"/>
          </w:tcPr>
          <w:p w:rsidR="003563AD" w:rsidRDefault="00251882">
            <w:pPr>
              <w:spacing w:after="0"/>
              <w:rPr>
                <w:noProof/>
                <w:sz w:val="20"/>
              </w:rPr>
            </w:pPr>
            <w:r>
              <w:rPr>
                <w:noProof/>
                <w:sz w:val="20"/>
              </w:rPr>
              <w:t>30</w:t>
            </w:r>
          </w:p>
        </w:tc>
        <w:tc>
          <w:tcPr>
            <w:tcW w:w="992" w:type="dxa"/>
            <w:shd w:val="clear" w:color="auto" w:fill="auto"/>
          </w:tcPr>
          <w:p w:rsidR="003563AD" w:rsidRDefault="00251882">
            <w:pPr>
              <w:spacing w:after="0"/>
              <w:rPr>
                <w:noProof/>
                <w:sz w:val="20"/>
              </w:rPr>
            </w:pPr>
            <w:r>
              <w:rPr>
                <w:noProof/>
                <w:sz w:val="20"/>
              </w:rPr>
              <w:t>30</w:t>
            </w:r>
          </w:p>
        </w:tc>
        <w:tc>
          <w:tcPr>
            <w:tcW w:w="992" w:type="dxa"/>
            <w:shd w:val="clear" w:color="auto" w:fill="auto"/>
          </w:tcPr>
          <w:p w:rsidR="003563AD" w:rsidRDefault="00251882">
            <w:pPr>
              <w:spacing w:after="0"/>
              <w:rPr>
                <w:noProof/>
                <w:sz w:val="20"/>
              </w:rPr>
            </w:pPr>
            <w:r>
              <w:rPr>
                <w:noProof/>
                <w:sz w:val="20"/>
              </w:rPr>
              <w:t>30</w:t>
            </w:r>
          </w:p>
        </w:tc>
        <w:tc>
          <w:tcPr>
            <w:tcW w:w="1100" w:type="dxa"/>
            <w:shd w:val="clear" w:color="auto" w:fill="auto"/>
          </w:tcPr>
          <w:p w:rsidR="003563AD" w:rsidRDefault="00251882">
            <w:pPr>
              <w:spacing w:after="0"/>
              <w:rPr>
                <w:noProof/>
                <w:sz w:val="20"/>
              </w:rPr>
            </w:pPr>
            <w:r>
              <w:rPr>
                <w:noProof/>
                <w:sz w:val="20"/>
              </w:rPr>
              <w:t>90</w:t>
            </w:r>
          </w:p>
        </w:tc>
      </w:tr>
      <w:tr w:rsidR="003563AD">
        <w:tc>
          <w:tcPr>
            <w:tcW w:w="2659" w:type="dxa"/>
            <w:shd w:val="clear" w:color="auto" w:fill="auto"/>
          </w:tcPr>
          <w:p w:rsidR="003563AD" w:rsidRDefault="00251882">
            <w:pPr>
              <w:spacing w:after="0"/>
              <w:rPr>
                <w:noProof/>
                <w:sz w:val="20"/>
              </w:rPr>
            </w:pPr>
            <w:r>
              <w:rPr>
                <w:noProof/>
                <w:sz w:val="20"/>
              </w:rPr>
              <w:t>Kokku</w:t>
            </w:r>
          </w:p>
        </w:tc>
        <w:tc>
          <w:tcPr>
            <w:tcW w:w="2268" w:type="dxa"/>
            <w:shd w:val="clear" w:color="auto" w:fill="auto"/>
          </w:tcPr>
          <w:p w:rsidR="003563AD" w:rsidRDefault="003563AD">
            <w:pPr>
              <w:spacing w:after="0"/>
              <w:rPr>
                <w:noProof/>
                <w:sz w:val="20"/>
              </w:rPr>
            </w:pPr>
          </w:p>
        </w:tc>
        <w:tc>
          <w:tcPr>
            <w:tcW w:w="1276" w:type="dxa"/>
            <w:shd w:val="clear" w:color="auto" w:fill="auto"/>
          </w:tcPr>
          <w:p w:rsidR="003563AD" w:rsidRDefault="00251882">
            <w:pPr>
              <w:spacing w:after="0"/>
              <w:rPr>
                <w:noProof/>
                <w:sz w:val="20"/>
              </w:rPr>
            </w:pPr>
            <w:r>
              <w:rPr>
                <w:noProof/>
                <w:sz w:val="20"/>
              </w:rPr>
              <w:t>326</w:t>
            </w:r>
          </w:p>
        </w:tc>
        <w:tc>
          <w:tcPr>
            <w:tcW w:w="992" w:type="dxa"/>
            <w:shd w:val="clear" w:color="auto" w:fill="auto"/>
          </w:tcPr>
          <w:p w:rsidR="003563AD" w:rsidRDefault="00251882">
            <w:pPr>
              <w:spacing w:after="0"/>
              <w:rPr>
                <w:noProof/>
                <w:sz w:val="20"/>
              </w:rPr>
            </w:pPr>
            <w:r>
              <w:rPr>
                <w:noProof/>
                <w:sz w:val="20"/>
              </w:rPr>
              <w:t>287</w:t>
            </w:r>
          </w:p>
        </w:tc>
        <w:tc>
          <w:tcPr>
            <w:tcW w:w="992" w:type="dxa"/>
            <w:shd w:val="clear" w:color="auto" w:fill="auto"/>
          </w:tcPr>
          <w:p w:rsidR="003563AD" w:rsidRDefault="00251882">
            <w:pPr>
              <w:spacing w:after="0"/>
              <w:rPr>
                <w:noProof/>
                <w:sz w:val="20"/>
              </w:rPr>
            </w:pPr>
            <w:r>
              <w:rPr>
                <w:noProof/>
                <w:sz w:val="20"/>
              </w:rPr>
              <w:t>287</w:t>
            </w:r>
          </w:p>
        </w:tc>
        <w:tc>
          <w:tcPr>
            <w:tcW w:w="1100" w:type="dxa"/>
            <w:shd w:val="clear" w:color="auto" w:fill="auto"/>
          </w:tcPr>
          <w:p w:rsidR="003563AD" w:rsidRDefault="00251882">
            <w:pPr>
              <w:spacing w:after="0"/>
              <w:rPr>
                <w:noProof/>
                <w:sz w:val="20"/>
              </w:rPr>
            </w:pPr>
            <w:r>
              <w:rPr>
                <w:noProof/>
                <w:sz w:val="20"/>
              </w:rPr>
              <w:t>900</w:t>
            </w:r>
          </w:p>
        </w:tc>
      </w:tr>
    </w:tbl>
    <w:p w:rsidR="003563AD" w:rsidRDefault="003563AD">
      <w:pPr>
        <w:rPr>
          <w:b/>
          <w:noProof/>
        </w:rPr>
      </w:pPr>
    </w:p>
    <w:p w:rsidR="003563AD" w:rsidRDefault="003563AD">
      <w:pPr>
        <w:rPr>
          <w:noProof/>
        </w:rPr>
      </w:pPr>
    </w:p>
    <w:p w:rsidR="003563AD" w:rsidRDefault="003563AD">
      <w:pPr>
        <w:jc w:val="center"/>
        <w:rPr>
          <w:noProof/>
        </w:rPr>
      </w:pPr>
    </w:p>
    <w:p w:rsidR="003563AD" w:rsidRDefault="003563AD">
      <w:pPr>
        <w:pStyle w:val="PartTitle"/>
        <w:rPr>
          <w:noProof/>
        </w:rPr>
      </w:pPr>
    </w:p>
    <w:sectPr w:rsidR="003563AD">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3AD" w:rsidRDefault="00251882">
      <w:pPr>
        <w:spacing w:before="0" w:after="0"/>
      </w:pPr>
      <w:r>
        <w:separator/>
      </w:r>
    </w:p>
  </w:endnote>
  <w:endnote w:type="continuationSeparator" w:id="0">
    <w:p w:rsidR="003563AD" w:rsidRDefault="0025188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Linotype">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3AD" w:rsidRDefault="00251882">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proofErr w:type="spellStart"/>
    <w:r>
      <w:rPr>
        <w:rFonts w:ascii="Arial" w:hAnsi="Arial" w:cs="Arial"/>
        <w:b/>
        <w:sz w:val="48"/>
      </w:rPr>
      <w:t>ET</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3AD" w:rsidRDefault="00251882">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3AD" w:rsidRDefault="003563A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3AD" w:rsidRDefault="00251882">
    <w:pPr>
      <w:pStyle w:val="FooterLandscape"/>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68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3AD" w:rsidRDefault="003563AD">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3AD" w:rsidRDefault="00251882">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77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3AD" w:rsidRDefault="003563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3AD" w:rsidRDefault="00251882">
      <w:pPr>
        <w:spacing w:before="0" w:after="0"/>
      </w:pPr>
      <w:r>
        <w:separator/>
      </w:r>
    </w:p>
  </w:footnote>
  <w:footnote w:type="continuationSeparator" w:id="0">
    <w:p w:rsidR="003563AD" w:rsidRDefault="00251882">
      <w:pPr>
        <w:spacing w:before="0" w:after="0"/>
      </w:pPr>
      <w:r>
        <w:continuationSeparator/>
      </w:r>
    </w:p>
  </w:footnote>
  <w:footnote w:id="1">
    <w:p w:rsidR="003563AD" w:rsidRDefault="00251882">
      <w:pPr>
        <w:pStyle w:val="FootnoteText"/>
      </w:pPr>
      <w:r>
        <w:rPr>
          <w:rStyle w:val="FootnoteReference"/>
        </w:rPr>
        <w:footnoteRef/>
      </w:r>
      <w:r>
        <w:tab/>
        <w:t xml:space="preserve">Vt president </w:t>
      </w:r>
      <w:proofErr w:type="spellStart"/>
      <w:r>
        <w:t>Junckeri</w:t>
      </w:r>
      <w:proofErr w:type="spellEnd"/>
      <w:r>
        <w:t xml:space="preserve"> poliitilised suunised aadressil http://ec.europa.eu/priorities/docs/pg_en.pdf</w:t>
      </w:r>
    </w:p>
  </w:footnote>
  <w:footnote w:id="2">
    <w:p w:rsidR="003563AD" w:rsidRDefault="00251882">
      <w:pPr>
        <w:pStyle w:val="FootnoteText1"/>
      </w:pPr>
      <w:r>
        <w:rPr>
          <w:rStyle w:val="FootnoteReference"/>
        </w:rPr>
        <w:footnoteRef/>
      </w:r>
      <w:r>
        <w:tab/>
        <w:t xml:space="preserve">COM(2014) 910 </w:t>
      </w:r>
      <w:proofErr w:type="spellStart"/>
      <w:r>
        <w:t>final</w:t>
      </w:r>
      <w:proofErr w:type="spellEnd"/>
      <w:r>
        <w:t>.</w:t>
      </w:r>
    </w:p>
  </w:footnote>
  <w:footnote w:id="3">
    <w:p w:rsidR="003563AD" w:rsidRDefault="00251882">
      <w:pPr>
        <w:pStyle w:val="FootnoteText1"/>
        <w:rPr>
          <w:b/>
        </w:rPr>
      </w:pPr>
      <w:r>
        <w:rPr>
          <w:rStyle w:val="FootnoteReference"/>
        </w:rPr>
        <w:footnoteRef/>
      </w:r>
      <w:r>
        <w:tab/>
      </w:r>
      <w:r>
        <w:rPr>
          <w:rStyle w:val="Strong"/>
          <w:b w:val="0"/>
        </w:rPr>
        <w:t xml:space="preserve">COM/2014/0903 </w:t>
      </w:r>
      <w:proofErr w:type="spellStart"/>
      <w:r>
        <w:rPr>
          <w:rStyle w:val="Strong"/>
          <w:b w:val="0"/>
        </w:rPr>
        <w:t>final</w:t>
      </w:r>
      <w:proofErr w:type="spellEnd"/>
      <w:r>
        <w:rPr>
          <w:rStyle w:val="Strong"/>
          <w:b w:val="0"/>
        </w:rPr>
        <w:t>.</w:t>
      </w:r>
    </w:p>
  </w:footnote>
  <w:footnote w:id="4">
    <w:p w:rsidR="003563AD" w:rsidRDefault="00251882">
      <w:pPr>
        <w:pStyle w:val="FootnoteText1"/>
      </w:pPr>
      <w:r>
        <w:rPr>
          <w:rStyle w:val="FootnoteReference"/>
        </w:rPr>
        <w:footnoteRef/>
      </w:r>
      <w:r>
        <w:tab/>
        <w:t xml:space="preserve">Alates 2011. aastast peavad kõik investoritena tegutsevad ELi krediidiasutused ja investeerimisühingud kontrollima, et </w:t>
      </w:r>
      <w:proofErr w:type="spellStart"/>
      <w:r>
        <w:t>väärtpaberistamise</w:t>
      </w:r>
      <w:proofErr w:type="spellEnd"/>
      <w:r>
        <w:t xml:space="preserve"> tehingut algatavad pangad või sponsorid säilitaksid tehingus majandusliku huvi </w:t>
      </w:r>
      <w:r>
        <w:t xml:space="preserve">vähemalt 5 % ulatuses </w:t>
      </w:r>
      <w:proofErr w:type="spellStart"/>
      <w:r>
        <w:t>väärtpaberistatud</w:t>
      </w:r>
      <w:proofErr w:type="spellEnd"/>
      <w:r>
        <w:t xml:space="preserve"> varadest. Seda lähenemisviisi laiendati hiljem kindlustussektorile ja osale varade valitsemise sektorist.</w:t>
      </w:r>
    </w:p>
  </w:footnote>
  <w:footnote w:id="5">
    <w:p w:rsidR="003563AD" w:rsidRDefault="00251882">
      <w:pPr>
        <w:pStyle w:val="FootnoteText1"/>
        <w:rPr>
          <w:strike/>
        </w:rPr>
      </w:pPr>
      <w:r>
        <w:rPr>
          <w:rStyle w:val="FootnoteReference"/>
        </w:rPr>
        <w:footnoteRef/>
      </w:r>
      <w:r>
        <w:tab/>
      </w:r>
      <w:r>
        <w:rPr>
          <w:rStyle w:val="Strong"/>
          <w:b w:val="0"/>
        </w:rPr>
        <w:t>Euroopa Parlamendi ja nõukogu määrus (EL) nr 575/2013, 26. juuni 2013, krediidiasutuste ja investeerimisühin</w:t>
      </w:r>
      <w:r>
        <w:rPr>
          <w:rStyle w:val="Strong"/>
          <w:b w:val="0"/>
        </w:rPr>
        <w:t>gute suhtes kohaldatavate usaldatavusnõuete kohta ja määruse (EL) nr 648/2012 muutmise kohta (ELT</w:t>
      </w:r>
      <w:r>
        <w:t xml:space="preserve"> L 176, 27.6.2013, lk 1).</w:t>
      </w:r>
    </w:p>
  </w:footnote>
  <w:footnote w:id="6">
    <w:p w:rsidR="003563AD" w:rsidRDefault="00251882">
      <w:pPr>
        <w:pStyle w:val="FootnoteText1"/>
      </w:pPr>
      <w:r>
        <w:rPr>
          <w:rStyle w:val="FootnoteReference"/>
        </w:rPr>
        <w:footnoteRef/>
      </w:r>
      <w:r>
        <w:tab/>
        <w:t>Euroopa Parlamendi ja nõukogu direktiiv 2009/138/EÜ, 25. november 2009, kindlustus- ja edasikindlustustegevuse alustamise ja jätkam</w:t>
      </w:r>
      <w:r>
        <w:t>ise kohta (</w:t>
      </w:r>
      <w:proofErr w:type="spellStart"/>
      <w:r>
        <w:t>Solventsus</w:t>
      </w:r>
      <w:proofErr w:type="spellEnd"/>
      <w:r>
        <w:t xml:space="preserve"> II) (ELT L 335, 17.12.2009, lk 1).</w:t>
      </w:r>
    </w:p>
  </w:footnote>
  <w:footnote w:id="7">
    <w:p w:rsidR="003563AD" w:rsidRDefault="00251882">
      <w:pPr>
        <w:pStyle w:val="FootnoteText1"/>
      </w:pPr>
      <w:r>
        <w:rPr>
          <w:rStyle w:val="FootnoteReference"/>
        </w:rPr>
        <w:footnoteRef/>
      </w:r>
      <w:r>
        <w:tab/>
        <w:t xml:space="preserve">Euroopa Parlamendi ja nõukogu direktiiv 2009/65/EÜ, 13. juuli 2009, vabalt võõrandatavatesse väärtpaberitesse ühiseks investeeringuks loodud ettevõtjaid (eurofondid) käsitlevate õigus- ja </w:t>
      </w:r>
      <w:r>
        <w:t>haldusnormide kooskõlastamise kohta (ELT L 302, 17.11.2009, lk 32).</w:t>
      </w:r>
    </w:p>
  </w:footnote>
  <w:footnote w:id="8">
    <w:p w:rsidR="003563AD" w:rsidRDefault="00251882">
      <w:pPr>
        <w:pStyle w:val="FootnoteText1"/>
      </w:pPr>
      <w:r>
        <w:rPr>
          <w:rStyle w:val="FootnoteReference"/>
        </w:rPr>
        <w:footnoteRef/>
      </w:r>
      <w:r>
        <w:tab/>
        <w:t>Euroopa Parlamendi ja nõukogu direktiiv 2011/61/EL, 8. juuni 2011, alternatiivsete investeerimisfondide valitsejate kohta, millega muudetakse direktiive 2003/41/EÜ ja 2009/65/EÜ ning mää</w:t>
      </w:r>
      <w:r>
        <w:t>ruseid (EÜ) nr 1060/2009 ja (EL) nr 1095/2010 (ELT L 174, 1.7.2011, lk 1).</w:t>
      </w:r>
    </w:p>
  </w:footnote>
  <w:footnote w:id="9">
    <w:p w:rsidR="003563AD" w:rsidRDefault="00251882">
      <w:pPr>
        <w:pStyle w:val="FootnoteText1"/>
      </w:pPr>
      <w:r>
        <w:rPr>
          <w:rStyle w:val="FootnoteReference"/>
        </w:rPr>
        <w:footnoteRef/>
      </w:r>
      <w:r>
        <w:tab/>
        <w:t>Euroopa Parlamendi ja nõukogu määrus (EÜ) nr 1060/2009, 16. september 2009, reitinguagentuuride kohta (ELT L 302, 17.11.2009, lk 1).</w:t>
      </w:r>
    </w:p>
  </w:footnote>
  <w:footnote w:id="10">
    <w:p w:rsidR="003563AD" w:rsidRDefault="00251882">
      <w:pPr>
        <w:pStyle w:val="FootnoteText1"/>
      </w:pPr>
      <w:r>
        <w:rPr>
          <w:rStyle w:val="FootnoteReference"/>
        </w:rPr>
        <w:footnoteRef/>
      </w:r>
      <w:r>
        <w:tab/>
        <w:t xml:space="preserve">Euroopa Parlamendi ja nõukogu direktiiv </w:t>
      </w:r>
      <w:hyperlink r:id="rId1">
        <w:r>
          <w:t>2003/71/EÜ</w:t>
        </w:r>
      </w:hyperlink>
      <w:r>
        <w:t>, 4. november 2003, väärtpaberite üldsusele pakkumisel või kauplemisele lubamisel avaldatava prospekti ja direktiivi 2001/34/EÜ muutmise kohta (ELT L 345, 31.12.2</w:t>
      </w:r>
      <w:r>
        <w:t>003, lk 64-89).</w:t>
      </w:r>
      <w:hyperlink r:id="rId2"/>
    </w:p>
  </w:footnote>
  <w:footnote w:id="11">
    <w:p w:rsidR="003563AD" w:rsidRDefault="00251882">
      <w:pPr>
        <w:pStyle w:val="FootnoteText1"/>
      </w:pPr>
      <w:r>
        <w:rPr>
          <w:rStyle w:val="FootnoteReference"/>
        </w:rPr>
        <w:footnoteRef/>
      </w:r>
      <w:r>
        <w:tab/>
        <w:t>Komisjoni delegeeritud määrus (EL) 2015/35, 10. oktoober 2014, millega täiendatakse Euroopa Parlamendi ja nõukogu direktiivi 2009/138/EÜ kindlustus- ja</w:t>
      </w:r>
      <w:r>
        <w:t xml:space="preserve"> edasikindlustustegevuse alustamise ja jätkamise kohta (</w:t>
      </w:r>
      <w:proofErr w:type="spellStart"/>
      <w:r>
        <w:t>Solventsus</w:t>
      </w:r>
      <w:proofErr w:type="spellEnd"/>
      <w:r>
        <w:t xml:space="preserve"> II) ((ELT L 12, 17.1.2015, lk 1).</w:t>
      </w:r>
    </w:p>
  </w:footnote>
  <w:footnote w:id="12">
    <w:p w:rsidR="003563AD" w:rsidRDefault="00251882">
      <w:pPr>
        <w:pStyle w:val="FootnoteText1"/>
      </w:pPr>
      <w:r>
        <w:rPr>
          <w:rStyle w:val="FootnoteReference"/>
        </w:rPr>
        <w:footnoteRef/>
      </w:r>
      <w:r>
        <w:tab/>
        <w:t>Komisjoni delegeeritud määrus, 10. oktoober 2014, millega täiendatakse määrust (EL) nr 575/2013 seoses krediidiasutuste suhtes kohaldatava likviidsuskatt</w:t>
      </w:r>
      <w:r>
        <w:t>e nõudega (ELT L 11, 17.1.2015, lk</w:t>
      </w:r>
      <w:r>
        <w:rPr>
          <w:i/>
        </w:rPr>
        <w:t xml:space="preserve"> 1).</w:t>
      </w:r>
    </w:p>
  </w:footnote>
  <w:footnote w:id="13">
    <w:p w:rsidR="003563AD" w:rsidRDefault="00251882">
      <w:pPr>
        <w:pStyle w:val="FootnoteText"/>
      </w:pPr>
      <w:r>
        <w:rPr>
          <w:rStyle w:val="FootnoteReference"/>
        </w:rPr>
        <w:footnoteRef/>
      </w:r>
      <w:r>
        <w:tab/>
        <w:t>Kättesaadavad aadressil: http://www.bis.org/bcbs/publ/d332.htm</w:t>
      </w:r>
    </w:p>
  </w:footnote>
  <w:footnote w:id="14">
    <w:p w:rsidR="003563AD" w:rsidRDefault="00251882">
      <w:pPr>
        <w:pStyle w:val="FootnoteText"/>
      </w:pPr>
      <w:r>
        <w:rPr>
          <w:rStyle w:val="FootnoteReference"/>
        </w:rPr>
        <w:footnoteRef/>
      </w:r>
      <w:r>
        <w:tab/>
      </w:r>
      <w:bookmarkStart w:id="0" w:name="_GoBack"/>
      <w:bookmarkEnd w:id="0"/>
      <w:r w:rsidRPr="00251882">
        <w:t>Vt [</w:t>
      </w:r>
      <w:r w:rsidRPr="00251882">
        <w:t xml:space="preserve">link </w:t>
      </w:r>
      <w:proofErr w:type="spellStart"/>
      <w:r w:rsidRPr="00251882">
        <w:t>to</w:t>
      </w:r>
      <w:proofErr w:type="spellEnd"/>
      <w:r w:rsidRPr="00251882">
        <w:t xml:space="preserve"> </w:t>
      </w:r>
      <w:proofErr w:type="spellStart"/>
      <w:r w:rsidRPr="00251882">
        <w:t>feedback</w:t>
      </w:r>
      <w:proofErr w:type="spellEnd"/>
      <w:r w:rsidRPr="00251882">
        <w:t xml:space="preserve"> </w:t>
      </w:r>
      <w:proofErr w:type="spellStart"/>
      <w:r w:rsidRPr="00251882">
        <w:t>statement</w:t>
      </w:r>
      <w:proofErr w:type="spellEnd"/>
      <w:r w:rsidRPr="00251882">
        <w:t xml:space="preserve"> </w:t>
      </w:r>
      <w:proofErr w:type="spellStart"/>
      <w:r w:rsidRPr="00251882">
        <w:t>to</w:t>
      </w:r>
      <w:proofErr w:type="spellEnd"/>
      <w:r w:rsidRPr="00251882">
        <w:t xml:space="preserve"> </w:t>
      </w:r>
      <w:proofErr w:type="spellStart"/>
      <w:r w:rsidRPr="00251882">
        <w:t>be</w:t>
      </w:r>
      <w:proofErr w:type="spellEnd"/>
      <w:r w:rsidRPr="00251882">
        <w:t xml:space="preserve"> </w:t>
      </w:r>
      <w:proofErr w:type="spellStart"/>
      <w:r w:rsidRPr="00251882">
        <w:t>inserted</w:t>
      </w:r>
      <w:proofErr w:type="spellEnd"/>
      <w:r w:rsidRPr="00251882">
        <w:t>]</w:t>
      </w:r>
      <w:r w:rsidRPr="00251882">
        <w:t>.</w:t>
      </w:r>
    </w:p>
  </w:footnote>
  <w:footnote w:id="15">
    <w:p w:rsidR="003563AD" w:rsidRDefault="00251882">
      <w:pPr>
        <w:pStyle w:val="FootnoteText"/>
      </w:pPr>
      <w:r>
        <w:rPr>
          <w:rStyle w:val="FootnoteReference"/>
        </w:rPr>
        <w:footnoteRef/>
      </w:r>
      <w:r>
        <w:tab/>
        <w:t>Vt joonealused märkused nr 16 ja 17.</w:t>
      </w:r>
    </w:p>
  </w:footnote>
  <w:footnote w:id="16">
    <w:p w:rsidR="003563AD" w:rsidRDefault="00251882">
      <w:pPr>
        <w:pStyle w:val="FootnoteText"/>
      </w:pPr>
      <w:r>
        <w:rPr>
          <w:rStyle w:val="FootnoteReference"/>
        </w:rPr>
        <w:footnoteRef/>
      </w:r>
      <w:r>
        <w:tab/>
        <w:t>Kättesaadav aadressil: www.eba.europa.eu/documents/10180/9833</w:t>
      </w:r>
      <w:r>
        <w:t>59/EBA-Op-2015-14+Opinion+on+qualifying+securitisation.pdf</w:t>
      </w:r>
    </w:p>
  </w:footnote>
  <w:footnote w:id="17">
    <w:p w:rsidR="003563AD" w:rsidRDefault="00251882">
      <w:pPr>
        <w:pStyle w:val="FootnoteText"/>
      </w:pPr>
      <w:r>
        <w:rPr>
          <w:rStyle w:val="FootnoteReference"/>
        </w:rPr>
        <w:footnoteRef/>
      </w:r>
      <w:r>
        <w:tab/>
        <w:t>Vaata: http://ec.europa.eu/finance/consultations/2015/securitisation/index_en.htm</w:t>
      </w:r>
    </w:p>
  </w:footnote>
  <w:footnote w:id="18">
    <w:p w:rsidR="003563AD" w:rsidRDefault="00251882">
      <w:pPr>
        <w:pStyle w:val="FootnoteText1"/>
      </w:pPr>
      <w:r>
        <w:rPr>
          <w:rStyle w:val="FootnoteReference"/>
        </w:rPr>
        <w:footnoteRef/>
      </w:r>
      <w:r>
        <w:tab/>
        <w:t>Komisjoni delegeeritud määrus (EL) nr 625/2014, 13. märts 2014, millega täiendatakse Euroopa Parlamendi ja nõuk</w:t>
      </w:r>
      <w:r>
        <w:t xml:space="preserve">ogu määrust (EL) nr 575/2013 seoses regulatiivsete tehniliste standarditega, millega täpsustatakse ülekantud krediidiriskist tulenevate riskipositsioonidega seoses investoritele, sponsoritele, algsetele laenuandjatele ja </w:t>
      </w:r>
      <w:proofErr w:type="spellStart"/>
      <w:r>
        <w:t>väärtpaberistamise</w:t>
      </w:r>
      <w:proofErr w:type="spellEnd"/>
      <w:r>
        <w:t xml:space="preserve"> tehingu algatanu</w:t>
      </w:r>
      <w:r>
        <w:t>d krediidiasutustele ja investeerimisühingutele esitatavaid nõudeid (</w:t>
      </w:r>
      <w:r>
        <w:rPr>
          <w:i/>
        </w:rPr>
        <w:t>ELT L 174, 13.6.2014, lk 16–25</w:t>
      </w:r>
      <w:r>
        <w:t>).</w:t>
      </w:r>
    </w:p>
  </w:footnote>
  <w:footnote w:id="19">
    <w:p w:rsidR="003563AD" w:rsidRDefault="00251882">
      <w:pPr>
        <w:pStyle w:val="FootnoteText1"/>
      </w:pPr>
      <w:r>
        <w:rPr>
          <w:rStyle w:val="FootnoteReference"/>
        </w:rPr>
        <w:footnoteRef/>
      </w:r>
      <w:r>
        <w:tab/>
        <w:t>Komisjoni delegeeritud määrus (EL) nr 231/2013, 19. detsember 2012, millega täiendatakse Euroopa Parlamendi ja nõukogu direktiivi 2011/61/EL seoses eran</w:t>
      </w:r>
      <w:r>
        <w:t>dite, üldiste tegutsemistingimuste, depositooriumide, finantsvõimenduse, läbipaistvuse ja järelevalvega (</w:t>
      </w:r>
      <w:r>
        <w:rPr>
          <w:i/>
        </w:rPr>
        <w:t>ELT L 83, 22.3.2013, lk 1–95</w:t>
      </w:r>
      <w:r>
        <w:t>).</w:t>
      </w:r>
    </w:p>
  </w:footnote>
  <w:footnote w:id="20">
    <w:p w:rsidR="003563AD" w:rsidRDefault="00251882">
      <w:pPr>
        <w:pStyle w:val="FootnoteText1"/>
      </w:pPr>
      <w:r>
        <w:rPr>
          <w:rStyle w:val="FootnoteReference"/>
        </w:rPr>
        <w:footnoteRef/>
      </w:r>
      <w:r>
        <w:tab/>
        <w:t>Komisjoni delegeeritud määrus (EL) 2015/3, 30. september 2014, millega täiendatakse Euroopa Parlamendi ja nõukogu määr</w:t>
      </w:r>
      <w:r>
        <w:t>ust (EÜ) nr 1060/2009 seoses regulatiivsete tehniliste standarditega, mis käsitlevad avalikustamisnõudeid struktureeritud finantsinstrumentide puhul (</w:t>
      </w:r>
      <w:r>
        <w:rPr>
          <w:i/>
        </w:rPr>
        <w:t>ELT L 2, 6.1.2015, lk 57–119</w:t>
      </w:r>
      <w:r>
        <w:t>).</w:t>
      </w:r>
    </w:p>
  </w:footnote>
  <w:footnote w:id="21">
    <w:p w:rsidR="003563AD" w:rsidRDefault="00251882">
      <w:pPr>
        <w:pStyle w:val="FootnoteText1"/>
      </w:pPr>
      <w:r>
        <w:rPr>
          <w:rStyle w:val="FootnoteReference"/>
        </w:rPr>
        <w:footnoteRef/>
      </w:r>
      <w:r>
        <w:tab/>
        <w:t>ELT C , , lk .</w:t>
      </w:r>
    </w:p>
  </w:footnote>
  <w:footnote w:id="22">
    <w:p w:rsidR="003563AD" w:rsidRDefault="00251882">
      <w:pPr>
        <w:pStyle w:val="FootnoteText"/>
      </w:pPr>
      <w:r>
        <w:rPr>
          <w:rStyle w:val="FootnoteReference"/>
        </w:rPr>
        <w:footnoteRef/>
      </w:r>
      <w:r>
        <w:tab/>
        <w:t>Komisjoni delegeeritud määrus, 10. oktoober 2014, milleg</w:t>
      </w:r>
      <w:r>
        <w:t>a täiendatakse määrust (EL) nr 575/2013 seoses krediidiasutuste suhtes kohaldatava likviidsuskatte nõudega (</w:t>
      </w:r>
      <w:r>
        <w:rPr>
          <w:i/>
        </w:rPr>
        <w:t>ELT L 11, 17.1.2015, lk 1</w:t>
      </w:r>
      <w:r>
        <w:t>).</w:t>
      </w:r>
    </w:p>
  </w:footnote>
  <w:footnote w:id="23">
    <w:p w:rsidR="003563AD" w:rsidRDefault="00251882">
      <w:pPr>
        <w:pStyle w:val="FootnoteText1"/>
      </w:pPr>
      <w:r>
        <w:rPr>
          <w:rStyle w:val="FootnoteReference"/>
        </w:rPr>
        <w:footnoteRef/>
      </w:r>
      <w:r>
        <w:tab/>
        <w:t>Komisjoni delegeeritud määrus (EL) 2015/35, 10. oktoober 2014, millega täiendatakse Euroopa Parlamendi ja nõukogu dire</w:t>
      </w:r>
      <w:r>
        <w:t>ktiivi 2009/138/EÜ kindlustus- ja edasikindlustustegevuse alustamise ja jätkamise kohta (</w:t>
      </w:r>
      <w:proofErr w:type="spellStart"/>
      <w:r>
        <w:t>Solventsus</w:t>
      </w:r>
      <w:proofErr w:type="spellEnd"/>
      <w:r>
        <w:t xml:space="preserve"> II) (</w:t>
      </w:r>
      <w:r>
        <w:rPr>
          <w:i/>
        </w:rPr>
        <w:t>ELT L 12, 17.1.2015, lk 1</w:t>
      </w:r>
      <w:r>
        <w:t>).</w:t>
      </w:r>
    </w:p>
    <w:p w:rsidR="003563AD" w:rsidRDefault="003563AD">
      <w:pPr>
        <w:pStyle w:val="FootnoteText"/>
      </w:pPr>
    </w:p>
  </w:footnote>
  <w:footnote w:id="24">
    <w:p w:rsidR="003563AD" w:rsidRDefault="00251882">
      <w:pPr>
        <w:pStyle w:val="FootnoteText1"/>
      </w:pPr>
      <w:r>
        <w:rPr>
          <w:rStyle w:val="FootnoteReference"/>
        </w:rPr>
        <w:footnoteRef/>
      </w:r>
      <w:r>
        <w:tab/>
        <w:t>Nõukogu määrus (EL) nr 1024/2013, 15. oktoober 2013, millega antakse Euroopa Keskpangale eriülesanded seoses krediidiasu</w:t>
      </w:r>
      <w:r>
        <w:t>tuste usaldatavusnõuete täitmise järelevalve poliitikaga (</w:t>
      </w:r>
      <w:r>
        <w:rPr>
          <w:i/>
        </w:rPr>
        <w:t>ELT L 287, 29.10.2013, lk 263</w:t>
      </w:r>
      <w:r>
        <w:t>).</w:t>
      </w:r>
    </w:p>
  </w:footnote>
  <w:footnote w:id="25">
    <w:p w:rsidR="003563AD" w:rsidRDefault="00251882">
      <w:pPr>
        <w:pStyle w:val="FootnoteText1"/>
      </w:pPr>
      <w:r>
        <w:rPr>
          <w:rStyle w:val="FootnoteReference"/>
        </w:rPr>
        <w:footnoteRef/>
      </w:r>
      <w:r>
        <w:tab/>
        <w:t>Euroopa Parlamendi ja nõukogu direktiiv 2003/41/EÜ, 3. juuni 2003, tööandjapensioni kogumisasutuste tegevuse ja järelevalve kohta (ELT L 235, 23.9.2003, lk 10).</w:t>
      </w:r>
    </w:p>
  </w:footnote>
  <w:footnote w:id="26">
    <w:p w:rsidR="003563AD" w:rsidRDefault="00251882">
      <w:pPr>
        <w:pStyle w:val="FootnoteText1"/>
      </w:pPr>
      <w:r>
        <w:rPr>
          <w:rStyle w:val="FootnoteReference"/>
        </w:rPr>
        <w:footnoteRef/>
      </w:r>
      <w:r>
        <w:tab/>
      </w:r>
      <w:r>
        <w:t>Euroopa Parlamendi ja nõukogu direktiiv 2011/61/EL, 8. juuni 2011, alternatiivsete investeerimisfondide valitsejate kohta, millega muudetakse direktiive 2003/41/EÜ ja 2009/65/EÜ ning määruseid (EÜ) nr 1060/2009 ja (EL) nr 1095/2010 (ELT L 174, 1.7.2011, lk</w:t>
      </w:r>
      <w:r>
        <w:t xml:space="preserve"> 1).</w:t>
      </w:r>
    </w:p>
  </w:footnote>
  <w:footnote w:id="27">
    <w:p w:rsidR="003563AD" w:rsidRDefault="00251882">
      <w:pPr>
        <w:pStyle w:val="FootnoteText1"/>
      </w:pPr>
      <w:r>
        <w:rPr>
          <w:rStyle w:val="FootnoteReference"/>
        </w:rPr>
        <w:footnoteRef/>
      </w:r>
      <w:r>
        <w:tab/>
        <w:t>Euroopa Parlamendi ja nõukogu direktiiv 2009/65/EÜ, 13. juuli 2009, vabalt võõrandatavatesse väärtpaberitesse ühiseks investeeringuks loodud ettevõtjaid (eurofondid) käsitlevate õigus- ja haldusnormide kooskõlastamise kohta (ELT L 302, 17.11.2009, l</w:t>
      </w:r>
      <w:r>
        <w:t>k 32).</w:t>
      </w:r>
    </w:p>
  </w:footnote>
  <w:footnote w:id="28">
    <w:p w:rsidR="003563AD" w:rsidRDefault="00251882">
      <w:pPr>
        <w:pStyle w:val="FootnoteText"/>
      </w:pPr>
      <w:r>
        <w:rPr>
          <w:rStyle w:val="FootnoteReference"/>
        </w:rPr>
        <w:footnoteRef/>
      </w:r>
      <w:r>
        <w:tab/>
        <w:t>Euroopa Parlamendi ja nõukogu direktiiv 2003/71/EÜ, 4. november 2003, väärtpaberite üldsusele pakkumisel või kauplemisele lubamisel avaldatava prospekti ja direktiivi 2001/34/EÜ muutmise kohta (ELT L 345, 31.12.2003, lk 64).</w:t>
      </w:r>
    </w:p>
  </w:footnote>
  <w:footnote w:id="29">
    <w:p w:rsidR="003563AD" w:rsidRDefault="00251882">
      <w:pPr>
        <w:pStyle w:val="FootnoteText1"/>
        <w:rPr>
          <w:rFonts w:cs="EUAlbertina"/>
        </w:rPr>
      </w:pPr>
      <w:r>
        <w:rPr>
          <w:rStyle w:val="FootnoteReference"/>
        </w:rPr>
        <w:footnoteRef/>
      </w:r>
      <w:r>
        <w:tab/>
        <w:t>Euroopa Parlamendi j</w:t>
      </w:r>
      <w:r>
        <w:t>a nõukogu määrus (EL) nr 596/2014, 16. aprill 2014, mis käsitleb turukuritarvitusi (turukuritarvituse määrus) ning millega tunnistatakse kehtetuks Euroopa Parlamendi ja nõukogu direktiiv 2003/6/EÜ ja komisjoni direktiivid 2003/124/EÜ, 2003/125/EÜ ja 2004/7</w:t>
      </w:r>
      <w:r>
        <w:t>2/EÜ (ELT L 173, 12.6.2014, lk 1).</w:t>
      </w:r>
    </w:p>
  </w:footnote>
  <w:footnote w:id="30">
    <w:p w:rsidR="003563AD" w:rsidRDefault="00251882">
      <w:pPr>
        <w:pStyle w:val="FootnoteText1"/>
        <w:rPr>
          <w:szCs w:val="24"/>
        </w:rPr>
      </w:pPr>
      <w:r>
        <w:rPr>
          <w:rStyle w:val="FootnoteReference"/>
        </w:rPr>
        <w:footnoteRef/>
      </w:r>
      <w:r>
        <w:tab/>
        <w:t>ABM: tegevuspõhine juhtimine; ABB: tegevuspõhine eelarvestamine.</w:t>
      </w:r>
    </w:p>
  </w:footnote>
  <w:footnote w:id="31">
    <w:p w:rsidR="003563AD" w:rsidRDefault="00251882">
      <w:pPr>
        <w:pStyle w:val="FootnoteText1"/>
        <w:rPr>
          <w:szCs w:val="24"/>
        </w:rPr>
      </w:pPr>
      <w:r>
        <w:rPr>
          <w:rStyle w:val="FootnoteReference"/>
        </w:rPr>
        <w:footnoteRef/>
      </w:r>
      <w:r>
        <w:tab/>
        <w:t>Vastavalt finantsmääruse artikli 54 lõike 2 punktile a või b.</w:t>
      </w:r>
    </w:p>
  </w:footnote>
  <w:footnote w:id="32">
    <w:p w:rsidR="003563AD" w:rsidRDefault="00251882">
      <w:pPr>
        <w:pStyle w:val="FootnoteText1"/>
        <w:rPr>
          <w:szCs w:val="24"/>
        </w:rPr>
      </w:pPr>
      <w:r>
        <w:rPr>
          <w:rStyle w:val="FootnoteReference"/>
        </w:rPr>
        <w:footnoteRef/>
      </w:r>
      <w:r>
        <w:tab/>
        <w:t xml:space="preserve">Eelarve täitmise viise selgitatakse koos viidetega finantsmäärusele veebisaidil </w:t>
      </w:r>
      <w:proofErr w:type="spellStart"/>
      <w:r>
        <w:t>BudgWeb</w:t>
      </w:r>
      <w:proofErr w:type="spellEnd"/>
      <w:r>
        <w:t>:</w:t>
      </w:r>
      <w:r>
        <w:t xml:space="preserve"> </w:t>
      </w:r>
      <w:hyperlink r:id="rId3">
        <w:r>
          <w:rPr>
            <w:rStyle w:val="Hyperlink"/>
            <w:sz w:val="18"/>
          </w:rPr>
          <w:t>http://www.cc.cec/budg/man/budgmanag/budgmanag_en.html</w:t>
        </w:r>
      </w:hyperlink>
    </w:p>
  </w:footnote>
  <w:footnote w:id="33">
    <w:p w:rsidR="003563AD" w:rsidRDefault="00251882">
      <w:pPr>
        <w:pStyle w:val="FootnoteText1"/>
        <w:rPr>
          <w:szCs w:val="24"/>
        </w:rPr>
      </w:pPr>
      <w:r>
        <w:rPr>
          <w:rStyle w:val="FootnoteReference"/>
        </w:rPr>
        <w:footnoteRef/>
      </w:r>
      <w:r>
        <w:tab/>
        <w:t>Liigendatud assigneeringud / liigendamata assigneeringud.</w:t>
      </w:r>
    </w:p>
  </w:footnote>
  <w:footnote w:id="34">
    <w:p w:rsidR="003563AD" w:rsidRDefault="00251882">
      <w:pPr>
        <w:pStyle w:val="FootnoteText1"/>
        <w:rPr>
          <w:szCs w:val="24"/>
        </w:rPr>
      </w:pPr>
      <w:r>
        <w:rPr>
          <w:rStyle w:val="FootnoteReference"/>
        </w:rPr>
        <w:footnoteRef/>
      </w:r>
      <w:r>
        <w:tab/>
        <w:t xml:space="preserve">EFTA: Euroopa Vabakaubanduse Assotsiatsioon. </w:t>
      </w:r>
    </w:p>
  </w:footnote>
  <w:footnote w:id="35">
    <w:p w:rsidR="003563AD" w:rsidRDefault="00251882">
      <w:pPr>
        <w:pStyle w:val="FootnoteText1"/>
        <w:rPr>
          <w:szCs w:val="24"/>
        </w:rPr>
      </w:pPr>
      <w:r>
        <w:rPr>
          <w:rStyle w:val="FootnoteReference"/>
        </w:rPr>
        <w:footnoteRef/>
      </w:r>
      <w:r>
        <w:tab/>
        <w:t xml:space="preserve">Kandidaatriigid </w:t>
      </w:r>
      <w:r>
        <w:t>ja vajaduse korral Lääne-Balkani võimalikud kandidaatriigid.</w:t>
      </w:r>
    </w:p>
  </w:footnote>
  <w:footnote w:id="36">
    <w:p w:rsidR="003563AD" w:rsidRDefault="00251882">
      <w:pPr>
        <w:pStyle w:val="FootnoteText1"/>
        <w:rPr>
          <w:szCs w:val="24"/>
          <w:lang w:val="fi-FI"/>
        </w:rPr>
      </w:pPr>
      <w:r>
        <w:rPr>
          <w:rStyle w:val="FootnoteReference"/>
        </w:rPr>
        <w:footnoteRef/>
      </w:r>
      <w:r>
        <w:rPr>
          <w:lang w:val="fi-FI"/>
        </w:rPr>
        <w:tab/>
      </w:r>
      <w:proofErr w:type="spellStart"/>
      <w:r>
        <w:rPr>
          <w:lang w:val="fi-FI"/>
        </w:rPr>
        <w:t>Aasta</w:t>
      </w:r>
      <w:proofErr w:type="spellEnd"/>
      <w:r>
        <w:rPr>
          <w:lang w:val="fi-FI"/>
        </w:rPr>
        <w:t xml:space="preserve">, </w:t>
      </w:r>
      <w:proofErr w:type="spellStart"/>
      <w:r>
        <w:rPr>
          <w:lang w:val="fi-FI"/>
        </w:rPr>
        <w:t>mil</w:t>
      </w:r>
      <w:proofErr w:type="spellEnd"/>
      <w:r>
        <w:rPr>
          <w:lang w:val="fi-FI"/>
        </w:rPr>
        <w:t xml:space="preserve"> </w:t>
      </w:r>
      <w:proofErr w:type="spellStart"/>
      <w:r>
        <w:rPr>
          <w:lang w:val="fi-FI"/>
        </w:rPr>
        <w:t>alustatakse</w:t>
      </w:r>
      <w:proofErr w:type="spellEnd"/>
      <w:r>
        <w:rPr>
          <w:lang w:val="fi-FI"/>
        </w:rPr>
        <w:t xml:space="preserve"> </w:t>
      </w:r>
      <w:proofErr w:type="spellStart"/>
      <w:r>
        <w:rPr>
          <w:lang w:val="fi-FI"/>
        </w:rPr>
        <w:t>ettepaneku/algatuse</w:t>
      </w:r>
      <w:proofErr w:type="spellEnd"/>
      <w:r>
        <w:rPr>
          <w:lang w:val="fi-FI"/>
        </w:rPr>
        <w:t xml:space="preserve"> </w:t>
      </w:r>
      <w:proofErr w:type="spellStart"/>
      <w:r>
        <w:rPr>
          <w:lang w:val="fi-FI"/>
        </w:rPr>
        <w:t>rakendamist</w:t>
      </w:r>
      <w:proofErr w:type="spellEnd"/>
      <w:r>
        <w:rPr>
          <w:lang w:val="fi-FI"/>
        </w:rPr>
        <w:t>.</w:t>
      </w:r>
    </w:p>
  </w:footnote>
  <w:footnote w:id="37">
    <w:p w:rsidR="003563AD" w:rsidRDefault="00251882">
      <w:pPr>
        <w:spacing w:before="20" w:after="20"/>
        <w:jc w:val="right"/>
        <w:rPr>
          <w:szCs w:val="24"/>
          <w:lang w:val="fi-FI"/>
        </w:rPr>
      </w:pPr>
      <w:r>
        <w:rPr>
          <w:rStyle w:val="FootnoteReference"/>
        </w:rPr>
        <w:footnoteRef/>
      </w:r>
      <w:r>
        <w:rPr>
          <w:lang w:val="fi-FI"/>
        </w:rPr>
        <w:tab/>
      </w:r>
      <w:proofErr w:type="spellStart"/>
      <w:r>
        <w:rPr>
          <w:lang w:val="fi-FI"/>
        </w:rPr>
        <w:t>Tehniline</w:t>
      </w:r>
      <w:proofErr w:type="spellEnd"/>
      <w:r>
        <w:rPr>
          <w:lang w:val="fi-FI"/>
        </w:rPr>
        <w:t xml:space="preserve"> </w:t>
      </w:r>
      <w:proofErr w:type="spellStart"/>
      <w:r>
        <w:rPr>
          <w:lang w:val="fi-FI"/>
        </w:rPr>
        <w:t>ja/või</w:t>
      </w:r>
      <w:proofErr w:type="spellEnd"/>
      <w:r>
        <w:rPr>
          <w:lang w:val="fi-FI"/>
        </w:rPr>
        <w:t xml:space="preserve"> </w:t>
      </w:r>
      <w:proofErr w:type="spellStart"/>
      <w:r>
        <w:rPr>
          <w:lang w:val="fi-FI"/>
        </w:rPr>
        <w:t>haldusabi</w:t>
      </w:r>
      <w:proofErr w:type="spellEnd"/>
      <w:r>
        <w:rPr>
          <w:lang w:val="fi-FI"/>
        </w:rPr>
        <w:t xml:space="preserve"> </w:t>
      </w:r>
      <w:proofErr w:type="spellStart"/>
      <w:r>
        <w:rPr>
          <w:lang w:val="fi-FI"/>
        </w:rPr>
        <w:t>ning</w:t>
      </w:r>
      <w:proofErr w:type="spellEnd"/>
      <w:r>
        <w:rPr>
          <w:lang w:val="fi-FI"/>
        </w:rPr>
        <w:t xml:space="preserve"> </w:t>
      </w:r>
      <w:proofErr w:type="spellStart"/>
      <w:r>
        <w:rPr>
          <w:lang w:val="fi-FI"/>
        </w:rPr>
        <w:t>ELi</w:t>
      </w:r>
      <w:proofErr w:type="spellEnd"/>
      <w:r>
        <w:rPr>
          <w:lang w:val="fi-FI"/>
        </w:rPr>
        <w:t xml:space="preserve"> </w:t>
      </w:r>
      <w:proofErr w:type="spellStart"/>
      <w:r>
        <w:rPr>
          <w:lang w:val="fi-FI"/>
        </w:rPr>
        <w:t>programmide</w:t>
      </w:r>
      <w:proofErr w:type="spellEnd"/>
      <w:r>
        <w:rPr>
          <w:lang w:val="fi-FI"/>
        </w:rPr>
        <w:t xml:space="preserve"> </w:t>
      </w:r>
      <w:proofErr w:type="spellStart"/>
      <w:r>
        <w:rPr>
          <w:lang w:val="fi-FI"/>
        </w:rPr>
        <w:t>ja/või</w:t>
      </w:r>
      <w:proofErr w:type="spellEnd"/>
      <w:r>
        <w:rPr>
          <w:lang w:val="fi-FI"/>
        </w:rPr>
        <w:t xml:space="preserve"> </w:t>
      </w:r>
      <w:proofErr w:type="spellStart"/>
      <w:r>
        <w:rPr>
          <w:lang w:val="fi-FI"/>
        </w:rPr>
        <w:t>meetmete</w:t>
      </w:r>
      <w:proofErr w:type="spellEnd"/>
      <w:r>
        <w:rPr>
          <w:lang w:val="fi-FI"/>
        </w:rPr>
        <w:t xml:space="preserve"> </w:t>
      </w:r>
      <w:proofErr w:type="spellStart"/>
      <w:r>
        <w:rPr>
          <w:lang w:val="fi-FI"/>
        </w:rPr>
        <w:t>rakendamiseks</w:t>
      </w:r>
      <w:proofErr w:type="spellEnd"/>
      <w:r>
        <w:rPr>
          <w:lang w:val="fi-FI"/>
        </w:rPr>
        <w:t xml:space="preserve"> antava </w:t>
      </w:r>
      <w:proofErr w:type="spellStart"/>
      <w:r>
        <w:rPr>
          <w:lang w:val="fi-FI"/>
        </w:rPr>
        <w:t>toetusega</w:t>
      </w:r>
      <w:proofErr w:type="spellEnd"/>
      <w:r>
        <w:rPr>
          <w:lang w:val="fi-FI"/>
        </w:rPr>
        <w:t xml:space="preserve"> </w:t>
      </w:r>
      <w:proofErr w:type="spellStart"/>
      <w:r>
        <w:rPr>
          <w:lang w:val="fi-FI"/>
        </w:rPr>
        <w:t>seotud</w:t>
      </w:r>
      <w:proofErr w:type="spellEnd"/>
      <w:r>
        <w:rPr>
          <w:lang w:val="fi-FI"/>
        </w:rPr>
        <w:t xml:space="preserve"> </w:t>
      </w:r>
      <w:proofErr w:type="spellStart"/>
      <w:r>
        <w:rPr>
          <w:lang w:val="fi-FI"/>
        </w:rPr>
        <w:t>kulud</w:t>
      </w:r>
      <w:proofErr w:type="spellEnd"/>
      <w:r>
        <w:rPr>
          <w:lang w:val="fi-FI"/>
        </w:rPr>
        <w:t xml:space="preserve"> (</w:t>
      </w:r>
      <w:proofErr w:type="spellStart"/>
      <w:r>
        <w:rPr>
          <w:lang w:val="fi-FI"/>
        </w:rPr>
        <w:t>endised</w:t>
      </w:r>
      <w:proofErr w:type="spellEnd"/>
      <w:r>
        <w:rPr>
          <w:lang w:val="fi-FI"/>
        </w:rPr>
        <w:t xml:space="preserve"> B..A </w:t>
      </w:r>
      <w:proofErr w:type="spellStart"/>
      <w:r>
        <w:rPr>
          <w:lang w:val="fi-FI"/>
        </w:rPr>
        <w:t>read</w:t>
      </w:r>
      <w:proofErr w:type="spellEnd"/>
      <w:r>
        <w:rPr>
          <w:lang w:val="fi-FI"/>
        </w:rPr>
        <w:t xml:space="preserve">), </w:t>
      </w:r>
      <w:proofErr w:type="spellStart"/>
      <w:r>
        <w:rPr>
          <w:lang w:val="fi-FI"/>
        </w:rPr>
        <w:t>otsene</w:t>
      </w:r>
      <w:proofErr w:type="spellEnd"/>
      <w:r>
        <w:rPr>
          <w:lang w:val="fi-FI"/>
        </w:rPr>
        <w:t xml:space="preserve"> </w:t>
      </w:r>
      <w:proofErr w:type="spellStart"/>
      <w:r>
        <w:rPr>
          <w:lang w:val="fi-FI"/>
        </w:rPr>
        <w:t>teadustegevus</w:t>
      </w:r>
      <w:proofErr w:type="spellEnd"/>
      <w:r>
        <w:rPr>
          <w:lang w:val="fi-FI"/>
        </w:rPr>
        <w:t xml:space="preserve">, </w:t>
      </w:r>
      <w:proofErr w:type="spellStart"/>
      <w:r>
        <w:rPr>
          <w:lang w:val="fi-FI"/>
        </w:rPr>
        <w:t>kaudne</w:t>
      </w:r>
      <w:proofErr w:type="spellEnd"/>
      <w:r>
        <w:rPr>
          <w:lang w:val="fi-FI"/>
        </w:rPr>
        <w:t xml:space="preserve"> </w:t>
      </w:r>
      <w:proofErr w:type="spellStart"/>
      <w:r>
        <w:rPr>
          <w:lang w:val="fi-FI"/>
        </w:rPr>
        <w:t>teadustegevus</w:t>
      </w:r>
      <w:proofErr w:type="spellEnd"/>
      <w:r>
        <w:rPr>
          <w:lang w:val="fi-FI"/>
        </w:rPr>
        <w:t>.</w:t>
      </w:r>
    </w:p>
  </w:footnote>
  <w:footnote w:id="38">
    <w:p w:rsidR="003563AD" w:rsidRDefault="00251882">
      <w:pPr>
        <w:pStyle w:val="FootnoteText1"/>
        <w:rPr>
          <w:szCs w:val="24"/>
          <w:lang w:val="fi-FI"/>
        </w:rPr>
      </w:pPr>
      <w:r>
        <w:rPr>
          <w:rStyle w:val="FootnoteReference"/>
        </w:rPr>
        <w:footnoteRef/>
      </w:r>
      <w:r>
        <w:rPr>
          <w:lang w:val="fi-FI"/>
        </w:rPr>
        <w:tab/>
      </w:r>
      <w:proofErr w:type="spellStart"/>
      <w:r>
        <w:rPr>
          <w:lang w:val="fi-FI"/>
        </w:rPr>
        <w:t>Aasta</w:t>
      </w:r>
      <w:proofErr w:type="spellEnd"/>
      <w:r>
        <w:rPr>
          <w:lang w:val="fi-FI"/>
        </w:rPr>
        <w:t xml:space="preserve">, </w:t>
      </w:r>
      <w:proofErr w:type="spellStart"/>
      <w:r>
        <w:rPr>
          <w:lang w:val="fi-FI"/>
        </w:rPr>
        <w:t>mil</w:t>
      </w:r>
      <w:proofErr w:type="spellEnd"/>
      <w:r>
        <w:rPr>
          <w:lang w:val="fi-FI"/>
        </w:rPr>
        <w:t xml:space="preserve"> </w:t>
      </w:r>
      <w:proofErr w:type="spellStart"/>
      <w:r>
        <w:rPr>
          <w:lang w:val="fi-FI"/>
        </w:rPr>
        <w:t>alustatakse</w:t>
      </w:r>
      <w:proofErr w:type="spellEnd"/>
      <w:r>
        <w:rPr>
          <w:lang w:val="fi-FI"/>
        </w:rPr>
        <w:t xml:space="preserve"> </w:t>
      </w:r>
      <w:proofErr w:type="spellStart"/>
      <w:r>
        <w:rPr>
          <w:lang w:val="fi-FI"/>
        </w:rPr>
        <w:t>ettepaneku/algatuse</w:t>
      </w:r>
      <w:proofErr w:type="spellEnd"/>
      <w:r>
        <w:rPr>
          <w:lang w:val="fi-FI"/>
        </w:rPr>
        <w:t xml:space="preserve"> </w:t>
      </w:r>
      <w:proofErr w:type="spellStart"/>
      <w:r>
        <w:rPr>
          <w:lang w:val="fi-FI"/>
        </w:rPr>
        <w:t>rakendamist</w:t>
      </w:r>
      <w:proofErr w:type="spellEnd"/>
      <w:r>
        <w:rPr>
          <w:lang w:val="fi-FI"/>
        </w:rPr>
        <w:t>.</w:t>
      </w:r>
    </w:p>
  </w:footnote>
  <w:footnote w:id="39">
    <w:p w:rsidR="003563AD" w:rsidRDefault="00251882">
      <w:pPr>
        <w:pStyle w:val="FootnoteText1"/>
        <w:rPr>
          <w:szCs w:val="24"/>
          <w:lang w:val="fi-FI"/>
        </w:rPr>
      </w:pPr>
      <w:r>
        <w:rPr>
          <w:rStyle w:val="FootnoteReference"/>
        </w:rPr>
        <w:footnoteRef/>
      </w:r>
      <w:r>
        <w:rPr>
          <w:lang w:val="fi-FI"/>
        </w:rPr>
        <w:tab/>
      </w:r>
      <w:proofErr w:type="spellStart"/>
      <w:r>
        <w:rPr>
          <w:lang w:val="fi-FI"/>
        </w:rPr>
        <w:t>Väljundid</w:t>
      </w:r>
      <w:proofErr w:type="spellEnd"/>
      <w:r>
        <w:rPr>
          <w:lang w:val="fi-FI"/>
        </w:rPr>
        <w:t xml:space="preserve"> on </w:t>
      </w:r>
      <w:proofErr w:type="spellStart"/>
      <w:r>
        <w:rPr>
          <w:lang w:val="fi-FI"/>
        </w:rPr>
        <w:t>tarnitavad</w:t>
      </w:r>
      <w:proofErr w:type="spellEnd"/>
      <w:r>
        <w:rPr>
          <w:lang w:val="fi-FI"/>
        </w:rPr>
        <w:t xml:space="preserve"> </w:t>
      </w:r>
      <w:proofErr w:type="spellStart"/>
      <w:r>
        <w:rPr>
          <w:lang w:val="fi-FI"/>
        </w:rPr>
        <w:t>kaubad</w:t>
      </w:r>
      <w:proofErr w:type="spellEnd"/>
      <w:r>
        <w:rPr>
          <w:lang w:val="fi-FI"/>
        </w:rPr>
        <w:t xml:space="preserve"> ja </w:t>
      </w:r>
      <w:proofErr w:type="spellStart"/>
      <w:r>
        <w:rPr>
          <w:lang w:val="fi-FI"/>
        </w:rPr>
        <w:t>teenused</w:t>
      </w:r>
      <w:proofErr w:type="spellEnd"/>
      <w:r>
        <w:rPr>
          <w:lang w:val="fi-FI"/>
        </w:rPr>
        <w:t xml:space="preserve"> (</w:t>
      </w:r>
      <w:proofErr w:type="spellStart"/>
      <w:r>
        <w:rPr>
          <w:lang w:val="fi-FI"/>
        </w:rPr>
        <w:t>nt</w:t>
      </w:r>
      <w:proofErr w:type="spellEnd"/>
      <w:r>
        <w:rPr>
          <w:lang w:val="fi-FI"/>
        </w:rPr>
        <w:t xml:space="preserve">: </w:t>
      </w:r>
      <w:proofErr w:type="spellStart"/>
      <w:r>
        <w:rPr>
          <w:lang w:val="fi-FI"/>
        </w:rPr>
        <w:t>rahastatud</w:t>
      </w:r>
      <w:proofErr w:type="spellEnd"/>
      <w:r>
        <w:rPr>
          <w:lang w:val="fi-FI"/>
        </w:rPr>
        <w:t xml:space="preserve"> </w:t>
      </w:r>
      <w:proofErr w:type="spellStart"/>
      <w:r>
        <w:rPr>
          <w:lang w:val="fi-FI"/>
        </w:rPr>
        <w:t>üliõpilasvahetuste</w:t>
      </w:r>
      <w:proofErr w:type="spellEnd"/>
      <w:r>
        <w:rPr>
          <w:lang w:val="fi-FI"/>
        </w:rPr>
        <w:t xml:space="preserve"> </w:t>
      </w:r>
      <w:proofErr w:type="spellStart"/>
      <w:r>
        <w:rPr>
          <w:lang w:val="fi-FI"/>
        </w:rPr>
        <w:t>arv</w:t>
      </w:r>
      <w:proofErr w:type="spellEnd"/>
      <w:r>
        <w:rPr>
          <w:lang w:val="fi-FI"/>
        </w:rPr>
        <w:t xml:space="preserve">, </w:t>
      </w:r>
      <w:proofErr w:type="spellStart"/>
      <w:r>
        <w:rPr>
          <w:lang w:val="fi-FI"/>
        </w:rPr>
        <w:t>ehitatud</w:t>
      </w:r>
      <w:proofErr w:type="spellEnd"/>
      <w:r>
        <w:rPr>
          <w:lang w:val="fi-FI"/>
        </w:rPr>
        <w:t xml:space="preserve"> </w:t>
      </w:r>
      <w:proofErr w:type="spellStart"/>
      <w:r>
        <w:rPr>
          <w:lang w:val="fi-FI"/>
        </w:rPr>
        <w:t>teede</w:t>
      </w:r>
      <w:proofErr w:type="spellEnd"/>
      <w:r>
        <w:rPr>
          <w:lang w:val="fi-FI"/>
        </w:rPr>
        <w:t xml:space="preserve"> </w:t>
      </w:r>
      <w:proofErr w:type="spellStart"/>
      <w:r>
        <w:rPr>
          <w:lang w:val="fi-FI"/>
        </w:rPr>
        <w:t>pikkus</w:t>
      </w:r>
      <w:proofErr w:type="spellEnd"/>
      <w:r>
        <w:rPr>
          <w:lang w:val="fi-FI"/>
        </w:rPr>
        <w:t xml:space="preserve"> </w:t>
      </w:r>
      <w:proofErr w:type="spellStart"/>
      <w:r>
        <w:rPr>
          <w:lang w:val="fi-FI"/>
        </w:rPr>
        <w:t>kilomeetrites</w:t>
      </w:r>
      <w:proofErr w:type="spellEnd"/>
      <w:r>
        <w:rPr>
          <w:lang w:val="fi-FI"/>
        </w:rPr>
        <w:t xml:space="preserve"> </w:t>
      </w:r>
      <w:proofErr w:type="spellStart"/>
      <w:r>
        <w:rPr>
          <w:lang w:val="fi-FI"/>
        </w:rPr>
        <w:t>jms</w:t>
      </w:r>
      <w:proofErr w:type="spellEnd"/>
      <w:r>
        <w:rPr>
          <w:lang w:val="fi-FI"/>
        </w:rPr>
        <w:t>).</w:t>
      </w:r>
    </w:p>
  </w:footnote>
  <w:footnote w:id="40">
    <w:p w:rsidR="003563AD" w:rsidRDefault="00251882">
      <w:pPr>
        <w:pStyle w:val="FootnoteText1"/>
        <w:rPr>
          <w:szCs w:val="24"/>
          <w:lang w:val="fi-FI"/>
        </w:rPr>
      </w:pPr>
      <w:r>
        <w:rPr>
          <w:rStyle w:val="FootnoteReference"/>
        </w:rPr>
        <w:footnoteRef/>
      </w:r>
      <w:r>
        <w:rPr>
          <w:lang w:val="fi-FI"/>
        </w:rPr>
        <w:tab/>
      </w:r>
      <w:proofErr w:type="spellStart"/>
      <w:r>
        <w:rPr>
          <w:lang w:val="fi-FI"/>
        </w:rPr>
        <w:t>Vastavalt</w:t>
      </w:r>
      <w:proofErr w:type="spellEnd"/>
      <w:r>
        <w:rPr>
          <w:lang w:val="fi-FI"/>
        </w:rPr>
        <w:t xml:space="preserve"> </w:t>
      </w:r>
      <w:proofErr w:type="spellStart"/>
      <w:r>
        <w:rPr>
          <w:lang w:val="fi-FI"/>
        </w:rPr>
        <w:t>punktis</w:t>
      </w:r>
      <w:proofErr w:type="spellEnd"/>
      <w:r>
        <w:rPr>
          <w:lang w:val="fi-FI"/>
        </w:rPr>
        <w:t xml:space="preserve"> 1.4.2 </w:t>
      </w:r>
      <w:proofErr w:type="spellStart"/>
      <w:r>
        <w:rPr>
          <w:lang w:val="fi-FI"/>
        </w:rPr>
        <w:t>nimetat</w:t>
      </w:r>
      <w:r>
        <w:rPr>
          <w:lang w:val="fi-FI"/>
        </w:rPr>
        <w:t>ud</w:t>
      </w:r>
      <w:proofErr w:type="spellEnd"/>
      <w:r>
        <w:rPr>
          <w:lang w:val="fi-FI"/>
        </w:rPr>
        <w:t xml:space="preserve"> </w:t>
      </w:r>
      <w:proofErr w:type="spellStart"/>
      <w:r>
        <w:rPr>
          <w:lang w:val="fi-FI"/>
        </w:rPr>
        <w:t>erieesmärkidele</w:t>
      </w:r>
      <w:proofErr w:type="spellEnd"/>
      <w:r>
        <w:rPr>
          <w:lang w:val="fi-FI"/>
        </w:rPr>
        <w:t>. „</w:t>
      </w:r>
      <w:proofErr w:type="spellStart"/>
      <w:r>
        <w:rPr>
          <w:lang w:val="fi-FI"/>
        </w:rPr>
        <w:t>Erieesmärk/erieesmärgid</w:t>
      </w:r>
      <w:proofErr w:type="spellEnd"/>
      <w:r>
        <w:rPr>
          <w:lang w:val="fi-FI"/>
        </w:rPr>
        <w:t xml:space="preserve"> ...” </w:t>
      </w:r>
    </w:p>
  </w:footnote>
  <w:footnote w:id="41">
    <w:p w:rsidR="003563AD" w:rsidRDefault="00251882">
      <w:pPr>
        <w:pStyle w:val="FootnoteText1"/>
        <w:rPr>
          <w:szCs w:val="24"/>
          <w:lang w:val="fi-FI"/>
        </w:rPr>
      </w:pPr>
      <w:r>
        <w:rPr>
          <w:rStyle w:val="FootnoteReference"/>
        </w:rPr>
        <w:footnoteRef/>
      </w:r>
      <w:r>
        <w:rPr>
          <w:lang w:val="fi-FI"/>
        </w:rPr>
        <w:tab/>
      </w:r>
      <w:proofErr w:type="spellStart"/>
      <w:r>
        <w:rPr>
          <w:lang w:val="fi-FI"/>
        </w:rPr>
        <w:t>Aasta</w:t>
      </w:r>
      <w:proofErr w:type="spellEnd"/>
      <w:r>
        <w:rPr>
          <w:lang w:val="fi-FI"/>
        </w:rPr>
        <w:t xml:space="preserve">, </w:t>
      </w:r>
      <w:proofErr w:type="spellStart"/>
      <w:r>
        <w:rPr>
          <w:lang w:val="fi-FI"/>
        </w:rPr>
        <w:t>mil</w:t>
      </w:r>
      <w:proofErr w:type="spellEnd"/>
      <w:r>
        <w:rPr>
          <w:lang w:val="fi-FI"/>
        </w:rPr>
        <w:t xml:space="preserve"> </w:t>
      </w:r>
      <w:proofErr w:type="spellStart"/>
      <w:r>
        <w:rPr>
          <w:lang w:val="fi-FI"/>
        </w:rPr>
        <w:t>alustatakse</w:t>
      </w:r>
      <w:proofErr w:type="spellEnd"/>
      <w:r>
        <w:rPr>
          <w:lang w:val="fi-FI"/>
        </w:rPr>
        <w:t xml:space="preserve"> </w:t>
      </w:r>
      <w:proofErr w:type="spellStart"/>
      <w:r>
        <w:rPr>
          <w:lang w:val="fi-FI"/>
        </w:rPr>
        <w:t>ettepaneku/algatuse</w:t>
      </w:r>
      <w:proofErr w:type="spellEnd"/>
      <w:r>
        <w:rPr>
          <w:lang w:val="fi-FI"/>
        </w:rPr>
        <w:t xml:space="preserve"> </w:t>
      </w:r>
      <w:proofErr w:type="spellStart"/>
      <w:r>
        <w:rPr>
          <w:lang w:val="fi-FI"/>
        </w:rPr>
        <w:t>rakendamist</w:t>
      </w:r>
      <w:proofErr w:type="spellEnd"/>
      <w:r>
        <w:rPr>
          <w:lang w:val="fi-FI"/>
        </w:rPr>
        <w:t>.</w:t>
      </w:r>
    </w:p>
  </w:footnote>
  <w:footnote w:id="42">
    <w:p w:rsidR="003563AD" w:rsidRDefault="00251882">
      <w:pPr>
        <w:pStyle w:val="FootnoteText1"/>
        <w:rPr>
          <w:szCs w:val="24"/>
          <w:lang w:val="fi-FI"/>
        </w:rPr>
      </w:pPr>
      <w:r>
        <w:rPr>
          <w:rStyle w:val="FootnoteReference"/>
        </w:rPr>
        <w:footnoteRef/>
      </w:r>
      <w:r>
        <w:rPr>
          <w:lang w:val="fi-FI"/>
        </w:rPr>
        <w:tab/>
      </w:r>
      <w:proofErr w:type="spellStart"/>
      <w:r>
        <w:rPr>
          <w:lang w:val="fi-FI"/>
        </w:rPr>
        <w:t>Tehniline</w:t>
      </w:r>
      <w:proofErr w:type="spellEnd"/>
      <w:r>
        <w:rPr>
          <w:lang w:val="fi-FI"/>
        </w:rPr>
        <w:t xml:space="preserve"> </w:t>
      </w:r>
      <w:proofErr w:type="spellStart"/>
      <w:r>
        <w:rPr>
          <w:lang w:val="fi-FI"/>
        </w:rPr>
        <w:t>ja/või</w:t>
      </w:r>
      <w:proofErr w:type="spellEnd"/>
      <w:r>
        <w:rPr>
          <w:lang w:val="fi-FI"/>
        </w:rPr>
        <w:t xml:space="preserve"> </w:t>
      </w:r>
      <w:proofErr w:type="spellStart"/>
      <w:r>
        <w:rPr>
          <w:lang w:val="fi-FI"/>
        </w:rPr>
        <w:t>haldusabi</w:t>
      </w:r>
      <w:proofErr w:type="spellEnd"/>
      <w:r>
        <w:rPr>
          <w:lang w:val="fi-FI"/>
        </w:rPr>
        <w:t xml:space="preserve"> </w:t>
      </w:r>
      <w:proofErr w:type="spellStart"/>
      <w:r>
        <w:rPr>
          <w:lang w:val="fi-FI"/>
        </w:rPr>
        <w:t>ning</w:t>
      </w:r>
      <w:proofErr w:type="spellEnd"/>
      <w:r>
        <w:rPr>
          <w:lang w:val="fi-FI"/>
        </w:rPr>
        <w:t xml:space="preserve"> </w:t>
      </w:r>
      <w:proofErr w:type="spellStart"/>
      <w:r>
        <w:rPr>
          <w:lang w:val="fi-FI"/>
        </w:rPr>
        <w:t>ELi</w:t>
      </w:r>
      <w:proofErr w:type="spellEnd"/>
      <w:r>
        <w:rPr>
          <w:lang w:val="fi-FI"/>
        </w:rPr>
        <w:t xml:space="preserve"> </w:t>
      </w:r>
      <w:proofErr w:type="spellStart"/>
      <w:r>
        <w:rPr>
          <w:lang w:val="fi-FI"/>
        </w:rPr>
        <w:t>programmide</w:t>
      </w:r>
      <w:proofErr w:type="spellEnd"/>
      <w:r>
        <w:rPr>
          <w:lang w:val="fi-FI"/>
        </w:rPr>
        <w:t xml:space="preserve"> </w:t>
      </w:r>
      <w:proofErr w:type="spellStart"/>
      <w:r>
        <w:rPr>
          <w:lang w:val="fi-FI"/>
        </w:rPr>
        <w:t>ja/või</w:t>
      </w:r>
      <w:proofErr w:type="spellEnd"/>
      <w:r>
        <w:rPr>
          <w:lang w:val="fi-FI"/>
        </w:rPr>
        <w:t xml:space="preserve"> </w:t>
      </w:r>
      <w:proofErr w:type="spellStart"/>
      <w:r>
        <w:rPr>
          <w:lang w:val="fi-FI"/>
        </w:rPr>
        <w:t>meetmete</w:t>
      </w:r>
      <w:proofErr w:type="spellEnd"/>
      <w:r>
        <w:rPr>
          <w:lang w:val="fi-FI"/>
        </w:rPr>
        <w:t xml:space="preserve"> </w:t>
      </w:r>
      <w:proofErr w:type="spellStart"/>
      <w:r>
        <w:rPr>
          <w:lang w:val="fi-FI"/>
        </w:rPr>
        <w:t>rakendamiseks</w:t>
      </w:r>
      <w:proofErr w:type="spellEnd"/>
      <w:r>
        <w:rPr>
          <w:lang w:val="fi-FI"/>
        </w:rPr>
        <w:t xml:space="preserve"> antava </w:t>
      </w:r>
      <w:proofErr w:type="spellStart"/>
      <w:r>
        <w:rPr>
          <w:lang w:val="fi-FI"/>
        </w:rPr>
        <w:t>toetusega</w:t>
      </w:r>
      <w:proofErr w:type="spellEnd"/>
      <w:r>
        <w:rPr>
          <w:lang w:val="fi-FI"/>
        </w:rPr>
        <w:t xml:space="preserve"> </w:t>
      </w:r>
      <w:proofErr w:type="spellStart"/>
      <w:r>
        <w:rPr>
          <w:lang w:val="fi-FI"/>
        </w:rPr>
        <w:t>seotud</w:t>
      </w:r>
      <w:proofErr w:type="spellEnd"/>
      <w:r>
        <w:rPr>
          <w:lang w:val="fi-FI"/>
        </w:rPr>
        <w:t xml:space="preserve"> </w:t>
      </w:r>
      <w:proofErr w:type="spellStart"/>
      <w:r>
        <w:rPr>
          <w:lang w:val="fi-FI"/>
        </w:rPr>
        <w:t>kulud</w:t>
      </w:r>
      <w:proofErr w:type="spellEnd"/>
      <w:r>
        <w:rPr>
          <w:lang w:val="fi-FI"/>
        </w:rPr>
        <w:t xml:space="preserve"> (</w:t>
      </w:r>
      <w:proofErr w:type="spellStart"/>
      <w:r>
        <w:rPr>
          <w:lang w:val="fi-FI"/>
        </w:rPr>
        <w:t>endised</w:t>
      </w:r>
      <w:proofErr w:type="spellEnd"/>
      <w:r>
        <w:rPr>
          <w:lang w:val="fi-FI"/>
        </w:rPr>
        <w:t xml:space="preserve"> B..A </w:t>
      </w:r>
      <w:proofErr w:type="spellStart"/>
      <w:r>
        <w:rPr>
          <w:lang w:val="fi-FI"/>
        </w:rPr>
        <w:t>read</w:t>
      </w:r>
      <w:proofErr w:type="spellEnd"/>
      <w:r>
        <w:rPr>
          <w:lang w:val="fi-FI"/>
        </w:rPr>
        <w:t xml:space="preserve">), </w:t>
      </w:r>
      <w:proofErr w:type="spellStart"/>
      <w:r>
        <w:rPr>
          <w:lang w:val="fi-FI"/>
        </w:rPr>
        <w:t>otsene</w:t>
      </w:r>
      <w:proofErr w:type="spellEnd"/>
      <w:r>
        <w:rPr>
          <w:lang w:val="fi-FI"/>
        </w:rPr>
        <w:t xml:space="preserve"> </w:t>
      </w:r>
      <w:proofErr w:type="spellStart"/>
      <w:r>
        <w:rPr>
          <w:lang w:val="fi-FI"/>
        </w:rPr>
        <w:t>teadusteg</w:t>
      </w:r>
      <w:r>
        <w:rPr>
          <w:lang w:val="fi-FI"/>
        </w:rPr>
        <w:t>evus</w:t>
      </w:r>
      <w:proofErr w:type="spellEnd"/>
      <w:r>
        <w:rPr>
          <w:lang w:val="fi-FI"/>
        </w:rPr>
        <w:t xml:space="preserve">, </w:t>
      </w:r>
      <w:proofErr w:type="spellStart"/>
      <w:r>
        <w:rPr>
          <w:lang w:val="fi-FI"/>
        </w:rPr>
        <w:t>kaudne</w:t>
      </w:r>
      <w:proofErr w:type="spellEnd"/>
      <w:r>
        <w:rPr>
          <w:lang w:val="fi-FI"/>
        </w:rPr>
        <w:t xml:space="preserve"> </w:t>
      </w:r>
      <w:proofErr w:type="spellStart"/>
      <w:r>
        <w:rPr>
          <w:lang w:val="fi-FI"/>
        </w:rPr>
        <w:t>teadustegevus</w:t>
      </w:r>
      <w:proofErr w:type="spellEnd"/>
      <w:r>
        <w:rPr>
          <w:lang w:val="fi-FI"/>
        </w:rPr>
        <w:t>.</w:t>
      </w:r>
    </w:p>
  </w:footnote>
  <w:footnote w:id="43">
    <w:p w:rsidR="003563AD" w:rsidRDefault="00251882">
      <w:pPr>
        <w:pStyle w:val="FootnoteText1"/>
        <w:rPr>
          <w:szCs w:val="24"/>
          <w:lang w:val="fi-FI"/>
        </w:rPr>
      </w:pPr>
      <w:r>
        <w:rPr>
          <w:rStyle w:val="FootnoteReference"/>
        </w:rPr>
        <w:footnoteRef/>
      </w:r>
      <w:r>
        <w:rPr>
          <w:lang w:val="fi-FI"/>
        </w:rPr>
        <w:tab/>
      </w:r>
      <w:proofErr w:type="spellStart"/>
      <w:r>
        <w:rPr>
          <w:lang w:val="fi-FI"/>
        </w:rPr>
        <w:t>lepingulised</w:t>
      </w:r>
      <w:proofErr w:type="spellEnd"/>
      <w:r>
        <w:rPr>
          <w:lang w:val="fi-FI"/>
        </w:rPr>
        <w:t xml:space="preserve"> </w:t>
      </w:r>
      <w:proofErr w:type="spellStart"/>
      <w:r>
        <w:rPr>
          <w:lang w:val="fi-FI"/>
        </w:rPr>
        <w:t>töötajad</w:t>
      </w:r>
      <w:proofErr w:type="spellEnd"/>
      <w:r>
        <w:rPr>
          <w:lang w:val="fi-FI"/>
        </w:rPr>
        <w:t xml:space="preserve">, </w:t>
      </w:r>
      <w:proofErr w:type="spellStart"/>
      <w:r>
        <w:rPr>
          <w:lang w:val="fi-FI"/>
        </w:rPr>
        <w:t>kohalikud</w:t>
      </w:r>
      <w:proofErr w:type="spellEnd"/>
      <w:r>
        <w:rPr>
          <w:lang w:val="fi-FI"/>
        </w:rPr>
        <w:t xml:space="preserve"> </w:t>
      </w:r>
      <w:proofErr w:type="spellStart"/>
      <w:r>
        <w:rPr>
          <w:lang w:val="fi-FI"/>
        </w:rPr>
        <w:t>töötajad</w:t>
      </w:r>
      <w:proofErr w:type="spellEnd"/>
      <w:r>
        <w:rPr>
          <w:lang w:val="fi-FI"/>
        </w:rPr>
        <w:t xml:space="preserve">, </w:t>
      </w:r>
      <w:proofErr w:type="spellStart"/>
      <w:r>
        <w:rPr>
          <w:lang w:val="fi-FI"/>
        </w:rPr>
        <w:t>riikide</w:t>
      </w:r>
      <w:proofErr w:type="spellEnd"/>
      <w:r>
        <w:rPr>
          <w:lang w:val="fi-FI"/>
        </w:rPr>
        <w:t xml:space="preserve"> </w:t>
      </w:r>
      <w:proofErr w:type="spellStart"/>
      <w:r>
        <w:rPr>
          <w:lang w:val="fi-FI"/>
        </w:rPr>
        <w:t>lähetatud</w:t>
      </w:r>
      <w:proofErr w:type="spellEnd"/>
      <w:r>
        <w:rPr>
          <w:lang w:val="fi-FI"/>
        </w:rPr>
        <w:t xml:space="preserve"> </w:t>
      </w:r>
      <w:proofErr w:type="spellStart"/>
      <w:r>
        <w:rPr>
          <w:lang w:val="fi-FI"/>
        </w:rPr>
        <w:t>töötajad</w:t>
      </w:r>
      <w:proofErr w:type="spellEnd"/>
      <w:r>
        <w:rPr>
          <w:lang w:val="fi-FI"/>
        </w:rPr>
        <w:t xml:space="preserve">, </w:t>
      </w:r>
      <w:proofErr w:type="spellStart"/>
      <w:r>
        <w:rPr>
          <w:lang w:val="fi-FI"/>
        </w:rPr>
        <w:t>renditud</w:t>
      </w:r>
      <w:proofErr w:type="spellEnd"/>
      <w:r>
        <w:rPr>
          <w:lang w:val="fi-FI"/>
        </w:rPr>
        <w:t xml:space="preserve"> </w:t>
      </w:r>
      <w:proofErr w:type="spellStart"/>
      <w:r>
        <w:rPr>
          <w:lang w:val="fi-FI"/>
        </w:rPr>
        <w:t>tööjõud</w:t>
      </w:r>
      <w:proofErr w:type="spellEnd"/>
      <w:r>
        <w:rPr>
          <w:lang w:val="fi-FI"/>
        </w:rPr>
        <w:t xml:space="preserve">, </w:t>
      </w:r>
      <w:proofErr w:type="spellStart"/>
      <w:r>
        <w:rPr>
          <w:lang w:val="fi-FI"/>
        </w:rPr>
        <w:t>noored</w:t>
      </w:r>
      <w:proofErr w:type="spellEnd"/>
      <w:r>
        <w:rPr>
          <w:lang w:val="fi-FI"/>
        </w:rPr>
        <w:t xml:space="preserve"> </w:t>
      </w:r>
      <w:proofErr w:type="spellStart"/>
      <w:r>
        <w:rPr>
          <w:lang w:val="fi-FI"/>
        </w:rPr>
        <w:t>eksperdid</w:t>
      </w:r>
      <w:proofErr w:type="spellEnd"/>
      <w:r>
        <w:rPr>
          <w:lang w:val="fi-FI"/>
        </w:rPr>
        <w:t xml:space="preserve"> </w:t>
      </w:r>
      <w:proofErr w:type="spellStart"/>
      <w:r>
        <w:rPr>
          <w:lang w:val="fi-FI"/>
        </w:rPr>
        <w:t>delegatsioonides</w:t>
      </w:r>
      <w:proofErr w:type="spellEnd"/>
      <w:r>
        <w:rPr>
          <w:lang w:val="fi-FI"/>
        </w:rPr>
        <w:t xml:space="preserve">. </w:t>
      </w:r>
    </w:p>
  </w:footnote>
  <w:footnote w:id="44">
    <w:p w:rsidR="003563AD" w:rsidRDefault="00251882">
      <w:pPr>
        <w:pStyle w:val="FootnoteText1"/>
        <w:rPr>
          <w:szCs w:val="24"/>
          <w:lang w:val="fi-FI"/>
        </w:rPr>
      </w:pPr>
      <w:r>
        <w:rPr>
          <w:rStyle w:val="FootnoteReference"/>
        </w:rPr>
        <w:footnoteRef/>
      </w:r>
      <w:r>
        <w:rPr>
          <w:lang w:val="fi-FI"/>
        </w:rPr>
        <w:tab/>
      </w:r>
      <w:proofErr w:type="spellStart"/>
      <w:r>
        <w:rPr>
          <w:lang w:val="fi-FI"/>
        </w:rPr>
        <w:t>Tegevusassigneeringutest</w:t>
      </w:r>
      <w:proofErr w:type="spellEnd"/>
      <w:r>
        <w:rPr>
          <w:lang w:val="fi-FI"/>
        </w:rPr>
        <w:t xml:space="preserve"> </w:t>
      </w:r>
      <w:proofErr w:type="spellStart"/>
      <w:r>
        <w:rPr>
          <w:lang w:val="fi-FI"/>
        </w:rPr>
        <w:t>rahastatavate</w:t>
      </w:r>
      <w:proofErr w:type="spellEnd"/>
      <w:r>
        <w:rPr>
          <w:lang w:val="fi-FI"/>
        </w:rPr>
        <w:t xml:space="preserve"> </w:t>
      </w:r>
      <w:proofErr w:type="spellStart"/>
      <w:r>
        <w:rPr>
          <w:lang w:val="fi-FI"/>
        </w:rPr>
        <w:t>koosseisuväliste</w:t>
      </w:r>
      <w:proofErr w:type="spellEnd"/>
      <w:r>
        <w:rPr>
          <w:lang w:val="fi-FI"/>
        </w:rPr>
        <w:t xml:space="preserve"> </w:t>
      </w:r>
      <w:proofErr w:type="spellStart"/>
      <w:r>
        <w:rPr>
          <w:lang w:val="fi-FI"/>
        </w:rPr>
        <w:t>töötajate</w:t>
      </w:r>
      <w:proofErr w:type="spellEnd"/>
      <w:r>
        <w:rPr>
          <w:lang w:val="fi-FI"/>
        </w:rPr>
        <w:t xml:space="preserve"> </w:t>
      </w:r>
      <w:proofErr w:type="spellStart"/>
      <w:r>
        <w:rPr>
          <w:lang w:val="fi-FI"/>
        </w:rPr>
        <w:t>ülempiiri</w:t>
      </w:r>
      <w:proofErr w:type="spellEnd"/>
      <w:r>
        <w:rPr>
          <w:lang w:val="fi-FI"/>
        </w:rPr>
        <w:t xml:space="preserve"> </w:t>
      </w:r>
      <w:proofErr w:type="spellStart"/>
      <w:r>
        <w:rPr>
          <w:lang w:val="fi-FI"/>
        </w:rPr>
        <w:t>arvestades</w:t>
      </w:r>
      <w:proofErr w:type="spellEnd"/>
      <w:r>
        <w:rPr>
          <w:lang w:val="fi-FI"/>
        </w:rPr>
        <w:t xml:space="preserve"> (</w:t>
      </w:r>
      <w:proofErr w:type="spellStart"/>
      <w:r>
        <w:rPr>
          <w:lang w:val="fi-FI"/>
        </w:rPr>
        <w:t>endised</w:t>
      </w:r>
      <w:proofErr w:type="spellEnd"/>
      <w:r>
        <w:rPr>
          <w:lang w:val="fi-FI"/>
        </w:rPr>
        <w:t xml:space="preserve"> B..</w:t>
      </w:r>
      <w:r>
        <w:rPr>
          <w:lang w:val="fi-FI"/>
        </w:rPr>
        <w:t xml:space="preserve">.A </w:t>
      </w:r>
      <w:proofErr w:type="spellStart"/>
      <w:r>
        <w:rPr>
          <w:lang w:val="fi-FI"/>
        </w:rPr>
        <w:t>read</w:t>
      </w:r>
      <w:proofErr w:type="spellEnd"/>
      <w:r>
        <w:rPr>
          <w:lang w:val="fi-FI"/>
        </w:rPr>
        <w:t>).</w:t>
      </w:r>
    </w:p>
  </w:footnote>
  <w:footnote w:id="45">
    <w:p w:rsidR="003563AD" w:rsidRDefault="00251882">
      <w:pPr>
        <w:pStyle w:val="FootnoteText1"/>
        <w:rPr>
          <w:szCs w:val="24"/>
          <w:lang w:val="fi-FI"/>
        </w:rPr>
      </w:pPr>
      <w:r>
        <w:rPr>
          <w:rStyle w:val="FootnoteReference"/>
        </w:rPr>
        <w:footnoteRef/>
      </w:r>
      <w:r>
        <w:rPr>
          <w:lang w:val="fi-FI"/>
        </w:rPr>
        <w:tab/>
      </w:r>
      <w:proofErr w:type="spellStart"/>
      <w:r>
        <w:rPr>
          <w:lang w:val="fi-FI"/>
        </w:rPr>
        <w:t>Traditsiooniliste</w:t>
      </w:r>
      <w:proofErr w:type="spellEnd"/>
      <w:r>
        <w:rPr>
          <w:lang w:val="fi-FI"/>
        </w:rPr>
        <w:t xml:space="preserve"> </w:t>
      </w:r>
      <w:proofErr w:type="spellStart"/>
      <w:r>
        <w:rPr>
          <w:lang w:val="fi-FI"/>
        </w:rPr>
        <w:t>omavahendite</w:t>
      </w:r>
      <w:proofErr w:type="spellEnd"/>
      <w:r>
        <w:rPr>
          <w:lang w:val="fi-FI"/>
        </w:rPr>
        <w:t xml:space="preserve"> (</w:t>
      </w:r>
      <w:proofErr w:type="spellStart"/>
      <w:r>
        <w:rPr>
          <w:lang w:val="fi-FI"/>
        </w:rPr>
        <w:t>tollimaksud</w:t>
      </w:r>
      <w:proofErr w:type="spellEnd"/>
      <w:r>
        <w:rPr>
          <w:lang w:val="fi-FI"/>
        </w:rPr>
        <w:t xml:space="preserve">, </w:t>
      </w:r>
      <w:proofErr w:type="spellStart"/>
      <w:r>
        <w:rPr>
          <w:lang w:val="fi-FI"/>
        </w:rPr>
        <w:t>suhkrumaks</w:t>
      </w:r>
      <w:proofErr w:type="spellEnd"/>
      <w:r>
        <w:rPr>
          <w:lang w:val="fi-FI"/>
        </w:rPr>
        <w:t xml:space="preserve">) </w:t>
      </w:r>
      <w:proofErr w:type="spellStart"/>
      <w:r>
        <w:rPr>
          <w:lang w:val="fi-FI"/>
        </w:rPr>
        <w:t>korral</w:t>
      </w:r>
      <w:proofErr w:type="spellEnd"/>
      <w:r>
        <w:rPr>
          <w:lang w:val="fi-FI"/>
        </w:rPr>
        <w:t xml:space="preserve"> </w:t>
      </w:r>
      <w:proofErr w:type="spellStart"/>
      <w:r>
        <w:rPr>
          <w:lang w:val="fi-FI"/>
        </w:rPr>
        <w:t>tuleb</w:t>
      </w:r>
      <w:proofErr w:type="spellEnd"/>
      <w:r>
        <w:rPr>
          <w:lang w:val="fi-FI"/>
        </w:rPr>
        <w:t xml:space="preserve"> </w:t>
      </w:r>
      <w:proofErr w:type="spellStart"/>
      <w:r>
        <w:rPr>
          <w:lang w:val="fi-FI"/>
        </w:rPr>
        <w:t>näidata</w:t>
      </w:r>
      <w:proofErr w:type="spellEnd"/>
      <w:r>
        <w:rPr>
          <w:lang w:val="fi-FI"/>
        </w:rPr>
        <w:t xml:space="preserve"> </w:t>
      </w:r>
      <w:proofErr w:type="spellStart"/>
      <w:r>
        <w:rPr>
          <w:lang w:val="fi-FI"/>
        </w:rPr>
        <w:t>netosummad</w:t>
      </w:r>
      <w:proofErr w:type="spellEnd"/>
      <w:r>
        <w:rPr>
          <w:lang w:val="fi-FI"/>
        </w:rPr>
        <w:t xml:space="preserve">, st </w:t>
      </w:r>
      <w:proofErr w:type="spellStart"/>
      <w:r>
        <w:rPr>
          <w:lang w:val="fi-FI"/>
        </w:rPr>
        <w:t>brutosumma</w:t>
      </w:r>
      <w:proofErr w:type="spellEnd"/>
      <w:r>
        <w:rPr>
          <w:lang w:val="fi-FI"/>
        </w:rPr>
        <w:t xml:space="preserve">, milles on </w:t>
      </w:r>
      <w:proofErr w:type="spellStart"/>
      <w:r>
        <w:rPr>
          <w:lang w:val="fi-FI"/>
        </w:rPr>
        <w:t>lahutatud</w:t>
      </w:r>
      <w:proofErr w:type="spellEnd"/>
      <w:r>
        <w:rPr>
          <w:lang w:val="fi-FI"/>
        </w:rPr>
        <w:t xml:space="preserve"> 25 % </w:t>
      </w:r>
      <w:proofErr w:type="spellStart"/>
      <w:r>
        <w:rPr>
          <w:lang w:val="fi-FI"/>
        </w:rPr>
        <w:t>kogumiskuludena</w:t>
      </w:r>
      <w:proofErr w:type="spellEnd"/>
      <w:r>
        <w:rPr>
          <w:lang w:val="fi-F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3AD" w:rsidRDefault="003563AD">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3AD" w:rsidRDefault="003563AD">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3AD" w:rsidRDefault="003563A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3AD" w:rsidRDefault="003563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DACE6A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BCED032"/>
    <w:lvl w:ilvl="0">
      <w:start w:val="1"/>
      <w:numFmt w:val="decimal"/>
      <w:pStyle w:val="ListNumber3"/>
      <w:lvlText w:val="%1."/>
      <w:lvlJc w:val="left"/>
      <w:pPr>
        <w:tabs>
          <w:tab w:val="num" w:pos="926"/>
        </w:tabs>
        <w:ind w:left="926" w:hanging="360"/>
      </w:pPr>
    </w:lvl>
  </w:abstractNum>
  <w:abstractNum w:abstractNumId="2">
    <w:nsid w:val="FFFFFF7F"/>
    <w:multiLevelType w:val="singleLevel"/>
    <w:tmpl w:val="9A74E9B0"/>
    <w:lvl w:ilvl="0">
      <w:start w:val="1"/>
      <w:numFmt w:val="decimal"/>
      <w:pStyle w:val="ListNumber2"/>
      <w:lvlText w:val="%1."/>
      <w:lvlJc w:val="left"/>
      <w:pPr>
        <w:tabs>
          <w:tab w:val="num" w:pos="643"/>
        </w:tabs>
        <w:ind w:left="643" w:hanging="360"/>
      </w:pPr>
    </w:lvl>
  </w:abstractNum>
  <w:abstractNum w:abstractNumId="3">
    <w:nsid w:val="FFFFFF81"/>
    <w:multiLevelType w:val="singleLevel"/>
    <w:tmpl w:val="4C82827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0A2818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5085576"/>
    <w:multiLevelType w:val="singleLevel"/>
    <w:tmpl w:val="FFD2A502"/>
    <w:name w:val="Dash Equal 3"/>
    <w:lvl w:ilvl="0">
      <w:start w:val="1"/>
      <w:numFmt w:val="bullet"/>
      <w:lvlRestart w:val="0"/>
      <w:pStyle w:val="DashEqual3"/>
      <w:lvlText w:val="="/>
      <w:lvlJc w:val="left"/>
      <w:pPr>
        <w:tabs>
          <w:tab w:val="num" w:pos="2268"/>
        </w:tabs>
        <w:ind w:left="2268" w:hanging="567"/>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5">
    <w:nsid w:val="73EA208D"/>
    <w:multiLevelType w:val="singleLevel"/>
    <w:tmpl w:val="0A7218F6"/>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26">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5"/>
  </w:num>
  <w:num w:numId="3">
    <w:abstractNumId w:val="14"/>
  </w:num>
  <w:num w:numId="4">
    <w:abstractNumId w:val="23"/>
  </w:num>
  <w:num w:numId="5">
    <w:abstractNumId w:val="20"/>
  </w:num>
  <w:num w:numId="6">
    <w:abstractNumId w:val="2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8"/>
  </w:num>
  <w:num w:numId="11">
    <w:abstractNumId w:val="2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
  </w:num>
  <w:num w:numId="16">
    <w:abstractNumId w:val="0"/>
  </w:num>
  <w:num w:numId="17">
    <w:abstractNumId w:val="6"/>
  </w:num>
  <w:num w:numId="18">
    <w:abstractNumId w:val="13"/>
    <w:lvlOverride w:ilvl="0">
      <w:startOverride w:val="1"/>
    </w:lvlOverride>
  </w:num>
  <w:num w:numId="19">
    <w:abstractNumId w:val="22"/>
    <w:lvlOverride w:ilvl="0">
      <w:startOverride w:val="1"/>
    </w:lvlOverride>
  </w:num>
  <w:num w:numId="20">
    <w:abstractNumId w:val="26"/>
    <w:lvlOverride w:ilvl="0">
      <w:startOverride w:val="1"/>
    </w:lvlOverride>
  </w:num>
  <w:num w:numId="21">
    <w:abstractNumId w:val="22"/>
  </w:num>
  <w:num w:numId="22">
    <w:abstractNumId w:val="7"/>
  </w:num>
  <w:num w:numId="23">
    <w:abstractNumId w:val="21"/>
  </w:num>
  <w:num w:numId="24">
    <w:abstractNumId w:val="13"/>
  </w:num>
  <w:num w:numId="25">
    <w:abstractNumId w:val="26"/>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9"/>
  </w:num>
  <w:num w:numId="69">
    <w:abstractNumId w:val="11"/>
  </w:num>
  <w:num w:numId="70">
    <w:abstractNumId w:val="22"/>
  </w:num>
  <w:num w:numId="71">
    <w:abstractNumId w:val="10"/>
  </w:num>
  <w:num w:numId="72">
    <w:abstractNumId w:val="12"/>
  </w:num>
  <w:num w:numId="73">
    <w:abstractNumId w:val="7"/>
  </w:num>
  <w:num w:numId="74">
    <w:abstractNumId w:val="21"/>
  </w:num>
  <w:num w:numId="75">
    <w:abstractNumId w:val="6"/>
  </w:num>
  <w:num w:numId="76">
    <w:abstractNumId w:val="13"/>
  </w:num>
  <w:num w:numId="77">
    <w:abstractNumId w:val="17"/>
  </w:num>
  <w:num w:numId="78">
    <w:abstractNumId w:val="18"/>
  </w:num>
  <w:num w:numId="79">
    <w:abstractNumId w:val="9"/>
  </w:num>
  <w:num w:numId="80">
    <w:abstractNumId w:val="16"/>
  </w:num>
  <w:num w:numId="81">
    <w:abstractNumId w:val="2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proofState w:spelling="clean"/>
  <w:attachedTemplate r:id="rId1"/>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10-11 17:08:54"/>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97"/>
    <w:docVar w:name="DQCResult_ModifiedMarkers" w:val="0;0"/>
    <w:docVar w:name="DQCResult_ModifiedNumbering" w:val="0;0"/>
    <w:docVar w:name="DQCResult_Objects" w:val="0;0"/>
    <w:docVar w:name="DQCResult_Sections" w:val="0;0"/>
    <w:docVar w:name="DQCResult_StructureCheck" w:val="0;0"/>
    <w:docVar w:name="DQCResult_SuperfluousWhitespace" w:val="0;44"/>
    <w:docVar w:name="DQCResult_UnknownFonts" w:val="0;0"/>
    <w:docVar w:name="DQCResult_UnknownStyles" w:val="0;37"/>
    <w:docVar w:name="DQCStatus" w:val="Yellow"/>
    <w:docVar w:name="DQCVersion" w:val="3"/>
    <w:docVar w:name="DQCWithWarnings" w:val="0"/>
    <w:docVar w:name="LW_CONFIDENCE" w:val=" "/>
    <w:docVar w:name="LW_CONST_RESTREINT_UE" w:val="RESTREINT UE"/>
    <w:docVar w:name="LW_CORRIGENDUM" w:val="&lt;UNUSED&gt;"/>
    <w:docVar w:name="LW_COVERPAGE_GUID" w:val="A7DC4274381B40E5813BB5F5255FD0B5"/>
    <w:docVar w:name="LW_CROSSREFERENCE" w:val="{SWD(2015) 185 final}_x000b_{SWD(2015) 186 final}"/>
    <w:docVar w:name="LW_DocType" w:val="COM"/>
    <w:docVar w:name="LW_EMISSION" w:val="30.9.2015"/>
    <w:docVar w:name="LW_EMISSION_ISODATE" w:val="2015-09-30"/>
    <w:docVar w:name="LW_EMISSION_LOCATION" w:val="BRX"/>
    <w:docVar w:name="LW_EMISSION_PREFIX" w:val="Brüssel,"/>
    <w:docVar w:name="LW_EMISSION_SUFFIX" w:val=" "/>
    <w:docVar w:name="LW_ID_DOCMODEL" w:val="SJ-023"/>
    <w:docVar w:name="LW_ID_DOCSIGNATURE" w:val="SJ-023"/>
    <w:docVar w:name="LW_ID_DOCSTRUCTURE" w:val="COM/PL/ORG"/>
    <w:docVar w:name="LW_ID_DOCTYPE" w:val="SJ-023"/>
    <w:docVar w:name="LW_ID_STATUT" w:val="SJ-023"/>
    <w:docVar w:name="LW_INTERETEEE.CP" w:val="(EMPs kohaldatav tekst)"/>
    <w:docVar w:name="LW_LANGUE" w:val="ET"/>
    <w:docVar w:name="LW_MARKING" w:val="&lt;UNUSED&gt;"/>
    <w:docVar w:name="LW_NOM.INST" w:val="EUROOPA KOMISJON"/>
    <w:docVar w:name="LW_NOM.INST_JOINTDOC" w:val="&lt;EMPTY&gt;"/>
    <w:docVar w:name="LW_PART_NBR" w:val="1"/>
    <w:docVar w:name="LW_PART_NBR_TOTAL" w:val="1"/>
    <w:docVar w:name="LW_REF.II.NEW.CP" w:val="COD"/>
    <w:docVar w:name="LW_REF.II.NEW.CP_NUMBER" w:val="0226"/>
    <w:docVar w:name="LW_REF.II.NEW.CP_YEAR" w:val="2015"/>
    <w:docVar w:name="LW_REF.INST.NEW" w:val="COM"/>
    <w:docVar w:name="LW_REF.INST.NEW_ADOPTED" w:val="final"/>
    <w:docVar w:name="LW_REF.INST.NEW_TEXT" w:val="(2015) 472"/>
    <w:docVar w:name="LW_REF.INTERNE" w:val="&lt;UNUSED&gt;"/>
    <w:docVar w:name="LW_SOUS.TITRE.OBJ.CP" w:val="&lt;UNUSED&gt;"/>
    <w:docVar w:name="LW_STATUT.CP" w:val="Ettepanek:"/>
    <w:docVar w:name="LW_SUPERTITRE" w:val="&lt;UNUSED&gt;"/>
    <w:docVar w:name="LW_TITRE.OBJ.CP" w:val="millega kehtestatakse ühised eeskirjad väärtpaberistamise kohta ning luuakse lihtsa, läbipaistva ja standarditud väärtpaberistamise Euroopa raamistik ning millega muudetakse direktiive 2009/65/EÜ, 2009/138/EÜ, 2011/61/EL ning määrusi (EÜ) nr 1060/2009 ja (EL) nr 648/2012"/>
    <w:docVar w:name="LW_TYPE.DOC.CP" w:val="EUROOPA PARLAMENDI JA NÕUKOGU MÄÄRUS"/>
  </w:docVars>
  <w:rsids>
    <w:rsidRoot w:val="003563AD"/>
    <w:rsid w:val="00251882"/>
    <w:rsid w:val="003563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7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7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7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74"/>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lang w:val="fr-FR" w:eastAsia="en-GB"/>
    </w:rPr>
  </w:style>
  <w:style w:type="paragraph" w:styleId="ListBullet2">
    <w:name w:val="List Bullet 2"/>
    <w:basedOn w:val="Normal"/>
    <w:pPr>
      <w:numPr>
        <w:numId w:val="6"/>
      </w:numPr>
    </w:pPr>
    <w:rPr>
      <w:rFonts w:eastAsia="Times New Roman"/>
      <w:lang w:val="fr-FR" w:eastAsia="en-GB"/>
    </w:rPr>
  </w:style>
  <w:style w:type="paragraph" w:customStyle="1" w:styleId="CM1">
    <w:name w:val="CM1"/>
    <w:basedOn w:val="Normal"/>
    <w:next w:val="Normal"/>
    <w:uiPriority w:val="99"/>
    <w:pPr>
      <w:autoSpaceDE w:val="0"/>
      <w:autoSpaceDN w:val="0"/>
      <w:adjustRightInd w:val="0"/>
      <w:spacing w:before="0" w:after="0"/>
      <w:jc w:val="left"/>
    </w:pPr>
    <w:rPr>
      <w:rFonts w:ascii="Helvetica Linotype" w:hAnsi="Helvetica Linotype" w:cstheme="minorBidi"/>
      <w:szCs w:val="24"/>
    </w:r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paragraph" w:styleId="ListParagraph">
    <w:name w:val="List Paragraph"/>
    <w:basedOn w:val="Normal"/>
    <w:uiPriority w:val="34"/>
    <w:qFormat/>
    <w:pPr>
      <w:spacing w:before="0" w:after="0"/>
      <w:ind w:left="720"/>
      <w:contextualSpacing/>
      <w:jc w:val="left"/>
    </w:pPr>
    <w:rPr>
      <w:rFonts w:eastAsia="Times New Roman"/>
      <w:szCs w:val="24"/>
      <w:lang w:eastAsia="en-GB"/>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customStyle="1" w:styleId="CM3">
    <w:name w:val="CM3"/>
    <w:basedOn w:val="Normal"/>
    <w:next w:val="Normal"/>
    <w:uiPriority w:val="99"/>
    <w:pPr>
      <w:autoSpaceDE w:val="0"/>
      <w:autoSpaceDN w:val="0"/>
      <w:adjustRightInd w:val="0"/>
      <w:spacing w:before="0" w:after="0"/>
      <w:jc w:val="left"/>
    </w:pPr>
    <w:rPr>
      <w:rFonts w:ascii="Helvetica Linotype" w:hAnsi="Helvetica Linotype" w:cstheme="minorBidi"/>
      <w:szCs w:val="24"/>
    </w:rPr>
  </w:style>
  <w:style w:type="paragraph" w:customStyle="1" w:styleId="CM14">
    <w:name w:val="CM1+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4">
    <w:name w:val="CM3+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44">
    <w:name w:val="CM4+4"/>
    <w:basedOn w:val="Normal"/>
    <w:next w:val="Normal"/>
    <w:uiPriority w:val="99"/>
    <w:pPr>
      <w:autoSpaceDE w:val="0"/>
      <w:autoSpaceDN w:val="0"/>
      <w:adjustRightInd w:val="0"/>
      <w:spacing w:before="0" w:after="0"/>
      <w:jc w:val="left"/>
    </w:pPr>
    <w:rPr>
      <w:rFonts w:ascii="EUAlbertina" w:hAnsi="EUAlbertina" w:cstheme="minorBidi"/>
      <w:szCs w:val="24"/>
    </w:rPr>
  </w:style>
  <w:style w:type="table" w:styleId="TableGrid">
    <w:name w:val="Table Grid"/>
    <w:basedOn w:val="TableProfessional"/>
    <w:pPr>
      <w:spacing w:before="0" w:after="0"/>
      <w:jc w:val="left"/>
    </w:pPr>
    <w:rPr>
      <w:rFonts w:eastAsiaTheme="minorEastAsia"/>
      <w:sz w:val="20"/>
      <w:szCs w:val="20"/>
      <w:lang w:val="nl-NL"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customStyle="1" w:styleId="Tabellenraster1">
    <w:name w:val="Tabellenraster1"/>
    <w:basedOn w:val="TableProfessional"/>
    <w:next w:val="TableGrid"/>
    <w:pPr>
      <w:spacing w:before="0" w:after="0"/>
      <w:jc w:val="left"/>
    </w:pPr>
    <w:rPr>
      <w:rFonts w:eastAsiaTheme="minorEastAsia"/>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pPr>
      <w:spacing w:before="120" w:after="12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CM11">
    <w:name w:val="CM1+1"/>
    <w:basedOn w:val="Normal"/>
    <w:next w:val="Normal"/>
    <w:uiPriority w:val="99"/>
    <w:pPr>
      <w:autoSpaceDE w:val="0"/>
      <w:autoSpaceDN w:val="0"/>
      <w:adjustRightInd w:val="0"/>
      <w:spacing w:before="0" w:after="0"/>
      <w:jc w:val="left"/>
    </w:pPr>
    <w:rPr>
      <w:rFonts w:ascii="Helvetica Linotype" w:hAnsi="Helvetica Linotype" w:cstheme="minorBidi"/>
      <w:szCs w:val="24"/>
    </w:rPr>
  </w:style>
  <w:style w:type="paragraph" w:customStyle="1" w:styleId="CM31">
    <w:name w:val="CM3+1"/>
    <w:basedOn w:val="Normal"/>
    <w:next w:val="Normal"/>
    <w:uiPriority w:val="99"/>
    <w:pPr>
      <w:autoSpaceDE w:val="0"/>
      <w:autoSpaceDN w:val="0"/>
      <w:adjustRightInd w:val="0"/>
      <w:spacing w:before="0" w:after="0"/>
      <w:jc w:val="left"/>
    </w:pPr>
    <w:rPr>
      <w:rFonts w:ascii="Helvetica Linotype" w:hAnsi="Helvetica Linotype" w:cstheme="minorBidi"/>
      <w:szCs w:val="24"/>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paragraph" w:customStyle="1" w:styleId="CM15">
    <w:name w:val="CM1+5"/>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5">
    <w:name w:val="CM3+5"/>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45">
    <w:name w:val="CM4+5"/>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Bullet">
    <w:name w:val="Bullet"/>
    <w:basedOn w:val="Normal"/>
    <w:pPr>
      <w:numPr>
        <w:numId w:val="11"/>
      </w:numPr>
      <w:spacing w:line="360" w:lineRule="auto"/>
      <w:jc w:val="left"/>
    </w:pPr>
    <w:rPr>
      <w:rFonts w:eastAsia="Times New Roman"/>
      <w:szCs w:val="24"/>
    </w:rPr>
  </w:style>
  <w:style w:type="paragraph" w:customStyle="1" w:styleId="DashEqual3">
    <w:name w:val="Dash Equal 3"/>
    <w:basedOn w:val="Normal"/>
    <w:pPr>
      <w:numPr>
        <w:numId w:val="10"/>
      </w:numPr>
      <w:spacing w:line="360" w:lineRule="auto"/>
      <w:jc w:val="left"/>
      <w:outlineLvl w:val="2"/>
    </w:pPr>
    <w:rPr>
      <w:rFonts w:eastAsia="Times New Roman"/>
      <w:szCs w:val="24"/>
    </w:rPr>
  </w:style>
  <w:style w:type="paragraph" w:customStyle="1" w:styleId="CM43">
    <w:name w:val="CM4+3"/>
    <w:basedOn w:val="Normal"/>
    <w:next w:val="Normal"/>
    <w:uiPriority w:val="99"/>
    <w:pPr>
      <w:autoSpaceDE w:val="0"/>
      <w:autoSpaceDN w:val="0"/>
      <w:adjustRightInd w:val="0"/>
      <w:spacing w:before="0" w:after="0"/>
      <w:jc w:val="left"/>
    </w:pPr>
    <w:rPr>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4"/>
      </w:numPr>
      <w:contextualSpacing/>
    </w:pPr>
  </w:style>
  <w:style w:type="paragraph" w:styleId="ListNumber3">
    <w:name w:val="List Number 3"/>
    <w:basedOn w:val="Normal"/>
    <w:uiPriority w:val="99"/>
    <w:semiHidden/>
    <w:unhideWhenUsed/>
    <w:pPr>
      <w:numPr>
        <w:numId w:val="15"/>
      </w:numPr>
      <w:contextualSpacing/>
    </w:pPr>
  </w:style>
  <w:style w:type="paragraph" w:styleId="ListNumber4">
    <w:name w:val="List Number 4"/>
    <w:basedOn w:val="Normal"/>
    <w:uiPriority w:val="99"/>
    <w:semiHidden/>
    <w:unhideWhenUsed/>
    <w:pPr>
      <w:numPr>
        <w:numId w:val="16"/>
      </w:numPr>
      <w:contextualSpacing/>
    </w:pPr>
  </w:style>
  <w:style w:type="paragraph" w:customStyle="1" w:styleId="FootNOTE">
    <w:name w:val="FootNOTE"/>
    <w:basedOn w:val="CM1"/>
    <w:pPr>
      <w:spacing w:before="200" w:after="200"/>
    </w:pPr>
  </w:style>
  <w:style w:type="paragraph" w:customStyle="1" w:styleId="CM13">
    <w:name w:val="CM1+3"/>
    <w:basedOn w:val="Normal"/>
    <w:next w:val="Normal"/>
    <w:uiPriority w:val="99"/>
    <w:pPr>
      <w:autoSpaceDE w:val="0"/>
      <w:autoSpaceDN w:val="0"/>
      <w:adjustRightInd w:val="0"/>
      <w:spacing w:before="0" w:after="0"/>
      <w:jc w:val="left"/>
    </w:pPr>
    <w:rPr>
      <w:rFonts w:ascii="Helvetica Linotype" w:hAnsi="Helvetica Linotype" w:cstheme="minorBidi"/>
      <w:szCs w:val="24"/>
    </w:rPr>
  </w:style>
  <w:style w:type="paragraph" w:customStyle="1" w:styleId="CM33">
    <w:name w:val="CM3+3"/>
    <w:basedOn w:val="Normal"/>
    <w:next w:val="Normal"/>
    <w:uiPriority w:val="99"/>
    <w:pPr>
      <w:autoSpaceDE w:val="0"/>
      <w:autoSpaceDN w:val="0"/>
      <w:adjustRightInd w:val="0"/>
      <w:spacing w:before="0" w:after="0"/>
      <w:jc w:val="left"/>
    </w:pPr>
    <w:rPr>
      <w:rFonts w:ascii="Helvetica Linotype" w:hAnsi="Helvetica Linotype" w:cstheme="minorBidi"/>
      <w:szCs w:val="24"/>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lang w:val="en-GB"/>
    </w:rPr>
  </w:style>
  <w:style w:type="paragraph" w:customStyle="1" w:styleId="FootnoteText1">
    <w:name w:val="Footnote Text1"/>
    <w:basedOn w:val="FootnoteText"/>
    <w:qFormat/>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8"/>
      </w:numPr>
    </w:pPr>
  </w:style>
  <w:style w:type="paragraph" w:customStyle="1" w:styleId="Tiret1">
    <w:name w:val="Tiret 1"/>
    <w:basedOn w:val="Point1"/>
    <w:pPr>
      <w:numPr>
        <w:numId w:val="69"/>
      </w:numPr>
    </w:pPr>
  </w:style>
  <w:style w:type="paragraph" w:customStyle="1" w:styleId="Tiret2">
    <w:name w:val="Tiret 2"/>
    <w:basedOn w:val="Point2"/>
    <w:pPr>
      <w:numPr>
        <w:numId w:val="70"/>
      </w:numPr>
    </w:pPr>
  </w:style>
  <w:style w:type="paragraph" w:customStyle="1" w:styleId="Tiret3">
    <w:name w:val="Tiret 3"/>
    <w:basedOn w:val="Point3"/>
    <w:pPr>
      <w:numPr>
        <w:numId w:val="71"/>
      </w:numPr>
    </w:pPr>
  </w:style>
  <w:style w:type="paragraph" w:customStyle="1" w:styleId="Tiret4">
    <w:name w:val="Tiret 4"/>
    <w:basedOn w:val="Point4"/>
    <w:pPr>
      <w:numPr>
        <w:numId w:val="7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3"/>
      </w:numPr>
    </w:pPr>
  </w:style>
  <w:style w:type="paragraph" w:customStyle="1" w:styleId="NumPar2">
    <w:name w:val="NumPar 2"/>
    <w:basedOn w:val="Normal"/>
    <w:next w:val="Text1"/>
    <w:pPr>
      <w:numPr>
        <w:ilvl w:val="1"/>
        <w:numId w:val="73"/>
      </w:numPr>
    </w:pPr>
  </w:style>
  <w:style w:type="paragraph" w:customStyle="1" w:styleId="NumPar3">
    <w:name w:val="NumPar 3"/>
    <w:basedOn w:val="Normal"/>
    <w:next w:val="Text1"/>
    <w:pPr>
      <w:numPr>
        <w:ilvl w:val="2"/>
        <w:numId w:val="73"/>
      </w:numPr>
    </w:pPr>
  </w:style>
  <w:style w:type="paragraph" w:customStyle="1" w:styleId="NumPar4">
    <w:name w:val="NumPar 4"/>
    <w:basedOn w:val="Normal"/>
    <w:next w:val="Text1"/>
    <w:pPr>
      <w:numPr>
        <w:ilvl w:val="3"/>
        <w:numId w:val="7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75"/>
      </w:numPr>
    </w:pPr>
  </w:style>
  <w:style w:type="paragraph" w:customStyle="1" w:styleId="Point1number">
    <w:name w:val="Point 1 (number)"/>
    <w:basedOn w:val="Normal"/>
    <w:pPr>
      <w:numPr>
        <w:ilvl w:val="2"/>
        <w:numId w:val="75"/>
      </w:numPr>
    </w:pPr>
  </w:style>
  <w:style w:type="paragraph" w:customStyle="1" w:styleId="Point2number">
    <w:name w:val="Point 2 (number)"/>
    <w:basedOn w:val="Normal"/>
    <w:pPr>
      <w:numPr>
        <w:ilvl w:val="4"/>
        <w:numId w:val="75"/>
      </w:numPr>
    </w:pPr>
  </w:style>
  <w:style w:type="paragraph" w:customStyle="1" w:styleId="Point3number">
    <w:name w:val="Point 3 (number)"/>
    <w:basedOn w:val="Normal"/>
    <w:pPr>
      <w:numPr>
        <w:ilvl w:val="6"/>
        <w:numId w:val="75"/>
      </w:numPr>
    </w:pPr>
  </w:style>
  <w:style w:type="paragraph" w:customStyle="1" w:styleId="Point0letter">
    <w:name w:val="Point 0 (letter)"/>
    <w:basedOn w:val="Normal"/>
    <w:pPr>
      <w:numPr>
        <w:ilvl w:val="1"/>
        <w:numId w:val="75"/>
      </w:numPr>
    </w:pPr>
  </w:style>
  <w:style w:type="paragraph" w:customStyle="1" w:styleId="Point1letter">
    <w:name w:val="Point 1 (letter)"/>
    <w:basedOn w:val="Normal"/>
    <w:pPr>
      <w:numPr>
        <w:ilvl w:val="3"/>
        <w:numId w:val="75"/>
      </w:numPr>
    </w:pPr>
  </w:style>
  <w:style w:type="paragraph" w:customStyle="1" w:styleId="Point2letter">
    <w:name w:val="Point 2 (letter)"/>
    <w:basedOn w:val="Normal"/>
    <w:pPr>
      <w:numPr>
        <w:ilvl w:val="5"/>
        <w:numId w:val="75"/>
      </w:numPr>
    </w:pPr>
  </w:style>
  <w:style w:type="paragraph" w:customStyle="1" w:styleId="Point3letter">
    <w:name w:val="Point 3 (letter)"/>
    <w:basedOn w:val="Normal"/>
    <w:pPr>
      <w:numPr>
        <w:ilvl w:val="7"/>
        <w:numId w:val="75"/>
      </w:numPr>
    </w:pPr>
  </w:style>
  <w:style w:type="paragraph" w:customStyle="1" w:styleId="Point4letter">
    <w:name w:val="Point 4 (letter)"/>
    <w:basedOn w:val="Normal"/>
    <w:pPr>
      <w:numPr>
        <w:ilvl w:val="8"/>
        <w:numId w:val="75"/>
      </w:numPr>
    </w:pPr>
  </w:style>
  <w:style w:type="paragraph" w:customStyle="1" w:styleId="Bullet0">
    <w:name w:val="Bullet 0"/>
    <w:basedOn w:val="Normal"/>
    <w:pPr>
      <w:numPr>
        <w:numId w:val="76"/>
      </w:numPr>
    </w:pPr>
  </w:style>
  <w:style w:type="paragraph" w:customStyle="1" w:styleId="Bullet1">
    <w:name w:val="Bullet 1"/>
    <w:basedOn w:val="Normal"/>
    <w:pPr>
      <w:numPr>
        <w:numId w:val="77"/>
      </w:numPr>
    </w:pPr>
  </w:style>
  <w:style w:type="paragraph" w:customStyle="1" w:styleId="Bullet2">
    <w:name w:val="Bullet 2"/>
    <w:basedOn w:val="Normal"/>
    <w:pPr>
      <w:numPr>
        <w:numId w:val="78"/>
      </w:numPr>
    </w:pPr>
  </w:style>
  <w:style w:type="paragraph" w:customStyle="1" w:styleId="Bullet3">
    <w:name w:val="Bullet 3"/>
    <w:basedOn w:val="Normal"/>
    <w:pPr>
      <w:numPr>
        <w:numId w:val="79"/>
      </w:numPr>
    </w:pPr>
  </w:style>
  <w:style w:type="paragraph" w:customStyle="1" w:styleId="Bullet4">
    <w:name w:val="Bullet 4"/>
    <w:basedOn w:val="Normal"/>
    <w:pPr>
      <w:numPr>
        <w:numId w:val="8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8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7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7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7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74"/>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lang w:val="fr-FR" w:eastAsia="en-GB"/>
    </w:rPr>
  </w:style>
  <w:style w:type="paragraph" w:styleId="ListBullet2">
    <w:name w:val="List Bullet 2"/>
    <w:basedOn w:val="Normal"/>
    <w:pPr>
      <w:numPr>
        <w:numId w:val="6"/>
      </w:numPr>
    </w:pPr>
    <w:rPr>
      <w:rFonts w:eastAsia="Times New Roman"/>
      <w:lang w:val="fr-FR" w:eastAsia="en-GB"/>
    </w:rPr>
  </w:style>
  <w:style w:type="paragraph" w:customStyle="1" w:styleId="CM1">
    <w:name w:val="CM1"/>
    <w:basedOn w:val="Normal"/>
    <w:next w:val="Normal"/>
    <w:uiPriority w:val="99"/>
    <w:pPr>
      <w:autoSpaceDE w:val="0"/>
      <w:autoSpaceDN w:val="0"/>
      <w:adjustRightInd w:val="0"/>
      <w:spacing w:before="0" w:after="0"/>
      <w:jc w:val="left"/>
    </w:pPr>
    <w:rPr>
      <w:rFonts w:ascii="Helvetica Linotype" w:hAnsi="Helvetica Linotype" w:cstheme="minorBidi"/>
      <w:szCs w:val="24"/>
    </w:r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paragraph" w:styleId="ListParagraph">
    <w:name w:val="List Paragraph"/>
    <w:basedOn w:val="Normal"/>
    <w:uiPriority w:val="34"/>
    <w:qFormat/>
    <w:pPr>
      <w:spacing w:before="0" w:after="0"/>
      <w:ind w:left="720"/>
      <w:contextualSpacing/>
      <w:jc w:val="left"/>
    </w:pPr>
    <w:rPr>
      <w:rFonts w:eastAsia="Times New Roman"/>
      <w:szCs w:val="24"/>
      <w:lang w:eastAsia="en-GB"/>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customStyle="1" w:styleId="CM3">
    <w:name w:val="CM3"/>
    <w:basedOn w:val="Normal"/>
    <w:next w:val="Normal"/>
    <w:uiPriority w:val="99"/>
    <w:pPr>
      <w:autoSpaceDE w:val="0"/>
      <w:autoSpaceDN w:val="0"/>
      <w:adjustRightInd w:val="0"/>
      <w:spacing w:before="0" w:after="0"/>
      <w:jc w:val="left"/>
    </w:pPr>
    <w:rPr>
      <w:rFonts w:ascii="Helvetica Linotype" w:hAnsi="Helvetica Linotype" w:cstheme="minorBidi"/>
      <w:szCs w:val="24"/>
    </w:rPr>
  </w:style>
  <w:style w:type="paragraph" w:customStyle="1" w:styleId="CM14">
    <w:name w:val="CM1+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4">
    <w:name w:val="CM3+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44">
    <w:name w:val="CM4+4"/>
    <w:basedOn w:val="Normal"/>
    <w:next w:val="Normal"/>
    <w:uiPriority w:val="99"/>
    <w:pPr>
      <w:autoSpaceDE w:val="0"/>
      <w:autoSpaceDN w:val="0"/>
      <w:adjustRightInd w:val="0"/>
      <w:spacing w:before="0" w:after="0"/>
      <w:jc w:val="left"/>
    </w:pPr>
    <w:rPr>
      <w:rFonts w:ascii="EUAlbertina" w:hAnsi="EUAlbertina" w:cstheme="minorBidi"/>
      <w:szCs w:val="24"/>
    </w:rPr>
  </w:style>
  <w:style w:type="table" w:styleId="TableGrid">
    <w:name w:val="Table Grid"/>
    <w:basedOn w:val="TableProfessional"/>
    <w:pPr>
      <w:spacing w:before="0" w:after="0"/>
      <w:jc w:val="left"/>
    </w:pPr>
    <w:rPr>
      <w:rFonts w:eastAsiaTheme="minorEastAsia"/>
      <w:sz w:val="20"/>
      <w:szCs w:val="20"/>
      <w:lang w:val="nl-NL"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customStyle="1" w:styleId="Tabellenraster1">
    <w:name w:val="Tabellenraster1"/>
    <w:basedOn w:val="TableProfessional"/>
    <w:next w:val="TableGrid"/>
    <w:pPr>
      <w:spacing w:before="0" w:after="0"/>
      <w:jc w:val="left"/>
    </w:pPr>
    <w:rPr>
      <w:rFonts w:eastAsiaTheme="minorEastAsia"/>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pPr>
      <w:spacing w:before="120" w:after="12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CM11">
    <w:name w:val="CM1+1"/>
    <w:basedOn w:val="Normal"/>
    <w:next w:val="Normal"/>
    <w:uiPriority w:val="99"/>
    <w:pPr>
      <w:autoSpaceDE w:val="0"/>
      <w:autoSpaceDN w:val="0"/>
      <w:adjustRightInd w:val="0"/>
      <w:spacing w:before="0" w:after="0"/>
      <w:jc w:val="left"/>
    </w:pPr>
    <w:rPr>
      <w:rFonts w:ascii="Helvetica Linotype" w:hAnsi="Helvetica Linotype" w:cstheme="minorBidi"/>
      <w:szCs w:val="24"/>
    </w:rPr>
  </w:style>
  <w:style w:type="paragraph" w:customStyle="1" w:styleId="CM31">
    <w:name w:val="CM3+1"/>
    <w:basedOn w:val="Normal"/>
    <w:next w:val="Normal"/>
    <w:uiPriority w:val="99"/>
    <w:pPr>
      <w:autoSpaceDE w:val="0"/>
      <w:autoSpaceDN w:val="0"/>
      <w:adjustRightInd w:val="0"/>
      <w:spacing w:before="0" w:after="0"/>
      <w:jc w:val="left"/>
    </w:pPr>
    <w:rPr>
      <w:rFonts w:ascii="Helvetica Linotype" w:hAnsi="Helvetica Linotype" w:cstheme="minorBidi"/>
      <w:szCs w:val="24"/>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paragraph" w:customStyle="1" w:styleId="CM15">
    <w:name w:val="CM1+5"/>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5">
    <w:name w:val="CM3+5"/>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45">
    <w:name w:val="CM4+5"/>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Bullet">
    <w:name w:val="Bullet"/>
    <w:basedOn w:val="Normal"/>
    <w:pPr>
      <w:numPr>
        <w:numId w:val="11"/>
      </w:numPr>
      <w:spacing w:line="360" w:lineRule="auto"/>
      <w:jc w:val="left"/>
    </w:pPr>
    <w:rPr>
      <w:rFonts w:eastAsia="Times New Roman"/>
      <w:szCs w:val="24"/>
    </w:rPr>
  </w:style>
  <w:style w:type="paragraph" w:customStyle="1" w:styleId="DashEqual3">
    <w:name w:val="Dash Equal 3"/>
    <w:basedOn w:val="Normal"/>
    <w:pPr>
      <w:numPr>
        <w:numId w:val="10"/>
      </w:numPr>
      <w:spacing w:line="360" w:lineRule="auto"/>
      <w:jc w:val="left"/>
      <w:outlineLvl w:val="2"/>
    </w:pPr>
    <w:rPr>
      <w:rFonts w:eastAsia="Times New Roman"/>
      <w:szCs w:val="24"/>
    </w:rPr>
  </w:style>
  <w:style w:type="paragraph" w:customStyle="1" w:styleId="CM43">
    <w:name w:val="CM4+3"/>
    <w:basedOn w:val="Normal"/>
    <w:next w:val="Normal"/>
    <w:uiPriority w:val="99"/>
    <w:pPr>
      <w:autoSpaceDE w:val="0"/>
      <w:autoSpaceDN w:val="0"/>
      <w:adjustRightInd w:val="0"/>
      <w:spacing w:before="0" w:after="0"/>
      <w:jc w:val="left"/>
    </w:pPr>
    <w:rPr>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4"/>
      </w:numPr>
      <w:contextualSpacing/>
    </w:pPr>
  </w:style>
  <w:style w:type="paragraph" w:styleId="ListNumber3">
    <w:name w:val="List Number 3"/>
    <w:basedOn w:val="Normal"/>
    <w:uiPriority w:val="99"/>
    <w:semiHidden/>
    <w:unhideWhenUsed/>
    <w:pPr>
      <w:numPr>
        <w:numId w:val="15"/>
      </w:numPr>
      <w:contextualSpacing/>
    </w:pPr>
  </w:style>
  <w:style w:type="paragraph" w:styleId="ListNumber4">
    <w:name w:val="List Number 4"/>
    <w:basedOn w:val="Normal"/>
    <w:uiPriority w:val="99"/>
    <w:semiHidden/>
    <w:unhideWhenUsed/>
    <w:pPr>
      <w:numPr>
        <w:numId w:val="16"/>
      </w:numPr>
      <w:contextualSpacing/>
    </w:pPr>
  </w:style>
  <w:style w:type="paragraph" w:customStyle="1" w:styleId="FootNOTE">
    <w:name w:val="FootNOTE"/>
    <w:basedOn w:val="CM1"/>
    <w:pPr>
      <w:spacing w:before="200" w:after="200"/>
    </w:pPr>
  </w:style>
  <w:style w:type="paragraph" w:customStyle="1" w:styleId="CM13">
    <w:name w:val="CM1+3"/>
    <w:basedOn w:val="Normal"/>
    <w:next w:val="Normal"/>
    <w:uiPriority w:val="99"/>
    <w:pPr>
      <w:autoSpaceDE w:val="0"/>
      <w:autoSpaceDN w:val="0"/>
      <w:adjustRightInd w:val="0"/>
      <w:spacing w:before="0" w:after="0"/>
      <w:jc w:val="left"/>
    </w:pPr>
    <w:rPr>
      <w:rFonts w:ascii="Helvetica Linotype" w:hAnsi="Helvetica Linotype" w:cstheme="minorBidi"/>
      <w:szCs w:val="24"/>
    </w:rPr>
  </w:style>
  <w:style w:type="paragraph" w:customStyle="1" w:styleId="CM33">
    <w:name w:val="CM3+3"/>
    <w:basedOn w:val="Normal"/>
    <w:next w:val="Normal"/>
    <w:uiPriority w:val="99"/>
    <w:pPr>
      <w:autoSpaceDE w:val="0"/>
      <w:autoSpaceDN w:val="0"/>
      <w:adjustRightInd w:val="0"/>
      <w:spacing w:before="0" w:after="0"/>
      <w:jc w:val="left"/>
    </w:pPr>
    <w:rPr>
      <w:rFonts w:ascii="Helvetica Linotype" w:hAnsi="Helvetica Linotype" w:cstheme="minorBidi"/>
      <w:szCs w:val="24"/>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lang w:val="en-GB"/>
    </w:rPr>
  </w:style>
  <w:style w:type="paragraph" w:customStyle="1" w:styleId="FootnoteText1">
    <w:name w:val="Footnote Text1"/>
    <w:basedOn w:val="FootnoteText"/>
    <w:qFormat/>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8"/>
      </w:numPr>
    </w:pPr>
  </w:style>
  <w:style w:type="paragraph" w:customStyle="1" w:styleId="Tiret1">
    <w:name w:val="Tiret 1"/>
    <w:basedOn w:val="Point1"/>
    <w:pPr>
      <w:numPr>
        <w:numId w:val="69"/>
      </w:numPr>
    </w:pPr>
  </w:style>
  <w:style w:type="paragraph" w:customStyle="1" w:styleId="Tiret2">
    <w:name w:val="Tiret 2"/>
    <w:basedOn w:val="Point2"/>
    <w:pPr>
      <w:numPr>
        <w:numId w:val="70"/>
      </w:numPr>
    </w:pPr>
  </w:style>
  <w:style w:type="paragraph" w:customStyle="1" w:styleId="Tiret3">
    <w:name w:val="Tiret 3"/>
    <w:basedOn w:val="Point3"/>
    <w:pPr>
      <w:numPr>
        <w:numId w:val="71"/>
      </w:numPr>
    </w:pPr>
  </w:style>
  <w:style w:type="paragraph" w:customStyle="1" w:styleId="Tiret4">
    <w:name w:val="Tiret 4"/>
    <w:basedOn w:val="Point4"/>
    <w:pPr>
      <w:numPr>
        <w:numId w:val="7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3"/>
      </w:numPr>
    </w:pPr>
  </w:style>
  <w:style w:type="paragraph" w:customStyle="1" w:styleId="NumPar2">
    <w:name w:val="NumPar 2"/>
    <w:basedOn w:val="Normal"/>
    <w:next w:val="Text1"/>
    <w:pPr>
      <w:numPr>
        <w:ilvl w:val="1"/>
        <w:numId w:val="73"/>
      </w:numPr>
    </w:pPr>
  </w:style>
  <w:style w:type="paragraph" w:customStyle="1" w:styleId="NumPar3">
    <w:name w:val="NumPar 3"/>
    <w:basedOn w:val="Normal"/>
    <w:next w:val="Text1"/>
    <w:pPr>
      <w:numPr>
        <w:ilvl w:val="2"/>
        <w:numId w:val="73"/>
      </w:numPr>
    </w:pPr>
  </w:style>
  <w:style w:type="paragraph" w:customStyle="1" w:styleId="NumPar4">
    <w:name w:val="NumPar 4"/>
    <w:basedOn w:val="Normal"/>
    <w:next w:val="Text1"/>
    <w:pPr>
      <w:numPr>
        <w:ilvl w:val="3"/>
        <w:numId w:val="7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75"/>
      </w:numPr>
    </w:pPr>
  </w:style>
  <w:style w:type="paragraph" w:customStyle="1" w:styleId="Point1number">
    <w:name w:val="Point 1 (number)"/>
    <w:basedOn w:val="Normal"/>
    <w:pPr>
      <w:numPr>
        <w:ilvl w:val="2"/>
        <w:numId w:val="75"/>
      </w:numPr>
    </w:pPr>
  </w:style>
  <w:style w:type="paragraph" w:customStyle="1" w:styleId="Point2number">
    <w:name w:val="Point 2 (number)"/>
    <w:basedOn w:val="Normal"/>
    <w:pPr>
      <w:numPr>
        <w:ilvl w:val="4"/>
        <w:numId w:val="75"/>
      </w:numPr>
    </w:pPr>
  </w:style>
  <w:style w:type="paragraph" w:customStyle="1" w:styleId="Point3number">
    <w:name w:val="Point 3 (number)"/>
    <w:basedOn w:val="Normal"/>
    <w:pPr>
      <w:numPr>
        <w:ilvl w:val="6"/>
        <w:numId w:val="75"/>
      </w:numPr>
    </w:pPr>
  </w:style>
  <w:style w:type="paragraph" w:customStyle="1" w:styleId="Point0letter">
    <w:name w:val="Point 0 (letter)"/>
    <w:basedOn w:val="Normal"/>
    <w:pPr>
      <w:numPr>
        <w:ilvl w:val="1"/>
        <w:numId w:val="75"/>
      </w:numPr>
    </w:pPr>
  </w:style>
  <w:style w:type="paragraph" w:customStyle="1" w:styleId="Point1letter">
    <w:name w:val="Point 1 (letter)"/>
    <w:basedOn w:val="Normal"/>
    <w:pPr>
      <w:numPr>
        <w:ilvl w:val="3"/>
        <w:numId w:val="75"/>
      </w:numPr>
    </w:pPr>
  </w:style>
  <w:style w:type="paragraph" w:customStyle="1" w:styleId="Point2letter">
    <w:name w:val="Point 2 (letter)"/>
    <w:basedOn w:val="Normal"/>
    <w:pPr>
      <w:numPr>
        <w:ilvl w:val="5"/>
        <w:numId w:val="75"/>
      </w:numPr>
    </w:pPr>
  </w:style>
  <w:style w:type="paragraph" w:customStyle="1" w:styleId="Point3letter">
    <w:name w:val="Point 3 (letter)"/>
    <w:basedOn w:val="Normal"/>
    <w:pPr>
      <w:numPr>
        <w:ilvl w:val="7"/>
        <w:numId w:val="75"/>
      </w:numPr>
    </w:pPr>
  </w:style>
  <w:style w:type="paragraph" w:customStyle="1" w:styleId="Point4letter">
    <w:name w:val="Point 4 (letter)"/>
    <w:basedOn w:val="Normal"/>
    <w:pPr>
      <w:numPr>
        <w:ilvl w:val="8"/>
        <w:numId w:val="75"/>
      </w:numPr>
    </w:pPr>
  </w:style>
  <w:style w:type="paragraph" w:customStyle="1" w:styleId="Bullet0">
    <w:name w:val="Bullet 0"/>
    <w:basedOn w:val="Normal"/>
    <w:pPr>
      <w:numPr>
        <w:numId w:val="76"/>
      </w:numPr>
    </w:pPr>
  </w:style>
  <w:style w:type="paragraph" w:customStyle="1" w:styleId="Bullet1">
    <w:name w:val="Bullet 1"/>
    <w:basedOn w:val="Normal"/>
    <w:pPr>
      <w:numPr>
        <w:numId w:val="77"/>
      </w:numPr>
    </w:pPr>
  </w:style>
  <w:style w:type="paragraph" w:customStyle="1" w:styleId="Bullet2">
    <w:name w:val="Bullet 2"/>
    <w:basedOn w:val="Normal"/>
    <w:pPr>
      <w:numPr>
        <w:numId w:val="78"/>
      </w:numPr>
    </w:pPr>
  </w:style>
  <w:style w:type="paragraph" w:customStyle="1" w:styleId="Bullet3">
    <w:name w:val="Bullet 3"/>
    <w:basedOn w:val="Normal"/>
    <w:pPr>
      <w:numPr>
        <w:numId w:val="79"/>
      </w:numPr>
    </w:pPr>
  </w:style>
  <w:style w:type="paragraph" w:customStyle="1" w:styleId="Bullet4">
    <w:name w:val="Bullet 4"/>
    <w:basedOn w:val="Normal"/>
    <w:pPr>
      <w:numPr>
        <w:numId w:val="8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8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1242">
      <w:bodyDiv w:val="1"/>
      <w:marLeft w:val="0"/>
      <w:marRight w:val="0"/>
      <w:marTop w:val="0"/>
      <w:marBottom w:val="0"/>
      <w:divBdr>
        <w:top w:val="none" w:sz="0" w:space="0" w:color="auto"/>
        <w:left w:val="none" w:sz="0" w:space="0" w:color="auto"/>
        <w:bottom w:val="none" w:sz="0" w:space="0" w:color="auto"/>
        <w:right w:val="none" w:sz="0" w:space="0" w:color="auto"/>
      </w:divBdr>
    </w:div>
    <w:div w:id="523594429">
      <w:bodyDiv w:val="1"/>
      <w:marLeft w:val="0"/>
      <w:marRight w:val="0"/>
      <w:marTop w:val="0"/>
      <w:marBottom w:val="0"/>
      <w:divBdr>
        <w:top w:val="none" w:sz="0" w:space="0" w:color="auto"/>
        <w:left w:val="none" w:sz="0" w:space="0" w:color="auto"/>
        <w:bottom w:val="none" w:sz="0" w:space="0" w:color="auto"/>
        <w:right w:val="none" w:sz="0" w:space="0" w:color="auto"/>
      </w:divBdr>
    </w:div>
    <w:div w:id="657809874">
      <w:bodyDiv w:val="1"/>
      <w:marLeft w:val="0"/>
      <w:marRight w:val="0"/>
      <w:marTop w:val="0"/>
      <w:marBottom w:val="0"/>
      <w:divBdr>
        <w:top w:val="none" w:sz="0" w:space="0" w:color="auto"/>
        <w:left w:val="none" w:sz="0" w:space="0" w:color="auto"/>
        <w:bottom w:val="none" w:sz="0" w:space="0" w:color="auto"/>
        <w:right w:val="none" w:sz="0" w:space="0" w:color="auto"/>
      </w:divBdr>
    </w:div>
    <w:div w:id="830826722">
      <w:bodyDiv w:val="1"/>
      <w:marLeft w:val="0"/>
      <w:marRight w:val="0"/>
      <w:marTop w:val="0"/>
      <w:marBottom w:val="0"/>
      <w:divBdr>
        <w:top w:val="none" w:sz="0" w:space="0" w:color="auto"/>
        <w:left w:val="none" w:sz="0" w:space="0" w:color="auto"/>
        <w:bottom w:val="none" w:sz="0" w:space="0" w:color="auto"/>
        <w:right w:val="none" w:sz="0" w:space="0" w:color="auto"/>
      </w:divBdr>
    </w:div>
    <w:div w:id="925502642">
      <w:bodyDiv w:val="1"/>
      <w:marLeft w:val="0"/>
      <w:marRight w:val="0"/>
      <w:marTop w:val="0"/>
      <w:marBottom w:val="0"/>
      <w:divBdr>
        <w:top w:val="none" w:sz="0" w:space="0" w:color="auto"/>
        <w:left w:val="none" w:sz="0" w:space="0" w:color="auto"/>
        <w:bottom w:val="none" w:sz="0" w:space="0" w:color="auto"/>
        <w:right w:val="none" w:sz="0" w:space="0" w:color="auto"/>
      </w:divBdr>
    </w:div>
    <w:div w:id="1003358944">
      <w:bodyDiv w:val="1"/>
      <w:marLeft w:val="0"/>
      <w:marRight w:val="0"/>
      <w:marTop w:val="0"/>
      <w:marBottom w:val="0"/>
      <w:divBdr>
        <w:top w:val="none" w:sz="0" w:space="0" w:color="auto"/>
        <w:left w:val="none" w:sz="0" w:space="0" w:color="auto"/>
        <w:bottom w:val="none" w:sz="0" w:space="0" w:color="auto"/>
        <w:right w:val="none" w:sz="0" w:space="0" w:color="auto"/>
      </w:divBdr>
    </w:div>
    <w:div w:id="1025058666">
      <w:bodyDiv w:val="1"/>
      <w:marLeft w:val="0"/>
      <w:marRight w:val="0"/>
      <w:marTop w:val="0"/>
      <w:marBottom w:val="0"/>
      <w:divBdr>
        <w:top w:val="none" w:sz="0" w:space="0" w:color="auto"/>
        <w:left w:val="none" w:sz="0" w:space="0" w:color="auto"/>
        <w:bottom w:val="none" w:sz="0" w:space="0" w:color="auto"/>
        <w:right w:val="none" w:sz="0" w:space="0" w:color="auto"/>
      </w:divBdr>
    </w:div>
    <w:div w:id="1100099663">
      <w:bodyDiv w:val="1"/>
      <w:marLeft w:val="0"/>
      <w:marRight w:val="0"/>
      <w:marTop w:val="0"/>
      <w:marBottom w:val="0"/>
      <w:divBdr>
        <w:top w:val="none" w:sz="0" w:space="0" w:color="auto"/>
        <w:left w:val="none" w:sz="0" w:space="0" w:color="auto"/>
        <w:bottom w:val="none" w:sz="0" w:space="0" w:color="auto"/>
        <w:right w:val="none" w:sz="0" w:space="0" w:color="auto"/>
      </w:divBdr>
      <w:divsChild>
        <w:div w:id="18941772">
          <w:marLeft w:val="0"/>
          <w:marRight w:val="0"/>
          <w:marTop w:val="0"/>
          <w:marBottom w:val="0"/>
          <w:divBdr>
            <w:top w:val="none" w:sz="0" w:space="0" w:color="auto"/>
            <w:left w:val="none" w:sz="0" w:space="0" w:color="auto"/>
            <w:bottom w:val="none" w:sz="0" w:space="0" w:color="auto"/>
            <w:right w:val="none" w:sz="0" w:space="0" w:color="auto"/>
          </w:divBdr>
        </w:div>
        <w:div w:id="176962658">
          <w:marLeft w:val="0"/>
          <w:marRight w:val="0"/>
          <w:marTop w:val="0"/>
          <w:marBottom w:val="0"/>
          <w:divBdr>
            <w:top w:val="none" w:sz="0" w:space="0" w:color="auto"/>
            <w:left w:val="none" w:sz="0" w:space="0" w:color="auto"/>
            <w:bottom w:val="none" w:sz="0" w:space="0" w:color="auto"/>
            <w:right w:val="none" w:sz="0" w:space="0" w:color="auto"/>
          </w:divBdr>
        </w:div>
        <w:div w:id="200167920">
          <w:marLeft w:val="0"/>
          <w:marRight w:val="0"/>
          <w:marTop w:val="0"/>
          <w:marBottom w:val="0"/>
          <w:divBdr>
            <w:top w:val="none" w:sz="0" w:space="0" w:color="auto"/>
            <w:left w:val="none" w:sz="0" w:space="0" w:color="auto"/>
            <w:bottom w:val="none" w:sz="0" w:space="0" w:color="auto"/>
            <w:right w:val="none" w:sz="0" w:space="0" w:color="auto"/>
          </w:divBdr>
        </w:div>
        <w:div w:id="268895574">
          <w:marLeft w:val="0"/>
          <w:marRight w:val="0"/>
          <w:marTop w:val="0"/>
          <w:marBottom w:val="0"/>
          <w:divBdr>
            <w:top w:val="none" w:sz="0" w:space="0" w:color="auto"/>
            <w:left w:val="none" w:sz="0" w:space="0" w:color="auto"/>
            <w:bottom w:val="none" w:sz="0" w:space="0" w:color="auto"/>
            <w:right w:val="none" w:sz="0" w:space="0" w:color="auto"/>
          </w:divBdr>
        </w:div>
        <w:div w:id="300379087">
          <w:marLeft w:val="0"/>
          <w:marRight w:val="0"/>
          <w:marTop w:val="0"/>
          <w:marBottom w:val="0"/>
          <w:divBdr>
            <w:top w:val="none" w:sz="0" w:space="0" w:color="auto"/>
            <w:left w:val="none" w:sz="0" w:space="0" w:color="auto"/>
            <w:bottom w:val="none" w:sz="0" w:space="0" w:color="auto"/>
            <w:right w:val="none" w:sz="0" w:space="0" w:color="auto"/>
          </w:divBdr>
        </w:div>
        <w:div w:id="381292034">
          <w:marLeft w:val="0"/>
          <w:marRight w:val="0"/>
          <w:marTop w:val="0"/>
          <w:marBottom w:val="0"/>
          <w:divBdr>
            <w:top w:val="none" w:sz="0" w:space="0" w:color="auto"/>
            <w:left w:val="none" w:sz="0" w:space="0" w:color="auto"/>
            <w:bottom w:val="none" w:sz="0" w:space="0" w:color="auto"/>
            <w:right w:val="none" w:sz="0" w:space="0" w:color="auto"/>
          </w:divBdr>
        </w:div>
        <w:div w:id="551966743">
          <w:marLeft w:val="0"/>
          <w:marRight w:val="0"/>
          <w:marTop w:val="0"/>
          <w:marBottom w:val="0"/>
          <w:divBdr>
            <w:top w:val="none" w:sz="0" w:space="0" w:color="auto"/>
            <w:left w:val="none" w:sz="0" w:space="0" w:color="auto"/>
            <w:bottom w:val="none" w:sz="0" w:space="0" w:color="auto"/>
            <w:right w:val="none" w:sz="0" w:space="0" w:color="auto"/>
          </w:divBdr>
        </w:div>
        <w:div w:id="594632383">
          <w:marLeft w:val="0"/>
          <w:marRight w:val="0"/>
          <w:marTop w:val="0"/>
          <w:marBottom w:val="0"/>
          <w:divBdr>
            <w:top w:val="none" w:sz="0" w:space="0" w:color="auto"/>
            <w:left w:val="none" w:sz="0" w:space="0" w:color="auto"/>
            <w:bottom w:val="none" w:sz="0" w:space="0" w:color="auto"/>
            <w:right w:val="none" w:sz="0" w:space="0" w:color="auto"/>
          </w:divBdr>
        </w:div>
        <w:div w:id="672806181">
          <w:marLeft w:val="0"/>
          <w:marRight w:val="0"/>
          <w:marTop w:val="0"/>
          <w:marBottom w:val="0"/>
          <w:divBdr>
            <w:top w:val="none" w:sz="0" w:space="0" w:color="auto"/>
            <w:left w:val="none" w:sz="0" w:space="0" w:color="auto"/>
            <w:bottom w:val="none" w:sz="0" w:space="0" w:color="auto"/>
            <w:right w:val="none" w:sz="0" w:space="0" w:color="auto"/>
          </w:divBdr>
        </w:div>
        <w:div w:id="700785137">
          <w:marLeft w:val="0"/>
          <w:marRight w:val="0"/>
          <w:marTop w:val="0"/>
          <w:marBottom w:val="0"/>
          <w:divBdr>
            <w:top w:val="none" w:sz="0" w:space="0" w:color="auto"/>
            <w:left w:val="none" w:sz="0" w:space="0" w:color="auto"/>
            <w:bottom w:val="none" w:sz="0" w:space="0" w:color="auto"/>
            <w:right w:val="none" w:sz="0" w:space="0" w:color="auto"/>
          </w:divBdr>
        </w:div>
        <w:div w:id="880092057">
          <w:marLeft w:val="0"/>
          <w:marRight w:val="0"/>
          <w:marTop w:val="0"/>
          <w:marBottom w:val="0"/>
          <w:divBdr>
            <w:top w:val="none" w:sz="0" w:space="0" w:color="auto"/>
            <w:left w:val="none" w:sz="0" w:space="0" w:color="auto"/>
            <w:bottom w:val="none" w:sz="0" w:space="0" w:color="auto"/>
            <w:right w:val="none" w:sz="0" w:space="0" w:color="auto"/>
          </w:divBdr>
        </w:div>
        <w:div w:id="954753105">
          <w:marLeft w:val="0"/>
          <w:marRight w:val="0"/>
          <w:marTop w:val="0"/>
          <w:marBottom w:val="0"/>
          <w:divBdr>
            <w:top w:val="none" w:sz="0" w:space="0" w:color="auto"/>
            <w:left w:val="none" w:sz="0" w:space="0" w:color="auto"/>
            <w:bottom w:val="none" w:sz="0" w:space="0" w:color="auto"/>
            <w:right w:val="none" w:sz="0" w:space="0" w:color="auto"/>
          </w:divBdr>
        </w:div>
        <w:div w:id="1440180389">
          <w:marLeft w:val="0"/>
          <w:marRight w:val="0"/>
          <w:marTop w:val="0"/>
          <w:marBottom w:val="0"/>
          <w:divBdr>
            <w:top w:val="none" w:sz="0" w:space="0" w:color="auto"/>
            <w:left w:val="none" w:sz="0" w:space="0" w:color="auto"/>
            <w:bottom w:val="none" w:sz="0" w:space="0" w:color="auto"/>
            <w:right w:val="none" w:sz="0" w:space="0" w:color="auto"/>
          </w:divBdr>
        </w:div>
        <w:div w:id="1574387577">
          <w:marLeft w:val="0"/>
          <w:marRight w:val="0"/>
          <w:marTop w:val="0"/>
          <w:marBottom w:val="0"/>
          <w:divBdr>
            <w:top w:val="none" w:sz="0" w:space="0" w:color="auto"/>
            <w:left w:val="none" w:sz="0" w:space="0" w:color="auto"/>
            <w:bottom w:val="none" w:sz="0" w:space="0" w:color="auto"/>
            <w:right w:val="none" w:sz="0" w:space="0" w:color="auto"/>
          </w:divBdr>
        </w:div>
        <w:div w:id="1615012809">
          <w:marLeft w:val="0"/>
          <w:marRight w:val="0"/>
          <w:marTop w:val="0"/>
          <w:marBottom w:val="0"/>
          <w:divBdr>
            <w:top w:val="none" w:sz="0" w:space="0" w:color="auto"/>
            <w:left w:val="none" w:sz="0" w:space="0" w:color="auto"/>
            <w:bottom w:val="none" w:sz="0" w:space="0" w:color="auto"/>
            <w:right w:val="none" w:sz="0" w:space="0" w:color="auto"/>
          </w:divBdr>
        </w:div>
        <w:div w:id="1852988056">
          <w:marLeft w:val="0"/>
          <w:marRight w:val="0"/>
          <w:marTop w:val="0"/>
          <w:marBottom w:val="0"/>
          <w:divBdr>
            <w:top w:val="none" w:sz="0" w:space="0" w:color="auto"/>
            <w:left w:val="none" w:sz="0" w:space="0" w:color="auto"/>
            <w:bottom w:val="none" w:sz="0" w:space="0" w:color="auto"/>
            <w:right w:val="none" w:sz="0" w:space="0" w:color="auto"/>
          </w:divBdr>
        </w:div>
        <w:div w:id="1944721066">
          <w:marLeft w:val="0"/>
          <w:marRight w:val="0"/>
          <w:marTop w:val="0"/>
          <w:marBottom w:val="0"/>
          <w:divBdr>
            <w:top w:val="none" w:sz="0" w:space="0" w:color="auto"/>
            <w:left w:val="none" w:sz="0" w:space="0" w:color="auto"/>
            <w:bottom w:val="none" w:sz="0" w:space="0" w:color="auto"/>
            <w:right w:val="none" w:sz="0" w:space="0" w:color="auto"/>
          </w:divBdr>
        </w:div>
        <w:div w:id="2079474602">
          <w:marLeft w:val="0"/>
          <w:marRight w:val="0"/>
          <w:marTop w:val="0"/>
          <w:marBottom w:val="0"/>
          <w:divBdr>
            <w:top w:val="none" w:sz="0" w:space="0" w:color="auto"/>
            <w:left w:val="none" w:sz="0" w:space="0" w:color="auto"/>
            <w:bottom w:val="none" w:sz="0" w:space="0" w:color="auto"/>
            <w:right w:val="none" w:sz="0" w:space="0" w:color="auto"/>
          </w:divBdr>
        </w:div>
      </w:divsChild>
    </w:div>
    <w:div w:id="1135371292">
      <w:bodyDiv w:val="1"/>
      <w:marLeft w:val="0"/>
      <w:marRight w:val="0"/>
      <w:marTop w:val="0"/>
      <w:marBottom w:val="0"/>
      <w:divBdr>
        <w:top w:val="none" w:sz="0" w:space="0" w:color="auto"/>
        <w:left w:val="none" w:sz="0" w:space="0" w:color="auto"/>
        <w:bottom w:val="none" w:sz="0" w:space="0" w:color="auto"/>
        <w:right w:val="none" w:sz="0" w:space="0" w:color="auto"/>
      </w:divBdr>
      <w:divsChild>
        <w:div w:id="33972322">
          <w:marLeft w:val="0"/>
          <w:marRight w:val="0"/>
          <w:marTop w:val="0"/>
          <w:marBottom w:val="0"/>
          <w:divBdr>
            <w:top w:val="none" w:sz="0" w:space="0" w:color="auto"/>
            <w:left w:val="none" w:sz="0" w:space="0" w:color="auto"/>
            <w:bottom w:val="none" w:sz="0" w:space="0" w:color="auto"/>
            <w:right w:val="none" w:sz="0" w:space="0" w:color="auto"/>
          </w:divBdr>
        </w:div>
        <w:div w:id="129250444">
          <w:marLeft w:val="0"/>
          <w:marRight w:val="0"/>
          <w:marTop w:val="0"/>
          <w:marBottom w:val="0"/>
          <w:divBdr>
            <w:top w:val="none" w:sz="0" w:space="0" w:color="auto"/>
            <w:left w:val="none" w:sz="0" w:space="0" w:color="auto"/>
            <w:bottom w:val="none" w:sz="0" w:space="0" w:color="auto"/>
            <w:right w:val="none" w:sz="0" w:space="0" w:color="auto"/>
          </w:divBdr>
        </w:div>
        <w:div w:id="238944736">
          <w:marLeft w:val="0"/>
          <w:marRight w:val="0"/>
          <w:marTop w:val="0"/>
          <w:marBottom w:val="0"/>
          <w:divBdr>
            <w:top w:val="none" w:sz="0" w:space="0" w:color="auto"/>
            <w:left w:val="none" w:sz="0" w:space="0" w:color="auto"/>
            <w:bottom w:val="none" w:sz="0" w:space="0" w:color="auto"/>
            <w:right w:val="none" w:sz="0" w:space="0" w:color="auto"/>
          </w:divBdr>
        </w:div>
        <w:div w:id="400715692">
          <w:marLeft w:val="0"/>
          <w:marRight w:val="0"/>
          <w:marTop w:val="0"/>
          <w:marBottom w:val="0"/>
          <w:divBdr>
            <w:top w:val="none" w:sz="0" w:space="0" w:color="auto"/>
            <w:left w:val="none" w:sz="0" w:space="0" w:color="auto"/>
            <w:bottom w:val="none" w:sz="0" w:space="0" w:color="auto"/>
            <w:right w:val="none" w:sz="0" w:space="0" w:color="auto"/>
          </w:divBdr>
        </w:div>
        <w:div w:id="477916561">
          <w:marLeft w:val="0"/>
          <w:marRight w:val="0"/>
          <w:marTop w:val="0"/>
          <w:marBottom w:val="0"/>
          <w:divBdr>
            <w:top w:val="none" w:sz="0" w:space="0" w:color="auto"/>
            <w:left w:val="none" w:sz="0" w:space="0" w:color="auto"/>
            <w:bottom w:val="none" w:sz="0" w:space="0" w:color="auto"/>
            <w:right w:val="none" w:sz="0" w:space="0" w:color="auto"/>
          </w:divBdr>
        </w:div>
        <w:div w:id="557013012">
          <w:marLeft w:val="0"/>
          <w:marRight w:val="0"/>
          <w:marTop w:val="0"/>
          <w:marBottom w:val="0"/>
          <w:divBdr>
            <w:top w:val="none" w:sz="0" w:space="0" w:color="auto"/>
            <w:left w:val="none" w:sz="0" w:space="0" w:color="auto"/>
            <w:bottom w:val="none" w:sz="0" w:space="0" w:color="auto"/>
            <w:right w:val="none" w:sz="0" w:space="0" w:color="auto"/>
          </w:divBdr>
        </w:div>
        <w:div w:id="713771619">
          <w:marLeft w:val="0"/>
          <w:marRight w:val="0"/>
          <w:marTop w:val="0"/>
          <w:marBottom w:val="0"/>
          <w:divBdr>
            <w:top w:val="none" w:sz="0" w:space="0" w:color="auto"/>
            <w:left w:val="none" w:sz="0" w:space="0" w:color="auto"/>
            <w:bottom w:val="none" w:sz="0" w:space="0" w:color="auto"/>
            <w:right w:val="none" w:sz="0" w:space="0" w:color="auto"/>
          </w:divBdr>
        </w:div>
        <w:div w:id="753167810">
          <w:marLeft w:val="0"/>
          <w:marRight w:val="0"/>
          <w:marTop w:val="0"/>
          <w:marBottom w:val="0"/>
          <w:divBdr>
            <w:top w:val="none" w:sz="0" w:space="0" w:color="auto"/>
            <w:left w:val="none" w:sz="0" w:space="0" w:color="auto"/>
            <w:bottom w:val="none" w:sz="0" w:space="0" w:color="auto"/>
            <w:right w:val="none" w:sz="0" w:space="0" w:color="auto"/>
          </w:divBdr>
        </w:div>
        <w:div w:id="876813953">
          <w:marLeft w:val="0"/>
          <w:marRight w:val="0"/>
          <w:marTop w:val="0"/>
          <w:marBottom w:val="0"/>
          <w:divBdr>
            <w:top w:val="none" w:sz="0" w:space="0" w:color="auto"/>
            <w:left w:val="none" w:sz="0" w:space="0" w:color="auto"/>
            <w:bottom w:val="none" w:sz="0" w:space="0" w:color="auto"/>
            <w:right w:val="none" w:sz="0" w:space="0" w:color="auto"/>
          </w:divBdr>
        </w:div>
        <w:div w:id="967517604">
          <w:marLeft w:val="0"/>
          <w:marRight w:val="0"/>
          <w:marTop w:val="0"/>
          <w:marBottom w:val="0"/>
          <w:divBdr>
            <w:top w:val="none" w:sz="0" w:space="0" w:color="auto"/>
            <w:left w:val="none" w:sz="0" w:space="0" w:color="auto"/>
            <w:bottom w:val="none" w:sz="0" w:space="0" w:color="auto"/>
            <w:right w:val="none" w:sz="0" w:space="0" w:color="auto"/>
          </w:divBdr>
        </w:div>
        <w:div w:id="1053238248">
          <w:marLeft w:val="0"/>
          <w:marRight w:val="0"/>
          <w:marTop w:val="0"/>
          <w:marBottom w:val="0"/>
          <w:divBdr>
            <w:top w:val="none" w:sz="0" w:space="0" w:color="auto"/>
            <w:left w:val="none" w:sz="0" w:space="0" w:color="auto"/>
            <w:bottom w:val="none" w:sz="0" w:space="0" w:color="auto"/>
            <w:right w:val="none" w:sz="0" w:space="0" w:color="auto"/>
          </w:divBdr>
        </w:div>
        <w:div w:id="1111172463">
          <w:marLeft w:val="0"/>
          <w:marRight w:val="0"/>
          <w:marTop w:val="0"/>
          <w:marBottom w:val="0"/>
          <w:divBdr>
            <w:top w:val="none" w:sz="0" w:space="0" w:color="auto"/>
            <w:left w:val="none" w:sz="0" w:space="0" w:color="auto"/>
            <w:bottom w:val="none" w:sz="0" w:space="0" w:color="auto"/>
            <w:right w:val="none" w:sz="0" w:space="0" w:color="auto"/>
          </w:divBdr>
        </w:div>
        <w:div w:id="1113672728">
          <w:marLeft w:val="0"/>
          <w:marRight w:val="0"/>
          <w:marTop w:val="0"/>
          <w:marBottom w:val="0"/>
          <w:divBdr>
            <w:top w:val="none" w:sz="0" w:space="0" w:color="auto"/>
            <w:left w:val="none" w:sz="0" w:space="0" w:color="auto"/>
            <w:bottom w:val="none" w:sz="0" w:space="0" w:color="auto"/>
            <w:right w:val="none" w:sz="0" w:space="0" w:color="auto"/>
          </w:divBdr>
        </w:div>
        <w:div w:id="1169832471">
          <w:marLeft w:val="0"/>
          <w:marRight w:val="0"/>
          <w:marTop w:val="0"/>
          <w:marBottom w:val="0"/>
          <w:divBdr>
            <w:top w:val="none" w:sz="0" w:space="0" w:color="auto"/>
            <w:left w:val="none" w:sz="0" w:space="0" w:color="auto"/>
            <w:bottom w:val="none" w:sz="0" w:space="0" w:color="auto"/>
            <w:right w:val="none" w:sz="0" w:space="0" w:color="auto"/>
          </w:divBdr>
        </w:div>
        <w:div w:id="1381786797">
          <w:marLeft w:val="0"/>
          <w:marRight w:val="0"/>
          <w:marTop w:val="0"/>
          <w:marBottom w:val="0"/>
          <w:divBdr>
            <w:top w:val="none" w:sz="0" w:space="0" w:color="auto"/>
            <w:left w:val="none" w:sz="0" w:space="0" w:color="auto"/>
            <w:bottom w:val="none" w:sz="0" w:space="0" w:color="auto"/>
            <w:right w:val="none" w:sz="0" w:space="0" w:color="auto"/>
          </w:divBdr>
        </w:div>
        <w:div w:id="1470393365">
          <w:marLeft w:val="0"/>
          <w:marRight w:val="0"/>
          <w:marTop w:val="0"/>
          <w:marBottom w:val="0"/>
          <w:divBdr>
            <w:top w:val="none" w:sz="0" w:space="0" w:color="auto"/>
            <w:left w:val="none" w:sz="0" w:space="0" w:color="auto"/>
            <w:bottom w:val="none" w:sz="0" w:space="0" w:color="auto"/>
            <w:right w:val="none" w:sz="0" w:space="0" w:color="auto"/>
          </w:divBdr>
        </w:div>
        <w:div w:id="1564410422">
          <w:marLeft w:val="0"/>
          <w:marRight w:val="0"/>
          <w:marTop w:val="0"/>
          <w:marBottom w:val="0"/>
          <w:divBdr>
            <w:top w:val="none" w:sz="0" w:space="0" w:color="auto"/>
            <w:left w:val="none" w:sz="0" w:space="0" w:color="auto"/>
            <w:bottom w:val="none" w:sz="0" w:space="0" w:color="auto"/>
            <w:right w:val="none" w:sz="0" w:space="0" w:color="auto"/>
          </w:divBdr>
        </w:div>
        <w:div w:id="1633051546">
          <w:marLeft w:val="0"/>
          <w:marRight w:val="0"/>
          <w:marTop w:val="0"/>
          <w:marBottom w:val="0"/>
          <w:divBdr>
            <w:top w:val="none" w:sz="0" w:space="0" w:color="auto"/>
            <w:left w:val="none" w:sz="0" w:space="0" w:color="auto"/>
            <w:bottom w:val="none" w:sz="0" w:space="0" w:color="auto"/>
            <w:right w:val="none" w:sz="0" w:space="0" w:color="auto"/>
          </w:divBdr>
        </w:div>
        <w:div w:id="1689407457">
          <w:marLeft w:val="0"/>
          <w:marRight w:val="0"/>
          <w:marTop w:val="0"/>
          <w:marBottom w:val="0"/>
          <w:divBdr>
            <w:top w:val="none" w:sz="0" w:space="0" w:color="auto"/>
            <w:left w:val="none" w:sz="0" w:space="0" w:color="auto"/>
            <w:bottom w:val="none" w:sz="0" w:space="0" w:color="auto"/>
            <w:right w:val="none" w:sz="0" w:space="0" w:color="auto"/>
          </w:divBdr>
        </w:div>
        <w:div w:id="1756053505">
          <w:marLeft w:val="0"/>
          <w:marRight w:val="0"/>
          <w:marTop w:val="0"/>
          <w:marBottom w:val="0"/>
          <w:divBdr>
            <w:top w:val="none" w:sz="0" w:space="0" w:color="auto"/>
            <w:left w:val="none" w:sz="0" w:space="0" w:color="auto"/>
            <w:bottom w:val="none" w:sz="0" w:space="0" w:color="auto"/>
            <w:right w:val="none" w:sz="0" w:space="0" w:color="auto"/>
          </w:divBdr>
        </w:div>
        <w:div w:id="1954482476">
          <w:marLeft w:val="0"/>
          <w:marRight w:val="0"/>
          <w:marTop w:val="0"/>
          <w:marBottom w:val="0"/>
          <w:divBdr>
            <w:top w:val="none" w:sz="0" w:space="0" w:color="auto"/>
            <w:left w:val="none" w:sz="0" w:space="0" w:color="auto"/>
            <w:bottom w:val="none" w:sz="0" w:space="0" w:color="auto"/>
            <w:right w:val="none" w:sz="0" w:space="0" w:color="auto"/>
          </w:divBdr>
        </w:div>
        <w:div w:id="1992363531">
          <w:marLeft w:val="0"/>
          <w:marRight w:val="0"/>
          <w:marTop w:val="0"/>
          <w:marBottom w:val="0"/>
          <w:divBdr>
            <w:top w:val="none" w:sz="0" w:space="0" w:color="auto"/>
            <w:left w:val="none" w:sz="0" w:space="0" w:color="auto"/>
            <w:bottom w:val="none" w:sz="0" w:space="0" w:color="auto"/>
            <w:right w:val="none" w:sz="0" w:space="0" w:color="auto"/>
          </w:divBdr>
        </w:div>
        <w:div w:id="2038774157">
          <w:marLeft w:val="0"/>
          <w:marRight w:val="0"/>
          <w:marTop w:val="0"/>
          <w:marBottom w:val="0"/>
          <w:divBdr>
            <w:top w:val="none" w:sz="0" w:space="0" w:color="auto"/>
            <w:left w:val="none" w:sz="0" w:space="0" w:color="auto"/>
            <w:bottom w:val="none" w:sz="0" w:space="0" w:color="auto"/>
            <w:right w:val="none" w:sz="0" w:space="0" w:color="auto"/>
          </w:divBdr>
        </w:div>
        <w:div w:id="2081319472">
          <w:marLeft w:val="0"/>
          <w:marRight w:val="0"/>
          <w:marTop w:val="0"/>
          <w:marBottom w:val="0"/>
          <w:divBdr>
            <w:top w:val="none" w:sz="0" w:space="0" w:color="auto"/>
            <w:left w:val="none" w:sz="0" w:space="0" w:color="auto"/>
            <w:bottom w:val="none" w:sz="0" w:space="0" w:color="auto"/>
            <w:right w:val="none" w:sz="0" w:space="0" w:color="auto"/>
          </w:divBdr>
        </w:div>
        <w:div w:id="2100908715">
          <w:marLeft w:val="0"/>
          <w:marRight w:val="0"/>
          <w:marTop w:val="0"/>
          <w:marBottom w:val="0"/>
          <w:divBdr>
            <w:top w:val="none" w:sz="0" w:space="0" w:color="auto"/>
            <w:left w:val="none" w:sz="0" w:space="0" w:color="auto"/>
            <w:bottom w:val="none" w:sz="0" w:space="0" w:color="auto"/>
            <w:right w:val="none" w:sz="0" w:space="0" w:color="auto"/>
          </w:divBdr>
        </w:div>
      </w:divsChild>
    </w:div>
    <w:div w:id="1305313191">
      <w:bodyDiv w:val="1"/>
      <w:marLeft w:val="0"/>
      <w:marRight w:val="0"/>
      <w:marTop w:val="0"/>
      <w:marBottom w:val="0"/>
      <w:divBdr>
        <w:top w:val="none" w:sz="0" w:space="0" w:color="auto"/>
        <w:left w:val="none" w:sz="0" w:space="0" w:color="auto"/>
        <w:bottom w:val="none" w:sz="0" w:space="0" w:color="auto"/>
        <w:right w:val="none" w:sz="0" w:space="0" w:color="auto"/>
      </w:divBdr>
    </w:div>
    <w:div w:id="1579515863">
      <w:bodyDiv w:val="1"/>
      <w:marLeft w:val="0"/>
      <w:marRight w:val="0"/>
      <w:marTop w:val="0"/>
      <w:marBottom w:val="0"/>
      <w:divBdr>
        <w:top w:val="none" w:sz="0" w:space="0" w:color="auto"/>
        <w:left w:val="none" w:sz="0" w:space="0" w:color="auto"/>
        <w:bottom w:val="none" w:sz="0" w:space="0" w:color="auto"/>
        <w:right w:val="none" w:sz="0" w:space="0" w:color="auto"/>
      </w:divBdr>
      <w:divsChild>
        <w:div w:id="260919398">
          <w:marLeft w:val="0"/>
          <w:marRight w:val="0"/>
          <w:marTop w:val="0"/>
          <w:marBottom w:val="0"/>
          <w:divBdr>
            <w:top w:val="none" w:sz="0" w:space="0" w:color="auto"/>
            <w:left w:val="none" w:sz="0" w:space="0" w:color="auto"/>
            <w:bottom w:val="none" w:sz="0" w:space="0" w:color="auto"/>
            <w:right w:val="none" w:sz="0" w:space="0" w:color="auto"/>
          </w:divBdr>
        </w:div>
        <w:div w:id="415175373">
          <w:marLeft w:val="0"/>
          <w:marRight w:val="0"/>
          <w:marTop w:val="0"/>
          <w:marBottom w:val="0"/>
          <w:divBdr>
            <w:top w:val="none" w:sz="0" w:space="0" w:color="auto"/>
            <w:left w:val="none" w:sz="0" w:space="0" w:color="auto"/>
            <w:bottom w:val="none" w:sz="0" w:space="0" w:color="auto"/>
            <w:right w:val="none" w:sz="0" w:space="0" w:color="auto"/>
          </w:divBdr>
        </w:div>
        <w:div w:id="465633601">
          <w:marLeft w:val="0"/>
          <w:marRight w:val="0"/>
          <w:marTop w:val="0"/>
          <w:marBottom w:val="0"/>
          <w:divBdr>
            <w:top w:val="none" w:sz="0" w:space="0" w:color="auto"/>
            <w:left w:val="none" w:sz="0" w:space="0" w:color="auto"/>
            <w:bottom w:val="none" w:sz="0" w:space="0" w:color="auto"/>
            <w:right w:val="none" w:sz="0" w:space="0" w:color="auto"/>
          </w:divBdr>
        </w:div>
        <w:div w:id="477503604">
          <w:marLeft w:val="0"/>
          <w:marRight w:val="0"/>
          <w:marTop w:val="0"/>
          <w:marBottom w:val="0"/>
          <w:divBdr>
            <w:top w:val="none" w:sz="0" w:space="0" w:color="auto"/>
            <w:left w:val="none" w:sz="0" w:space="0" w:color="auto"/>
            <w:bottom w:val="none" w:sz="0" w:space="0" w:color="auto"/>
            <w:right w:val="none" w:sz="0" w:space="0" w:color="auto"/>
          </w:divBdr>
        </w:div>
        <w:div w:id="592472726">
          <w:marLeft w:val="0"/>
          <w:marRight w:val="0"/>
          <w:marTop w:val="0"/>
          <w:marBottom w:val="0"/>
          <w:divBdr>
            <w:top w:val="none" w:sz="0" w:space="0" w:color="auto"/>
            <w:left w:val="none" w:sz="0" w:space="0" w:color="auto"/>
            <w:bottom w:val="none" w:sz="0" w:space="0" w:color="auto"/>
            <w:right w:val="none" w:sz="0" w:space="0" w:color="auto"/>
          </w:divBdr>
        </w:div>
        <w:div w:id="772436558">
          <w:marLeft w:val="0"/>
          <w:marRight w:val="0"/>
          <w:marTop w:val="0"/>
          <w:marBottom w:val="0"/>
          <w:divBdr>
            <w:top w:val="none" w:sz="0" w:space="0" w:color="auto"/>
            <w:left w:val="none" w:sz="0" w:space="0" w:color="auto"/>
            <w:bottom w:val="none" w:sz="0" w:space="0" w:color="auto"/>
            <w:right w:val="none" w:sz="0" w:space="0" w:color="auto"/>
          </w:divBdr>
        </w:div>
        <w:div w:id="1373842806">
          <w:marLeft w:val="0"/>
          <w:marRight w:val="0"/>
          <w:marTop w:val="0"/>
          <w:marBottom w:val="0"/>
          <w:divBdr>
            <w:top w:val="none" w:sz="0" w:space="0" w:color="auto"/>
            <w:left w:val="none" w:sz="0" w:space="0" w:color="auto"/>
            <w:bottom w:val="none" w:sz="0" w:space="0" w:color="auto"/>
            <w:right w:val="none" w:sz="0" w:space="0" w:color="auto"/>
          </w:divBdr>
        </w:div>
        <w:div w:id="1898467087">
          <w:marLeft w:val="0"/>
          <w:marRight w:val="0"/>
          <w:marTop w:val="0"/>
          <w:marBottom w:val="0"/>
          <w:divBdr>
            <w:top w:val="none" w:sz="0" w:space="0" w:color="auto"/>
            <w:left w:val="none" w:sz="0" w:space="0" w:color="auto"/>
            <w:bottom w:val="none" w:sz="0" w:space="0" w:color="auto"/>
            <w:right w:val="none" w:sz="0" w:space="0" w:color="auto"/>
          </w:divBdr>
        </w:div>
      </w:divsChild>
    </w:div>
    <w:div w:id="1704329668">
      <w:bodyDiv w:val="1"/>
      <w:marLeft w:val="0"/>
      <w:marRight w:val="0"/>
      <w:marTop w:val="0"/>
      <w:marBottom w:val="0"/>
      <w:divBdr>
        <w:top w:val="none" w:sz="0" w:space="0" w:color="auto"/>
        <w:left w:val="none" w:sz="0" w:space="0" w:color="auto"/>
        <w:bottom w:val="none" w:sz="0" w:space="0" w:color="auto"/>
        <w:right w:val="none" w:sz="0" w:space="0" w:color="auto"/>
      </w:divBdr>
    </w:div>
    <w:div w:id="1806199578">
      <w:bodyDiv w:val="1"/>
      <w:marLeft w:val="0"/>
      <w:marRight w:val="0"/>
      <w:marTop w:val="0"/>
      <w:marBottom w:val="0"/>
      <w:divBdr>
        <w:top w:val="none" w:sz="0" w:space="0" w:color="auto"/>
        <w:left w:val="none" w:sz="0" w:space="0" w:color="auto"/>
        <w:bottom w:val="none" w:sz="0" w:space="0" w:color="auto"/>
        <w:right w:val="none" w:sz="0" w:space="0" w:color="auto"/>
      </w:divBdr>
      <w:divsChild>
        <w:div w:id="143743768">
          <w:marLeft w:val="0"/>
          <w:marRight w:val="0"/>
          <w:marTop w:val="0"/>
          <w:marBottom w:val="0"/>
          <w:divBdr>
            <w:top w:val="none" w:sz="0" w:space="0" w:color="auto"/>
            <w:left w:val="none" w:sz="0" w:space="0" w:color="auto"/>
            <w:bottom w:val="none" w:sz="0" w:space="0" w:color="auto"/>
            <w:right w:val="none" w:sz="0" w:space="0" w:color="auto"/>
          </w:divBdr>
        </w:div>
        <w:div w:id="190460299">
          <w:marLeft w:val="0"/>
          <w:marRight w:val="0"/>
          <w:marTop w:val="0"/>
          <w:marBottom w:val="0"/>
          <w:divBdr>
            <w:top w:val="none" w:sz="0" w:space="0" w:color="auto"/>
            <w:left w:val="none" w:sz="0" w:space="0" w:color="auto"/>
            <w:bottom w:val="none" w:sz="0" w:space="0" w:color="auto"/>
            <w:right w:val="none" w:sz="0" w:space="0" w:color="auto"/>
          </w:divBdr>
        </w:div>
        <w:div w:id="764763049">
          <w:marLeft w:val="0"/>
          <w:marRight w:val="0"/>
          <w:marTop w:val="0"/>
          <w:marBottom w:val="0"/>
          <w:divBdr>
            <w:top w:val="none" w:sz="0" w:space="0" w:color="auto"/>
            <w:left w:val="none" w:sz="0" w:space="0" w:color="auto"/>
            <w:bottom w:val="none" w:sz="0" w:space="0" w:color="auto"/>
            <w:right w:val="none" w:sz="0" w:space="0" w:color="auto"/>
          </w:divBdr>
        </w:div>
        <w:div w:id="813109100">
          <w:marLeft w:val="0"/>
          <w:marRight w:val="0"/>
          <w:marTop w:val="0"/>
          <w:marBottom w:val="0"/>
          <w:divBdr>
            <w:top w:val="none" w:sz="0" w:space="0" w:color="auto"/>
            <w:left w:val="none" w:sz="0" w:space="0" w:color="auto"/>
            <w:bottom w:val="none" w:sz="0" w:space="0" w:color="auto"/>
            <w:right w:val="none" w:sz="0" w:space="0" w:color="auto"/>
          </w:divBdr>
        </w:div>
        <w:div w:id="847790764">
          <w:marLeft w:val="0"/>
          <w:marRight w:val="0"/>
          <w:marTop w:val="0"/>
          <w:marBottom w:val="0"/>
          <w:divBdr>
            <w:top w:val="none" w:sz="0" w:space="0" w:color="auto"/>
            <w:left w:val="none" w:sz="0" w:space="0" w:color="auto"/>
            <w:bottom w:val="none" w:sz="0" w:space="0" w:color="auto"/>
            <w:right w:val="none" w:sz="0" w:space="0" w:color="auto"/>
          </w:divBdr>
        </w:div>
        <w:div w:id="1108770074">
          <w:marLeft w:val="0"/>
          <w:marRight w:val="0"/>
          <w:marTop w:val="0"/>
          <w:marBottom w:val="0"/>
          <w:divBdr>
            <w:top w:val="none" w:sz="0" w:space="0" w:color="auto"/>
            <w:left w:val="none" w:sz="0" w:space="0" w:color="auto"/>
            <w:bottom w:val="none" w:sz="0" w:space="0" w:color="auto"/>
            <w:right w:val="none" w:sz="0" w:space="0" w:color="auto"/>
          </w:divBdr>
        </w:div>
        <w:div w:id="1265071917">
          <w:marLeft w:val="0"/>
          <w:marRight w:val="0"/>
          <w:marTop w:val="0"/>
          <w:marBottom w:val="0"/>
          <w:divBdr>
            <w:top w:val="none" w:sz="0" w:space="0" w:color="auto"/>
            <w:left w:val="none" w:sz="0" w:space="0" w:color="auto"/>
            <w:bottom w:val="none" w:sz="0" w:space="0" w:color="auto"/>
            <w:right w:val="none" w:sz="0" w:space="0" w:color="auto"/>
          </w:divBdr>
        </w:div>
      </w:divsChild>
    </w:div>
    <w:div w:id="194341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cec/budg/leg/internal/leg-070_internal_en.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c.cec/budg/man/budgmanag/budgmanag_en.html" TargetMode="External"/><Relationship Id="rId2" Type="http://schemas.openxmlformats.org/officeDocument/2006/relationships/hyperlink" Target="http://eur-lex.europa.eu/legal-content/EN/TXT/?uri=CELEX:32012R0862" TargetMode="External"/><Relationship Id="rId1" Type="http://schemas.openxmlformats.org/officeDocument/2006/relationships/hyperlink" Target="http://eur-lex.europa.eu/legal-content/EN/AUTO/?uri=celex:32003L007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69661-86B2-462F-B8AF-A25825722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77</Pages>
  <Words>20904</Words>
  <Characters>168905</Characters>
  <Application>Microsoft Office Word</Application>
  <DocSecurity>0</DocSecurity>
  <Lines>3838</Lines>
  <Paragraphs>1240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Manager/>
  <Company/>
  <LinksUpToDate>false</LinksUpToDate>
  <CharactersWithSpaces>188569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20</cp:revision>
  <cp:lastPrinted>2015-09-29T07:57:00Z</cp:lastPrinted>
  <dcterms:created xsi:type="dcterms:W3CDTF">2015-10-09T13:19:00Z</dcterms:created>
  <dcterms:modified xsi:type="dcterms:W3CDTF">2015-10-12T09:19:00Z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Yellow (DQC version 03)</vt:lpwstr>
  </property>
</Properties>
</file>