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F83F188F420E4C4F9F0AEDE428B66072" style="width:450.6pt;height:324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Dwar l-istabbiliment ta’ Bordijiet Nazzjonali tal-Kompetittività fiż-Żona tal-Euro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Wara li kkunsidra t-Trattat dwar il-Funzjonament tal-Unjoni Ewropea, u b'mod partikolari l-Artikolu 292 tiegħu flimkien mal-Artikoli 121(2) u 136 tiegħu,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Wara li kkunsidra r-rakkomandazzjoni tal-Kummissjoni Ewropea,</w:t>
      </w:r>
    </w:p>
    <w:p>
      <w:pPr>
        <w:spacing w:before="0" w:after="240"/>
        <w:rPr>
          <w:rFonts w:eastAsia="Times New Roman"/>
          <w:noProof/>
          <w:szCs w:val="24"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Filwaqt li hemm bżonn li titjieb il-koordinazzjoni u s-sorveljanza tal-iżviluppi tal-kompetittività fl-Unjoni, bil-kriżi riċenti ħareġ fid-deher li l-Istati Membri li jużaw il-euro (“Stati Membri taż-żona tal-euro”) jistgħu jkunu partikolarment soġġetti għal żieda possibbli u f’daqqa ta’ żbilanċi makroekonomiċi li jistgħu jinxterdu fi Stati Membri oħra taż-żona tal-euro. Fin-nuqqas ta’ rati flessibbli tal-kambju nominali, jeħtieġu wkoll mekkaniżmi ta’ aġġustament adegwati għal xokkijiet li huma speċifiċi għall-pajjiżi. Dinamiki ta’ kompetittività huma ta’ rilevanza kemm għall-akkumulazzjoni u l-korrezzjoni tal-iżbilanċi makroekonomiċi (eż. l-iżbilanċi tal-kummerċ u tal-kont kurrenti, l-istokkijiet ta’ passivi domestiċi u esterni), u aġġustament effettiv għal xokkijiet asimmetriċi. Id-deterjorament fil-kompetittività jista’ jkun responsabbli wkoll għal tnaqqis fit-tkabbir potenzjali, li jagħmilha anqas faċli biex id-dejn għoli jitħallas lura. Il-koordinazzjoni ta’ politiki li għandhom effett fuq id-dinamika tal-kompetittività tgħin biex jiġi żgurat li l-iżviluppi tal-kompetittività jkunu kompatibbli mal-objettiv ta’ funzjonament bla xkiel tal-Unjoni Ekonomika u Monetarja (UEM). Filwaqt li din ir-Rakkomandazzjoni hija indirizzata lill-Istati Membri taż-żona tal-euro, l-Istati Membri l-oħra huma mħeġġa wkoll biex jistabbilixxu korpi simili.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 xml:space="preserve">Is-Semestru Ewropew, b’mod partikolari l-proċedura ta’ żbilanċi makroekonomiċi kif ġiet stabbilita fir-Regolament (UE) Nru 1176/2011 u r-Regolament (UE) Nru 1174/2011, jipprovdi qafas għal koordinazzjoni integrata tal-politika ekonomika u s-sorveljanza. Minħabba l-ħtieġa li jitrawwem progress bir-riformi strutturali għall-kompetittività, dawn il-mekkaniżmi eżistenti għandhom jiġu appoġġati permezz ta’ sjieda nazzjonali aktar b’saħħitha ta’ aġendi ta’ riforma. Għal dan il-għan, jidher li hi meħtieġa żieda fl-għarfien espert indipendenti tal-politika fil-livell nazzjonali u li jissaħħaħ id-djalogu politiku bejn l-Unjoni u l-Istati Membri taż-żona tal-euro. 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It-twaqqif ta’ bordijiet ta' kompetittività nazzjonali inkarigati għat-traċċar tal-prestazzjoni u l-politiki fil-qasam tal-kompetittività jistgħu jikkontribwixxu għat-tisħiħ tas-sjieda ta’ politiki u riformi meħtieġa fil-livell nazzjonali, u biex tittejjeb il-bażi tal-għarfien għal koordinazzjoni tal-politika ekonomika tal-UE fil-qasam tal-kompetittività. Dawn il-bordijiet għandhom jivvalutaw l-iżviluppi tal-kompetittività u l-politiki, iżda jipprovdu wkoll pariri ta’ politika għal implimentazzjoni ta’ riformi, filwaqt li jitqiesu l-ispeċifiċitajiet nazzjonali u l-prattiċi stabbiliti.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L-ambitu ta’ intervent tal-bordijiet ta' kompetittività għandu jinkludi l-kunċett ta’ kompetittività globali. Id-dinamiċi tal-pagi kif ukoll fatturi mhux relatati mal-pagi u l-katalizzaturi tal-produttività u kunsiderazzjonijiet ta' dinamika relatati mal-innovazzjoni u l-attrattività tal-ekonomija biex in-negozji jaqgħu taħt il-mandat ta’ dawn il-bordijiet.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Il-bordijiet ta' kompetittività għandhom jingħataw il-kapaċità li jiżguraw kwalità għolja ta’ analiżi ekonomika bħala l-bażi għar-rwol konsultattiv tagħhom.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Il-bordijiet ta' kompetittività għandhom ikunu indipendenti minn ministeri jew awtoritajiet pubbliċi li jittrattaw kwistjonijiet relatati mal-kompetittività. Il-bordijiet ta' kompetittività għandhom ikunu imparzjali, fis-sens li dawn m’għandhomx iwasslu biss jew prinċipalment opinjonijiet ta’ gruppi speċifiċi ta’ partijiet interessati. Tali rekwiżiti ta' indipendenza u imparżjalità huma mmirati biex jiżguraw li r-rwol konsultattiv tal-bordijiet tal-kompetittività jirrifletti adegwatament il-ġudizzju espert fformulat fl-interess ġenerali.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Il-karatteristiċi tal-bordijiet ta' kompetittività għandhom ikunu konformi mal-Artikolu 152 tat-Trattat u għandhom jikkunsidraw il-prattika u l-istituzzjonijiet nazzjonali għall-formazzjoni tal-pagi. Skont l-Artikolu 28 tal-Karta tad-Drittijiet Fundamentali tal-Unjoni Ewropea, il-funzjonament tagħhom ma għandux jaffettwa d-dritt tal-ħaddiema u l-impjegaturi, jew l-organizzazzjonijiet rispettivi tagħhom, li wieħed jinnegozja, jikkonkludi jew jinforza ftehimiet kollettivi fil-livelli xierqa u li jieħu azzjoni kollettiva skont il-liġi u l-prattiki nazzjonali.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Il-Kummissjoni għandha tikkoordina l-attivitajiet tal-bordijiet ta' kompetittività bil-ħsieb li jrawmu l-kisba ta’ objettivi u strateġiji mifruxa maż-żona kollha tal-euro filwaqt li jitqiesu l-inputs mis-sistema ta’ bordijiet ta' kompetittività f’koordinazzjoni tal-politika ekonomika tal-Unjoni.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 xml:space="preserve">Il-bordijiet ta' kompetittività għandhom jikkompilaw u jippubblikaw l-analiżi u l-pariri tagħhom f’rapport annwali. Sabiex jiġi żgurat li l-objettivi tal-Unjoni u taż-żona tal-euro huma kkunsidrati fix-xogħol tal-konsultazzjonijiet tal-bordijiet bejn il-Kummissjoni u l-bordijiet, dawn għandhom isiru għall-produzzjoni ta’ dawn ir-rapporti u matul missjonijiet għal ġbir ta’ informazzjoni fl-Istati Membri. Ir-rapporti se jinfurmaw lill-Kummissjoni fl-analiżi mwettqa fil-kuntest tas-Semestru Ewropew u l-Proċedura ta’ Żbilanċ Makroekonomiku. 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Sabiex tiġi ffaċilitata l-koordinazzjoni fil-livell supranazzjonali, għandu jkun hemm bord tal-kompetittività identifikabbli wieħed f’kull Stat Membru. Madankollu, biex iwettqu l-attivitajiet tagħhom b’mod xieraq, il-bordijiet tal-kompetittività min-naħa tagħhom jistgħu jiddependu fuq korpi separati eżistenti differenti, sakemm dawn jissodisfaw il-prinċipji komuni esposti iktar ’il fuq.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Il-monitoraġġ u l-infurzar tar-Rakkomandazzjonijiet Speċifiċi għall-Pajjiżi (CSRs) għandom jibqgħu fil-livell tal-Unjoni, fi ħdan is-Semestru Ewropew u l-applikazzjoni tal-Proċedura ta’ Żbilanċ Makroekonomiku kif stabbilit fir-Regolament (UE) Nru 1176/2011.</w:t>
      </w:r>
    </w:p>
    <w:p>
      <w:pPr>
        <w:spacing w:before="0" w:after="240"/>
        <w:rPr>
          <w:rFonts w:eastAsia="Times New Roman"/>
          <w:noProof/>
          <w:szCs w:val="24"/>
        </w:rPr>
      </w:pPr>
    </w:p>
    <w:p>
      <w:pPr>
        <w:spacing w:before="0" w:after="240"/>
        <w:rPr>
          <w:rFonts w:eastAsia="Times New Roman"/>
          <w:noProof/>
          <w:szCs w:val="24"/>
        </w:rPr>
      </w:pPr>
    </w:p>
    <w:p>
      <w:pPr>
        <w:pStyle w:val="Formuledadoption"/>
        <w:rPr>
          <w:noProof/>
        </w:rPr>
      </w:pPr>
      <w:r>
        <w:rPr>
          <w:noProof/>
        </w:rPr>
        <w:t>ADOTTA DAWN IR-RAKKOMANDAZZJONIJIET</w:t>
      </w:r>
    </w:p>
    <w:p>
      <w:pPr>
        <w:pStyle w:val="Titrearticle"/>
        <w:rPr>
          <w:noProof/>
        </w:rPr>
      </w:pPr>
    </w:p>
    <w:p>
      <w:pPr>
        <w:jc w:val="center"/>
        <w:rPr>
          <w:b/>
          <w:noProof/>
        </w:rPr>
      </w:pPr>
      <w:r>
        <w:rPr>
          <w:noProof/>
        </w:rPr>
        <w:t xml:space="preserve">I. Objettivi u kamp ta' applikazzjoni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L-objettiv ta’ din ir-Rakkomandazzjoni huwa t-twaqqif ta’ bordijiet ta’ kompetittività nazzjonali biex jimmonitorjaw il-prestazzjoni u l-politiki fil-qasam tal-kompetittività, u b’hekk jikkontribwixxu biex titrawwem konverġenza ekonomika sostenibbli, u sabiex tissaħħaħ is-sjieda tar-riformi neċessarji fil-livell nazzjonali. 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Din ir-rakkomandazzjoni hija indirizzata lill-Istati Membri. L-Istati Membri l-oħra huma mħeġġa wkoll biex jistabbilixxu korpi simili. </w:t>
      </w:r>
    </w:p>
    <w:p>
      <w:pPr>
        <w:spacing w:before="0" w:after="240"/>
        <w:rPr>
          <w:rFonts w:eastAsia="Times New Roman"/>
          <w:noProof/>
          <w:szCs w:val="24"/>
        </w:rPr>
      </w:pPr>
    </w:p>
    <w:p>
      <w:pPr>
        <w:jc w:val="center"/>
        <w:rPr>
          <w:b/>
          <w:noProof/>
        </w:rPr>
      </w:pPr>
      <w:r>
        <w:rPr>
          <w:noProof/>
        </w:rPr>
        <w:t>II. It-twaqqif ta' bordijiet ta’ kompetittività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Kull Stat Membru għandu jkollu l-bord ta' kompetittività fis-seħħ bil-kompitu li:</w:t>
      </w:r>
    </w:p>
    <w:p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(a)</w:t>
      </w:r>
      <w:r>
        <w:rPr>
          <w:noProof/>
        </w:rPr>
        <w:tab/>
        <w:t>Jissorvelja l-iżviluppi tal-kompetittività fl-Istat Membru kkonċernat, filwaqt li jitqiesu fatturi li jistgħu jaffettwaw il-prezzijiet u kontenut ta’ kwalità ta’ merkanzija u servizzi relatati ma’ kompetituri globali f’qasir żmien (inkluż l-ispejjeż tax-xogħol) kif ukoll għal xprunaturi bħalma huma l-produttività u l-kapaċità tal-innovazzjoni, li huma rilevanti mhux biss għall-prestazzjoni relattiva tal-ekonomija iżda wkoll għall-potenzjal ta’ tkabbir tagħha u l-kapaċità li tattira l-investiment, in-negozji u l-kapital uman;</w:t>
      </w:r>
    </w:p>
    <w:p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(b)</w:t>
      </w:r>
      <w:r>
        <w:rPr>
          <w:noProof/>
        </w:rPr>
        <w:tab/>
        <w:t>Jinforma l-proċessi eżistenti li jistabbilixxu l-pagi fil-livell nazzjonali bl-għoti tal-informazzjoni rilevanti;</w:t>
      </w:r>
    </w:p>
    <w:p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(c)</w:t>
      </w:r>
      <w:r>
        <w:rPr>
          <w:noProof/>
        </w:rPr>
        <w:tab/>
        <w:t>Jimmonitorja l-politiki marbuta mal-kompetittività fl-Istat Membru kkonċernat, inkluż il-kontribut għal evalwazzjoni ex post ta’ politiki; kif ukoll</w:t>
      </w:r>
    </w:p>
    <w:p>
      <w:pPr>
        <w:spacing w:before="0" w:after="240"/>
        <w:ind w:left="1440" w:hanging="720"/>
        <w:rPr>
          <w:rFonts w:eastAsia="Times New Roman"/>
          <w:noProof/>
          <w:szCs w:val="24"/>
        </w:rPr>
      </w:pPr>
      <w:r>
        <w:rPr>
          <w:noProof/>
        </w:rPr>
        <w:t>(d)</w:t>
      </w:r>
      <w:r>
        <w:rPr>
          <w:noProof/>
        </w:rPr>
        <w:tab/>
        <w:t>Jivvaluta l-isfidi politiċi u jfassal il-parir ta’ politika fil-qasam tal-kompetittività. Il-parir tal-bordijiet ta' kompetittività għandu jieħu kont tad-dimensjoni usa' tal-Unjoni u taż-żona tal-euro. Il-bordijiet għandhom, fost oħrajn, jagħtu pariri dwar l-implimentazzjoni ta’ Rakkomandazzjonijiet Speċifiċi għall-Pajjiż indirizzati lill-Istat Membru kkonċernat mill-Kunsill fil-kuntest tas-Semestru Ewropew;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Kull Stat Membru għandu jidentifika bord wieħed ta' kompetittività, li min-naħa tiegħu jista' jiddependi fuq entitajiet eżistenti differenti.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Il-bordijiet ta’ kompetittività għandhom iwettqu l-attivitajiet tagħhom fuq bażi kontinwa. Huma għandhom jippubblikaw l-analiżi u l-pariri tagħhom, f’rapport annwali. Dawn għandhom jiġu involuti f’kuntatti mal-Kummissjoni u l-bordijiet ta’ kompetittività ta’ Stati Membri oħra bil-għan li jikkoordinaw l-opinjonijiet.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center"/>
        <w:rPr>
          <w:noProof/>
        </w:rPr>
      </w:pPr>
      <w:r>
        <w:rPr>
          <w:noProof/>
        </w:rPr>
        <w:t>III. Il-karatteristiċi tal-bordijiet ta’ kompetittività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Il-bordijiet ta’ kompetittività għandhom ikunu strutturalment indipendenti jew għandhom awtonomija funzjonali vis-à-vis kwalunkwe awtorità pubblika li tittratta kwistjonijiet relatati mal-kompetittività tal-Istat Membru (b’mod partikolari ministeri, amministrazzjonijiet, istituti pubbliċi, aġenziji pubbliċi). Dawn għandhom ikunu bbażati fuq dispożizzjonijiet legali nazzjonali li jiżguraw livell għoli ta’ awtonomija u responsabilità funzjonali, inklużi: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reġim statutorju stabbilit f'liġijiet, regolamenti jew dispożizzjonijiet amministrattivi nazzjonali vinkolanti;</w:t>
      </w:r>
    </w:p>
    <w:p>
      <w:pPr>
        <w:pStyle w:val="Point1letter"/>
        <w:rPr>
          <w:noProof/>
        </w:rPr>
      </w:pPr>
      <w:r>
        <w:rPr>
          <w:noProof/>
        </w:rPr>
        <w:t>ma jitteħdux struzzjonijiet mill-awtoritajiet pubbliċi li għandhom x'jaqsmu ma' kwistjonijiet relatati mal-kompetittività jew minn kwalunkwe korp ieħor pubbliku jew privat;</w:t>
      </w:r>
    </w:p>
    <w:p>
      <w:pPr>
        <w:pStyle w:val="Point1letter"/>
        <w:rPr>
          <w:noProof/>
        </w:rPr>
      </w:pPr>
      <w:r>
        <w:rPr>
          <w:noProof/>
        </w:rPr>
        <w:tab/>
        <w:t>il-kapaċità li jikkomunikaw pubblikament fil-mument xieraq;</w:t>
      </w:r>
    </w:p>
    <w:p>
      <w:pPr>
        <w:pStyle w:val="Point1letter"/>
        <w:rPr>
          <w:noProof/>
        </w:rPr>
      </w:pPr>
      <w:r>
        <w:rPr>
          <w:noProof/>
        </w:rPr>
        <w:t>il-proċeduri għan-nomina ta' membri abbażi tal-esperjenza u l-kompetenza tagħhom;</w:t>
      </w:r>
    </w:p>
    <w:p>
      <w:pPr>
        <w:pStyle w:val="Point1letter"/>
        <w:rPr>
          <w:noProof/>
        </w:rPr>
      </w:pPr>
      <w:r>
        <w:rPr>
          <w:noProof/>
        </w:rPr>
        <w:t>ir-riżorsi adegwati u l-aċċess xieraq għall-informazzjoni biex jitwettaq il-mandat tagħhom.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Il-bordijiet ta’ kompetittività għandhom jikkonsultaw lill-partijiet interessati rilevanti (eż. atturi nazzjonali jew gruppi ta’ atturi, inklużi is-sħab soċjali, li jipparteċipaw fi djalogu soċjali u ekonomiċi tal-Istati Membri fuq bażi regolari) iżda m’għandhomx iwasslu biss jew prinċipalment l-opinjonijiet u l-interessi ta’ grupp partikolari ta’ partijiet interessati.</w:t>
      </w:r>
    </w:p>
    <w:p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Il-bordijiet ta’ kompetittività għandu jkollhom il-kapaċità li jwettqu analiżi ekonomika u statistika b’livell għoli ta’ kwalità, inkluż kif rikonoxxut mill-komunità akkademika.</w:t>
      </w:r>
    </w:p>
    <w:p>
      <w:pPr>
        <w:spacing w:before="0" w:after="240"/>
        <w:rPr>
          <w:rFonts w:eastAsia="Times New Roman"/>
          <w:noProof/>
          <w:szCs w:val="24"/>
        </w:rPr>
      </w:pPr>
    </w:p>
    <w:p>
      <w:pPr>
        <w:jc w:val="center"/>
        <w:rPr>
          <w:noProof/>
        </w:rPr>
      </w:pPr>
      <w:r>
        <w:rPr>
          <w:noProof/>
        </w:rPr>
        <w:t>IV. L-artikolazzjoni mas-Semestru Ewropew</w:t>
      </w:r>
    </w:p>
    <w:p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Il-Kummissjoni għandha tiffaċilita l-koordinazzjoni bejn il-bordijiet tal-kompetittività nazzjonali u tiskambja l-fehmiet magħhom, b’mod partikolari biex tippromwovi l-kunsiderazzjoni taż-żona tal-euro u l-objettivi tal-UE fix-xogħol tal-bordijiet. Il-kuntatti għandhom jiġu previsti qabel il-produzzjoni tar-rapporti annwali tagħhom u matul missjonijiet għal ġbir ta’ informazzjoni fl-Istati Membri. </w:t>
      </w:r>
    </w:p>
    <w:p>
      <w:pPr>
        <w:pStyle w:val="ManualNumPar1"/>
        <w:rPr>
          <w:noProof/>
        </w:rPr>
      </w:pPr>
      <w:r>
        <w:rPr>
          <w:noProof/>
        </w:rPr>
        <w:t>10.</w:t>
      </w:r>
      <w:r>
        <w:rPr>
          <w:noProof/>
        </w:rPr>
        <w:tab/>
        <w:t xml:space="preserve">L-għarfien indipendenti pprovdut minn dawn il-bordijiet, inkluż permezz ta’ rapporti annwali, ser jintuża biex jinforma l-Istati Membri u l-analiżi tal-Kummissjoni fis-Semestru Ewropew u l-proċedura ta’ żbilanċ makroekonomiku. </w:t>
      </w:r>
    </w:p>
    <w:p>
      <w:pPr>
        <w:spacing w:before="0" w:after="240"/>
        <w:jc w:val="center"/>
        <w:rPr>
          <w:rFonts w:eastAsia="Times New Roman"/>
          <w:noProof/>
          <w:szCs w:val="24"/>
        </w:rPr>
      </w:pPr>
    </w:p>
    <w:p>
      <w:pPr>
        <w:jc w:val="center"/>
        <w:rPr>
          <w:noProof/>
        </w:rPr>
      </w:pPr>
      <w:r>
        <w:rPr>
          <w:noProof/>
        </w:rPr>
        <w:t>V. Responsabbiltà u trasparenza</w:t>
      </w:r>
    </w:p>
    <w:p>
      <w:pPr>
        <w:pStyle w:val="ManualNumPar1"/>
        <w:rPr>
          <w:noProof/>
        </w:rPr>
      </w:pPr>
      <w:r>
        <w:rPr>
          <w:noProof/>
        </w:rPr>
        <w:t>11.</w:t>
      </w:r>
      <w:r>
        <w:rPr>
          <w:noProof/>
        </w:rPr>
        <w:tab/>
        <w:t>Bħala regola, l-analiżi prodotta minn dawk il-bordijiet għandha ssir pubblika.</w:t>
      </w:r>
    </w:p>
    <w:p>
      <w:pPr>
        <w:spacing w:before="0" w:after="240"/>
        <w:rPr>
          <w:rFonts w:eastAsia="Times New Roman"/>
          <w:noProof/>
          <w:szCs w:val="24"/>
        </w:rPr>
      </w:pPr>
    </w:p>
    <w:p>
      <w:pPr>
        <w:jc w:val="center"/>
        <w:rPr>
          <w:noProof/>
        </w:rPr>
      </w:pPr>
      <w:r>
        <w:rPr>
          <w:noProof/>
        </w:rPr>
        <w:t>VI. Dispożizzjonijiet finali</w:t>
      </w:r>
    </w:p>
    <w:p>
      <w:pPr>
        <w:pStyle w:val="ManualNumPar1"/>
        <w:rPr>
          <w:noProof/>
        </w:rPr>
      </w:pPr>
      <w:r>
        <w:rPr>
          <w:noProof/>
        </w:rPr>
        <w:t>12.</w:t>
      </w:r>
      <w:r>
        <w:rPr>
          <w:noProof/>
        </w:rPr>
        <w:tab/>
        <w:t>L-Istati Membri huma mistiedna jimplimentaw il-prinċipji stabbiliti f’din ir-Rakkomandazzjoni sa[data ta' adozzjoni ta' din ir-rakkomandazzjoni + 6 xhur].</w:t>
      </w:r>
    </w:p>
    <w:p>
      <w:pPr>
        <w:pStyle w:val="ManualNumPar1"/>
        <w:rPr>
          <w:noProof/>
        </w:rPr>
      </w:pPr>
      <w:r>
        <w:rPr>
          <w:noProof/>
        </w:rPr>
        <w:t>13.</w:t>
      </w:r>
      <w:r>
        <w:rPr>
          <w:noProof/>
        </w:rPr>
        <w:tab/>
        <w:t>Sa [data ta’ adozzjoni ta’ din ir-rakkomandazzjoni + 12-il xahar], il-Kummissjoni hija mistiedna tħejji rapport ta’ progress, abbażi tal-informazzjoni rilevanti mill-Istati Membri, dwar l-implimentazzjoni u l-adegwatezza ta’ din ir-Rakkomandazzjoni, inkluż jekk l-adozzjoni ta’ dispożizzjonijiet li jorbtu jidher li huwa meħtieġ.</w:t>
      </w:r>
    </w:p>
    <w:p>
      <w:pPr>
        <w:pStyle w:val="Text1"/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80C5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EBAAD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8E2C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9EB8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A49E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6EBB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58F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C12A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0-23 12:19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F83F188F420E4C4F9F0AEDE428B66072"/>
    <w:docVar w:name="LW_CROSSREFERENCE" w:val="&lt;UNUSED&gt;"/>
    <w:docVar w:name="LW_DocType" w:val="COM"/>
    <w:docVar w:name="LW_EMISSION" w:val="21.10.2015"/>
    <w:docVar w:name="LW_EMISSION_ISODATE" w:val="2015-10-21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STATUT" w:val="SG-002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5"/>
    <w:docVar w:name="LW_REF.INST.NEW" w:val="COM"/>
    <w:docVar w:name="LW_REF.INST.NEW_ADOPTED" w:val="final"/>
    <w:docVar w:name="LW_REF.INST.NEW_TEXT" w:val="(2015) 601"/>
    <w:docVar w:name="LW_REF.INTERNE" w:val="&lt;UNUSED&gt;"/>
    <w:docVar w:name="LW_SOUS.TITRE.OBJ.CP" w:val="&lt;UNUSED&gt;"/>
    <w:docVar w:name="LW_STATUT.CP" w:val="Rakkomandazzjoni g\u295?al"/>
    <w:docVar w:name="LW_SUPERTITRE" w:val="&lt;UNUSED&gt;"/>
    <w:docVar w:name="LW_TITRE.OBJ.CP" w:val="Dwar l-istabbiliment ta\u8217? Bordijiet Nazzjonali tal-Kompetittività fi\u380?-\u379?ona tal-Euro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Consideran">
    <w:name w:val="Consideran"/>
    <w:basedOn w:val="Normal"/>
    <w:pPr>
      <w:spacing w:before="0" w:after="240"/>
      <w:ind w:left="720" w:hanging="720"/>
    </w:pPr>
    <w:rPr>
      <w:rFonts w:eastAsia="Times New Roman"/>
      <w:szCs w:val="24"/>
    </w:rPr>
  </w:style>
  <w:style w:type="paragraph" w:customStyle="1" w:styleId="Manuall">
    <w:name w:val="Manual l"/>
    <w:basedOn w:val="Normal"/>
    <w:pPr>
      <w:spacing w:before="0" w:after="240"/>
      <w:ind w:left="1440" w:hanging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Consideran">
    <w:name w:val="Consideran"/>
    <w:basedOn w:val="Normal"/>
    <w:pPr>
      <w:spacing w:before="0" w:after="240"/>
      <w:ind w:left="720" w:hanging="720"/>
    </w:pPr>
    <w:rPr>
      <w:rFonts w:eastAsia="Times New Roman"/>
      <w:szCs w:val="24"/>
    </w:rPr>
  </w:style>
  <w:style w:type="paragraph" w:customStyle="1" w:styleId="Manuall">
    <w:name w:val="Manual l"/>
    <w:basedOn w:val="Normal"/>
    <w:pPr>
      <w:spacing w:before="0" w:after="240"/>
      <w:ind w:left="1440" w:hanging="72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1313</Words>
  <Characters>10192</Characters>
  <Application>Microsoft Office Word</Application>
  <DocSecurity>0</DocSecurity>
  <Lines>175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cp:lastPrinted>2015-10-16T18:46:00Z</cp:lastPrinted>
  <dcterms:created xsi:type="dcterms:W3CDTF">2015-10-23T08:17:00Z</dcterms:created>
  <dcterms:modified xsi:type="dcterms:W3CDTF">2015-10-23T10:19:00Z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