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8" w:rsidRDefault="003D6FB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32DF131E6AA41348196FB08D6599A9F" style="width:450.6pt;height:325.25pt">
            <v:imagedata r:id="rId8" o:title=""/>
          </v:shape>
        </w:pict>
      </w:r>
    </w:p>
    <w:p w:rsidR="00757908" w:rsidRDefault="00757908">
      <w:pPr>
        <w:rPr>
          <w:noProof/>
        </w:rPr>
        <w:sectPr w:rsidR="00757908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57908" w:rsidRDefault="003D6FBD">
      <w:pPr>
        <w:pStyle w:val="Exposdesmotifstitre"/>
        <w:rPr>
          <w:noProof/>
        </w:rPr>
      </w:pPr>
      <w:r>
        <w:rPr>
          <w:noProof/>
        </w:rPr>
        <w:lastRenderedPageBreak/>
        <w:t xml:space="preserve"> </w:t>
      </w:r>
    </w:p>
    <w:p w:rsidR="00757908" w:rsidRDefault="00757908">
      <w:pPr>
        <w:rPr>
          <w:noProof/>
        </w:rPr>
      </w:pPr>
    </w:p>
    <w:p w:rsidR="00757908" w:rsidRDefault="003D6FBD">
      <w:pPr>
        <w:pStyle w:val="Statut"/>
        <w:rPr>
          <w:noProof/>
        </w:rPr>
      </w:pPr>
      <w:r>
        <w:rPr>
          <w:noProof/>
        </w:rPr>
        <w:t>Doporučení pro</w:t>
      </w:r>
    </w:p>
    <w:p w:rsidR="00757908" w:rsidRDefault="003D6FBD">
      <w:pPr>
        <w:pStyle w:val="Typedudocument"/>
        <w:rPr>
          <w:noProof/>
        </w:rPr>
      </w:pPr>
      <w:r>
        <w:rPr>
          <w:noProof/>
        </w:rPr>
        <w:t>DOPORUČENÍ RADY</w:t>
      </w:r>
    </w:p>
    <w:p w:rsidR="00757908" w:rsidRDefault="003D6FBD">
      <w:pPr>
        <w:pStyle w:val="Titreobjet"/>
        <w:rPr>
          <w:noProof/>
        </w:rPr>
      </w:pPr>
      <w:r>
        <w:rPr>
          <w:noProof/>
        </w:rPr>
        <w:t>ke zřízení vnitrostátních rad pro konkurenceschopnost v rámci eurozóny</w:t>
      </w:r>
    </w:p>
    <w:p w:rsidR="00757908" w:rsidRDefault="003D6FBD">
      <w:pPr>
        <w:pStyle w:val="Institutionquiagit"/>
        <w:rPr>
          <w:noProof/>
        </w:rPr>
      </w:pPr>
      <w:r>
        <w:rPr>
          <w:noProof/>
        </w:rPr>
        <w:t>RADA EVROPSKÉ UNIE,</w:t>
      </w:r>
    </w:p>
    <w:p w:rsidR="00757908" w:rsidRDefault="003D6FBD">
      <w:pPr>
        <w:rPr>
          <w:noProof/>
        </w:rPr>
      </w:pPr>
      <w:r>
        <w:rPr>
          <w:noProof/>
        </w:rPr>
        <w:t>s ohledem na Smlouvu o fungování Evropské unie, a zejména na článek 292 ve spojení s čl. 121 odst. 2 a článkem 136 této smlouvy,</w:t>
      </w:r>
    </w:p>
    <w:p w:rsidR="00757908" w:rsidRDefault="003D6FBD"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s ohledem na doporučení Evropské komise,</w:t>
      </w:r>
    </w:p>
    <w:p w:rsidR="00757908" w:rsidRDefault="003D6FBD"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vzhledem k těmto důvodům: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Ačkoliv je potřeba zlepšit koordina</w:t>
      </w:r>
      <w:r>
        <w:rPr>
          <w:noProof/>
        </w:rPr>
        <w:t>ci a dohled v oblasti vývoje konkurenceschopnosti v Unii, během nedávné krize se ukázalo, že na členské státy, jejichž měnou je euro („členské státy eurozóny“), obzvláště dopadají důsledky nejdříve možného vzniku a poté náhlého odstranění makroekonomické n</w:t>
      </w:r>
      <w:r>
        <w:rPr>
          <w:noProof/>
        </w:rPr>
        <w:t>erovnováhy, které by mohly přerůst i do ostatních členských států eurozóny. Jelikož neexistují pružné nominální směnné kurzy, potřebují tyto členské státy rovněž odpovídající mechanismy úpravy, které by reagovaly na otřesy v jednotlivých zemích. Dynamika k</w:t>
      </w:r>
      <w:r>
        <w:rPr>
          <w:noProof/>
        </w:rPr>
        <w:t>onkurenceschopnosti je relevantní jak pro hromadění, tak i nápravu makroekonomické nerovnováhy (například obchodní schodek a schodek běžného účtu, stavy domácích i zahraničních závazků) a účinné přizpůsobení asymetrickým šokům. Zhoršování konkurenceschopno</w:t>
      </w:r>
      <w:r>
        <w:rPr>
          <w:noProof/>
        </w:rPr>
        <w:t>sti může být rovněž důvodem sníženého potenciálního růstu, v důsledku čehož je obtížnější splatit vysoký dluh. Díky koordinaci politik, které ovlivňují dynamiku konkurenceschopnosti, by bylo možné zajistit, aby vývoj v oblasti konkurenceschopnosti byl v so</w:t>
      </w:r>
      <w:r>
        <w:rPr>
          <w:noProof/>
        </w:rPr>
        <w:t xml:space="preserve">uladu s cílem hladkého fungování hospodářské a měnové unie (HMU). Toto doporučení je sice určeno členským státům eurozóny, ostatním členským státům se však rovněž doporučuje, aby zřídily obdobné subjekty. 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Evropský semestr, zejména postup při makroekon</w:t>
      </w:r>
      <w:r>
        <w:rPr>
          <w:noProof/>
        </w:rPr>
        <w:t>omické nerovnováze stanovený v nařízeních (EU) č. 1176/2011 a č. 1174/2011, stanoví rámec pro integrovanou koordinaci hospodářských politik a dohled nad nimi. Vzhledem k tomu, že je nutné podporovat pokrok v provádění strukturálních reforem v oblasti konku</w:t>
      </w:r>
      <w:r>
        <w:rPr>
          <w:noProof/>
        </w:rPr>
        <w:t>renceschopnosti, musí se tyto stávající mechanismy opírat o důslednější vnitrostátní odpovědnost za plnění programů reforem. V této souvislosti se jako oprávněné jeví posilování nezávislého politického poradenství na vnitrostátní úrovni a posílení politick</w:t>
      </w:r>
      <w:r>
        <w:rPr>
          <w:noProof/>
        </w:rPr>
        <w:t xml:space="preserve">ého dialogu mezi Unií a členskými státy eurozóny. 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Zřízení vnitrostátních rad pro konkurenceschopnost odpovědných za sledování vývoje a politik v oblasti konkurenceschopnosti by mělo přispět ke zvýšení odpovědnosti za nezbytné politiky a reformy na vni</w:t>
      </w:r>
      <w:r>
        <w:rPr>
          <w:noProof/>
        </w:rPr>
        <w:t xml:space="preserve">trostátní úrovni a ke zdokonalení znalostní základny pro koordinaci hospodářské politiky Unie v oblasti konkurenceschopnosti. Tyto rady by měly posuzovat vývoj a politiky v oblasti konkurenceschopnosti, ale rovněž </w:t>
      </w:r>
      <w:r>
        <w:rPr>
          <w:noProof/>
        </w:rPr>
        <w:lastRenderedPageBreak/>
        <w:t>poskytovat politické poradenství při prová</w:t>
      </w:r>
      <w:r>
        <w:rPr>
          <w:noProof/>
        </w:rPr>
        <w:t>dění reforem s přihlédnutím k vnitrostátním specifikům a zavedeným postupům.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Rozsah intervence rad pro konkurenceschopnost by měl vycházet z komplexní definice konkurenceschopnosti. Do oblasti působnosti těchto rad by měly spadat dynamika mezd, jakož i</w:t>
      </w:r>
      <w:r>
        <w:rPr>
          <w:noProof/>
        </w:rPr>
        <w:t xml:space="preserve"> jiné než mzdové faktory, dále faktory určující produktivitu a úvahy o dynamice investic, inovací a přitažlivosti hospodářství pro podniky.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Rady pro konkurenceschopnost by měly mít kapacitu k zajištění vysoce kvalitních ekonomických analýz, které by by</w:t>
      </w:r>
      <w:r>
        <w:rPr>
          <w:noProof/>
        </w:rPr>
        <w:t>ly základem jejich poradenské úlohy.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 xml:space="preserve">Rady pro konkurenceschopnost by měly být nezávislé na ministerstvech nebo veřejných orgánech, které se zabývají problematikou konkurenceschopnosti. Rovněž by měly být nestranné v tom smyslu, že by neměly vyjadřovat </w:t>
      </w:r>
      <w:r>
        <w:rPr>
          <w:noProof/>
        </w:rPr>
        <w:t>výhradně či zejména názory specifických skupin zúčastněných stran. Cílem těchto požadavků na nezávislost a nestrannost je zajistit, aby poradní úloha rad pro konkurenceschopnost přiměřeně odrážela odborný úsudek formulovaný v obecném zájmu.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</w:r>
      <w:r>
        <w:rPr>
          <w:noProof/>
        </w:rPr>
        <w:t>Charakteristiky rad pro konkurenceschopnost by měly být v souladu s článkem 152 Smlouvy a měly by zohledňovat vnitrostátní postupy a subjekty pověřené tvorbou mezd. V souladu s článkem 28 Listiny základních práv Evropské unie by jejich působení nemělo ovli</w:t>
      </w:r>
      <w:r>
        <w:rPr>
          <w:noProof/>
        </w:rPr>
        <w:t>vňovat právo pracovníků ani zaměstnavatelů či jejich příslušných organizací sjednávat a uzavírat kolektivní smlouvy na příslušných úrovních ani právo na kolektivní akci podle práva Unie a vnitrostátního práva a praxe.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Komise by měla koordinovat činnost</w:t>
      </w:r>
      <w:r>
        <w:rPr>
          <w:noProof/>
        </w:rPr>
        <w:t>i rad pro konkurenceschopnost s cílem podpořit dosažení cílů stanovených v rámci celé eurozóny a s přihlédnutím k výsledkům činnosti systému rad pro konkurenceschopnost dosažených při koordinaci hospodářské politiky Unie.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Rady pro konkurenceschopnost b</w:t>
      </w:r>
      <w:r>
        <w:rPr>
          <w:noProof/>
        </w:rPr>
        <w:t>y měly sestavovat a zveřejňovat své analýzy a doporučení ve výroční zprávě. Aby při práci rad byly zohledněny cíle eurozóny a Unie, měly by se mezi Komisí a radami konat konzultace vedené za účelem vypracování těchto zpráv a během vyšetřovacích misí do čle</w:t>
      </w:r>
      <w:r>
        <w:rPr>
          <w:noProof/>
        </w:rPr>
        <w:t xml:space="preserve">nských států. Tyto zprávy budou Komisi poskytovat informace pro její analýzy provedené v rámci evropského semestru a postupu při makroekonomické nerovnováze. 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S cílem usnadnit koordinaci na nadnárodní úrovni by v každém členském státě měla existovat j</w:t>
      </w:r>
      <w:r>
        <w:rPr>
          <w:noProof/>
        </w:rPr>
        <w:t>edna identifikovatelná rada pro konkurenceschopnost. Aby však mohly rady pro konkurenceschopnost své činnosti vykonávat řádně, mohly by se opírat o různé samostatné subjekty za předpokladu, že splňují obecné zásady uvedené výše.</w:t>
      </w:r>
    </w:p>
    <w:p w:rsidR="00757908" w:rsidRDefault="003D6FBD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Sledování a uplatňován</w:t>
      </w:r>
      <w:r>
        <w:rPr>
          <w:noProof/>
        </w:rPr>
        <w:t>í doporučení pro jednotlivé země by mělo i nadále zůstat na úrovni Unie v rámci evropského semestru a uplatňování postupu při makroekonomické nerovnováze, jak je stanoveno v nařízení (EU) č. 1176/2011,</w:t>
      </w:r>
    </w:p>
    <w:p w:rsidR="00757908" w:rsidRDefault="00757908">
      <w:pPr>
        <w:rPr>
          <w:noProof/>
        </w:rPr>
      </w:pPr>
    </w:p>
    <w:p w:rsidR="003D6FBD" w:rsidRDefault="003D6FBD">
      <w:pPr>
        <w:rPr>
          <w:noProof/>
        </w:rPr>
      </w:pPr>
    </w:p>
    <w:p w:rsidR="00757908" w:rsidRDefault="00757908">
      <w:pPr>
        <w:rPr>
          <w:noProof/>
        </w:rPr>
      </w:pPr>
    </w:p>
    <w:p w:rsidR="00757908" w:rsidRDefault="00757908">
      <w:pPr>
        <w:rPr>
          <w:noProof/>
        </w:rPr>
      </w:pPr>
    </w:p>
    <w:p w:rsidR="003D6FBD" w:rsidRDefault="003D6FBD">
      <w:pPr>
        <w:pStyle w:val="Formuledadoption"/>
        <w:rPr>
          <w:noProof/>
        </w:rPr>
      </w:pPr>
    </w:p>
    <w:p w:rsidR="00757908" w:rsidRDefault="003D6FBD">
      <w:pPr>
        <w:pStyle w:val="Formuledadoption"/>
        <w:rPr>
          <w:rFonts w:eastAsia="Times New Roman"/>
          <w:noProof/>
          <w:szCs w:val="24"/>
        </w:rPr>
      </w:pPr>
      <w:r>
        <w:rPr>
          <w:noProof/>
        </w:rPr>
        <w:t>PŘIJALA TOTO DOPORUČENÍ:</w:t>
      </w:r>
    </w:p>
    <w:p w:rsidR="00757908" w:rsidRDefault="00757908">
      <w:pPr>
        <w:pStyle w:val="Titrearticle"/>
        <w:rPr>
          <w:noProof/>
        </w:rPr>
      </w:pPr>
    </w:p>
    <w:p w:rsidR="00757908" w:rsidRDefault="003D6FBD">
      <w:pPr>
        <w:jc w:val="center"/>
        <w:rPr>
          <w:noProof/>
        </w:rPr>
      </w:pPr>
      <w:r>
        <w:rPr>
          <w:noProof/>
        </w:rPr>
        <w:t>I. Cíle a oblast působnos</w:t>
      </w:r>
      <w:r>
        <w:rPr>
          <w:noProof/>
        </w:rPr>
        <w:t>ti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lastRenderedPageBreak/>
        <w:t>1.</w:t>
      </w:r>
      <w:r>
        <w:rPr>
          <w:noProof/>
        </w:rPr>
        <w:tab/>
        <w:t>Cílem tohoto doporučení je zřízení vnitrostátních rad pro konkurenceschopnost, jejichž úkolem je sledovat vývoj a politiky v oblasti konkurenceschopnosti, čímž přispívají k podpoře udržitelné hospodářské konvergence a zvýšení odpovědnosti za nezbytné</w:t>
      </w:r>
      <w:r>
        <w:rPr>
          <w:noProof/>
        </w:rPr>
        <w:t xml:space="preserve"> reformy na vnitrostátní úrovni. 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Toto doporučení je určeno členským státům eurozóny. Ostatním členským státům se rovněž doporučuje, aby zřídily obdobné subjekty.</w:t>
      </w:r>
    </w:p>
    <w:p w:rsidR="00757908" w:rsidRDefault="00757908">
      <w:pPr>
        <w:rPr>
          <w:noProof/>
        </w:rPr>
      </w:pPr>
    </w:p>
    <w:p w:rsidR="00757908" w:rsidRDefault="003D6FBD">
      <w:pPr>
        <w:jc w:val="center"/>
        <w:rPr>
          <w:noProof/>
        </w:rPr>
      </w:pPr>
      <w:r>
        <w:rPr>
          <w:noProof/>
        </w:rPr>
        <w:t>II. Zřízení rad pro konkurenceschopnost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Každý členský stát by měl mít radu pro konkure</w:t>
      </w:r>
      <w:r>
        <w:rPr>
          <w:noProof/>
        </w:rPr>
        <w:t>nceschopnost, jejímž úkolem je:</w:t>
      </w:r>
    </w:p>
    <w:p w:rsidR="00757908" w:rsidRDefault="003D6FBD">
      <w:pPr>
        <w:spacing w:before="0" w:after="240"/>
        <w:ind w:left="1440" w:hanging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sledovat vývoj v oblasti konkurenceschopnosti v dotyčném členském státu s přihlédnutím k faktorům, které mohou ovlivnit ceny a kvalitu zboží a služeb v porovnání se světovými konkurenty v krátkodobém horizontu (včetně nák</w:t>
      </w:r>
      <w:r>
        <w:rPr>
          <w:noProof/>
        </w:rPr>
        <w:t>ladů práce), jakož i k faktorům v dlouhodobém horizontu, jako je produktivita a inovační schopnost, které jsou důležité nejen pro relativní výkonnost hospodářství, ale také pro jeho růstový potenciál a schopnost přilákat investice, podniky a lidský kapitál</w:t>
      </w:r>
      <w:r>
        <w:rPr>
          <w:noProof/>
        </w:rPr>
        <w:t>;</w:t>
      </w:r>
    </w:p>
    <w:p w:rsidR="00757908" w:rsidRDefault="003D6FBD"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  <w:t>poskytovat příslušné informace pro postupy stanovování mezd na vnitrostátní úrovni;</w:t>
      </w:r>
    </w:p>
    <w:p w:rsidR="00757908" w:rsidRDefault="003D6FBD"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c)</w:t>
      </w:r>
      <w:r>
        <w:rPr>
          <w:noProof/>
        </w:rPr>
        <w:tab/>
        <w:t xml:space="preserve">sledovat politiky týkající se konkurenceschopnosti v dotyčném členském státě, včetně zapojení do hodnocení politik prováděných </w:t>
      </w:r>
      <w:r>
        <w:rPr>
          <w:i/>
          <w:noProof/>
        </w:rPr>
        <w:t>ex-post</w:t>
      </w:r>
      <w:r>
        <w:rPr>
          <w:noProof/>
        </w:rPr>
        <w:t>; a</w:t>
      </w:r>
    </w:p>
    <w:p w:rsidR="00757908" w:rsidRDefault="003D6FBD"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d)</w:t>
      </w:r>
      <w:r>
        <w:rPr>
          <w:noProof/>
        </w:rPr>
        <w:tab/>
        <w:t>posuzovat politické výz</w:t>
      </w:r>
      <w:r>
        <w:rPr>
          <w:noProof/>
        </w:rPr>
        <w:t>vy a formulovat politická doporučení v oblasti konkurenceschopnosti. Poradenství poskytované radami pro konkurenceschopnost by mělo zohledňovat i širší dimenzi eurozóny a Unie. Rady by měly mimo jiné poskytovat poradenství k provádění doporučení, která pro</w:t>
      </w:r>
      <w:r>
        <w:rPr>
          <w:noProof/>
        </w:rPr>
        <w:t xml:space="preserve"> jednotlivé členské státy přijala Rada v rámci evropského semestru.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Každý členský stát by měl určit jednu radu pro konkurenceschopnost, která by se mohla opírat o různé stávající subjekty.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Rady pro konkurenceschopnost by měly vykonávat své činnosti </w:t>
      </w:r>
      <w:r>
        <w:rPr>
          <w:noProof/>
        </w:rPr>
        <w:t>nepřetržitě. Měly by zveřejňovat své analýzy a doporučení ve výroční zprávě. V zájmu koordinace svých stanovisek by měly udržovat kontakt s Komisí a radami pro konkurenceschopnost z jiných členských států.</w:t>
      </w:r>
    </w:p>
    <w:p w:rsidR="00757908" w:rsidRDefault="00757908">
      <w:pPr>
        <w:rPr>
          <w:noProof/>
        </w:rPr>
      </w:pPr>
    </w:p>
    <w:p w:rsidR="003D6FBD" w:rsidRDefault="003D6FBD">
      <w:pPr>
        <w:rPr>
          <w:noProof/>
        </w:rPr>
      </w:pPr>
      <w:bookmarkStart w:id="0" w:name="_GoBack"/>
      <w:bookmarkEnd w:id="0"/>
    </w:p>
    <w:p w:rsidR="00757908" w:rsidRDefault="00757908">
      <w:pPr>
        <w:rPr>
          <w:noProof/>
        </w:rPr>
      </w:pPr>
    </w:p>
    <w:p w:rsidR="00757908" w:rsidRDefault="00757908">
      <w:pPr>
        <w:rPr>
          <w:noProof/>
        </w:rPr>
      </w:pPr>
    </w:p>
    <w:p w:rsidR="00757908" w:rsidRDefault="003D6FBD">
      <w:pPr>
        <w:jc w:val="center"/>
        <w:rPr>
          <w:noProof/>
        </w:rPr>
      </w:pPr>
      <w:r>
        <w:rPr>
          <w:noProof/>
        </w:rPr>
        <w:t>III. Charakteristiky rad pro konkurenceschopnos</w:t>
      </w:r>
      <w:r>
        <w:rPr>
          <w:noProof/>
        </w:rPr>
        <w:t>t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Rady pro konkurenceschopnost by měly být strukturálně nezávislé nebo funkčně autonomní vůči veškerým veřejným subjektům zabývajícím se problematikou konkurenceschopnosti členského státu (zejména ministerstvům, orgánům veřejné správy, veřejným </w:t>
      </w:r>
      <w:r>
        <w:rPr>
          <w:noProof/>
        </w:rPr>
        <w:t>institucím, veřejným agenturám). Měly by se řídit vnitrostátními právními ustanoveními, která zajišťují vysoký stupeň funkční autonomie a odpovědnosti, včetně:</w:t>
      </w:r>
    </w:p>
    <w:p w:rsidR="00757908" w:rsidRDefault="003D6FBD">
      <w:pPr>
        <w:pStyle w:val="Point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>zákonného režimu ukotveného ve vnitrostátních právních nebo závazných správních předpisech;</w:t>
      </w:r>
    </w:p>
    <w:p w:rsidR="00757908" w:rsidRDefault="003D6FBD">
      <w:pPr>
        <w:pStyle w:val="Point1"/>
        <w:rPr>
          <w:noProof/>
        </w:rPr>
      </w:pPr>
      <w:r>
        <w:rPr>
          <w:noProof/>
        </w:rPr>
        <w:t>b</w:t>
      </w:r>
      <w:r>
        <w:rPr>
          <w:noProof/>
        </w:rPr>
        <w:t>)</w:t>
      </w:r>
      <w:r>
        <w:rPr>
          <w:noProof/>
        </w:rPr>
        <w:tab/>
        <w:t>zákazu přijímat pokyny od jakéhokoliv veřejného subjektu zabývajícího se problematikou konkurenceschopnosti nebo od jakéhokoliv jiného veřejného či soukromého subjektu;</w:t>
      </w:r>
    </w:p>
    <w:p w:rsidR="00757908" w:rsidRDefault="003D6FBD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ab/>
        <w:t>schopnosti včas a veřejně komunikovat;</w:t>
      </w:r>
    </w:p>
    <w:p w:rsidR="00757908" w:rsidRDefault="003D6FBD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postupů jmenování členů na základě jeji</w:t>
      </w:r>
      <w:r>
        <w:rPr>
          <w:noProof/>
        </w:rPr>
        <w:t>ch zkušeností a schopností;</w:t>
      </w:r>
    </w:p>
    <w:p w:rsidR="00757908" w:rsidRDefault="003D6FBD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přiměřených zdrojů a vhodného přístupu k informacím pro výkon jejich mandátu.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Rady pro konkurenceschopnost by měly konzultovat příslušné zúčastněné strany (např. vnitrostátní aktéry či skupiny aktérů, včetně sociálních par</w:t>
      </w:r>
      <w:r>
        <w:rPr>
          <w:noProof/>
        </w:rPr>
        <w:t>tnerů, kteří se pravidelně účastní hospodářského a sociálního dialogu členských států), avšak neměly by vyjadřovat výhradně či zejména názory a zájmy konkrétní skupiny zúčastněných stran.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Rady pro konkurenceschopnost by měly být schopné provádět vysoce </w:t>
      </w:r>
      <w:r>
        <w:rPr>
          <w:noProof/>
        </w:rPr>
        <w:t>kvalitní ekonomické a statistické analýzy, včetně analýz uznaných akademickou obcí.</w:t>
      </w:r>
    </w:p>
    <w:p w:rsidR="00757908" w:rsidRDefault="00757908">
      <w:pPr>
        <w:rPr>
          <w:noProof/>
        </w:rPr>
      </w:pPr>
    </w:p>
    <w:p w:rsidR="00757908" w:rsidRDefault="003D6FBD">
      <w:pPr>
        <w:jc w:val="center"/>
        <w:rPr>
          <w:rFonts w:eastAsia="Times New Roman"/>
          <w:noProof/>
          <w:szCs w:val="24"/>
        </w:rPr>
      </w:pPr>
      <w:r>
        <w:rPr>
          <w:noProof/>
        </w:rPr>
        <w:t>IV. Propojenost s evropským semestrem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>Komise by měla usnadňovat koordinaci mezi vnitrostátními radami pro konkurenceschopnost a vyměňovat si s nimi názory, zejména v zá</w:t>
      </w:r>
      <w:r>
        <w:rPr>
          <w:noProof/>
        </w:rPr>
        <w:t xml:space="preserve">jmu zohlednění cílů eurozóny a EU v práci těchto rad. Kontakty by měly být navazovány předtím, než rady vypracují své výroční zprávy, a rovněž během vyšetřovacích misí do členských států. 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10.</w:t>
      </w:r>
      <w:r>
        <w:rPr>
          <w:noProof/>
        </w:rPr>
        <w:tab/>
        <w:t>Nezávislé poradenství poskytnuté těmito radami, včetně výročníc</w:t>
      </w:r>
      <w:r>
        <w:rPr>
          <w:noProof/>
        </w:rPr>
        <w:t>h zpráv, se použije k informování členských států a pro analýzu Komise v rámci evropského semestru a postupu při makroekonomické nerovnováze.</w:t>
      </w:r>
    </w:p>
    <w:p w:rsidR="00757908" w:rsidRDefault="00757908">
      <w:pPr>
        <w:rPr>
          <w:noProof/>
        </w:rPr>
      </w:pPr>
    </w:p>
    <w:p w:rsidR="00757908" w:rsidRDefault="003D6FBD">
      <w:pPr>
        <w:jc w:val="center"/>
        <w:rPr>
          <w:noProof/>
        </w:rPr>
      </w:pPr>
      <w:r>
        <w:rPr>
          <w:noProof/>
        </w:rPr>
        <w:t>V. Odpovědnost a transparentnost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11.</w:t>
      </w:r>
      <w:r>
        <w:rPr>
          <w:noProof/>
        </w:rPr>
        <w:tab/>
        <w:t>Analýzy vypracované těmito radami by měly být zpravidla zveřejněny.</w:t>
      </w:r>
    </w:p>
    <w:p w:rsidR="00757908" w:rsidRDefault="00757908">
      <w:pPr>
        <w:rPr>
          <w:noProof/>
        </w:rPr>
      </w:pPr>
    </w:p>
    <w:p w:rsidR="00757908" w:rsidRDefault="003D6FBD">
      <w:pPr>
        <w:jc w:val="center"/>
        <w:rPr>
          <w:rFonts w:eastAsia="Times New Roman"/>
          <w:noProof/>
          <w:szCs w:val="24"/>
        </w:rPr>
      </w:pPr>
      <w:r>
        <w:rPr>
          <w:noProof/>
        </w:rPr>
        <w:t>VI. Záv</w:t>
      </w:r>
      <w:r>
        <w:rPr>
          <w:noProof/>
        </w:rPr>
        <w:t>ěrečná ustanovení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12.</w:t>
      </w:r>
      <w:r>
        <w:rPr>
          <w:noProof/>
        </w:rPr>
        <w:tab/>
        <w:t>Členské státy se vyzývají, aby zásady stanovené v tomto doporučení zavedly do dne [den přijetí tohoto doporučení + 6 měsíců].</w:t>
      </w:r>
    </w:p>
    <w:p w:rsidR="00757908" w:rsidRDefault="003D6FBD">
      <w:pPr>
        <w:pStyle w:val="ManualNumPar1"/>
        <w:rPr>
          <w:noProof/>
        </w:rPr>
      </w:pPr>
      <w:r>
        <w:rPr>
          <w:noProof/>
        </w:rPr>
        <w:t>13.</w:t>
      </w:r>
      <w:r>
        <w:rPr>
          <w:noProof/>
        </w:rPr>
        <w:tab/>
        <w:t xml:space="preserve">Komise se vyzývá, aby do [den přijetí tohoto doporučení + 12 měsíců] vypracovala zprávu o pokroku, a to </w:t>
      </w:r>
      <w:r>
        <w:rPr>
          <w:noProof/>
        </w:rPr>
        <w:t>na základě relevantních informací členských států o provádění a o vhodnosti tohoto doporučení, včetně informací, zda se přijetí závazných ustanovení jeví jako nezbytné.</w:t>
      </w:r>
    </w:p>
    <w:p w:rsidR="00757908" w:rsidRDefault="00757908">
      <w:pPr>
        <w:pStyle w:val="Text1"/>
        <w:rPr>
          <w:noProof/>
        </w:rPr>
      </w:pPr>
    </w:p>
    <w:p w:rsidR="00757908" w:rsidRDefault="003D6FBD">
      <w:pPr>
        <w:pStyle w:val="Fait"/>
        <w:rPr>
          <w:noProof/>
        </w:rPr>
      </w:pPr>
      <w:r>
        <w:rPr>
          <w:noProof/>
        </w:rPr>
        <w:lastRenderedPageBreak/>
        <w:t>V Bruselu dne</w:t>
      </w:r>
    </w:p>
    <w:p w:rsidR="00757908" w:rsidRDefault="003D6FBD">
      <w:pPr>
        <w:pStyle w:val="Institutionquisigne"/>
        <w:rPr>
          <w:noProof/>
        </w:rPr>
      </w:pPr>
      <w:r>
        <w:rPr>
          <w:noProof/>
        </w:rPr>
        <w:tab/>
        <w:t>Za Radu</w:t>
      </w:r>
    </w:p>
    <w:p w:rsidR="00757908" w:rsidRDefault="003D6FBD">
      <w:pPr>
        <w:pStyle w:val="Personnequisigne"/>
        <w:rPr>
          <w:noProof/>
        </w:rPr>
      </w:pPr>
      <w:r>
        <w:rPr>
          <w:noProof/>
        </w:rPr>
        <w:tab/>
        <w:t>předseda</w:t>
      </w:r>
    </w:p>
    <w:sectPr w:rsidR="0075790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08" w:rsidRDefault="003D6FBD">
      <w:pPr>
        <w:spacing w:before="0" w:after="0"/>
      </w:pPr>
      <w:r>
        <w:separator/>
      </w:r>
    </w:p>
  </w:endnote>
  <w:endnote w:type="continuationSeparator" w:id="0">
    <w:p w:rsidR="00757908" w:rsidRDefault="003D6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08" w:rsidRDefault="003D6FB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CS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08" w:rsidRDefault="003D6FB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</w:instrText>
    </w:r>
    <w:r>
      <w:instrText xml:space="preserve">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08" w:rsidRDefault="0075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08" w:rsidRDefault="003D6FBD">
      <w:pPr>
        <w:spacing w:before="0" w:after="0"/>
      </w:pPr>
      <w:r>
        <w:separator/>
      </w:r>
    </w:p>
  </w:footnote>
  <w:footnote w:type="continuationSeparator" w:id="0">
    <w:p w:rsidR="00757908" w:rsidRDefault="003D6F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80C5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EBAAD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8E2C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9EB8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A49E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6EBB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58F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12A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0-23 12:18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132DF131E6AA41348196FB08D6599A9F"/>
    <w:docVar w:name="LW_CROSSREFERENCE" w:val="&lt;UNUSED&gt;"/>
    <w:docVar w:name="LW_DocType" w:val="COM"/>
    <w:docVar w:name="LW_EMISSION" w:val="21.10.2015"/>
    <w:docVar w:name="LW_EMISSION_ISODATE" w:val="2015-10-21"/>
    <w:docVar w:name="LW_EMISSION_LOCATION" w:val="BRX"/>
    <w:docVar w:name="LW_EMISSION_PREFIX" w:val="V Bruselu dne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STATUT" w:val="SG-002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5"/>
    <w:docVar w:name="LW_REF.INST.NEW" w:val="COM"/>
    <w:docVar w:name="LW_REF.INST.NEW_ADOPTED" w:val="final"/>
    <w:docVar w:name="LW_REF.INST.NEW_TEXT" w:val="(2015) 601"/>
    <w:docVar w:name="LW_REF.INTERNE" w:val="&lt;UNUSED&gt;"/>
    <w:docVar w:name="LW_SOUS.TITRE.OBJ.CP" w:val="&lt;UNUSED&gt;"/>
    <w:docVar w:name="LW_STATUT.CP" w:val="Doporu\u269?ení pro"/>
    <w:docVar w:name="LW_SUPERTITRE" w:val="&lt;UNUSED&gt;"/>
    <w:docVar w:name="LW_TITRE.OBJ.CP" w:val="ke z\u345?ízení vnitrostátních rad pro konkurenceschopnost v rámci eurozóny"/>
    <w:docVar w:name="LW_TYPE.DOC.CP" w:val="DOPORU\u268?ENÍ RADY"/>
  </w:docVars>
  <w:rsids>
    <w:rsidRoot w:val="00757908"/>
    <w:rsid w:val="003D6FBD"/>
    <w:rsid w:val="007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Consideran">
    <w:name w:val="Consideran"/>
    <w:basedOn w:val="Normal"/>
    <w:pPr>
      <w:spacing w:before="0" w:after="240"/>
      <w:ind w:left="720" w:hanging="720"/>
    </w:pPr>
    <w:rPr>
      <w:rFonts w:eastAsia="Times New Roman"/>
      <w:szCs w:val="24"/>
    </w:rPr>
  </w:style>
  <w:style w:type="paragraph" w:customStyle="1" w:styleId="Manuall">
    <w:name w:val="Manual l"/>
    <w:basedOn w:val="Normal"/>
    <w:pPr>
      <w:spacing w:before="0" w:after="240"/>
      <w:ind w:left="1440" w:hanging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Consideran">
    <w:name w:val="Consideran"/>
    <w:basedOn w:val="Normal"/>
    <w:pPr>
      <w:spacing w:before="0" w:after="240"/>
      <w:ind w:left="720" w:hanging="720"/>
    </w:pPr>
    <w:rPr>
      <w:rFonts w:eastAsia="Times New Roman"/>
      <w:szCs w:val="24"/>
    </w:rPr>
  </w:style>
  <w:style w:type="paragraph" w:customStyle="1" w:styleId="Manuall">
    <w:name w:val="Manual l"/>
    <w:basedOn w:val="Normal"/>
    <w:pPr>
      <w:spacing w:before="0" w:after="240"/>
      <w:ind w:left="1440" w:hanging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1374</Words>
  <Characters>8647</Characters>
  <Application>Microsoft Office Word</Application>
  <DocSecurity>0</DocSecurity>
  <Lines>169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18</cp:revision>
  <cp:lastPrinted>2015-10-21T12:34:00Z</cp:lastPrinted>
  <dcterms:created xsi:type="dcterms:W3CDTF">2015-10-21T12:48:00Z</dcterms:created>
  <dcterms:modified xsi:type="dcterms:W3CDTF">2015-10-23T10:22:00Z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SG-002</vt:lpwstr>
  </property>
  <property fmtid="{D5CDD505-2E9C-101B-9397-08002B2CF9AE}" pid="10" name="DQCStatus">
    <vt:lpwstr>Yellow (DQC version 03)</vt:lpwstr>
  </property>
</Properties>
</file>