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1C" w:rsidRDefault="00E0132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F8713B6F1464B628074A915C7143127" style="width:450.75pt;height:423.75pt">
            <v:imagedata r:id="rId9" o:title=""/>
          </v:shape>
        </w:pict>
      </w:r>
    </w:p>
    <w:p w:rsidR="006F461C" w:rsidRDefault="006F461C">
      <w:pPr>
        <w:rPr>
          <w:noProof/>
        </w:rPr>
        <w:sectPr w:rsidR="006F461C">
          <w:footerReference w:type="default" r:id="rId10"/>
          <w:pgSz w:w="11907" w:h="16839"/>
          <w:pgMar w:top="1134" w:right="1417" w:bottom="1134" w:left="1417" w:header="709" w:footer="709" w:gutter="0"/>
          <w:pgNumType w:start="1"/>
          <w:cols w:space="720"/>
          <w:docGrid w:linePitch="360"/>
        </w:sectPr>
      </w:pPr>
    </w:p>
    <w:p w:rsidR="006F461C" w:rsidRDefault="00E0132C">
      <w:pPr>
        <w:pStyle w:val="Exposdesmotifstitre"/>
        <w:rPr>
          <w:noProof/>
        </w:rPr>
      </w:pPr>
      <w:r>
        <w:rPr>
          <w:noProof/>
        </w:rPr>
        <w:lastRenderedPageBreak/>
        <w:t>ОБЯСНИТЕЛЕН МЕМОРАНДУМ</w:t>
      </w:r>
    </w:p>
    <w:p w:rsidR="006F461C" w:rsidRDefault="00E0132C">
      <w:pPr>
        <w:pStyle w:val="ManualHeading1"/>
        <w:rPr>
          <w:noProof/>
        </w:rPr>
      </w:pPr>
      <w:r>
        <w:rPr>
          <w:noProof/>
        </w:rPr>
        <w:t>1.</w:t>
      </w:r>
      <w:r>
        <w:rPr>
          <w:noProof/>
        </w:rPr>
        <w:tab/>
        <w:t>КОНТЕКСТ НА ПРЕДЛОЖЕНИЕТО</w:t>
      </w:r>
    </w:p>
    <w:p w:rsidR="006F461C" w:rsidRDefault="00E0132C">
      <w:pPr>
        <w:pStyle w:val="ManualHeading2"/>
        <w:rPr>
          <w:rFonts w:eastAsia="Arial Unicode MS"/>
          <w:noProof/>
        </w:rPr>
      </w:pPr>
      <w:r>
        <w:rPr>
          <w:noProof/>
        </w:rPr>
        <w:t>•</w:t>
      </w:r>
      <w:r>
        <w:rPr>
          <w:noProof/>
        </w:rPr>
        <w:tab/>
        <w:t>Основания и цели на предложението</w:t>
      </w:r>
    </w:p>
    <w:p w:rsidR="006F461C" w:rsidRDefault="00E0132C">
      <w:pPr>
        <w:rPr>
          <w:noProof/>
        </w:rPr>
      </w:pPr>
      <w:r>
        <w:rPr>
          <w:noProof/>
        </w:rPr>
        <w:t xml:space="preserve">Комисията </w:t>
      </w:r>
      <w:r>
        <w:rPr>
          <w:noProof/>
        </w:rPr>
        <w:t xml:space="preserve">(Евростат) събира данни за цените на природния газ и електроенергията за промишлените крайни потребители (крайни небитови клиенти). Цените за промишлените крайни потребители са уредени със законодателство от 1990 г. и понастоящем се регулират от Директива </w:t>
      </w:r>
      <w:r>
        <w:rPr>
          <w:noProof/>
        </w:rPr>
        <w:t>2008/92/ЕО, която отмени Директива 90/377/ЕИО. Националните органи събират данни за цените за битовите клиенти въз основа на доброволно споразумение. Националните органи са уведомили Комисията, че поради финансови ограничения и такива, свързани с човешките</w:t>
      </w:r>
      <w:r>
        <w:rPr>
          <w:noProof/>
        </w:rPr>
        <w:t xml:space="preserve"> ресурси, няколко доставчици на данни (дружества за доставка на природен газ и електроенергия) поставят под въпрос продължаването на събирането на такива данни.</w:t>
      </w:r>
    </w:p>
    <w:p w:rsidR="006F461C" w:rsidRDefault="00E0132C">
      <w:pPr>
        <w:rPr>
          <w:noProof/>
          <w:snapToGrid w:val="0"/>
        </w:rPr>
      </w:pPr>
      <w:r>
        <w:rPr>
          <w:noProof/>
        </w:rPr>
        <w:t>На заседанието на Европейския съвет от 22 май 2013 г., посветено на енергетиката и данъчното об</w:t>
      </w:r>
      <w:r>
        <w:rPr>
          <w:noProof/>
        </w:rPr>
        <w:t>лагане, държавните и правителствените ръководители заявиха, че енергийната политика на ЕС следва да цели осигуряване на домакинствата и предприятията на енергия на достъпни и конкурентни цени по безопасен и устойчив начин. Поради това Комисията беше прикан</w:t>
      </w:r>
      <w:r>
        <w:rPr>
          <w:noProof/>
        </w:rPr>
        <w:t>ена да представи анализ на „състава и определящите фактори на енергийните цени и разходи в държавите членки“. Този анализ трябваше да се съсредоточи върху въздействието на цените на енергията върху домакинствата, малките и средните предприятия и енергоемки</w:t>
      </w:r>
      <w:r>
        <w:rPr>
          <w:noProof/>
        </w:rPr>
        <w:t>те отрасли и в по-общ план да разгледа конкурентоспособността на ЕС спрямо глобалните му икономически партньори.</w:t>
      </w:r>
    </w:p>
    <w:p w:rsidR="006F461C" w:rsidRDefault="00E0132C">
      <w:pPr>
        <w:rPr>
          <w:noProof/>
          <w:snapToGrid w:val="0"/>
        </w:rPr>
      </w:pPr>
      <w:r>
        <w:rPr>
          <w:noProof/>
        </w:rPr>
        <w:t>Комисията, след като установи, че за този анализ са необходими допълнителни подробни данни за ценообразуването, събра необходимата информация о</w:t>
      </w:r>
      <w:r>
        <w:rPr>
          <w:noProof/>
        </w:rPr>
        <w:t>т всички 28 държави членки на ЕС, на базата на доброволно споразумение. През януари 2014 г. на Съвета беше представен доклад, съдържащ подробен анализ на компонентите на цените на природния газ и електроенергията.</w:t>
      </w:r>
    </w:p>
    <w:p w:rsidR="006F461C" w:rsidRDefault="00E0132C">
      <w:pPr>
        <w:rPr>
          <w:noProof/>
          <w:snapToGrid w:val="0"/>
        </w:rPr>
      </w:pPr>
      <w:r>
        <w:rPr>
          <w:noProof/>
        </w:rPr>
        <w:t>През 2014 г. създателите на политики отпра</w:t>
      </w:r>
      <w:r>
        <w:rPr>
          <w:noProof/>
        </w:rPr>
        <w:t>виха няколко искания за по-подробна официална статистика на цените на природния газ и електроенергията. На заседанието си от 13 юни 2014 г. Съветът по транспорт, телекомуникации и енергетика (ТТЕ) призна отрицателното въздействие на високите и растящи енер</w:t>
      </w:r>
      <w:r>
        <w:rPr>
          <w:noProof/>
        </w:rPr>
        <w:t>гийни цени и разходи върху конкурентоспособността на Европа в световен план и върху стандарта на живот на отделните клиенти. По тази причина Съветът по ТТЕ призова за „изготвянето до 2016 г. на последващ преглед от страна на Комисията на енергийните цени и</w:t>
      </w:r>
      <w:r>
        <w:rPr>
          <w:noProof/>
        </w:rPr>
        <w:t xml:space="preserve"> разходи и на клиентите“.</w:t>
      </w:r>
    </w:p>
    <w:p w:rsidR="006F461C" w:rsidRDefault="00E0132C">
      <w:pPr>
        <w:rPr>
          <w:noProof/>
          <w:snapToGrid w:val="0"/>
        </w:rPr>
      </w:pPr>
      <w:r>
        <w:rPr>
          <w:noProof/>
        </w:rPr>
        <w:t>На 25 февруари 2015 г. Европейската комисия прие пакета за енергиен съюз. Едно от действията в пакета за енергиен съюз в главата за вътрешния енергиен пазар определя анализ на енергийните цени и разходи, който да бъде направен пре</w:t>
      </w:r>
      <w:r>
        <w:rPr>
          <w:noProof/>
        </w:rPr>
        <w:t>з 2016 г. и след това, на всеки 2 години.</w:t>
      </w:r>
    </w:p>
    <w:p w:rsidR="006F461C" w:rsidRDefault="00E0132C">
      <w:pPr>
        <w:rPr>
          <w:noProof/>
        </w:rPr>
      </w:pPr>
      <w:r>
        <w:rPr>
          <w:noProof/>
        </w:rPr>
        <w:t>Беше изготвен допълнителен набор от подкомпоненти на данъците и налозите, и цените за мрежата за природния газ и електроенергията, за да се отразят целите на пакета за енергиен съюз и по-специално, за да се отговор</w:t>
      </w:r>
      <w:r>
        <w:rPr>
          <w:noProof/>
        </w:rPr>
        <w:t>и на необходимостта от по-голяма прозрачност по отношение на енергийните цени и разходи, посочена в точка 8 за действие от пакета.</w:t>
      </w:r>
    </w:p>
    <w:p w:rsidR="006F461C" w:rsidRDefault="00E0132C">
      <w:pPr>
        <w:pStyle w:val="ManualHeading2"/>
        <w:rPr>
          <w:rFonts w:eastAsia="Arial Unicode MS"/>
          <w:noProof/>
          <w:u w:color="000000"/>
          <w:bdr w:val="nil"/>
        </w:rPr>
      </w:pPr>
      <w:r>
        <w:rPr>
          <w:noProof/>
        </w:rPr>
        <w:lastRenderedPageBreak/>
        <w:t>•</w:t>
      </w:r>
      <w:r>
        <w:rPr>
          <w:noProof/>
        </w:rPr>
        <w:tab/>
        <w:t>Съгласуваност със съществуващата политика в областта</w:t>
      </w:r>
    </w:p>
    <w:p w:rsidR="006F461C" w:rsidRDefault="00E0132C">
      <w:pPr>
        <w:rPr>
          <w:noProof/>
          <w:snapToGrid w:val="0"/>
        </w:rPr>
      </w:pPr>
      <w:r>
        <w:rPr>
          <w:noProof/>
        </w:rPr>
        <w:t xml:space="preserve">През юни 2014 г. Европейският съвет отново потвърди необходимостта от </w:t>
      </w:r>
      <w:r>
        <w:rPr>
          <w:noProof/>
        </w:rPr>
        <w:t xml:space="preserve">укрепване на единния пазар на ЕС, засилване на конкуренцията и прозрачността на газовия пазар и завършване на интеграцията на европейския енергиен пазар. Съветът настоя също така за допълнителен анализ на интеграцията на пазара по отношение на енергийната </w:t>
      </w:r>
      <w:r>
        <w:rPr>
          <w:noProof/>
        </w:rPr>
        <w:t>ефективност и сигурност.</w:t>
      </w:r>
    </w:p>
    <w:p w:rsidR="006F461C" w:rsidRDefault="00E0132C">
      <w:pPr>
        <w:pStyle w:val="ManualHeading2"/>
        <w:rPr>
          <w:rFonts w:eastAsia="Arial Unicode MS"/>
          <w:noProof/>
        </w:rPr>
      </w:pPr>
      <w:r>
        <w:rPr>
          <w:noProof/>
        </w:rPr>
        <w:t>•</w:t>
      </w:r>
      <w:r>
        <w:rPr>
          <w:noProof/>
        </w:rPr>
        <w:tab/>
        <w:t>Съгласуваност с други политики на ЕС</w:t>
      </w:r>
    </w:p>
    <w:p w:rsidR="006F461C" w:rsidRDefault="00E0132C">
      <w:pPr>
        <w:pBdr>
          <w:top w:val="nil"/>
          <w:left w:val="nil"/>
          <w:bottom w:val="nil"/>
          <w:right w:val="nil"/>
          <w:between w:val="nil"/>
          <w:bar w:val="nil"/>
        </w:pBdr>
        <w:spacing w:before="0" w:after="240"/>
        <w:rPr>
          <w:noProof/>
          <w:snapToGrid w:val="0"/>
        </w:rPr>
      </w:pPr>
      <w:r>
        <w:rPr>
          <w:noProof/>
        </w:rPr>
        <w:t>Пакетът за енергиен съюз беше приет от Комисията на 25 февруари 2015 г. В този контекст, от 2016 г. Комисията ще предоставя данни за енергийните цени и разходи (включително данъците и субсидиите). Тази разбивка на енергийните цени и разходи ще позволи на К</w:t>
      </w:r>
      <w:r>
        <w:rPr>
          <w:noProof/>
        </w:rPr>
        <w:t xml:space="preserve">омисията да следи ситуацията на енергийния пазар. </w:t>
      </w:r>
    </w:p>
    <w:p w:rsidR="006F461C" w:rsidRDefault="00E0132C">
      <w:pPr>
        <w:pStyle w:val="ManualHeading1"/>
        <w:rPr>
          <w:noProof/>
        </w:rPr>
      </w:pPr>
      <w:r>
        <w:rPr>
          <w:noProof/>
        </w:rPr>
        <w:t>2.</w:t>
      </w:r>
      <w:r>
        <w:rPr>
          <w:noProof/>
        </w:rPr>
        <w:tab/>
        <w:t>ПРАВНО ОСНОВАНИЕ, СУБСИДИАРНОСТ И ПРОПОРЦИОНАЛНОСТ</w:t>
      </w:r>
    </w:p>
    <w:p w:rsidR="006F461C" w:rsidRDefault="00E0132C">
      <w:pPr>
        <w:pStyle w:val="ManualHeading2"/>
        <w:rPr>
          <w:rFonts w:eastAsia="Arial Unicode MS"/>
          <w:noProof/>
          <w:u w:color="000000"/>
          <w:bdr w:val="nil"/>
        </w:rPr>
      </w:pPr>
      <w:r>
        <w:rPr>
          <w:noProof/>
        </w:rPr>
        <w:t>•</w:t>
      </w:r>
      <w:r>
        <w:rPr>
          <w:noProof/>
        </w:rPr>
        <w:tab/>
        <w:t>Правно основание</w:t>
      </w:r>
    </w:p>
    <w:p w:rsidR="006F461C" w:rsidRDefault="00E0132C">
      <w:pPr>
        <w:pBdr>
          <w:top w:val="nil"/>
          <w:left w:val="nil"/>
          <w:bottom w:val="nil"/>
          <w:right w:val="nil"/>
          <w:between w:val="nil"/>
          <w:bar w:val="nil"/>
        </w:pBdr>
        <w:spacing w:before="0" w:after="240"/>
        <w:rPr>
          <w:rFonts w:eastAsia="Arial Unicode MS"/>
          <w:noProof/>
        </w:rPr>
      </w:pPr>
      <w:r>
        <w:rPr>
          <w:noProof/>
        </w:rPr>
        <w:t>Член 338, параграф 1 от Договора за функционирането на Европейския съюз.</w:t>
      </w:r>
    </w:p>
    <w:p w:rsidR="006F461C" w:rsidRDefault="00E0132C">
      <w:pPr>
        <w:pStyle w:val="ManualHeading2"/>
        <w:rPr>
          <w:rFonts w:eastAsia="Arial Unicode MS"/>
          <w:noProof/>
          <w:u w:color="000000"/>
          <w:bdr w:val="nil"/>
        </w:rPr>
      </w:pPr>
      <w:r>
        <w:rPr>
          <w:noProof/>
        </w:rPr>
        <w:t>•</w:t>
      </w:r>
      <w:r>
        <w:rPr>
          <w:noProof/>
        </w:rPr>
        <w:tab/>
        <w:t>Субсидиарност (за неизключителни отговорности)</w:t>
      </w:r>
    </w:p>
    <w:p w:rsidR="006F461C" w:rsidRDefault="00E0132C">
      <w:pPr>
        <w:pBdr>
          <w:top w:val="nil"/>
          <w:left w:val="nil"/>
          <w:bottom w:val="nil"/>
          <w:right w:val="nil"/>
          <w:between w:val="nil"/>
          <w:bar w:val="nil"/>
        </w:pBdr>
        <w:spacing w:before="0" w:after="240"/>
        <w:rPr>
          <w:rFonts w:eastAsia="Arial Unicode MS"/>
          <w:noProof/>
        </w:rPr>
      </w:pPr>
      <w:r>
        <w:rPr>
          <w:noProof/>
        </w:rPr>
        <w:t xml:space="preserve">Комисията </w:t>
      </w:r>
      <w:r>
        <w:rPr>
          <w:noProof/>
        </w:rPr>
        <w:t>(Евростат) събира национални данни за цените на природния газ и електроенергията по методика, която позволява сравняване на цените между държавите членки. Тези ценови данни трябва да се събират на равнището на ЕС, за да се гарантира, че данните са надеждни</w:t>
      </w:r>
      <w:r>
        <w:rPr>
          <w:noProof/>
        </w:rPr>
        <w:t xml:space="preserve"> и съпоставими между всички държави членки на ЕС, и за да могат да се обобщават данни за ЕС и за еврозоната. На национално равнище, ценовите данни се събират от съответните национални органи, след което се разпространяват от Евростат.</w:t>
      </w:r>
    </w:p>
    <w:p w:rsidR="006F461C" w:rsidRDefault="00E0132C">
      <w:pPr>
        <w:pStyle w:val="ManualHeading2"/>
        <w:rPr>
          <w:rFonts w:eastAsia="Arial Unicode MS"/>
          <w:noProof/>
          <w:u w:color="000000"/>
          <w:bdr w:val="nil"/>
        </w:rPr>
      </w:pPr>
      <w:r>
        <w:rPr>
          <w:noProof/>
        </w:rPr>
        <w:t>•</w:t>
      </w:r>
      <w:r>
        <w:rPr>
          <w:noProof/>
        </w:rPr>
        <w:tab/>
        <w:t>Пропорционалност</w:t>
      </w:r>
    </w:p>
    <w:p w:rsidR="006F461C" w:rsidRDefault="00E0132C">
      <w:pPr>
        <w:pBdr>
          <w:top w:val="nil"/>
          <w:left w:val="nil"/>
          <w:bottom w:val="nil"/>
          <w:right w:val="nil"/>
          <w:between w:val="nil"/>
          <w:bar w:val="nil"/>
        </w:pBdr>
        <w:spacing w:before="0" w:after="240"/>
        <w:rPr>
          <w:rFonts w:eastAsia="Arial Unicode MS"/>
          <w:noProof/>
        </w:rPr>
      </w:pPr>
      <w:r>
        <w:rPr>
          <w:noProof/>
        </w:rPr>
        <w:t>Пр</w:t>
      </w:r>
      <w:r>
        <w:rPr>
          <w:noProof/>
        </w:rPr>
        <w:t>едложеният законодателен акт ще обхване събирането на данни за цените на електроенергията и природния газ за сектора на домакинствата и недомакинския сектор. В миналото, ценовите данни за промишления сектор се събираха в съответствие с Директива 2008/92/ЕО</w:t>
      </w:r>
      <w:r>
        <w:rPr>
          <w:noProof/>
        </w:rPr>
        <w:t>, а ценовите данни за сектора на домакинствата се събираха въз основа на доброволно споразумение. Нарастващата сложност на вътрешния енергиен пазар прави все по-трудно получаването на надеждни и актуални ценови данни за природния газ и електроенергията при</w:t>
      </w:r>
      <w:r>
        <w:rPr>
          <w:noProof/>
        </w:rPr>
        <w:t xml:space="preserve"> отсъствието на правнообвързващи задължения за предоставяне на такива данни, по-специално за сектора на домакинствата. Предложените промени в сравнение със ситуацията по Директива 2008/92/ЕО се състоят в обхващането от предложения правен акт на данните, ко</w:t>
      </w:r>
      <w:r>
        <w:rPr>
          <w:noProof/>
        </w:rPr>
        <w:t>ито понастоящем се събират на доброволен принцип. Това не надхвърля необходимото за постигането на определените цели.</w:t>
      </w:r>
    </w:p>
    <w:p w:rsidR="006F461C" w:rsidRDefault="00E0132C">
      <w:pPr>
        <w:pStyle w:val="ManualHeading2"/>
        <w:rPr>
          <w:rFonts w:eastAsia="Arial Unicode MS"/>
          <w:noProof/>
          <w:u w:color="000000"/>
          <w:bdr w:val="nil"/>
        </w:rPr>
      </w:pPr>
      <w:r>
        <w:rPr>
          <w:noProof/>
        </w:rPr>
        <w:t>•</w:t>
      </w:r>
      <w:r>
        <w:rPr>
          <w:noProof/>
        </w:rPr>
        <w:tab/>
        <w:t>Избран правен инструмент</w:t>
      </w:r>
    </w:p>
    <w:p w:rsidR="006F461C" w:rsidRDefault="00E0132C">
      <w:pPr>
        <w:pBdr>
          <w:top w:val="nil"/>
          <w:left w:val="nil"/>
          <w:bottom w:val="nil"/>
          <w:right w:val="nil"/>
          <w:between w:val="nil"/>
          <w:bar w:val="nil"/>
        </w:pBdr>
        <w:spacing w:before="0" w:after="240"/>
        <w:rPr>
          <w:noProof/>
        </w:rPr>
      </w:pPr>
      <w:r>
        <w:rPr>
          <w:noProof/>
        </w:rPr>
        <w:t>Използването на правния инструмент регламент на Европейския парламент и на Съвета следва да гарантира бързо, пр</w:t>
      </w:r>
      <w:r>
        <w:rPr>
          <w:noProof/>
        </w:rPr>
        <w:t>авилно и хармонизирано изпълнение в целия ЕС.</w:t>
      </w:r>
    </w:p>
    <w:p w:rsidR="006F461C" w:rsidRDefault="00E0132C">
      <w:pPr>
        <w:pStyle w:val="ManualHeading1"/>
        <w:rPr>
          <w:noProof/>
        </w:rPr>
      </w:pPr>
      <w:r>
        <w:rPr>
          <w:noProof/>
        </w:rPr>
        <w:lastRenderedPageBreak/>
        <w:t>3.</w:t>
      </w:r>
      <w:r>
        <w:rPr>
          <w:noProof/>
        </w:rPr>
        <w:tab/>
        <w:t>РЕЗУЛТАТИ ОТ ОЦЕНКИТЕ EX-POST, КОНСУЛТАЦИИ СЪС ЗАИНТЕРЕСОВАНИТЕ СТРАНИ И ОЦЕНКИ НА ВЪЗДЕЙСТВИЕТО</w:t>
      </w:r>
    </w:p>
    <w:p w:rsidR="006F461C" w:rsidRDefault="00E0132C">
      <w:pPr>
        <w:pStyle w:val="ManualHeading2"/>
        <w:rPr>
          <w:rFonts w:eastAsia="Arial Unicode MS"/>
          <w:noProof/>
          <w:u w:color="000000"/>
          <w:bdr w:val="nil"/>
        </w:rPr>
      </w:pPr>
      <w:r>
        <w:rPr>
          <w:noProof/>
        </w:rPr>
        <w:t>•</w:t>
      </w:r>
      <w:r>
        <w:rPr>
          <w:noProof/>
        </w:rPr>
        <w:tab/>
        <w:t>Оценки ex-post/проверки за пригодност на съществуващото законодателство</w:t>
      </w:r>
    </w:p>
    <w:p w:rsidR="006F461C" w:rsidRDefault="00E0132C">
      <w:pPr>
        <w:pBdr>
          <w:top w:val="nil"/>
          <w:left w:val="nil"/>
          <w:bottom w:val="nil"/>
          <w:right w:val="nil"/>
          <w:between w:val="nil"/>
          <w:bar w:val="nil"/>
        </w:pBdr>
        <w:spacing w:before="0" w:after="240"/>
        <w:rPr>
          <w:rFonts w:eastAsia="Arial Unicode MS"/>
          <w:noProof/>
          <w:szCs w:val="24"/>
        </w:rPr>
      </w:pPr>
      <w:r>
        <w:rPr>
          <w:noProof/>
        </w:rPr>
        <w:t>Съществуващото приложимо законодателство (Директива 2008/92/ЕО) обхваща само събирането на ценови данни за природния газ и електроенергията за промишления сектор. Методиката, използвана за изготвянето на тези изследвания на цените, въведена през 2007 г., с</w:t>
      </w:r>
      <w:r>
        <w:rPr>
          <w:noProof/>
        </w:rPr>
        <w:t xml:space="preserve">е оказа ефективна. </w:t>
      </w:r>
    </w:p>
    <w:p w:rsidR="006F461C" w:rsidRDefault="00E0132C">
      <w:pPr>
        <w:pStyle w:val="ManualHeading2"/>
        <w:rPr>
          <w:rFonts w:eastAsia="Arial Unicode MS"/>
          <w:noProof/>
          <w:u w:color="000000"/>
          <w:bdr w:val="nil"/>
        </w:rPr>
      </w:pPr>
      <w:r>
        <w:rPr>
          <w:noProof/>
        </w:rPr>
        <w:t>•</w:t>
      </w:r>
      <w:r>
        <w:rPr>
          <w:noProof/>
        </w:rPr>
        <w:tab/>
        <w:t>Консултации със заинтересованите страни</w:t>
      </w:r>
    </w:p>
    <w:p w:rsidR="006F461C" w:rsidRDefault="00E0132C">
      <w:pPr>
        <w:pBdr>
          <w:top w:val="nil"/>
          <w:left w:val="nil"/>
          <w:bottom w:val="nil"/>
          <w:right w:val="nil"/>
          <w:between w:val="nil"/>
          <w:bar w:val="nil"/>
        </w:pBdr>
        <w:spacing w:before="0" w:after="240"/>
        <w:rPr>
          <w:rFonts w:eastAsia="Arial Unicode MS"/>
          <w:noProof/>
        </w:rPr>
      </w:pPr>
      <w:r>
        <w:rPr>
          <w:noProof/>
        </w:rPr>
        <w:t>Евростат проведе писмени консултации с членовете на работната група за енергийната статистика (РГЕС) през януари 2015 г. Техните забележки и препоръки бяха взети под внимание. Писмените консулта</w:t>
      </w:r>
      <w:r>
        <w:rPr>
          <w:noProof/>
        </w:rPr>
        <w:t>ции с РГЕС доведоха до намаляване на броя на подкомпонентите на данъците и налозите (от 11 на 6 подкомпонента) и значително намаляване на данните, които трябва да бъдат отчитани, за цените за мрежата за електроенергията и природния газ. С членовете на груп</w:t>
      </w:r>
      <w:r>
        <w:rPr>
          <w:noProof/>
        </w:rPr>
        <w:t>ата „Директори на статистиките и сметките на секторите и на околната среда“ (DIMESA) бяха проведени писмени консултации през май и юни 2015 г., като консултациите доведоха до удължаване на сроковете за искане на дерогация за докладването на компонентите и/</w:t>
      </w:r>
      <w:r>
        <w:rPr>
          <w:noProof/>
        </w:rPr>
        <w:t>или подкомпонентите на ценовите данни. За цените на природния газ в сектора на домакинствата беше въведен праг, така че държавите, в които потреблението от домакинствата на природен газ е ниско, да могат да бъдат освободени. Така измененият проект беше пре</w:t>
      </w:r>
      <w:r>
        <w:rPr>
          <w:noProof/>
        </w:rPr>
        <w:t>дставен на заседанието на групата DIMESA на 11 юни 2015 г. и на заседанието на РГЕС на 24 юни 2015 г.</w:t>
      </w:r>
    </w:p>
    <w:p w:rsidR="006F461C" w:rsidRDefault="00E0132C">
      <w:pPr>
        <w:pStyle w:val="ManualHeading2"/>
        <w:rPr>
          <w:rFonts w:eastAsia="Arial Unicode MS"/>
          <w:noProof/>
          <w:u w:color="000000"/>
          <w:bdr w:val="nil"/>
        </w:rPr>
      </w:pPr>
      <w:r>
        <w:rPr>
          <w:noProof/>
        </w:rPr>
        <w:t>•</w:t>
      </w:r>
      <w:r>
        <w:rPr>
          <w:noProof/>
        </w:rPr>
        <w:tab/>
        <w:t>Получаване и използване на експертни съвети</w:t>
      </w:r>
    </w:p>
    <w:p w:rsidR="006F461C" w:rsidRDefault="00E0132C">
      <w:pPr>
        <w:pBdr>
          <w:top w:val="nil"/>
          <w:left w:val="nil"/>
          <w:bottom w:val="nil"/>
          <w:right w:val="nil"/>
          <w:between w:val="nil"/>
          <w:bar w:val="nil"/>
        </w:pBdr>
        <w:spacing w:before="0" w:after="240"/>
        <w:rPr>
          <w:noProof/>
        </w:rPr>
      </w:pPr>
      <w:r>
        <w:rPr>
          <w:noProof/>
        </w:rPr>
        <w:t>Евростат проведе консултации относно осъществимостта на събирането на данни с две от асоциациите, които са а</w:t>
      </w:r>
      <w:r>
        <w:rPr>
          <w:noProof/>
        </w:rPr>
        <w:t>ктивни в секторите на газа и електроенергията, а именно Eurogas и Eurelectric. Техните препоръки относно наличието на информация за подкомпонентите на цените за мрежата за електроенергията и природния газ бяха взети под внимание.</w:t>
      </w:r>
    </w:p>
    <w:p w:rsidR="006F461C" w:rsidRDefault="00E0132C">
      <w:pPr>
        <w:pStyle w:val="ManualHeading2"/>
        <w:rPr>
          <w:rFonts w:eastAsia="Arial Unicode MS"/>
          <w:noProof/>
          <w:u w:color="000000"/>
          <w:bdr w:val="nil"/>
        </w:rPr>
      </w:pPr>
      <w:r>
        <w:rPr>
          <w:noProof/>
        </w:rPr>
        <w:t>•</w:t>
      </w:r>
      <w:r>
        <w:rPr>
          <w:noProof/>
        </w:rPr>
        <w:tab/>
        <w:t>Регулаторна пригодност и</w:t>
      </w:r>
      <w:r>
        <w:rPr>
          <w:noProof/>
        </w:rPr>
        <w:t xml:space="preserve"> опростяване</w:t>
      </w:r>
    </w:p>
    <w:p w:rsidR="006F461C" w:rsidRDefault="00E0132C">
      <w:pPr>
        <w:pBdr>
          <w:top w:val="nil"/>
          <w:left w:val="nil"/>
          <w:bottom w:val="nil"/>
          <w:right w:val="nil"/>
          <w:between w:val="nil"/>
          <w:bar w:val="nil"/>
        </w:pBdr>
        <w:spacing w:before="0" w:after="240"/>
        <w:rPr>
          <w:rFonts w:eastAsia="Arial Unicode MS"/>
          <w:noProof/>
        </w:rPr>
      </w:pPr>
      <w:r>
        <w:rPr>
          <w:noProof/>
        </w:rPr>
        <w:t>Няма да има значително нарастване на административната тежест за докладващите органи и Комисията, тъй като повечето ценовите данни вече се докладват на доброволен принцип. Въпреки че някои подкомпоненти на данъците и цените за мрежата бяха доб</w:t>
      </w:r>
      <w:r>
        <w:rPr>
          <w:noProof/>
        </w:rPr>
        <w:t>авени към списъка на данните, които трябва да бъдат събирани, честотата на докладване беше намалена от веднъж годишно на веднъж на три години. Поради това общата административна тежест вероятно ще остане непроменена.</w:t>
      </w:r>
    </w:p>
    <w:p w:rsidR="006F461C" w:rsidRDefault="00E0132C">
      <w:pPr>
        <w:pStyle w:val="ManualHeading2"/>
        <w:rPr>
          <w:rFonts w:eastAsia="Arial Unicode MS"/>
          <w:noProof/>
          <w:u w:color="000000"/>
          <w:bdr w:val="nil"/>
        </w:rPr>
      </w:pPr>
      <w:r>
        <w:rPr>
          <w:noProof/>
        </w:rPr>
        <w:t>•</w:t>
      </w:r>
      <w:r>
        <w:rPr>
          <w:noProof/>
        </w:rPr>
        <w:tab/>
        <w:t>Оценка на въздействието</w:t>
      </w:r>
    </w:p>
    <w:p w:rsidR="006F461C" w:rsidRDefault="00E0132C">
      <w:pPr>
        <w:pBdr>
          <w:top w:val="nil"/>
          <w:left w:val="nil"/>
          <w:bottom w:val="nil"/>
          <w:right w:val="nil"/>
          <w:between w:val="nil"/>
          <w:bar w:val="nil"/>
        </w:pBdr>
        <w:spacing w:before="0" w:after="240"/>
        <w:rPr>
          <w:noProof/>
        </w:rPr>
      </w:pPr>
      <w:r>
        <w:rPr>
          <w:noProof/>
        </w:rPr>
        <w:t>За настоящото</w:t>
      </w:r>
      <w:r>
        <w:rPr>
          <w:noProof/>
        </w:rPr>
        <w:t xml:space="preserve"> предложение не е извършвана оценка на въздействието, тъй като то няма да промени значително дейностите на докладващите органи или Комисията. Подробното обяснение на решението да не извършва оценка на въздействието е изложена в пътната карта на Комисията, </w:t>
      </w:r>
      <w:r>
        <w:rPr>
          <w:noProof/>
        </w:rPr>
        <w:t>публикувана на уебсайта на Комисията: http://ec.europa.eu/smart-regulation/impact/planned_ia/docs/2014_estat_001_roadmap_electricityprices.pdf.</w:t>
      </w:r>
    </w:p>
    <w:p w:rsidR="006F461C" w:rsidRDefault="00E0132C">
      <w:pPr>
        <w:pStyle w:val="ManualHeading2"/>
        <w:rPr>
          <w:rFonts w:eastAsia="Arial Unicode MS"/>
          <w:noProof/>
          <w:u w:color="000000"/>
          <w:bdr w:val="nil"/>
        </w:rPr>
      </w:pPr>
      <w:r>
        <w:rPr>
          <w:noProof/>
        </w:rPr>
        <w:t>•</w:t>
      </w:r>
      <w:r>
        <w:rPr>
          <w:noProof/>
        </w:rPr>
        <w:tab/>
        <w:t>Основни права</w:t>
      </w:r>
    </w:p>
    <w:p w:rsidR="006F461C" w:rsidRDefault="00E0132C">
      <w:pPr>
        <w:pBdr>
          <w:top w:val="nil"/>
          <w:left w:val="nil"/>
          <w:bottom w:val="nil"/>
          <w:right w:val="nil"/>
          <w:between w:val="nil"/>
          <w:bar w:val="nil"/>
        </w:pBdr>
        <w:spacing w:before="0" w:after="240"/>
        <w:rPr>
          <w:rFonts w:eastAsia="Arial Unicode MS"/>
          <w:noProof/>
        </w:rPr>
      </w:pPr>
      <w:r>
        <w:rPr>
          <w:noProof/>
        </w:rPr>
        <w:t>Не се прилага.</w:t>
      </w:r>
    </w:p>
    <w:p w:rsidR="006F461C" w:rsidRDefault="00E0132C">
      <w:pPr>
        <w:pStyle w:val="ManualHeading1"/>
        <w:rPr>
          <w:noProof/>
        </w:rPr>
      </w:pPr>
      <w:r>
        <w:rPr>
          <w:noProof/>
        </w:rPr>
        <w:t>4.</w:t>
      </w:r>
      <w:r>
        <w:rPr>
          <w:noProof/>
        </w:rPr>
        <w:tab/>
        <w:t>ОТРАЖЕНИЕ ВЪРХУ БЮДЖЕТА</w:t>
      </w:r>
    </w:p>
    <w:p w:rsidR="006F461C" w:rsidRDefault="00E0132C">
      <w:pPr>
        <w:spacing w:before="60" w:after="60"/>
        <w:rPr>
          <w:noProof/>
          <w:szCs w:val="24"/>
        </w:rPr>
      </w:pPr>
      <w:r>
        <w:rPr>
          <w:noProof/>
        </w:rPr>
        <w:t>Предложението няма отражение върху бюджета на ЕС. Няма</w:t>
      </w:r>
      <w:r>
        <w:rPr>
          <w:noProof/>
        </w:rPr>
        <w:t xml:space="preserve"> да има допълнителни разходи, тъй като дейностите няма да се увеличат значително.</w:t>
      </w:r>
    </w:p>
    <w:p w:rsidR="006F461C" w:rsidRDefault="00E0132C">
      <w:pPr>
        <w:pStyle w:val="ManualHeading1"/>
        <w:rPr>
          <w:noProof/>
        </w:rPr>
      </w:pPr>
      <w:r>
        <w:rPr>
          <w:noProof/>
        </w:rPr>
        <w:t>5.</w:t>
      </w:r>
      <w:r>
        <w:rPr>
          <w:noProof/>
        </w:rPr>
        <w:tab/>
        <w:t>ДРУГИ АСПЕКТИ</w:t>
      </w:r>
    </w:p>
    <w:p w:rsidR="006F461C" w:rsidRDefault="00E0132C">
      <w:pPr>
        <w:pStyle w:val="ManualHeading2"/>
        <w:rPr>
          <w:rFonts w:eastAsia="Arial Unicode MS"/>
          <w:noProof/>
          <w:u w:color="000000"/>
          <w:bdr w:val="nil"/>
        </w:rPr>
      </w:pPr>
      <w:r>
        <w:rPr>
          <w:noProof/>
        </w:rPr>
        <w:t>•</w:t>
      </w:r>
      <w:r>
        <w:rPr>
          <w:noProof/>
        </w:rPr>
        <w:tab/>
        <w:t>Планове за изпълнение и условия за мониторинг, оценка и докладване</w:t>
      </w:r>
    </w:p>
    <w:p w:rsidR="006F461C" w:rsidRDefault="00E0132C">
      <w:pPr>
        <w:pBdr>
          <w:top w:val="nil"/>
          <w:left w:val="nil"/>
          <w:bottom w:val="nil"/>
          <w:right w:val="nil"/>
          <w:between w:val="nil"/>
          <w:bar w:val="nil"/>
        </w:pBdr>
        <w:spacing w:before="0" w:after="240"/>
        <w:rPr>
          <w:rFonts w:eastAsia="Arial Unicode MS"/>
          <w:noProof/>
        </w:rPr>
      </w:pPr>
      <w:r>
        <w:rPr>
          <w:noProof/>
        </w:rPr>
        <w:t>Няма.</w:t>
      </w:r>
    </w:p>
    <w:p w:rsidR="006F461C" w:rsidRDefault="00E0132C">
      <w:pPr>
        <w:pStyle w:val="ManualHeading2"/>
        <w:rPr>
          <w:rFonts w:eastAsia="Arial Unicode MS"/>
          <w:noProof/>
          <w:u w:color="000000"/>
          <w:bdr w:val="nil"/>
        </w:rPr>
      </w:pPr>
      <w:r>
        <w:rPr>
          <w:noProof/>
        </w:rPr>
        <w:t>•</w:t>
      </w:r>
      <w:r>
        <w:rPr>
          <w:noProof/>
        </w:rPr>
        <w:tab/>
        <w:t>Обяснителни документи (за директиви)</w:t>
      </w:r>
    </w:p>
    <w:p w:rsidR="006F461C" w:rsidRDefault="00E0132C">
      <w:pPr>
        <w:pBdr>
          <w:top w:val="nil"/>
          <w:left w:val="nil"/>
          <w:bottom w:val="nil"/>
          <w:right w:val="nil"/>
          <w:between w:val="nil"/>
          <w:bar w:val="nil"/>
        </w:pBdr>
        <w:spacing w:before="0" w:after="240"/>
        <w:rPr>
          <w:rFonts w:eastAsia="Arial Unicode MS"/>
          <w:noProof/>
        </w:rPr>
      </w:pPr>
      <w:r>
        <w:rPr>
          <w:noProof/>
        </w:rPr>
        <w:t>Не се прилага.</w:t>
      </w:r>
    </w:p>
    <w:p w:rsidR="006F461C" w:rsidRDefault="00E0132C">
      <w:pPr>
        <w:pStyle w:val="ManualHeading2"/>
        <w:rPr>
          <w:rFonts w:eastAsia="Arial Unicode MS"/>
          <w:noProof/>
          <w:u w:color="000000"/>
          <w:bdr w:val="nil"/>
        </w:rPr>
      </w:pPr>
      <w:r>
        <w:rPr>
          <w:noProof/>
        </w:rPr>
        <w:t>•</w:t>
      </w:r>
      <w:r>
        <w:rPr>
          <w:noProof/>
        </w:rPr>
        <w:tab/>
        <w:t>Подробно разяснение на кон</w:t>
      </w:r>
      <w:r>
        <w:rPr>
          <w:noProof/>
        </w:rPr>
        <w:t>кретните разпоредби на предложението</w:t>
      </w:r>
    </w:p>
    <w:p w:rsidR="006F461C" w:rsidRDefault="00E0132C">
      <w:pPr>
        <w:pBdr>
          <w:top w:val="nil"/>
          <w:left w:val="nil"/>
          <w:bottom w:val="nil"/>
          <w:right w:val="nil"/>
          <w:between w:val="nil"/>
          <w:bar w:val="nil"/>
        </w:pBdr>
        <w:spacing w:before="0" w:after="240"/>
        <w:rPr>
          <w:noProof/>
        </w:rPr>
      </w:pPr>
      <w:r>
        <w:rPr>
          <w:noProof/>
        </w:rPr>
        <w:t xml:space="preserve">Надеждните, навременните и пълните статистически данни за цените на природния газ и електроенергията са важен източник на информация за европейските създатели на политики. Тъй като събирането на данни за цените на газа </w:t>
      </w:r>
      <w:r>
        <w:rPr>
          <w:noProof/>
        </w:rPr>
        <w:t>и електроенергията за сектора на домакинствата се извършва съгласно доброволно споразумение, е възможно отделните доставчици на данни (дружества за доставка на електроенергия или газ) да решат да не продължават тази дейност в бъдеще. Понеже събирането на д</w:t>
      </w:r>
      <w:r>
        <w:rPr>
          <w:noProof/>
        </w:rPr>
        <w:t>анни ще бъде обхванато от правна рамка, продължаването на докладването ще бъде гарантирано.</w:t>
      </w:r>
    </w:p>
    <w:p w:rsidR="006F461C" w:rsidRDefault="00E0132C">
      <w:pPr>
        <w:pBdr>
          <w:top w:val="nil"/>
          <w:left w:val="nil"/>
          <w:bottom w:val="nil"/>
          <w:right w:val="nil"/>
          <w:between w:val="nil"/>
          <w:bar w:val="nil"/>
        </w:pBdr>
        <w:spacing w:before="0" w:after="240"/>
        <w:rPr>
          <w:rFonts w:eastAsia="Arial Unicode MS"/>
          <w:noProof/>
        </w:rPr>
      </w:pPr>
      <w:r>
        <w:rPr>
          <w:noProof/>
        </w:rPr>
        <w:t>За целите на анализа на главните фактори на формиране на цените на електроенергията и природния газ не е достатъчно да се разглеждат само крайните цени на газа и ел</w:t>
      </w:r>
      <w:r>
        <w:rPr>
          <w:noProof/>
        </w:rPr>
        <w:t>ектроенергията и цените за мрежата, данъците и цените на продуктите. За да се определят формиращите фактори на цените, в събирането на данните е добавен набор от променливи (подкомпоненти), който ще позволи по-подробен анализ на данните, събрани въз основа</w:t>
      </w:r>
      <w:r>
        <w:rPr>
          <w:noProof/>
        </w:rPr>
        <w:t xml:space="preserve"> на хармонизирана методика. </w:t>
      </w:r>
    </w:p>
    <w:p w:rsidR="006F461C" w:rsidRDefault="00E0132C">
      <w:pPr>
        <w:autoSpaceDE w:val="0"/>
        <w:autoSpaceDN w:val="0"/>
        <w:adjustRightInd w:val="0"/>
        <w:spacing w:before="0" w:after="0"/>
        <w:jc w:val="left"/>
        <w:rPr>
          <w:b/>
          <w:bCs/>
          <w:noProof/>
          <w:szCs w:val="24"/>
        </w:rPr>
      </w:pPr>
      <w:r>
        <w:rPr>
          <w:b/>
          <w:noProof/>
        </w:rPr>
        <w:t>Европейско икономическо пространство</w:t>
      </w:r>
    </w:p>
    <w:p w:rsidR="006F461C" w:rsidRDefault="00E0132C">
      <w:pPr>
        <w:autoSpaceDE w:val="0"/>
        <w:autoSpaceDN w:val="0"/>
        <w:adjustRightInd w:val="0"/>
        <w:spacing w:before="0" w:after="0"/>
        <w:jc w:val="left"/>
        <w:rPr>
          <w:noProof/>
          <w:szCs w:val="24"/>
        </w:rPr>
      </w:pPr>
      <w:r>
        <w:rPr>
          <w:noProof/>
        </w:rPr>
        <w:t>Предложеният акт засяга въпроси, свързани с Европейското икономическо пространство, и поради това действието му следва да обхване ЕИП.</w:t>
      </w:r>
    </w:p>
    <w:p w:rsidR="006F461C" w:rsidRDefault="006F461C">
      <w:pPr>
        <w:rPr>
          <w:noProof/>
        </w:rPr>
        <w:sectPr w:rsidR="006F461C">
          <w:footerReference w:type="default" r:id="rId11"/>
          <w:footerReference w:type="first" r:id="rId12"/>
          <w:pgSz w:w="11907" w:h="16839"/>
          <w:pgMar w:top="1134" w:right="1417" w:bottom="1134" w:left="1417" w:header="709" w:footer="709" w:gutter="0"/>
          <w:cols w:space="708"/>
          <w:docGrid w:linePitch="360"/>
        </w:sectPr>
      </w:pPr>
    </w:p>
    <w:p w:rsidR="006F461C" w:rsidRDefault="00E0132C">
      <w:pPr>
        <w:pStyle w:val="Rfrenceinterinstitutionnelle"/>
        <w:rPr>
          <w:noProof/>
        </w:rPr>
      </w:pPr>
      <w:r>
        <w:rPr>
          <w:noProof/>
        </w:rPr>
        <w:t>2015/0239 (COD)</w:t>
      </w:r>
    </w:p>
    <w:p w:rsidR="006F461C" w:rsidRDefault="00E0132C">
      <w:pPr>
        <w:pStyle w:val="Statut"/>
        <w:rPr>
          <w:noProof/>
        </w:rPr>
      </w:pPr>
      <w:r>
        <w:rPr>
          <w:noProof/>
        </w:rPr>
        <w:t>Предложение за</w:t>
      </w:r>
    </w:p>
    <w:p w:rsidR="006F461C" w:rsidRDefault="00E0132C">
      <w:pPr>
        <w:pStyle w:val="Typedudocument"/>
        <w:rPr>
          <w:noProof/>
        </w:rPr>
      </w:pPr>
      <w:r>
        <w:rPr>
          <w:noProof/>
        </w:rPr>
        <w:t>РЕГЛАМЕНТ НА ЕВРОПЕЙСКИЯ ПАРЛАМЕНТ И НА СЪВЕТА</w:t>
      </w:r>
    </w:p>
    <w:p w:rsidR="006F461C" w:rsidRDefault="00E0132C">
      <w:pPr>
        <w:pStyle w:val="Titreobjet"/>
        <w:rPr>
          <w:noProof/>
        </w:rPr>
      </w:pPr>
      <w:r>
        <w:rPr>
          <w:noProof/>
        </w:rPr>
        <w:t xml:space="preserve">относно европейската статистика на цените на природния газ и електроенергията и за отмяна на Директива 2008/92/ЕО на Европейския </w:t>
      </w:r>
      <w:r>
        <w:rPr>
          <w:noProof/>
        </w:rPr>
        <w:t>парламент и на Съвета относно процедура на Общността за подобряване на прозрачността на цените на газ и електроенергия за промишлени крайни потребители</w:t>
      </w:r>
    </w:p>
    <w:p w:rsidR="006F461C" w:rsidRDefault="00E0132C">
      <w:pPr>
        <w:pStyle w:val="IntrtEEE"/>
        <w:rPr>
          <w:noProof/>
        </w:rPr>
      </w:pPr>
      <w:r>
        <w:rPr>
          <w:noProof/>
        </w:rPr>
        <w:t>(текст от значение за ЕИП)</w:t>
      </w:r>
    </w:p>
    <w:p w:rsidR="006F461C" w:rsidRDefault="00E0132C">
      <w:pPr>
        <w:rPr>
          <w:noProof/>
        </w:rPr>
      </w:pPr>
      <w:r>
        <w:rPr>
          <w:noProof/>
        </w:rPr>
        <w:t>ЕВРОПЕЙСКИЯТ ПАРЛАМЕНТ И СЪВЕТЪТ НА ЕВРОПЕЙСКИЯ СЪЮЗ</w:t>
      </w:r>
    </w:p>
    <w:p w:rsidR="006F461C" w:rsidRDefault="00E0132C">
      <w:pPr>
        <w:pStyle w:val="Titrearticle"/>
        <w:jc w:val="left"/>
        <w:rPr>
          <w:bCs/>
          <w:i w:val="0"/>
          <w:noProof/>
        </w:rPr>
      </w:pPr>
      <w:r>
        <w:rPr>
          <w:i w:val="0"/>
          <w:noProof/>
        </w:rPr>
        <w:t>като взеха предвид Догов</w:t>
      </w:r>
      <w:r>
        <w:rPr>
          <w:i w:val="0"/>
          <w:noProof/>
        </w:rPr>
        <w:t>ора за функционирането на Европейския съюз, и по-специално член 338, параграф 1 от него,</w:t>
      </w:r>
    </w:p>
    <w:p w:rsidR="006F461C" w:rsidRDefault="00E0132C">
      <w:pPr>
        <w:pStyle w:val="Titrearticle"/>
        <w:spacing w:before="0"/>
        <w:jc w:val="left"/>
        <w:rPr>
          <w:bCs/>
          <w:i w:val="0"/>
          <w:noProof/>
        </w:rPr>
      </w:pPr>
      <w:r>
        <w:rPr>
          <w:i w:val="0"/>
          <w:noProof/>
        </w:rPr>
        <w:t>като взеха предвид предложението на Европейската комисия,</w:t>
      </w:r>
    </w:p>
    <w:p w:rsidR="006F461C" w:rsidRDefault="00E0132C">
      <w:pPr>
        <w:pStyle w:val="Titrearticle"/>
        <w:spacing w:before="120"/>
        <w:jc w:val="left"/>
        <w:rPr>
          <w:bCs/>
          <w:i w:val="0"/>
          <w:noProof/>
        </w:rPr>
      </w:pPr>
      <w:r>
        <w:rPr>
          <w:i w:val="0"/>
          <w:noProof/>
        </w:rPr>
        <w:t>след предаване на проекта на законодателен акт на националните парламенти,</w:t>
      </w:r>
    </w:p>
    <w:p w:rsidR="006F461C" w:rsidRDefault="00E0132C">
      <w:pPr>
        <w:pStyle w:val="Titrearticle"/>
        <w:spacing w:before="120"/>
        <w:jc w:val="left"/>
        <w:rPr>
          <w:bCs/>
          <w:i w:val="0"/>
          <w:noProof/>
        </w:rPr>
      </w:pPr>
      <w:r>
        <w:rPr>
          <w:i w:val="0"/>
          <w:noProof/>
        </w:rPr>
        <w:t>действайки в съответствие с обикно</w:t>
      </w:r>
      <w:r>
        <w:rPr>
          <w:i w:val="0"/>
          <w:noProof/>
        </w:rPr>
        <w:t>вената законодателна процедура,</w:t>
      </w:r>
      <w:r>
        <w:rPr>
          <w:rStyle w:val="FootnoteReference"/>
          <w:i w:val="0"/>
          <w:noProof/>
        </w:rPr>
        <w:footnoteReference w:id="1"/>
      </w:r>
    </w:p>
    <w:p w:rsidR="006F461C" w:rsidRDefault="00E0132C">
      <w:pPr>
        <w:pStyle w:val="Titrearticle"/>
        <w:spacing w:before="120"/>
        <w:jc w:val="left"/>
        <w:rPr>
          <w:bCs/>
          <w:i w:val="0"/>
          <w:noProof/>
        </w:rPr>
      </w:pPr>
      <w:r>
        <w:rPr>
          <w:i w:val="0"/>
          <w:noProof/>
        </w:rPr>
        <w:t>като имат предвид, че:</w:t>
      </w:r>
    </w:p>
    <w:p w:rsidR="006F461C" w:rsidRDefault="00E0132C">
      <w:pPr>
        <w:pStyle w:val="ListNumber"/>
        <w:rPr>
          <w:noProof/>
        </w:rPr>
      </w:pPr>
      <w:r>
        <w:rPr>
          <w:noProof/>
        </w:rPr>
        <w:t>Конкурентоспособността, устойчивостта и енергийната сигурност са основните цели за устойчив енергиен съюз с ориентирана към бъдещето политика по въпросите на изменението на климата.</w:t>
      </w:r>
    </w:p>
    <w:p w:rsidR="006F461C" w:rsidRDefault="00E0132C">
      <w:pPr>
        <w:pStyle w:val="ListNumber"/>
        <w:rPr>
          <w:noProof/>
        </w:rPr>
      </w:pPr>
      <w:r>
        <w:rPr>
          <w:noProof/>
        </w:rPr>
        <w:t>Висококачествената</w:t>
      </w:r>
      <w:r>
        <w:rPr>
          <w:noProof/>
        </w:rPr>
        <w:t>, съпоставима, актуална, надеждна и хармонизирана информация за цените на природния газ и електроенергията за крайните клиенти е необходима, за да се изготви политиката на енергийния съюз и за да се наблюдават енергийните пазари на държавите членки.</w:t>
      </w:r>
    </w:p>
    <w:p w:rsidR="006F461C" w:rsidRDefault="00E0132C">
      <w:pPr>
        <w:pStyle w:val="ListNumber"/>
        <w:rPr>
          <w:bCs/>
          <w:noProof/>
        </w:rPr>
      </w:pPr>
      <w:r>
        <w:rPr>
          <w:noProof/>
        </w:rPr>
        <w:t>Настоя</w:t>
      </w:r>
      <w:r>
        <w:rPr>
          <w:noProof/>
        </w:rPr>
        <w:t>щият регламент има за цел да предостави европейска статистика в подкрепа на енергийните политики, по-специално за създаването на напълно интегриран вътрешен енергиен пазар за клиентите. За подобряване на интегрирането на пазара следва да се осигури по-голя</w:t>
      </w:r>
      <w:r>
        <w:rPr>
          <w:noProof/>
        </w:rPr>
        <w:t>ма прозрачност на енергийните разходи и цени, както и на нивото на публичната подкрепа.</w:t>
      </w:r>
    </w:p>
    <w:p w:rsidR="006F461C" w:rsidRDefault="00E0132C">
      <w:pPr>
        <w:pStyle w:val="ListNumber"/>
        <w:rPr>
          <w:bCs/>
          <w:noProof/>
        </w:rPr>
      </w:pPr>
      <w:r>
        <w:rPr>
          <w:noProof/>
        </w:rPr>
        <w:t>Досега обща рамка за изготвянето, предаването и разпространението на съпоставима статистика за цените на дребно на природния газ и електроенергията, прилагани за промиш</w:t>
      </w:r>
      <w:r>
        <w:rPr>
          <w:noProof/>
        </w:rPr>
        <w:t>лените клиенти в Съюза, се осигуряваше от Директива 2008/92/ЕО на Европейския парламент и на Съвета</w:t>
      </w:r>
      <w:r>
        <w:rPr>
          <w:rStyle w:val="FootnoteReference"/>
          <w:noProof/>
        </w:rPr>
        <w:footnoteReference w:id="2"/>
      </w:r>
      <w:r>
        <w:rPr>
          <w:noProof/>
        </w:rPr>
        <w:t>.</w:t>
      </w:r>
    </w:p>
    <w:p w:rsidR="006F461C" w:rsidRDefault="00E0132C">
      <w:pPr>
        <w:pStyle w:val="ListNumber"/>
        <w:rPr>
          <w:bCs/>
          <w:noProof/>
        </w:rPr>
      </w:pPr>
      <w:r>
        <w:rPr>
          <w:noProof/>
        </w:rPr>
        <w:t>Събирането на данни за цените на дребно на природния газ и електроенергията, прилагани за крайните клиенти в сектора на домакинствата, досега се извършваш</w:t>
      </w:r>
      <w:r>
        <w:rPr>
          <w:noProof/>
        </w:rPr>
        <w:t>е въз основа на доброволно споразумение.</w:t>
      </w:r>
    </w:p>
    <w:p w:rsidR="006F461C" w:rsidRDefault="00E0132C">
      <w:pPr>
        <w:pStyle w:val="ListNumber"/>
        <w:rPr>
          <w:bCs/>
          <w:noProof/>
        </w:rPr>
      </w:pPr>
      <w:r>
        <w:rPr>
          <w:noProof/>
        </w:rPr>
        <w:t>Нарастващата сложност на вътрешния енергиен пазар прави все по-трудно получаването на надеждни и актуални ценови данни за природния газ и електроенергията при отсъствие на правнообвързващи задължения за предоставяне</w:t>
      </w:r>
      <w:r>
        <w:rPr>
          <w:noProof/>
        </w:rPr>
        <w:t xml:space="preserve"> на такива данни, по-специално за сектора на домакинствата.</w:t>
      </w:r>
    </w:p>
    <w:p w:rsidR="006F461C" w:rsidRDefault="00E0132C">
      <w:pPr>
        <w:pStyle w:val="ListNumber"/>
        <w:rPr>
          <w:bCs/>
          <w:noProof/>
        </w:rPr>
      </w:pPr>
      <w:r>
        <w:rPr>
          <w:noProof/>
        </w:rPr>
        <w:t>За да се гарантира докладването на висококачествени ценови данни за сектора на домакинствата и недомакинския сектор, събирането и на двата вида данни следва да се обхване от правен акт.</w:t>
      </w:r>
    </w:p>
    <w:p w:rsidR="006F461C" w:rsidRDefault="00E0132C">
      <w:pPr>
        <w:pStyle w:val="ListNumber"/>
        <w:rPr>
          <w:noProof/>
        </w:rPr>
      </w:pPr>
      <w:r>
        <w:rPr>
          <w:noProof/>
        </w:rPr>
        <w:t>В повечето</w:t>
      </w:r>
      <w:r>
        <w:rPr>
          <w:noProof/>
        </w:rPr>
        <w:t xml:space="preserve"> държави данни относно преносните системи са на разположение от енергийните регулатори. Много по-голям обаче е броят на тези, които изготвят данни за разходите за разпределението, и поради това в някои държави членки се счита, че докладването на данни е по</w:t>
      </w:r>
      <w:r>
        <w:rPr>
          <w:noProof/>
        </w:rPr>
        <w:t>-трудно. Като се имат предвид значителните разходи за разпределение на енергията и необходимостта от прозрачност по този въпрос, събирането на данни трябва да бъде хармонизирано на базата на надеждна методика.</w:t>
      </w:r>
    </w:p>
    <w:p w:rsidR="006F461C" w:rsidRDefault="00E0132C">
      <w:pPr>
        <w:pStyle w:val="ListNumber"/>
        <w:rPr>
          <w:bCs/>
          <w:noProof/>
        </w:rPr>
      </w:pPr>
      <w:r>
        <w:rPr>
          <w:noProof/>
        </w:rPr>
        <w:t>Системата с интервали на потребление, използва</w:t>
      </w:r>
      <w:r>
        <w:rPr>
          <w:noProof/>
        </w:rPr>
        <w:t>на от Комисията (Евростат) при публикуването ѝ на цените, следва да осигури прозрачност на пазара и широко разпространение на неповерителни ценови данни и да даде възможност за изчисляване на европейски обобщени данни.</w:t>
      </w:r>
    </w:p>
    <w:p w:rsidR="006F461C" w:rsidRDefault="00E0132C">
      <w:pPr>
        <w:pStyle w:val="ListNumber"/>
        <w:rPr>
          <w:bCs/>
          <w:noProof/>
        </w:rPr>
      </w:pPr>
      <w:r>
        <w:rPr>
          <w:noProof/>
        </w:rPr>
        <w:t>Регламент (ЕО) № 223/2009 на Европейс</w:t>
      </w:r>
      <w:r>
        <w:rPr>
          <w:noProof/>
        </w:rPr>
        <w:t>кия парламент и на Съвета</w:t>
      </w:r>
      <w:r>
        <w:rPr>
          <w:rStyle w:val="FootnoteReference"/>
          <w:noProof/>
        </w:rPr>
        <w:footnoteReference w:id="3"/>
      </w:r>
      <w:r>
        <w:rPr>
          <w:noProof/>
        </w:rPr>
        <w:t xml:space="preserve"> предвижда статистическите данни да бъдат събирани в съответствие с принципите на безпристрастност, прозрачност, надеждност, обективност, професионална независимост и ефективност на разходите, като в същото време се защитава повер</w:t>
      </w:r>
      <w:r>
        <w:rPr>
          <w:noProof/>
        </w:rPr>
        <w:t>ителността на статистиката.</w:t>
      </w:r>
    </w:p>
    <w:p w:rsidR="006F461C" w:rsidRDefault="00E0132C">
      <w:pPr>
        <w:pStyle w:val="ListNumber"/>
        <w:rPr>
          <w:bCs/>
          <w:noProof/>
        </w:rPr>
      </w:pPr>
      <w:r>
        <w:rPr>
          <w:noProof/>
        </w:rPr>
        <w:t>Информацията за цените, прилагани за крайните клиенти на природен газ и електроенергия, следва да прави възможно сравняването с цените на другите енергоносители.</w:t>
      </w:r>
    </w:p>
    <w:p w:rsidR="006F461C" w:rsidRDefault="00E0132C">
      <w:pPr>
        <w:pStyle w:val="ListNumber"/>
        <w:rPr>
          <w:bCs/>
          <w:noProof/>
        </w:rPr>
      </w:pPr>
      <w:r>
        <w:rPr>
          <w:noProof/>
        </w:rPr>
        <w:t xml:space="preserve">Информацията за събирането на данни за цените и качеството следва </w:t>
      </w:r>
      <w:r>
        <w:rPr>
          <w:noProof/>
        </w:rPr>
        <w:t>да се предоставя като част от стандартна процедура за докладване.</w:t>
      </w:r>
    </w:p>
    <w:p w:rsidR="006F461C" w:rsidRDefault="00E0132C">
      <w:pPr>
        <w:pStyle w:val="ListNumber"/>
        <w:rPr>
          <w:bCs/>
          <w:noProof/>
        </w:rPr>
      </w:pPr>
      <w:r>
        <w:rPr>
          <w:noProof/>
        </w:rPr>
        <w:t>Подробните данни за разбивката на интервалите на потребление и съответните им пазарни дялове са съществен елемент на ценовата статистика на природния газ и електроенергията.</w:t>
      </w:r>
    </w:p>
    <w:p w:rsidR="006F461C" w:rsidRDefault="00E0132C">
      <w:pPr>
        <w:pStyle w:val="ListNumber"/>
        <w:rPr>
          <w:bCs/>
          <w:noProof/>
        </w:rPr>
      </w:pPr>
      <w:r>
        <w:rPr>
          <w:noProof/>
        </w:rPr>
        <w:t>Анализ на цените</w:t>
      </w:r>
      <w:r>
        <w:rPr>
          <w:noProof/>
        </w:rPr>
        <w:t xml:space="preserve"> може да бъде правен единствено ако държавите членки осигуряват висококачествена официална статистическа информация по отношение на различните компоненти и подкомпоненти на цените на природния газ и електроенергията. Една преразгледана методика за изготвян</w:t>
      </w:r>
      <w:r>
        <w:rPr>
          <w:noProof/>
        </w:rPr>
        <w:t>е на подробна разбивка на различните компоненти и подкомпоненти на цените на природния газ и електроенергията, прилагани за крайните клиенти, ще позволи да се анализира въздействието на различните аспекти върху крайните цени.</w:t>
      </w:r>
    </w:p>
    <w:p w:rsidR="006F461C" w:rsidRDefault="00E0132C">
      <w:pPr>
        <w:pStyle w:val="ListNumber"/>
        <w:rPr>
          <w:bCs/>
          <w:noProof/>
        </w:rPr>
      </w:pPr>
      <w:r>
        <w:rPr>
          <w:noProof/>
        </w:rPr>
        <w:t>Данните, предоставяни на Комис</w:t>
      </w:r>
      <w:r>
        <w:rPr>
          <w:noProof/>
        </w:rPr>
        <w:t xml:space="preserve">ията (Евростат), за цените и условията на продажба на крайните клиенти и разбивката на броя на крайните клиенти според потреблението във всеки интервал на потребление следва да дават на Комисията подходяща информация, за да вземе решение относно подходящи </w:t>
      </w:r>
      <w:r>
        <w:rPr>
          <w:noProof/>
        </w:rPr>
        <w:t>мерки или предложения във връзка с енергийната политика.</w:t>
      </w:r>
    </w:p>
    <w:p w:rsidR="006F461C" w:rsidRDefault="00E0132C">
      <w:pPr>
        <w:pStyle w:val="ListNumber"/>
        <w:rPr>
          <w:bCs/>
          <w:noProof/>
        </w:rPr>
      </w:pPr>
      <w:r>
        <w:rPr>
          <w:noProof/>
        </w:rPr>
        <w:t>Доброто разбиране на данъците и таксите на всяка от държавите членки е от съществено значение за осигуряването на прозрачност на цените. Определено е голямо значението на разбивката на данните за раз</w:t>
      </w:r>
      <w:r>
        <w:rPr>
          <w:noProof/>
        </w:rPr>
        <w:t>ходите за мрежите, таксите, данъците, налозите и вземанията.</w:t>
      </w:r>
    </w:p>
    <w:p w:rsidR="006F461C" w:rsidRDefault="00E0132C">
      <w:pPr>
        <w:pStyle w:val="ListNumber"/>
        <w:rPr>
          <w:bCs/>
          <w:noProof/>
        </w:rPr>
      </w:pPr>
      <w:r>
        <w:rPr>
          <w:noProof/>
        </w:rPr>
        <w:t>Държавите членки, в които потреблението на природен газ като дял от крайното потребление на енергия на домакинствата е нисък, следва да бъдат освободени от задължението да предоставят данни за це</w:t>
      </w:r>
      <w:r>
        <w:rPr>
          <w:noProof/>
        </w:rPr>
        <w:t>ните на природния газ за крайните битови клиенти.</w:t>
      </w:r>
    </w:p>
    <w:p w:rsidR="006F461C" w:rsidRDefault="00E0132C">
      <w:pPr>
        <w:pStyle w:val="ListNumber"/>
        <w:rPr>
          <w:bCs/>
          <w:noProof/>
        </w:rPr>
      </w:pPr>
      <w:r>
        <w:rPr>
          <w:noProof/>
        </w:rPr>
        <w:t>За да подобри надеждността на данните, Комисията (Евростат), заедно с държавите членки, следва да оценява и ако е необходимо, внимателно да подобрява методиката за събиране и обработка на данните в съответс</w:t>
      </w:r>
      <w:r>
        <w:rPr>
          <w:noProof/>
        </w:rPr>
        <w:t>твие с рамката за управление на статистиката. Поради това следва редовно да се изготвят доклади за качеството, както и редовно да се извършват оценки на качеството на ценовите данни.</w:t>
      </w:r>
    </w:p>
    <w:p w:rsidR="006F461C" w:rsidRDefault="00E0132C">
      <w:pPr>
        <w:pStyle w:val="ListNumber"/>
        <w:rPr>
          <w:noProof/>
        </w:rPr>
      </w:pPr>
      <w:r>
        <w:rPr>
          <w:noProof/>
        </w:rPr>
        <w:t xml:space="preserve">На базата на обосновано искане от страна на държава членка, Комисията </w:t>
      </w:r>
      <w:r>
        <w:rPr>
          <w:noProof/>
        </w:rPr>
        <w:t>може да предоставя дерогации на държавите членки във връзка с тези специфични задължения, за които прилагането на настоящия регламент по отношение на националната статистическа система на дадена държава членка изисква съществени адаптации и е вероятно да д</w:t>
      </w:r>
      <w:r>
        <w:rPr>
          <w:noProof/>
        </w:rPr>
        <w:t>оведе до значителна допълнителна тежест за респондентите.</w:t>
      </w:r>
    </w:p>
    <w:p w:rsidR="006F461C" w:rsidRDefault="00E0132C">
      <w:pPr>
        <w:pStyle w:val="ListNumber"/>
        <w:rPr>
          <w:noProof/>
        </w:rPr>
      </w:pPr>
      <w:r>
        <w:rPr>
          <w:noProof/>
        </w:rPr>
        <w:t>За да се поддържа високо качество на данните, предоставяни от държавите членки, на Комисията следва да се делегира правомощието да приема актове в съответствие с член 290 от Договора за функциониран</w:t>
      </w:r>
      <w:r>
        <w:rPr>
          <w:noProof/>
        </w:rPr>
        <w:t>ето на Европейския съюз с оглед коригиране на праговете, които могат да се прилагат за пазара на природен газ.  От особена важност е по време на подготвителната си работа Комисията да провежда подходящи консултации, включително на експертно равнище. При по</w:t>
      </w:r>
      <w:r>
        <w:rPr>
          <w:noProof/>
        </w:rPr>
        <w:t>дготовката и изготвянето на делегираните актове Комисията следва да осигури едновременно, навременно и подходящо предаване на съответните документи на Европейския парламент и на Съвета.</w:t>
      </w:r>
    </w:p>
    <w:p w:rsidR="006F461C" w:rsidRDefault="00E0132C">
      <w:pPr>
        <w:pStyle w:val="ListNumber"/>
        <w:rPr>
          <w:noProof/>
        </w:rPr>
      </w:pPr>
      <w:r>
        <w:rPr>
          <w:noProof/>
        </w:rPr>
        <w:t>Комисията следва да гарантира, че тези делегирани актове не водят до з</w:t>
      </w:r>
      <w:r>
        <w:rPr>
          <w:noProof/>
        </w:rPr>
        <w:t>начителна допълнителна административна тежест за държавите членки или за респондентите.</w:t>
      </w:r>
    </w:p>
    <w:p w:rsidR="006F461C" w:rsidRDefault="00E0132C">
      <w:pPr>
        <w:pStyle w:val="ListNumber"/>
        <w:rPr>
          <w:bCs/>
          <w:noProof/>
        </w:rPr>
      </w:pPr>
      <w:r>
        <w:rPr>
          <w:noProof/>
        </w:rPr>
        <w:t>С цел да се осигурят еднакви условия за изпълнението на настоящия регламент, на Комисията следва да се предоставят изпълнителни правомощия по отношение на формата и усл</w:t>
      </w:r>
      <w:r>
        <w:rPr>
          <w:noProof/>
        </w:rPr>
        <w:t>овията за предаване на данните, изискванията към докладите за качеството и тяхната структура и съпоставимост, както и за предоставянето на дерогации. Тези правомощия следва да бъдат упражнявани в съответствие с Регламент (ЕС) № 182/2011 на Европейския парл</w:t>
      </w:r>
      <w:r>
        <w:rPr>
          <w:noProof/>
        </w:rPr>
        <w:t>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w:t>
      </w:r>
    </w:p>
    <w:p w:rsidR="006F461C" w:rsidRDefault="00E0132C">
      <w:pPr>
        <w:pStyle w:val="ListNumber"/>
        <w:rPr>
          <w:bCs/>
          <w:noProof/>
        </w:rPr>
      </w:pPr>
      <w:r>
        <w:rPr>
          <w:noProof/>
        </w:rPr>
        <w:t>Директива 2008/92/ЕО се отменя.</w:t>
      </w:r>
    </w:p>
    <w:p w:rsidR="006F461C" w:rsidRDefault="00E0132C">
      <w:pPr>
        <w:pStyle w:val="ListNumber"/>
        <w:rPr>
          <w:bCs/>
          <w:noProof/>
        </w:rPr>
      </w:pPr>
      <w:r>
        <w:rPr>
          <w:noProof/>
        </w:rPr>
        <w:t>Проведени са консултации с Комитета на Европейската статистическа система,</w:t>
      </w:r>
    </w:p>
    <w:p w:rsidR="006F461C" w:rsidRDefault="00E0132C">
      <w:pPr>
        <w:pStyle w:val="Titrearticle"/>
        <w:jc w:val="left"/>
        <w:rPr>
          <w:bCs/>
          <w:i w:val="0"/>
          <w:noProof/>
        </w:rPr>
      </w:pPr>
      <w:r>
        <w:rPr>
          <w:i w:val="0"/>
          <w:noProof/>
        </w:rPr>
        <w:t>ПРИЕХА НАСТОЯЩИЯ РЕГЛАМЕНТ:</w:t>
      </w:r>
    </w:p>
    <w:p w:rsidR="006F461C" w:rsidRDefault="00E0132C">
      <w:pPr>
        <w:pStyle w:val="Titrearticle"/>
        <w:rPr>
          <w:noProof/>
        </w:rPr>
      </w:pPr>
      <w:r>
        <w:rPr>
          <w:noProof/>
        </w:rPr>
        <w:t>Член 1</w:t>
      </w:r>
    </w:p>
    <w:p w:rsidR="006F461C" w:rsidRDefault="00E0132C">
      <w:pPr>
        <w:jc w:val="center"/>
        <w:rPr>
          <w:b/>
          <w:noProof/>
        </w:rPr>
      </w:pPr>
      <w:r>
        <w:rPr>
          <w:b/>
          <w:noProof/>
        </w:rPr>
        <w:t>Предмет</w:t>
      </w:r>
    </w:p>
    <w:p w:rsidR="006F461C" w:rsidRDefault="00E0132C">
      <w:pPr>
        <w:tabs>
          <w:tab w:val="left" w:pos="0"/>
        </w:tabs>
        <w:rPr>
          <w:noProof/>
        </w:rPr>
      </w:pPr>
      <w:r>
        <w:rPr>
          <w:noProof/>
        </w:rPr>
        <w:t>С настоящия регламент се установява обща рамка за разработването, изготвянето и разпространението на съпоставима европейска статистика на</w:t>
      </w:r>
      <w:r>
        <w:rPr>
          <w:noProof/>
        </w:rPr>
        <w:t xml:space="preserve"> цените на природния газ и електроенергията за битовите и крайните небитови клиенти в ЕС.</w:t>
      </w:r>
    </w:p>
    <w:p w:rsidR="006F461C" w:rsidRDefault="00E0132C">
      <w:pPr>
        <w:pStyle w:val="Titrearticle"/>
        <w:rPr>
          <w:noProof/>
        </w:rPr>
      </w:pPr>
      <w:r>
        <w:rPr>
          <w:noProof/>
        </w:rPr>
        <w:t>Член 2</w:t>
      </w:r>
    </w:p>
    <w:p w:rsidR="006F461C" w:rsidRDefault="00E0132C">
      <w:pPr>
        <w:jc w:val="center"/>
        <w:rPr>
          <w:b/>
          <w:noProof/>
        </w:rPr>
      </w:pPr>
      <w:r>
        <w:rPr>
          <w:b/>
          <w:noProof/>
        </w:rPr>
        <w:t>Определения</w:t>
      </w:r>
    </w:p>
    <w:p w:rsidR="006F461C" w:rsidRDefault="00E0132C">
      <w:pPr>
        <w:rPr>
          <w:noProof/>
        </w:rPr>
      </w:pPr>
      <w:r>
        <w:rPr>
          <w:noProof/>
        </w:rPr>
        <w:t>За целите на настоящия регламент се прилагат следните определения:</w:t>
      </w:r>
    </w:p>
    <w:p w:rsidR="006F461C" w:rsidRDefault="00E0132C">
      <w:pPr>
        <w:pStyle w:val="Point0number"/>
        <w:numPr>
          <w:ilvl w:val="0"/>
          <w:numId w:val="9"/>
        </w:numPr>
        <w:rPr>
          <w:noProof/>
        </w:rPr>
      </w:pPr>
      <w:r>
        <w:rPr>
          <w:noProof/>
        </w:rPr>
        <w:t>понятията „домакинство“, „крайно потребление на енергия“ и „производители за соб</w:t>
      </w:r>
      <w:r>
        <w:rPr>
          <w:noProof/>
        </w:rPr>
        <w:t>ствени нужди“ имат същия смисъл като този, посочен в приложение А към Регламент (ЕО) № 1099/2008 на Европейския парламент и на Съвета</w:t>
      </w:r>
      <w:r>
        <w:rPr>
          <w:rStyle w:val="FootnoteReference"/>
          <w:noProof/>
        </w:rPr>
        <w:footnoteReference w:id="4"/>
      </w:r>
      <w:r>
        <w:rPr>
          <w:noProof/>
        </w:rPr>
        <w:t>;</w:t>
      </w:r>
    </w:p>
    <w:p w:rsidR="006F461C" w:rsidRDefault="00E0132C">
      <w:pPr>
        <w:pStyle w:val="Point0number"/>
        <w:numPr>
          <w:ilvl w:val="0"/>
          <w:numId w:val="9"/>
        </w:numPr>
        <w:rPr>
          <w:noProof/>
        </w:rPr>
      </w:pPr>
      <w:r>
        <w:rPr>
          <w:noProof/>
        </w:rPr>
        <w:t>понятията „клиент“, „краен клиент“, „битов клиент“, „небитов клиент“, „пренос“, „разпределение“ и „снабдяване“ във връзк</w:t>
      </w:r>
      <w:r>
        <w:rPr>
          <w:noProof/>
        </w:rPr>
        <w:t>а с електроенергията, имат същия смисъл като този, посочен в Директива 2009/72/ЕО на Европейския парламент и на Съвета</w:t>
      </w:r>
      <w:r>
        <w:rPr>
          <w:rStyle w:val="FootnoteReference"/>
          <w:noProof/>
        </w:rPr>
        <w:footnoteReference w:id="5"/>
      </w:r>
      <w:r>
        <w:rPr>
          <w:noProof/>
        </w:rPr>
        <w:t>, когато се използват във връзка с електроенергията;</w:t>
      </w:r>
    </w:p>
    <w:p w:rsidR="006F461C" w:rsidRDefault="00E0132C">
      <w:pPr>
        <w:pStyle w:val="Point0number"/>
        <w:numPr>
          <w:ilvl w:val="0"/>
          <w:numId w:val="9"/>
        </w:numPr>
        <w:rPr>
          <w:noProof/>
        </w:rPr>
      </w:pPr>
      <w:r>
        <w:rPr>
          <w:noProof/>
        </w:rPr>
        <w:t>понятията „клиент“, „краен клиент“, „битов клиент“, „небитов клиент“, „пренос“, „раз</w:t>
      </w:r>
      <w:r>
        <w:rPr>
          <w:noProof/>
        </w:rPr>
        <w:t>пределение“ и „снабдяване“ във връзка с природния газ,  имат същия смисъл като този, посочен в Директива 2009/73/ЕО на Европейския парламент и на Съвета</w:t>
      </w:r>
      <w:r>
        <w:rPr>
          <w:rStyle w:val="FootnoteReference"/>
          <w:noProof/>
        </w:rPr>
        <w:footnoteReference w:id="6"/>
      </w:r>
      <w:r>
        <w:rPr>
          <w:noProof/>
        </w:rPr>
        <w:t>, когато се използват във връзка с природния газ;</w:t>
      </w:r>
    </w:p>
    <w:p w:rsidR="006F461C" w:rsidRDefault="00E0132C">
      <w:pPr>
        <w:pStyle w:val="Point0number"/>
        <w:numPr>
          <w:ilvl w:val="0"/>
          <w:numId w:val="9"/>
        </w:numPr>
        <w:rPr>
          <w:noProof/>
        </w:rPr>
      </w:pPr>
      <w:r>
        <w:rPr>
          <w:noProof/>
        </w:rPr>
        <w:t>„мрежов компонент“ означава комбинацията от разходите</w:t>
      </w:r>
      <w:r>
        <w:rPr>
          <w:noProof/>
        </w:rPr>
        <w:t xml:space="preserve"> за преносната и разпределителната мрежа, както са посочени в точка 6 от приложение I и в точка 5 от приложение II:</w:t>
      </w:r>
    </w:p>
    <w:p w:rsidR="006F461C" w:rsidRDefault="00E0132C">
      <w:pPr>
        <w:pStyle w:val="Titrearticle"/>
        <w:rPr>
          <w:noProof/>
        </w:rPr>
      </w:pPr>
      <w:r>
        <w:rPr>
          <w:noProof/>
        </w:rPr>
        <w:t>Член 3</w:t>
      </w:r>
    </w:p>
    <w:p w:rsidR="006F461C" w:rsidRDefault="00E0132C">
      <w:pPr>
        <w:jc w:val="center"/>
        <w:rPr>
          <w:b/>
          <w:noProof/>
        </w:rPr>
      </w:pPr>
      <w:r>
        <w:rPr>
          <w:b/>
          <w:noProof/>
        </w:rPr>
        <w:t>Източници на данни</w:t>
      </w:r>
    </w:p>
    <w:p w:rsidR="006F461C" w:rsidRDefault="00E0132C">
      <w:pPr>
        <w:tabs>
          <w:tab w:val="left" w:pos="0"/>
        </w:tabs>
        <w:rPr>
          <w:noProof/>
        </w:rPr>
      </w:pPr>
      <w:r>
        <w:rPr>
          <w:noProof/>
        </w:rPr>
        <w:t>Прилагайки принципите за поддържане на намалена тежест за респондентите и за административно опростяване, държавит</w:t>
      </w:r>
      <w:r>
        <w:rPr>
          <w:noProof/>
        </w:rPr>
        <w:t>е членки изготвят данни за цените на природния газ и електроенергията и за техните подкомпоненти, свързани с разходите за мрежата и с данъците, налозите, вземанията и таксите, както са посочени в приложения I и II, както и за обема на потреблението, и изго</w:t>
      </w:r>
      <w:r>
        <w:rPr>
          <w:noProof/>
        </w:rPr>
        <w:t>твят доклад за качеството, като използват следните източници:</w:t>
      </w:r>
    </w:p>
    <w:p w:rsidR="006F461C" w:rsidRDefault="00E0132C">
      <w:pPr>
        <w:pStyle w:val="Point0"/>
        <w:rPr>
          <w:noProof/>
        </w:rPr>
      </w:pPr>
      <w:r>
        <w:rPr>
          <w:noProof/>
        </w:rPr>
        <w:t>а)</w:t>
      </w:r>
      <w:r>
        <w:rPr>
          <w:noProof/>
        </w:rPr>
        <w:tab/>
        <w:t>специфични статистически изследвания, свързани с цените на дребно на природния газ и електроенергията, и насочени към производители или търговци, оператори на преносни и разпределителни систе</w:t>
      </w:r>
      <w:r>
        <w:rPr>
          <w:noProof/>
        </w:rPr>
        <w:t>ми, вносители или износители на енергийни продукти, и към снабдителни предприятия;</w:t>
      </w:r>
    </w:p>
    <w:p w:rsidR="006F461C" w:rsidRDefault="00E0132C">
      <w:pPr>
        <w:pStyle w:val="Point0"/>
        <w:rPr>
          <w:noProof/>
        </w:rPr>
      </w:pPr>
      <w:r>
        <w:rPr>
          <w:noProof/>
        </w:rPr>
        <w:t>б)</w:t>
      </w:r>
      <w:r>
        <w:rPr>
          <w:noProof/>
        </w:rPr>
        <w:tab/>
        <w:t>други статистически изследвания, насочени към клиентите от сектора на домакинствата и крайните клиенти в недомакинския сектор;</w:t>
      </w:r>
    </w:p>
    <w:p w:rsidR="006F461C" w:rsidRDefault="00E0132C">
      <w:pPr>
        <w:pStyle w:val="Point0"/>
        <w:rPr>
          <w:noProof/>
        </w:rPr>
      </w:pPr>
      <w:r>
        <w:rPr>
          <w:noProof/>
        </w:rPr>
        <w:t>в)</w:t>
      </w:r>
      <w:r>
        <w:rPr>
          <w:noProof/>
        </w:rPr>
        <w:tab/>
        <w:t>административни източници, като тези, на</w:t>
      </w:r>
      <w:r>
        <w:rPr>
          <w:noProof/>
        </w:rPr>
        <w:t xml:space="preserve"> разположение на националните регулаторни органи на пазарите на природен газ и електроенергия;</w:t>
      </w:r>
    </w:p>
    <w:p w:rsidR="006F461C" w:rsidRDefault="00E0132C">
      <w:pPr>
        <w:pStyle w:val="Point0"/>
        <w:rPr>
          <w:noProof/>
        </w:rPr>
      </w:pPr>
      <w:r>
        <w:rPr>
          <w:noProof/>
        </w:rPr>
        <w:t>г)</w:t>
      </w:r>
      <w:r>
        <w:rPr>
          <w:noProof/>
        </w:rPr>
        <w:tab/>
        <w:t>други източници, които прилагат добри процедури за статистическа оценка.</w:t>
      </w:r>
    </w:p>
    <w:p w:rsidR="006F461C" w:rsidRDefault="00E0132C">
      <w:pPr>
        <w:jc w:val="center"/>
        <w:rPr>
          <w:noProof/>
        </w:rPr>
      </w:pPr>
      <w:r>
        <w:rPr>
          <w:noProof/>
        </w:rPr>
        <w:t>Член 4</w:t>
      </w:r>
    </w:p>
    <w:p w:rsidR="006F461C" w:rsidRDefault="00E0132C">
      <w:pPr>
        <w:jc w:val="center"/>
        <w:rPr>
          <w:b/>
          <w:noProof/>
        </w:rPr>
      </w:pPr>
      <w:r>
        <w:rPr>
          <w:b/>
          <w:noProof/>
        </w:rPr>
        <w:t>Обхват</w:t>
      </w:r>
    </w:p>
    <w:p w:rsidR="006F461C" w:rsidRDefault="00E0132C">
      <w:pPr>
        <w:pStyle w:val="Point0number"/>
        <w:numPr>
          <w:ilvl w:val="0"/>
          <w:numId w:val="10"/>
        </w:numPr>
        <w:rPr>
          <w:noProof/>
        </w:rPr>
      </w:pPr>
      <w:r>
        <w:rPr>
          <w:noProof/>
        </w:rPr>
        <w:t xml:space="preserve">Държавите членки гарантират, че системата за събиране и изготвяне на </w:t>
      </w:r>
      <w:r>
        <w:rPr>
          <w:noProof/>
        </w:rPr>
        <w:t>данни е представителна.</w:t>
      </w:r>
    </w:p>
    <w:p w:rsidR="006F461C" w:rsidRDefault="00E0132C">
      <w:pPr>
        <w:pStyle w:val="Point0number"/>
        <w:numPr>
          <w:ilvl w:val="0"/>
          <w:numId w:val="10"/>
        </w:numPr>
        <w:rPr>
          <w:noProof/>
        </w:rPr>
      </w:pPr>
      <w:r>
        <w:rPr>
          <w:noProof/>
        </w:rPr>
        <w:t>Държавите членки не са задължени да предават данни на Комисията (Евростат) за цените на природния газ за битовите клиенти, ако потреблението на природен газ в сектора на домакинствата е под прага от 1 % от общото национално потребле</w:t>
      </w:r>
      <w:r>
        <w:rPr>
          <w:noProof/>
        </w:rPr>
        <w:t>ние на енергия в сектора на домакинствата. Комисията (Евростат) редовно извършва преглед, най-малко на всеки 3 години, на държавите членки, които по силата на потреблението си на природен газ в сектора на домакинствата отговарят на условието за освобождава</w:t>
      </w:r>
      <w:r>
        <w:rPr>
          <w:noProof/>
        </w:rPr>
        <w:t>не от задължението за предаване на данни.</w:t>
      </w:r>
    </w:p>
    <w:p w:rsidR="006F461C" w:rsidRDefault="00E0132C">
      <w:pPr>
        <w:pStyle w:val="Point0number"/>
        <w:numPr>
          <w:ilvl w:val="0"/>
          <w:numId w:val="10"/>
        </w:numPr>
        <w:rPr>
          <w:noProof/>
        </w:rPr>
      </w:pPr>
      <w:r>
        <w:rPr>
          <w:noProof/>
        </w:rPr>
        <w:t>На Комисията се предоставя правомощие да приема делегирани актове в съответствие с член 10 за коригирането на прага, като взема предвид икономическите и техническите тенденции.</w:t>
      </w:r>
    </w:p>
    <w:p w:rsidR="006F461C" w:rsidRDefault="00E0132C">
      <w:pPr>
        <w:jc w:val="center"/>
        <w:rPr>
          <w:noProof/>
        </w:rPr>
      </w:pPr>
      <w:r>
        <w:rPr>
          <w:i/>
          <w:noProof/>
        </w:rPr>
        <w:t>Член 5</w:t>
      </w:r>
    </w:p>
    <w:p w:rsidR="006F461C" w:rsidRDefault="00E0132C">
      <w:pPr>
        <w:jc w:val="center"/>
        <w:rPr>
          <w:b/>
          <w:noProof/>
        </w:rPr>
      </w:pPr>
      <w:r>
        <w:rPr>
          <w:b/>
          <w:noProof/>
        </w:rPr>
        <w:t>Предаване на данни</w:t>
      </w:r>
    </w:p>
    <w:p w:rsidR="006F461C" w:rsidRDefault="00E0132C">
      <w:pPr>
        <w:pStyle w:val="Point0number"/>
        <w:numPr>
          <w:ilvl w:val="0"/>
          <w:numId w:val="11"/>
        </w:numPr>
        <w:ind w:left="709" w:hanging="709"/>
        <w:rPr>
          <w:noProof/>
        </w:rPr>
      </w:pPr>
      <w:r>
        <w:rPr>
          <w:noProof/>
        </w:rPr>
        <w:t>Държавите ч</w:t>
      </w:r>
      <w:r>
        <w:rPr>
          <w:noProof/>
        </w:rPr>
        <w:t>ленки предават на Комисията (Евростат) данните, определени в приложения I и II.</w:t>
      </w:r>
    </w:p>
    <w:p w:rsidR="006F461C" w:rsidRDefault="00E0132C">
      <w:pPr>
        <w:pStyle w:val="Point0number"/>
        <w:numPr>
          <w:ilvl w:val="0"/>
          <w:numId w:val="11"/>
        </w:numPr>
        <w:ind w:hanging="720"/>
        <w:rPr>
          <w:noProof/>
        </w:rPr>
      </w:pPr>
      <w:r>
        <w:rPr>
          <w:noProof/>
        </w:rPr>
        <w:t>Комисията изготвя и приема, посредством актове за изпълнение, формата и условията за предаването на данните, определени в приложенията. Тези актове за изпълнение се приемат в с</w:t>
      </w:r>
      <w:r>
        <w:rPr>
          <w:noProof/>
        </w:rPr>
        <w:t>ъответствие с процедурата по разглеждане, посочена в член 11, параграф 2.</w:t>
      </w:r>
    </w:p>
    <w:p w:rsidR="006F461C" w:rsidRDefault="00E0132C">
      <w:pPr>
        <w:pStyle w:val="Titrearticle"/>
        <w:rPr>
          <w:noProof/>
        </w:rPr>
      </w:pPr>
      <w:r>
        <w:rPr>
          <w:noProof/>
        </w:rPr>
        <w:br w:type="page"/>
      </w:r>
      <w:bookmarkStart w:id="0" w:name="_GoBack"/>
      <w:bookmarkEnd w:id="0"/>
      <w:r>
        <w:rPr>
          <w:noProof/>
        </w:rPr>
        <w:t>Член 6</w:t>
      </w:r>
    </w:p>
    <w:p w:rsidR="006F461C" w:rsidRDefault="00E0132C">
      <w:pPr>
        <w:jc w:val="center"/>
        <w:rPr>
          <w:b/>
          <w:noProof/>
        </w:rPr>
      </w:pPr>
      <w:r>
        <w:rPr>
          <w:b/>
          <w:noProof/>
        </w:rPr>
        <w:t>Референтен период и честота на предаване</w:t>
      </w:r>
    </w:p>
    <w:p w:rsidR="006F461C" w:rsidRDefault="00E0132C">
      <w:pPr>
        <w:pStyle w:val="Point0number"/>
        <w:numPr>
          <w:ilvl w:val="0"/>
          <w:numId w:val="12"/>
        </w:numPr>
        <w:ind w:hanging="720"/>
        <w:rPr>
          <w:noProof/>
        </w:rPr>
      </w:pPr>
      <w:r>
        <w:rPr>
          <w:noProof/>
        </w:rPr>
        <w:t>Държавите членки изготвят всички данни, посочени в приложенията на настоящия регламент, от началото на календарната година, която след</w:t>
      </w:r>
      <w:r>
        <w:rPr>
          <w:noProof/>
        </w:rPr>
        <w:t>ва приемането на настоящия регламент, и предоставят статистически данни на Комисията (Евростат) в срок от три месеца след края на референтния период.</w:t>
      </w:r>
    </w:p>
    <w:p w:rsidR="006F461C" w:rsidRDefault="00E0132C">
      <w:pPr>
        <w:pStyle w:val="Point0number"/>
        <w:numPr>
          <w:ilvl w:val="0"/>
          <w:numId w:val="12"/>
        </w:numPr>
        <w:ind w:hanging="720"/>
        <w:rPr>
          <w:noProof/>
        </w:rPr>
      </w:pPr>
      <w:r>
        <w:rPr>
          <w:noProof/>
        </w:rPr>
        <w:t>Честотата на предаване е:</w:t>
      </w:r>
    </w:p>
    <w:p w:rsidR="006F461C" w:rsidRDefault="00E0132C">
      <w:pPr>
        <w:pStyle w:val="Point0"/>
        <w:ind w:firstLine="0"/>
        <w:rPr>
          <w:noProof/>
        </w:rPr>
      </w:pPr>
      <w:r>
        <w:rPr>
          <w:noProof/>
        </w:rPr>
        <w:t>а)</w:t>
      </w:r>
      <w:r>
        <w:rPr>
          <w:noProof/>
        </w:rPr>
        <w:tab/>
        <w:t xml:space="preserve">веднъж годишно (от януари до декември) за данните, посочени в точка 6, буква </w:t>
      </w:r>
      <w:r>
        <w:rPr>
          <w:noProof/>
        </w:rPr>
        <w:t>а) и точка 7 от приложение I и точка 5, буква а) и точка 6 от приложение II;</w:t>
      </w:r>
    </w:p>
    <w:p w:rsidR="006F461C" w:rsidRDefault="00E0132C">
      <w:pPr>
        <w:pStyle w:val="Point0"/>
        <w:ind w:firstLine="0"/>
        <w:rPr>
          <w:noProof/>
        </w:rPr>
      </w:pPr>
      <w:r>
        <w:rPr>
          <w:noProof/>
        </w:rPr>
        <w:t>б)</w:t>
      </w:r>
      <w:r>
        <w:rPr>
          <w:noProof/>
        </w:rPr>
        <w:tab/>
        <w:t>два пъти годишно (от януари до юни и от юли до декември) за данните, посочени в точка 6, буква б) от приложение I и точка 5, буква б) от приложение II.</w:t>
      </w:r>
    </w:p>
    <w:p w:rsidR="006F461C" w:rsidRDefault="00E0132C">
      <w:pPr>
        <w:jc w:val="center"/>
        <w:rPr>
          <w:noProof/>
        </w:rPr>
      </w:pPr>
      <w:r>
        <w:rPr>
          <w:i/>
          <w:noProof/>
        </w:rPr>
        <w:t>Член 7</w:t>
      </w:r>
    </w:p>
    <w:p w:rsidR="006F461C" w:rsidRDefault="00E0132C">
      <w:pPr>
        <w:jc w:val="center"/>
        <w:rPr>
          <w:b/>
          <w:noProof/>
        </w:rPr>
      </w:pPr>
      <w:r>
        <w:rPr>
          <w:b/>
          <w:noProof/>
        </w:rPr>
        <w:t>Оценка на качеств</w:t>
      </w:r>
      <w:r>
        <w:rPr>
          <w:b/>
          <w:noProof/>
        </w:rPr>
        <w:t>ото и доклади</w:t>
      </w:r>
    </w:p>
    <w:p w:rsidR="006F461C" w:rsidRDefault="00E0132C">
      <w:pPr>
        <w:pStyle w:val="Point0number"/>
        <w:numPr>
          <w:ilvl w:val="0"/>
          <w:numId w:val="13"/>
        </w:numPr>
        <w:ind w:hanging="720"/>
        <w:rPr>
          <w:noProof/>
        </w:rPr>
      </w:pPr>
      <w:r>
        <w:rPr>
          <w:noProof/>
        </w:rPr>
        <w:t>Държавите членки осигуряват качеството на данните в съответствие с критериите за качество, посочени в член 12, параграф 1 от Регламент (ЕО) № 223/2009.</w:t>
      </w:r>
    </w:p>
    <w:p w:rsidR="006F461C" w:rsidRDefault="00E0132C">
      <w:pPr>
        <w:pStyle w:val="Point0number"/>
        <w:numPr>
          <w:ilvl w:val="0"/>
          <w:numId w:val="13"/>
        </w:numPr>
        <w:ind w:hanging="720"/>
        <w:rPr>
          <w:noProof/>
        </w:rPr>
      </w:pPr>
      <w:r>
        <w:rPr>
          <w:noProof/>
        </w:rPr>
        <w:t>Държавите членки без забавяне информират Комисията (Евростат) за всякакви промени в методи</w:t>
      </w:r>
      <w:r>
        <w:rPr>
          <w:noProof/>
        </w:rPr>
        <w:t>ката или други промени, които могат да имат значително въздействие върху статистиката на цените на природния газ и електроенергията, и във всички случаи не по-късно от един месец след настъпването на промяната.</w:t>
      </w:r>
    </w:p>
    <w:p w:rsidR="006F461C" w:rsidRDefault="00E0132C">
      <w:pPr>
        <w:pStyle w:val="Point0number"/>
        <w:numPr>
          <w:ilvl w:val="0"/>
          <w:numId w:val="13"/>
        </w:numPr>
        <w:ind w:hanging="720"/>
        <w:rPr>
          <w:noProof/>
        </w:rPr>
      </w:pPr>
      <w:r>
        <w:rPr>
          <w:noProof/>
        </w:rPr>
        <w:t>Държавите членки представят на Комисията (Евр</w:t>
      </w:r>
      <w:r>
        <w:rPr>
          <w:noProof/>
        </w:rPr>
        <w:t>остат) на всеки три години доклад за качеството на данните, показващ как са изчислени тези данни. Докладът включва информация относно обхвата и събирането на данните, изчислителните критерии, използваната методика и източниците на данни, както и всички про</w:t>
      </w:r>
      <w:r>
        <w:rPr>
          <w:noProof/>
        </w:rPr>
        <w:t>мени по отношение на източниците или методиката.</w:t>
      </w:r>
    </w:p>
    <w:p w:rsidR="006F461C" w:rsidRDefault="00E0132C">
      <w:pPr>
        <w:pStyle w:val="Point0number"/>
        <w:numPr>
          <w:ilvl w:val="0"/>
          <w:numId w:val="13"/>
        </w:numPr>
        <w:ind w:hanging="720"/>
        <w:rPr>
          <w:noProof/>
        </w:rPr>
      </w:pPr>
      <w:r>
        <w:rPr>
          <w:noProof/>
        </w:rPr>
        <w:t>Комисията (Евростат) оценява качеството на предадените данни и на информацията, предоставена в докладите за качеството, и подготвя и разпространява обобщен доклад за оценка на качеството.</w:t>
      </w:r>
    </w:p>
    <w:p w:rsidR="006F461C" w:rsidRDefault="00E0132C">
      <w:pPr>
        <w:pStyle w:val="Point0number"/>
        <w:numPr>
          <w:ilvl w:val="0"/>
          <w:numId w:val="13"/>
        </w:numPr>
        <w:ind w:hanging="720"/>
        <w:rPr>
          <w:noProof/>
        </w:rPr>
      </w:pPr>
      <w:r>
        <w:rPr>
          <w:noProof/>
        </w:rPr>
        <w:t>Когато Комисията (Е</w:t>
      </w:r>
      <w:r>
        <w:rPr>
          <w:noProof/>
        </w:rPr>
        <w:t>вростат) установи статистически значими аномалии или несъответствия в предоставените данни, тя може да поиска от националните органи подходяща разбивка на данните, както и методите на изчисление или оценка, на които се основават предоставените данни, с цел</w:t>
      </w:r>
      <w:r>
        <w:rPr>
          <w:noProof/>
        </w:rPr>
        <w:t xml:space="preserve"> да направи оценка на данните и ако е необходимо, изисква допълването и повторното изпращане от съответната държава членка на всички данни или информация, за които счита че са неточни.</w:t>
      </w:r>
    </w:p>
    <w:p w:rsidR="006F461C" w:rsidRDefault="00E0132C">
      <w:pPr>
        <w:pStyle w:val="Point0number"/>
        <w:numPr>
          <w:ilvl w:val="0"/>
          <w:numId w:val="13"/>
        </w:numPr>
        <w:rPr>
          <w:noProof/>
        </w:rPr>
      </w:pPr>
      <w:r>
        <w:rPr>
          <w:noProof/>
        </w:rPr>
        <w:t xml:space="preserve">Комисията определя, посредством актове за изпълнение, изискванията към </w:t>
      </w:r>
      <w:r>
        <w:rPr>
          <w:noProof/>
        </w:rPr>
        <w:t>докладите за качеството и тяхната структура и съпоставимост, посочени в параграф 3. Тези актове за изпълнение се приемат в съответствие с процедурата по разглеждане, посочена в член 11, параграф 2.</w:t>
      </w:r>
    </w:p>
    <w:p w:rsidR="006F461C" w:rsidRDefault="00E0132C">
      <w:pPr>
        <w:pStyle w:val="Titrearticle"/>
        <w:rPr>
          <w:noProof/>
        </w:rPr>
      </w:pPr>
      <w:r>
        <w:rPr>
          <w:noProof/>
        </w:rPr>
        <w:t>Член 8</w:t>
      </w:r>
    </w:p>
    <w:p w:rsidR="006F461C" w:rsidRDefault="00E0132C">
      <w:pPr>
        <w:jc w:val="center"/>
        <w:rPr>
          <w:b/>
          <w:noProof/>
        </w:rPr>
      </w:pPr>
      <w:r>
        <w:rPr>
          <w:b/>
          <w:noProof/>
        </w:rPr>
        <w:t>Разпространение</w:t>
      </w:r>
    </w:p>
    <w:p w:rsidR="006F461C" w:rsidRDefault="00E0132C">
      <w:pPr>
        <w:rPr>
          <w:noProof/>
        </w:rPr>
      </w:pPr>
      <w:r>
        <w:rPr>
          <w:noProof/>
        </w:rPr>
        <w:t>Комисията (Евростат) разпространява</w:t>
      </w:r>
      <w:r>
        <w:rPr>
          <w:noProof/>
        </w:rPr>
        <w:t xml:space="preserve"> статистиката на цените на природния газ и електроенергията не по-късно от пет месеца след края на всеки референтен период.</w:t>
      </w:r>
    </w:p>
    <w:p w:rsidR="006F461C" w:rsidRDefault="00E0132C">
      <w:pPr>
        <w:pStyle w:val="Titrearticle"/>
        <w:rPr>
          <w:noProof/>
        </w:rPr>
      </w:pPr>
      <w:r>
        <w:rPr>
          <w:noProof/>
        </w:rPr>
        <w:t>Член 9</w:t>
      </w:r>
    </w:p>
    <w:p w:rsidR="006F461C" w:rsidRDefault="00E0132C">
      <w:pPr>
        <w:jc w:val="center"/>
        <w:rPr>
          <w:b/>
          <w:noProof/>
        </w:rPr>
      </w:pPr>
      <w:r>
        <w:rPr>
          <w:b/>
          <w:noProof/>
        </w:rPr>
        <w:t>Дерогации</w:t>
      </w:r>
    </w:p>
    <w:p w:rsidR="006F461C" w:rsidRDefault="00E0132C">
      <w:pPr>
        <w:pStyle w:val="Point0number"/>
        <w:numPr>
          <w:ilvl w:val="0"/>
          <w:numId w:val="14"/>
        </w:numPr>
        <w:ind w:hanging="720"/>
        <w:rPr>
          <w:noProof/>
        </w:rPr>
      </w:pPr>
      <w:r>
        <w:rPr>
          <w:noProof/>
        </w:rPr>
        <w:t>Дерогации могат да бъдат предоставени посредством акт за изпълнение във връзка с тези специфични задължения, за кои</w:t>
      </w:r>
      <w:r>
        <w:rPr>
          <w:noProof/>
        </w:rPr>
        <w:t>то прилагането на настоящия регламент по отношение на националната статистическа система на дадена държава членка изисква съществени адаптации и е вероятно да доведе до значителна допълнителна тежест за респондентите. Тези актове за изпълнение се приемат в</w:t>
      </w:r>
      <w:r>
        <w:rPr>
          <w:noProof/>
        </w:rPr>
        <w:t xml:space="preserve"> съответствие с процедурата по разглеждане, посочена в член 11, параграф 2, не по-късно от [xx-xx-xxx] г.</w:t>
      </w:r>
    </w:p>
    <w:p w:rsidR="006F461C" w:rsidRDefault="00E0132C">
      <w:pPr>
        <w:pStyle w:val="Point0number"/>
        <w:numPr>
          <w:ilvl w:val="0"/>
          <w:numId w:val="14"/>
        </w:numPr>
        <w:ind w:hanging="720"/>
        <w:rPr>
          <w:noProof/>
        </w:rPr>
      </w:pPr>
      <w:r>
        <w:rPr>
          <w:noProof/>
        </w:rPr>
        <w:t>За целите на параграф 1, съответната държава членка представя на Комисията надлежно обосновано искане не по-късно от девет месеца след влизането в сил</w:t>
      </w:r>
      <w:r>
        <w:rPr>
          <w:noProof/>
        </w:rPr>
        <w:t>а на настоящия регламент.</w:t>
      </w:r>
    </w:p>
    <w:p w:rsidR="006F461C" w:rsidRDefault="00E0132C">
      <w:pPr>
        <w:pStyle w:val="Point0number"/>
        <w:numPr>
          <w:ilvl w:val="0"/>
          <w:numId w:val="14"/>
        </w:numPr>
        <w:ind w:hanging="720"/>
        <w:rPr>
          <w:noProof/>
        </w:rPr>
      </w:pPr>
      <w:r>
        <w:rPr>
          <w:noProof/>
        </w:rPr>
        <w:t>Дерогациите остават в сила възможно най кратко и във всички случаи не превишават три години.</w:t>
      </w:r>
    </w:p>
    <w:p w:rsidR="006F461C" w:rsidRDefault="00E0132C">
      <w:pPr>
        <w:pStyle w:val="Point0number"/>
        <w:numPr>
          <w:ilvl w:val="0"/>
          <w:numId w:val="14"/>
        </w:numPr>
        <w:ind w:hanging="720"/>
        <w:rPr>
          <w:noProof/>
        </w:rPr>
      </w:pPr>
      <w:r>
        <w:rPr>
          <w:noProof/>
        </w:rPr>
        <w:t xml:space="preserve">Държава членка, на която е предоставена дерогация в съответствие с параграф 1, продължава да прилага съответните разпоредби на Директива </w:t>
      </w:r>
      <w:r>
        <w:rPr>
          <w:noProof/>
        </w:rPr>
        <w:t>2008/92/ЕО през периода на дерогацията.</w:t>
      </w:r>
    </w:p>
    <w:p w:rsidR="006F461C" w:rsidRDefault="00E0132C">
      <w:pPr>
        <w:pStyle w:val="Titrearticle"/>
        <w:rPr>
          <w:noProof/>
        </w:rPr>
      </w:pPr>
      <w:r>
        <w:rPr>
          <w:noProof/>
        </w:rPr>
        <w:t>Член 10</w:t>
      </w:r>
    </w:p>
    <w:p w:rsidR="006F461C" w:rsidRDefault="00E0132C">
      <w:pPr>
        <w:jc w:val="center"/>
        <w:rPr>
          <w:b/>
          <w:noProof/>
        </w:rPr>
      </w:pPr>
      <w:r>
        <w:rPr>
          <w:b/>
          <w:noProof/>
        </w:rPr>
        <w:t>Упражняване на делегирането</w:t>
      </w:r>
    </w:p>
    <w:p w:rsidR="006F461C" w:rsidRDefault="00E0132C">
      <w:pPr>
        <w:pStyle w:val="Point0number"/>
        <w:numPr>
          <w:ilvl w:val="0"/>
          <w:numId w:val="15"/>
        </w:numPr>
        <w:ind w:hanging="720"/>
        <w:rPr>
          <w:noProof/>
        </w:rPr>
      </w:pPr>
      <w:r>
        <w:rPr>
          <w:noProof/>
        </w:rPr>
        <w:t>Правомощието да приема делегирани актове се предоставя на Комисията при спазване на условията, предвидени в настоящия член.</w:t>
      </w:r>
    </w:p>
    <w:p w:rsidR="006F461C" w:rsidRDefault="00E0132C">
      <w:pPr>
        <w:pStyle w:val="Point0number"/>
        <w:numPr>
          <w:ilvl w:val="0"/>
          <w:numId w:val="15"/>
        </w:numPr>
        <w:ind w:hanging="720"/>
        <w:rPr>
          <w:noProof/>
        </w:rPr>
      </w:pPr>
      <w:r>
        <w:rPr>
          <w:noProof/>
        </w:rPr>
        <w:t xml:space="preserve">Делегирането на правомощия, посочено в член 4, параграф </w:t>
      </w:r>
      <w:r>
        <w:rPr>
          <w:noProof/>
        </w:rPr>
        <w:t>3, се предоставя за неопределен срок, считано от [xx-xx-xxx] г. нататък.</w:t>
      </w:r>
    </w:p>
    <w:p w:rsidR="006F461C" w:rsidRDefault="00E0132C">
      <w:pPr>
        <w:pStyle w:val="Point0number"/>
        <w:numPr>
          <w:ilvl w:val="0"/>
          <w:numId w:val="15"/>
        </w:numPr>
        <w:ind w:hanging="720"/>
        <w:rPr>
          <w:noProof/>
        </w:rPr>
      </w:pPr>
      <w:r>
        <w:rPr>
          <w:noProof/>
        </w:rPr>
        <w:t>Делегирането на правомощия, посочено в член 4, параграф 3, може да бъде оттеглено по всяко време от Европейския парламент или Съвета. Решение за оттегляне прекратява посоченото в него</w:t>
      </w:r>
      <w:r>
        <w:rPr>
          <w:noProof/>
        </w:rPr>
        <w:t xml:space="preserve"> делегиране на правомощия. То влиза в сила в деня след публикуването му в </w:t>
      </w:r>
      <w:r>
        <w:rPr>
          <w:i/>
          <w:noProof/>
        </w:rPr>
        <w:t>Официален вестник на Европейския съюз</w:t>
      </w:r>
      <w:r>
        <w:rPr>
          <w:noProof/>
        </w:rPr>
        <w:t xml:space="preserve"> или на по-късна дата, посочена в решението. То не засяга валидността на делегирани актове, които вече са в сила.</w:t>
      </w:r>
    </w:p>
    <w:p w:rsidR="006F461C" w:rsidRDefault="00E0132C">
      <w:pPr>
        <w:pStyle w:val="Point0number"/>
        <w:numPr>
          <w:ilvl w:val="0"/>
          <w:numId w:val="15"/>
        </w:numPr>
        <w:ind w:hanging="720"/>
        <w:rPr>
          <w:noProof/>
        </w:rPr>
      </w:pPr>
      <w:r>
        <w:rPr>
          <w:noProof/>
        </w:rPr>
        <w:t>Веднага след като приеме делеги</w:t>
      </w:r>
      <w:r>
        <w:rPr>
          <w:noProof/>
        </w:rPr>
        <w:t>ран акт, Комисията нотифицира акта едновременно на Европейския парламент и на Съвета.</w:t>
      </w:r>
    </w:p>
    <w:p w:rsidR="006F461C" w:rsidRDefault="00E0132C">
      <w:pPr>
        <w:pStyle w:val="Point0number"/>
        <w:numPr>
          <w:ilvl w:val="0"/>
          <w:numId w:val="15"/>
        </w:numPr>
        <w:ind w:hanging="720"/>
        <w:rPr>
          <w:noProof/>
        </w:rPr>
      </w:pPr>
      <w:r>
        <w:rPr>
          <w:noProof/>
        </w:rPr>
        <w:t>Делегиран акт по силата на член 4, параграф 3 влиза в сила единствено ако нито Европейският парламент, нито Съветът са повдигнали възражения в срок от два месеца след нот</w:t>
      </w:r>
      <w:r>
        <w:rPr>
          <w:noProof/>
        </w:rPr>
        <w:t>ифицирането на акта на Европейския парламент и на Съвета или ако преди изтичането на този срок както Европейският парламент, така и Съветът са уведомили Комисията, че няма да повдигат възражения. Този срок се удължава с два месеца по инициатива на Европейс</w:t>
      </w:r>
      <w:r>
        <w:rPr>
          <w:noProof/>
        </w:rPr>
        <w:t>кия парламент или на Съвета.</w:t>
      </w:r>
    </w:p>
    <w:p w:rsidR="006F461C" w:rsidRDefault="00E0132C">
      <w:pPr>
        <w:pStyle w:val="Titrearticle"/>
        <w:rPr>
          <w:noProof/>
        </w:rPr>
      </w:pPr>
      <w:r>
        <w:rPr>
          <w:noProof/>
        </w:rPr>
        <w:t>Член 11</w:t>
      </w:r>
    </w:p>
    <w:p w:rsidR="006F461C" w:rsidRDefault="00E0132C">
      <w:pPr>
        <w:jc w:val="center"/>
        <w:rPr>
          <w:b/>
          <w:noProof/>
        </w:rPr>
      </w:pPr>
      <w:r>
        <w:rPr>
          <w:b/>
          <w:noProof/>
        </w:rPr>
        <w:t>Процедура на комитет</w:t>
      </w:r>
    </w:p>
    <w:p w:rsidR="006F461C" w:rsidRDefault="00E0132C">
      <w:pPr>
        <w:pStyle w:val="Point0number"/>
        <w:numPr>
          <w:ilvl w:val="0"/>
          <w:numId w:val="16"/>
        </w:numPr>
        <w:ind w:hanging="720"/>
        <w:rPr>
          <w:noProof/>
        </w:rPr>
      </w:pPr>
      <w:r>
        <w:rPr>
          <w:noProof/>
        </w:rPr>
        <w:t>Комисията се подпомага от Комитета на Европейската статистическа система, създаден с Регламент (ЕО) № 223/2009. Този комитет е комитет по смисъла на Регламент (ЕС) № 182/2011</w:t>
      </w:r>
      <w:r>
        <w:rPr>
          <w:rStyle w:val="FootnoteReference"/>
          <w:noProof/>
        </w:rPr>
        <w:footnoteReference w:id="7"/>
      </w:r>
      <w:r>
        <w:rPr>
          <w:noProof/>
        </w:rPr>
        <w:t>.</w:t>
      </w:r>
    </w:p>
    <w:p w:rsidR="006F461C" w:rsidRDefault="00E0132C">
      <w:pPr>
        <w:pStyle w:val="Point0number"/>
        <w:numPr>
          <w:ilvl w:val="0"/>
          <w:numId w:val="16"/>
        </w:numPr>
        <w:ind w:hanging="720"/>
        <w:rPr>
          <w:noProof/>
        </w:rPr>
      </w:pPr>
      <w:r>
        <w:rPr>
          <w:noProof/>
        </w:rPr>
        <w:t>При позоваване на нас</w:t>
      </w:r>
      <w:r>
        <w:rPr>
          <w:noProof/>
        </w:rPr>
        <w:t>тоящия параграф се прилага член 5 от Регламент (ЕС) № 182/2011.</w:t>
      </w:r>
    </w:p>
    <w:p w:rsidR="006F461C" w:rsidRDefault="00E0132C">
      <w:pPr>
        <w:pStyle w:val="Titrearticle"/>
        <w:rPr>
          <w:noProof/>
        </w:rPr>
      </w:pPr>
      <w:r>
        <w:rPr>
          <w:noProof/>
        </w:rPr>
        <w:t>Член 12</w:t>
      </w:r>
    </w:p>
    <w:p w:rsidR="006F461C" w:rsidRDefault="00E0132C">
      <w:pPr>
        <w:jc w:val="center"/>
        <w:rPr>
          <w:b/>
          <w:noProof/>
        </w:rPr>
      </w:pPr>
      <w:r>
        <w:rPr>
          <w:b/>
          <w:noProof/>
        </w:rPr>
        <w:t>Отмяна на Директива 2008/92/ЕО</w:t>
      </w:r>
    </w:p>
    <w:p w:rsidR="006F461C" w:rsidRDefault="00E0132C">
      <w:pPr>
        <w:pStyle w:val="Point0number"/>
        <w:numPr>
          <w:ilvl w:val="0"/>
          <w:numId w:val="17"/>
        </w:numPr>
        <w:tabs>
          <w:tab w:val="clear" w:pos="850"/>
          <w:tab w:val="num" w:pos="709"/>
        </w:tabs>
        <w:rPr>
          <w:noProof/>
        </w:rPr>
      </w:pPr>
      <w:r>
        <w:rPr>
          <w:noProof/>
        </w:rPr>
        <w:t>Директива 2008/92/ЕО се отменя.</w:t>
      </w:r>
    </w:p>
    <w:p w:rsidR="006F461C" w:rsidRDefault="00E0132C">
      <w:pPr>
        <w:pStyle w:val="Point0number"/>
        <w:numPr>
          <w:ilvl w:val="0"/>
          <w:numId w:val="17"/>
        </w:numPr>
        <w:tabs>
          <w:tab w:val="clear" w:pos="850"/>
          <w:tab w:val="num" w:pos="709"/>
        </w:tabs>
        <w:ind w:left="709" w:hanging="709"/>
        <w:rPr>
          <w:noProof/>
        </w:rPr>
      </w:pPr>
      <w:r>
        <w:rPr>
          <w:noProof/>
        </w:rPr>
        <w:t>Позоваването на отменената директива се разбира като позоваване на настоящия регламент.</w:t>
      </w:r>
    </w:p>
    <w:p w:rsidR="006F461C" w:rsidRDefault="00E0132C">
      <w:pPr>
        <w:pStyle w:val="Titrearticle"/>
        <w:rPr>
          <w:noProof/>
        </w:rPr>
      </w:pPr>
      <w:r>
        <w:rPr>
          <w:noProof/>
        </w:rPr>
        <w:t>Член 13</w:t>
      </w:r>
    </w:p>
    <w:p w:rsidR="006F461C" w:rsidRDefault="00E0132C">
      <w:pPr>
        <w:jc w:val="center"/>
        <w:rPr>
          <w:b/>
          <w:noProof/>
        </w:rPr>
      </w:pPr>
      <w:r>
        <w:rPr>
          <w:b/>
          <w:noProof/>
        </w:rPr>
        <w:t>Влизане в сила</w:t>
      </w:r>
    </w:p>
    <w:p w:rsidR="006F461C" w:rsidRDefault="00E0132C">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p>
    <w:p w:rsidR="006F461C" w:rsidRDefault="00E0132C">
      <w:pPr>
        <w:pStyle w:val="Applicationdirecte"/>
        <w:keepNext/>
        <w:keepLines/>
        <w:rPr>
          <w:noProof/>
        </w:rPr>
      </w:pPr>
      <w:r>
        <w:rPr>
          <w:noProof/>
        </w:rPr>
        <w:t>Настоящият регламент е задължителен в своята цялост и се прилага пряко във всички държави членки.</w:t>
      </w:r>
    </w:p>
    <w:p w:rsidR="006F461C" w:rsidRDefault="00E0132C">
      <w:pPr>
        <w:pStyle w:val="Fait"/>
        <w:rPr>
          <w:noProof/>
        </w:rPr>
      </w:pPr>
      <w:r>
        <w:rPr>
          <w:noProof/>
        </w:rPr>
        <w:t>Съставено в Брюксел на  година.</w:t>
      </w:r>
    </w:p>
    <w:p w:rsidR="006F461C" w:rsidRDefault="00E0132C">
      <w:pPr>
        <w:pStyle w:val="Institutionquisigne"/>
        <w:rPr>
          <w:noProof/>
        </w:rPr>
      </w:pPr>
      <w:r>
        <w:rPr>
          <w:noProof/>
        </w:rPr>
        <w:t xml:space="preserve">За </w:t>
      </w:r>
      <w:r>
        <w:rPr>
          <w:noProof/>
        </w:rPr>
        <w:t>Европейския парламент</w:t>
      </w:r>
      <w:r>
        <w:rPr>
          <w:noProof/>
        </w:rPr>
        <w:tab/>
        <w:t>За Съвета</w:t>
      </w:r>
    </w:p>
    <w:p w:rsidR="006F461C" w:rsidRDefault="00E0132C">
      <w:pPr>
        <w:pStyle w:val="Personnequisigne"/>
        <w:rPr>
          <w:noProof/>
        </w:rPr>
      </w:pPr>
      <w:r>
        <w:rPr>
          <w:noProof/>
        </w:rPr>
        <w:t>Председател</w:t>
      </w:r>
      <w:r>
        <w:rPr>
          <w:noProof/>
        </w:rPr>
        <w:tab/>
        <w:t>Председател</w:t>
      </w:r>
    </w:p>
    <w:sectPr w:rsidR="006F461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1C" w:rsidRDefault="00E0132C">
      <w:pPr>
        <w:spacing w:before="0" w:after="0"/>
      </w:pPr>
      <w:r>
        <w:separator/>
      </w:r>
    </w:p>
  </w:endnote>
  <w:endnote w:type="continuationSeparator" w:id="0">
    <w:p w:rsidR="006F461C" w:rsidRDefault="00E013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1C" w:rsidRDefault="00E0132C">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1C" w:rsidRDefault="00E0132C">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w:instrText>
    </w:r>
    <w:r>
      <w:instrText xml:space="preserv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1C" w:rsidRDefault="006F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1C" w:rsidRDefault="00E0132C">
      <w:pPr>
        <w:spacing w:before="0" w:after="0"/>
      </w:pPr>
      <w:r>
        <w:separator/>
      </w:r>
    </w:p>
  </w:footnote>
  <w:footnote w:type="continuationSeparator" w:id="0">
    <w:p w:rsidR="006F461C" w:rsidRDefault="00E0132C">
      <w:pPr>
        <w:spacing w:before="0" w:after="0"/>
      </w:pPr>
      <w:r>
        <w:continuationSeparator/>
      </w:r>
    </w:p>
  </w:footnote>
  <w:footnote w:id="1">
    <w:p w:rsidR="006F461C" w:rsidRDefault="00E0132C">
      <w:pPr>
        <w:pStyle w:val="FootnoteText"/>
      </w:pPr>
      <w:r>
        <w:rPr>
          <w:rStyle w:val="FootnoteReference"/>
        </w:rPr>
        <w:footnoteRef/>
      </w:r>
      <w:r>
        <w:tab/>
        <w:t>Становище на Европейския парламент от ... г. (все още непубликувано в Официален вестник) и Решение на Съвета от ... г.</w:t>
      </w:r>
    </w:p>
  </w:footnote>
  <w:footnote w:id="2">
    <w:p w:rsidR="006F461C" w:rsidRDefault="00E0132C">
      <w:pPr>
        <w:pStyle w:val="FootnoteText"/>
      </w:pPr>
      <w:r>
        <w:rPr>
          <w:rStyle w:val="FootnoteReference"/>
        </w:rPr>
        <w:footnoteRef/>
      </w:r>
      <w:r>
        <w:tab/>
        <w:t xml:space="preserve">Директива 2008/92/ЕО на Европейския парламент и на Съвета от 22 октомври </w:t>
      </w:r>
      <w:r>
        <w:t>2008 г. относно процедура на Общността за подобряване на прозрачността на цените на газ и електроенергия за промишлени крайни потребители (ОВ L 298, 7.11.2008 г., стр. 9).</w:t>
      </w:r>
    </w:p>
  </w:footnote>
  <w:footnote w:id="3">
    <w:p w:rsidR="006F461C" w:rsidRDefault="00E0132C">
      <w:pPr>
        <w:pStyle w:val="FootnoteText"/>
      </w:pPr>
      <w:r>
        <w:rPr>
          <w:rStyle w:val="FootnoteReference"/>
        </w:rPr>
        <w:footnoteRef/>
      </w:r>
      <w:r>
        <w:tab/>
        <w:t xml:space="preserve">Регламент (ЕО) № 223/2009 на Европейския парламент и на Съвета от 11 март 2009 г. </w:t>
      </w:r>
      <w:r>
        <w:t>относно европейската статистика и за отмяна на Регламент (ЕО, Евратом) № 1101/2008 за предоставянето на поверителна статистическа информация на Статистическата служба на Европейските общности, на Регламент (ЕО) № 322/97 на Съвета относно статистиката на Об</w:t>
      </w:r>
      <w:r>
        <w:t>щността и на Решение 89/382/ЕИО, Евратом на Съвета за създаване на Статистически програмен комитет на Европейските общност (ОВ L 87, 31.3.2009 г., стр. 164).</w:t>
      </w:r>
    </w:p>
  </w:footnote>
  <w:footnote w:id="4">
    <w:p w:rsidR="006F461C" w:rsidRDefault="00E0132C">
      <w:pPr>
        <w:pStyle w:val="FootnoteText"/>
      </w:pPr>
      <w:r>
        <w:rPr>
          <w:rStyle w:val="FootnoteReference"/>
        </w:rPr>
        <w:footnoteRef/>
      </w:r>
      <w:r>
        <w:tab/>
        <w:t>Регламент (ЕО) № 1099/2008 на Европейския парламент и на Съвета от 22 октомври 2008 г. относно с</w:t>
      </w:r>
      <w:r>
        <w:t>татистиката за енергийния сектор (ОВ L 304, 14.11.2008 г., стр. 6—11).</w:t>
      </w:r>
    </w:p>
  </w:footnote>
  <w:footnote w:id="5">
    <w:p w:rsidR="006F461C" w:rsidRDefault="00E0132C">
      <w:pPr>
        <w:pStyle w:val="FootnoteText"/>
      </w:pPr>
      <w:r>
        <w:rPr>
          <w:rStyle w:val="FootnoteReference"/>
        </w:rPr>
        <w:footnoteRef/>
      </w:r>
      <w:r>
        <w:tab/>
        <w:t xml:space="preserve">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(ОВ L 211, </w:t>
      </w:r>
      <w:r>
        <w:t>14.8.2009 г., стр. 55).</w:t>
      </w:r>
    </w:p>
  </w:footnote>
  <w:footnote w:id="6">
    <w:p w:rsidR="006F461C" w:rsidRDefault="00E0132C">
      <w:pPr>
        <w:pStyle w:val="FootnoteText"/>
      </w:pPr>
      <w:r>
        <w:rPr>
          <w:rStyle w:val="FootnoteReference"/>
        </w:rPr>
        <w:footnoteRef/>
      </w:r>
      <w:r>
        <w:tab/>
        <w:t>Директива 2009/73/ЕО на Европейския парламент и на Съвета от 13 юли 2009 г. относно общите правила за вътрешния пазар на природен газ и за отмяна на Директива 2003/55/ЕО (ОВ L 211, 14.8.2009 г., стр. 94).</w:t>
      </w:r>
    </w:p>
  </w:footnote>
  <w:footnote w:id="7">
    <w:p w:rsidR="006F461C" w:rsidRDefault="00E0132C">
      <w:pPr>
        <w:pStyle w:val="FootnoteText"/>
        <w:rPr>
          <w:rStyle w:val="FootnoteReference"/>
          <w:vertAlign w:val="baseline"/>
        </w:rPr>
      </w:pPr>
      <w:r>
        <w:rPr>
          <w:rStyle w:val="FootnoteReference"/>
        </w:rPr>
        <w:footnoteRef/>
      </w:r>
      <w:r>
        <w:tab/>
      </w:r>
      <w:r>
        <w:rPr>
          <w:rStyle w:val="FootnoteReference"/>
          <w:vertAlign w:val="baseline"/>
        </w:rPr>
        <w:t>Регламент (ЕС) № 182/20</w:t>
      </w:r>
      <w:r>
        <w:rPr>
          <w:rStyle w:val="FootnoteReference"/>
          <w:vertAlign w:val="baseline"/>
        </w:rPr>
        <w:t xml:space="preserve">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w:t>
      </w:r>
      <w:r>
        <w:rPr>
          <w:rStyle w:val="FootnoteReference"/>
          <w:vertAlign w:val="baseline"/>
        </w:rPr>
        <w:t>28.2.2011 г., стр. 13—18).</w:t>
      </w:r>
    </w:p>
    <w:p w:rsidR="006F461C" w:rsidRDefault="006F461C">
      <w:pPr>
        <w:pStyle w:val="Footn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362B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8AA7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27A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7086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F2D2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682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780542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name w:val="0,8283764"/>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7"/>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10 10:53: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7F8713B6F1464B628074A915C7143127"/>
    <w:docVar w:name="LW_CROSSREFERENCE" w:val="&lt;UNUSED&gt;"/>
    <w:docVar w:name="LW_DocType" w:val="COM"/>
    <w:docVar w:name="LW_EMISSION" w:val="18.11.2015"/>
    <w:docVar w:name="LW_EMISSION_ISODATE" w:val="2015-11-18"/>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39"/>
    <w:docVar w:name="LW_REF.II.NEW.CP_YEAR" w:val="2015"/>
    <w:docVar w:name="LW_REF.INST.NEW" w:val="COM"/>
    <w:docVar w:name="LW_REF.INST.NEW_ADOPTED" w:val="final"/>
    <w:docVar w:name="LW_REF.INST.NEW_TEXT" w:val="(2015) 496"/>
    <w:docVar w:name="LW_REF.INTERNE" w:val="&lt;UNUSED&gt;"/>
    <w:docVar w:name="LW_SOUS.TITRE.OBJ.CP" w:val="&lt;UNUSED&gt;"/>
    <w:docVar w:name="LW_STATUT.CP" w:val="\u1055?\u1088?\u1077?\u1076?\u1083?\u1086?\u1078?\u1077?\u1085?\u1080?\u1077? \u1079?\u1072?"/>
    <w:docVar w:name="LW_SUPERTITRE" w:val="&lt;UNUSED&gt;"/>
    <w:docVar w:name="LW_TITRE.OBJ.CP" w:val="\u1086?\u1090?\u1085?\u1086?\u1089?\u1085?\u1086? \u1077?\u1074?\u1088?\u1086?\u1087?\u1077?\u1081?\u1089?\u1082?\u1072?\u1090?\u1072? \u1089?\u1090?\u1072?\u1090?\u1080?\u1089?\u1090?\u1080?\u1082?\u1072? \u1085?\u1072? \u1094?\u1077?\u1085?\u1080?\u1090?\u1077? \u1085?\u1072? \u1087?\u1088?\u1080?\u1088?\u1086?\u1076?\u1085?\u1080?\u1103? \u1075?\u1072?\u1079? \u1080? \u1077?\u1083?\u1077?\u1082?\u1090?\u1088?\u1086?\u1077?\u1085?\u1077?\u1088?\u1075?\u1080?\u1103?\u1090?\u1072? \u1080? \u1079?\u1072? \u1086?\u1090?\u1084?\u1103?\u1085?\u1072? \u1085?\u1072? \u1044?\u1080?\u1088?\u1077?\u1082?\u1090?\u1080?\u1074?\u1072? 2008/92/\u1045?\u1054? \u1085?\u1072? \u1045?\u1074?\u1088?\u1086?\u1087?\u1077?\u1081?\u1089?\u1082?\u1080?\u1103? \u1087?\u1072?\u1088?\u1083?\u1072?\u1084?\u1077?\u1085?\u1090? \u1080? \u1085?\u1072? \u1057?\u1098?\u1074?\u1077?\u1090?\u1072? \u1086?\u1090?\u1085?\u1086?\u1089?\u1085?\u1086? \u1087?\u1088?\u1086?\u1094?\u1077?\u1076?\u1091?\u1088?\u1072? \u1085?\u1072? \u1054?\u1073?\u1097?\u1085?\u1086?\u1089?\u1090?\u1090?\u1072? \u1079?\u1072? \u1087?\u1086?\u1076?\u1086?\u1073?\u1088?\u1103?\u1074?\u1072?\u1085?\u1077? \u1085?\u1072? \u1087?\u1088?\u1086?\u1079?\u1088?\u1072?\u1095?\u1085?\u1086?\u1089?\u1090?\u1090?\u1072? \u1085?\u1072? \u1094?\u1077?\u1085?\u1080?\u1090?\u1077? \u1085?\u1072? \u1075?\u1072?\u1079? \u1080? \u1077?\u1083?\u1077?\u1082?\u1090?\u1088?\u1086?\u1077?\u1085?\u1077?\u1088?\u1075?\u1080?\u1103? \u1079?\u1072? \u1087?\u1088?\u1086?\u1084?\u1080?\u1096?\u1083?\u1077?\u1085?\u1080? \u1082?\u1088?\u1072?\u1081?\u1085?\u1080? \u1087?\u1086?\u1090?\u1088?\u1077?\u1073?\u1080?\u1090?\u1077?\u1083?\u1080?"/>
    <w:docVar w:name="LW_TYPE.DOC.CP" w:val="\u1056?\u1045?\u1043?\u1051?\u1040?\u1052?\u1045?\u1053?\u1058? \u1053?\u1040? \u1045?\u1042?\u1056?\u1054?\u1055?\u1045?\u1049?\u1057?\u1050?\u1048?\u1071? \u1055?\u1040?\u1056?\u1051?\u1040?\u1052?\u1045?\u1053?\u1058? \u1048? \u1053?\u1040? \u1057?\u1066?\u1042?\u1045?\u1058?\u1040?"/>
    <w:docVar w:name="Stamp" w:val="\\dossiers.dgt.cec.eu.int\dossiers\ESTAT\ESTAT-2015-10287\ESTAT-2015-10287-00-00-EN-REV-00.DOC"/>
  </w:docVars>
  <w:rsids>
    <w:rsidRoot w:val="006F461C"/>
    <w:rsid w:val="006F461C"/>
    <w:rsid w:val="00E0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ListNumber">
    <w:name w:val="List Number"/>
    <w:basedOn w:val="Normal"/>
    <w:uiPriority w:val="99"/>
    <w:unhideWhenUsed/>
    <w:pPr>
      <w:numPr>
        <w:numId w:val="5"/>
      </w:numPr>
      <w:spacing w:before="0" w:after="240"/>
    </w:pPr>
    <w:rPr>
      <w:rFonts w:eastAsia="Times New Roman"/>
      <w:szCs w:val="20"/>
    </w:rPr>
  </w:style>
  <w:style w:type="paragraph" w:customStyle="1" w:styleId="ListNumberLevel2">
    <w:name w:val="List Number (Level 2)"/>
    <w:basedOn w:val="Normal"/>
    <w:uiPriority w:val="99"/>
    <w:pPr>
      <w:numPr>
        <w:ilvl w:val="1"/>
        <w:numId w:val="5"/>
      </w:numPr>
      <w:spacing w:before="0" w:after="240"/>
    </w:pPr>
    <w:rPr>
      <w:rFonts w:eastAsia="Times New Roman"/>
      <w:szCs w:val="20"/>
    </w:rPr>
  </w:style>
  <w:style w:type="paragraph" w:customStyle="1" w:styleId="ListNumberLevel3">
    <w:name w:val="List Number (Level 3)"/>
    <w:basedOn w:val="Normal"/>
    <w:uiPriority w:val="99"/>
    <w:pPr>
      <w:numPr>
        <w:ilvl w:val="2"/>
        <w:numId w:val="5"/>
      </w:numPr>
      <w:spacing w:before="0" w:after="240"/>
    </w:pPr>
    <w:rPr>
      <w:rFonts w:eastAsia="Times New Roman"/>
      <w:szCs w:val="20"/>
    </w:rPr>
  </w:style>
  <w:style w:type="paragraph" w:customStyle="1" w:styleId="ListNumberLevel4">
    <w:name w:val="List Number (Level 4)"/>
    <w:basedOn w:val="Normal"/>
    <w:uiPriority w:val="99"/>
    <w:pPr>
      <w:numPr>
        <w:ilvl w:val="3"/>
        <w:numId w:val="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bg-BG"/>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bg-BG"/>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Footno">
    <w:name w:val="Footno"/>
    <w:basedOn w:val="Personnequisigne"/>
    <w:pPr>
      <w:ind w:left="720" w:hanging="720"/>
    </w:pPr>
    <w:rPr>
      <w:i w:val="0"/>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E7AC-FE9C-4642-8E4D-4BC6399B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19</cp:revision>
  <cp:lastPrinted>2015-08-07T08:09:00Z</cp:lastPrinted>
  <dcterms:created xsi:type="dcterms:W3CDTF">2015-09-24T10:43:00Z</dcterms:created>
  <dcterms:modified xsi:type="dcterms:W3CDTF">2015-11-10T09:56:00Z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