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05" w:rsidRDefault="00AA79E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D19A048A5A74AA7A95380C0C621FAEA" style="width:450.75pt;height:422.25pt">
            <v:imagedata r:id="rId9" o:title=""/>
          </v:shape>
        </w:pict>
      </w:r>
    </w:p>
    <w:p w:rsidR="00835405" w:rsidRDefault="00835405">
      <w:pPr>
        <w:rPr>
          <w:noProof/>
        </w:rPr>
        <w:sectPr w:rsidR="00835405">
          <w:footerReference w:type="default" r:id="rId10"/>
          <w:pgSz w:w="11907" w:h="16839"/>
          <w:pgMar w:top="1134" w:right="1417" w:bottom="1134" w:left="1417" w:header="709" w:footer="709" w:gutter="0"/>
          <w:pgNumType w:start="1"/>
          <w:cols w:space="720"/>
          <w:docGrid w:linePitch="360"/>
        </w:sectPr>
      </w:pPr>
    </w:p>
    <w:p w:rsidR="00835405" w:rsidRDefault="00AA79E6">
      <w:pPr>
        <w:pStyle w:val="Exposdesmotifstitre"/>
        <w:rPr>
          <w:noProof/>
        </w:rPr>
      </w:pPr>
      <w:r>
        <w:rPr>
          <w:noProof/>
        </w:rPr>
        <w:lastRenderedPageBreak/>
        <w:t>PERUSTELUT</w:t>
      </w:r>
    </w:p>
    <w:p w:rsidR="00835405" w:rsidRDefault="00AA79E6">
      <w:pPr>
        <w:pStyle w:val="ManualHeading1"/>
        <w:rPr>
          <w:noProof/>
        </w:rPr>
      </w:pPr>
      <w:r>
        <w:rPr>
          <w:noProof/>
        </w:rPr>
        <w:t>1.</w:t>
      </w:r>
      <w:r>
        <w:rPr>
          <w:noProof/>
        </w:rPr>
        <w:tab/>
        <w:t>EHDOTUKSEN TAUSTA</w:t>
      </w:r>
    </w:p>
    <w:p w:rsidR="00835405" w:rsidRDefault="00AA79E6">
      <w:pPr>
        <w:pStyle w:val="ManualHeading2"/>
        <w:rPr>
          <w:rFonts w:eastAsia="Arial Unicode MS"/>
          <w:noProof/>
        </w:rPr>
      </w:pPr>
      <w:r>
        <w:rPr>
          <w:noProof/>
        </w:rPr>
        <w:t>•</w:t>
      </w:r>
      <w:r>
        <w:rPr>
          <w:noProof/>
        </w:rPr>
        <w:tab/>
        <w:t>Ehdotuksen perustelut ja tavoitteet</w:t>
      </w:r>
    </w:p>
    <w:p w:rsidR="00835405" w:rsidRDefault="00AA79E6">
      <w:pPr>
        <w:rPr>
          <w:noProof/>
        </w:rPr>
      </w:pPr>
      <w:r>
        <w:rPr>
          <w:noProof/>
        </w:rPr>
        <w:t xml:space="preserve">Komissio (Eurostat) kerää tietoja </w:t>
      </w:r>
      <w:r>
        <w:rPr>
          <w:noProof/>
        </w:rPr>
        <w:t>teollisuuskäyttäjiltä (muilta loppukäyttäjiltä kuin kotitalouskäyttäjiltä) veloitetuista maakaasun ja sähkön hinnoista. Teollisuuskäyttäjien hintoja on säännelty lainsäädännöllä vuodesta 1990, ja nykyisin niitä säännellään direktiivillä 2008/92/EY, jolla o</w:t>
      </w:r>
      <w:r>
        <w:rPr>
          <w:noProof/>
        </w:rPr>
        <w:t>n kumottu direktiivi 90/377/ETY. Kotitalousasiakkaiden osalta kansalliset viranomaiset keräävät tietoja vapaaehtoisuuden pohjalta. Kansalliset viranomaiset ovat ilmoittaneet komissiolle, että taloudellisiin ja henkilöresursseihin liittyvien rajoitteiden vu</w:t>
      </w:r>
      <w:r>
        <w:rPr>
          <w:noProof/>
        </w:rPr>
        <w:t>oksi useat tiedontuottajat (maakaasu- ja sähköyhtiöt) miettivät parhaillaan, jatkaako kyseisten tietojen keräämistä.</w:t>
      </w:r>
    </w:p>
    <w:p w:rsidR="00835405" w:rsidRDefault="00AA79E6">
      <w:pPr>
        <w:rPr>
          <w:noProof/>
          <w:snapToGrid w:val="0"/>
        </w:rPr>
      </w:pPr>
      <w:r>
        <w:rPr>
          <w:noProof/>
        </w:rPr>
        <w:t>Energiaa ja verotusta käsittelevän Eurooppa-neuvoston kokoontuessa 22. toukokuuta 2013 valtion ja hallitusten päämiehet totesivat, että EU:</w:t>
      </w:r>
      <w:r>
        <w:rPr>
          <w:noProof/>
        </w:rPr>
        <w:t>n energiapolitiikan tavoitteena olisi oltava kohtuuhintaisen ja kilpailukykyisesti hinnoitellun energian toimittaminen kotitalouksille ja yrityksille turvallisella ja kestävällä tavalla. Sen vuoksi komissiota pyydettiin laatimaan analyysi energian hintojen</w:t>
      </w:r>
      <w:r>
        <w:rPr>
          <w:noProof/>
        </w:rPr>
        <w:t xml:space="preserve"> ja kustannusten koostumuksesta ja niihin vaikuttavista tekijöistä jäsenvaltioissa. Tarkoitus oli, että analyysissä painotetaan vaikutuksia, joita energian hinnoilla on kotitalouksiin, pieniin ja keskisuuriin yrityksiin ja energiavaltaiseen teollisuuteen, </w:t>
      </w:r>
      <w:r>
        <w:rPr>
          <w:noProof/>
        </w:rPr>
        <w:t>sekä tarkastellaan laajemmin EU:n kilpailukykyä verrattuna globaalin talouden vastapuoliin.</w:t>
      </w:r>
    </w:p>
    <w:p w:rsidR="00835405" w:rsidRDefault="00AA79E6">
      <w:pPr>
        <w:rPr>
          <w:noProof/>
          <w:snapToGrid w:val="0"/>
        </w:rPr>
      </w:pPr>
      <w:r>
        <w:rPr>
          <w:noProof/>
        </w:rPr>
        <w:t>Todettuaan, että analyysiä varten tarvittiin lisää yksityiskohtaisia hinnoittelutietoja, komissio keräsi tarpeelliset tiedot kaikilta EU:n 28 jäsenvaltiolta vapaaeh</w:t>
      </w:r>
      <w:r>
        <w:rPr>
          <w:noProof/>
        </w:rPr>
        <w:t>toisuuteen perustuvan järjestelyn avulla. Maakaasun ja sähkön hintakomponenttien yksityiskohtaisen analyysin sisältävä raportti esitettiin neuvostolle tammikuussa 2014.</w:t>
      </w:r>
    </w:p>
    <w:p w:rsidR="00835405" w:rsidRDefault="00AA79E6">
      <w:pPr>
        <w:rPr>
          <w:noProof/>
          <w:snapToGrid w:val="0"/>
        </w:rPr>
      </w:pPr>
      <w:r>
        <w:rPr>
          <w:noProof/>
        </w:rPr>
        <w:t>Vuoden 2014 aikana poliittiset päättäjät pyysivät useaan otteeseen yksityiskohtaisempia</w:t>
      </w:r>
      <w:r>
        <w:rPr>
          <w:noProof/>
        </w:rPr>
        <w:t xml:space="preserve"> virallisia tilastoja maakaasun ja sähkön hinnoista. Liikenne-, televiestintä- ja energianeuvosto myönsi kokouksessaan 13. kesäkuuta 2014, että korkeat ja nousevat energian hinnat ja kustannukset vaikuttavat kielteisellä tavalla Euroopan kilpailukykyyn maa</w:t>
      </w:r>
      <w:r>
        <w:rPr>
          <w:noProof/>
        </w:rPr>
        <w:t>ilmanlaajuisesti ja yksittäisten asiakkaiden elintasoon. Tästä syystä liikenne-, televiestintä- ja energianeuvosto edellytti komissiolta seuranta-arviointia energian hinnoista ja kustannuksista sekä kuluttajista vuoteen 2016 mennessä.</w:t>
      </w:r>
    </w:p>
    <w:p w:rsidR="00835405" w:rsidRDefault="00AA79E6">
      <w:pPr>
        <w:rPr>
          <w:noProof/>
          <w:snapToGrid w:val="0"/>
        </w:rPr>
      </w:pPr>
      <w:r>
        <w:rPr>
          <w:noProof/>
        </w:rPr>
        <w:t>Euroopan komissio hyv</w:t>
      </w:r>
      <w:r>
        <w:rPr>
          <w:noProof/>
        </w:rPr>
        <w:t>äksyi 25. helmikuuta 2015 energiaunionipaketin. Yhdeksi energian sisämarkkinoita käsittelevään energiaunionipaketin lukuun liittyväksi toimeksi määritellään energian hintoja ja kustannuksia koskeva analyysi, joka tehdään vuonna 2016 ja sen jälkeen joka toi</w:t>
      </w:r>
      <w:r>
        <w:rPr>
          <w:noProof/>
        </w:rPr>
        <w:t>nen vuosi.</w:t>
      </w:r>
    </w:p>
    <w:p w:rsidR="00835405" w:rsidRDefault="00AA79E6">
      <w:pPr>
        <w:rPr>
          <w:noProof/>
        </w:rPr>
      </w:pPr>
      <w:r>
        <w:rPr>
          <w:noProof/>
        </w:rPr>
        <w:t>On laadittu lisävalikoima maakaasun ja sähkön veroihin ja veronluonteisiin maksuihin sekä verkkohintoihin liittyviä osakomponentteja, jotta voitaisiin ottaa huomioon energiaunionipaketin tavoitteet, erityisesti tarve energian kustannusten ja hin</w:t>
      </w:r>
      <w:r>
        <w:rPr>
          <w:noProof/>
        </w:rPr>
        <w:t>tojen suurempaan läpinäkyvyyteen paketin toimintakohdan 8 mukaisesti.</w:t>
      </w:r>
    </w:p>
    <w:p w:rsidR="00835405" w:rsidRDefault="00AA79E6">
      <w:pPr>
        <w:pStyle w:val="ManualHeading2"/>
        <w:rPr>
          <w:rFonts w:eastAsia="Arial Unicode MS"/>
          <w:noProof/>
          <w:u w:color="000000"/>
          <w:bdr w:val="nil"/>
        </w:rPr>
      </w:pPr>
      <w:r>
        <w:rPr>
          <w:noProof/>
        </w:rPr>
        <w:t>•</w:t>
      </w:r>
      <w:r>
        <w:rPr>
          <w:noProof/>
        </w:rPr>
        <w:tab/>
        <w:t xml:space="preserve">Johdonmukaisuus suhteessa alalla voimassa olevaan politiikkaan </w:t>
      </w:r>
      <w:r>
        <w:rPr>
          <w:noProof/>
        </w:rPr>
        <w:br/>
      </w:r>
    </w:p>
    <w:p w:rsidR="00835405" w:rsidRDefault="00AA79E6">
      <w:pPr>
        <w:rPr>
          <w:noProof/>
          <w:snapToGrid w:val="0"/>
        </w:rPr>
      </w:pPr>
      <w:r>
        <w:rPr>
          <w:noProof/>
        </w:rPr>
        <w:t>Kesäkuussa 2014 kokoontunut Eurooppa-neuvosto vahvisti uudelleen, että on tarpeen lujittaa EU:n sisämarkkinoita, lisätä</w:t>
      </w:r>
      <w:r>
        <w:rPr>
          <w:noProof/>
        </w:rPr>
        <w:t xml:space="preserve"> kilpailua ja avoimuutta kaasumarkkinoilla ja saattaa päätökseen Euroopan energiamarkkinoiden yhdentyminen. Neuvosto edellytti myös perusteellisempaa analyysiä energiatehokkuuden ja -varmuuden osalta.</w:t>
      </w:r>
    </w:p>
    <w:p w:rsidR="00835405" w:rsidRDefault="00AA79E6">
      <w:pPr>
        <w:pStyle w:val="ManualHeading2"/>
        <w:rPr>
          <w:rFonts w:eastAsia="Arial Unicode MS"/>
          <w:noProof/>
        </w:rPr>
      </w:pPr>
      <w:r>
        <w:rPr>
          <w:noProof/>
        </w:rPr>
        <w:lastRenderedPageBreak/>
        <w:t>•</w:t>
      </w:r>
      <w:r>
        <w:rPr>
          <w:noProof/>
        </w:rPr>
        <w:tab/>
        <w:t>Johdonmukaisuus suhteessa EU:n muuhun politiikkaan</w:t>
      </w:r>
    </w:p>
    <w:p w:rsidR="00835405" w:rsidRDefault="00AA79E6">
      <w:pPr>
        <w:pBdr>
          <w:top w:val="nil"/>
          <w:left w:val="nil"/>
          <w:bottom w:val="nil"/>
          <w:right w:val="nil"/>
          <w:between w:val="nil"/>
          <w:bar w:val="nil"/>
        </w:pBdr>
        <w:spacing w:before="0" w:after="240"/>
        <w:rPr>
          <w:noProof/>
          <w:snapToGrid w:val="0"/>
        </w:rPr>
      </w:pPr>
      <w:r>
        <w:rPr>
          <w:noProof/>
        </w:rPr>
        <w:t>Komissio hyväksyi energiaunionipaketin 25. helmikuuta 2015. Tältä osin komissio aikoo tuottaa vuodesta 2016 alkaen tietoja energian hinnoista ja kustannuksista (mukaan luettuina verot ja tuet). Tämän energian hintojen ja kustannusten erittelyn avulla komis</w:t>
      </w:r>
      <w:r>
        <w:rPr>
          <w:noProof/>
        </w:rPr>
        <w:t xml:space="preserve">sio voi seurata tilannetta energiamarkkinoilla. </w:t>
      </w:r>
    </w:p>
    <w:p w:rsidR="00835405" w:rsidRDefault="00AA79E6">
      <w:pPr>
        <w:pStyle w:val="ManualHeading1"/>
        <w:rPr>
          <w:noProof/>
        </w:rPr>
      </w:pPr>
      <w:r>
        <w:rPr>
          <w:noProof/>
        </w:rPr>
        <w:t>2.</w:t>
      </w:r>
      <w:r>
        <w:rPr>
          <w:noProof/>
        </w:rPr>
        <w:tab/>
        <w:t>OIKEUSPERUSTA SEKÄ TOISSIJAISUUS- JA SUHTEELLISUUSPERIAATE</w:t>
      </w:r>
    </w:p>
    <w:p w:rsidR="00835405" w:rsidRDefault="00AA79E6">
      <w:pPr>
        <w:pStyle w:val="ManualHeading2"/>
        <w:rPr>
          <w:rFonts w:eastAsia="Arial Unicode MS"/>
          <w:noProof/>
          <w:u w:color="000000"/>
          <w:bdr w:val="nil"/>
        </w:rPr>
      </w:pPr>
      <w:r>
        <w:rPr>
          <w:noProof/>
        </w:rPr>
        <w:t>•</w:t>
      </w:r>
      <w:r>
        <w:rPr>
          <w:noProof/>
        </w:rPr>
        <w:tab/>
        <w:t>Oikeusperusta</w:t>
      </w:r>
    </w:p>
    <w:p w:rsidR="00835405" w:rsidRDefault="00AA79E6">
      <w:pPr>
        <w:pBdr>
          <w:top w:val="nil"/>
          <w:left w:val="nil"/>
          <w:bottom w:val="nil"/>
          <w:right w:val="nil"/>
          <w:between w:val="nil"/>
          <w:bar w:val="nil"/>
        </w:pBdr>
        <w:spacing w:before="0" w:after="240"/>
        <w:rPr>
          <w:rFonts w:eastAsia="Arial Unicode MS"/>
          <w:noProof/>
        </w:rPr>
      </w:pPr>
      <w:r>
        <w:rPr>
          <w:noProof/>
        </w:rPr>
        <w:t>Euroopan unionin toiminnasta tehdyn sopimuksen 338 artiklan 1 kohta.</w:t>
      </w:r>
    </w:p>
    <w:p w:rsidR="00835405" w:rsidRDefault="00AA79E6">
      <w:pPr>
        <w:pStyle w:val="ManualHeading2"/>
        <w:rPr>
          <w:rFonts w:eastAsia="Arial Unicode MS"/>
          <w:noProof/>
          <w:u w:color="000000"/>
          <w:bdr w:val="nil"/>
        </w:rPr>
      </w:pPr>
      <w:r>
        <w:rPr>
          <w:noProof/>
        </w:rPr>
        <w:t>•</w:t>
      </w:r>
      <w:r>
        <w:rPr>
          <w:noProof/>
        </w:rPr>
        <w:tab/>
        <w:t>Toissijaisuus (muut kuin ensisijaiset vastuut)</w:t>
      </w:r>
    </w:p>
    <w:p w:rsidR="00835405" w:rsidRDefault="00AA79E6">
      <w:pPr>
        <w:pBdr>
          <w:top w:val="nil"/>
          <w:left w:val="nil"/>
          <w:bottom w:val="nil"/>
          <w:right w:val="nil"/>
          <w:between w:val="nil"/>
          <w:bar w:val="nil"/>
        </w:pBdr>
        <w:spacing w:before="0" w:after="240"/>
        <w:rPr>
          <w:rFonts w:eastAsia="Arial Unicode MS"/>
          <w:noProof/>
        </w:rPr>
      </w:pPr>
      <w:r>
        <w:rPr>
          <w:noProof/>
        </w:rPr>
        <w:t>Komissio (E</w:t>
      </w:r>
      <w:r>
        <w:rPr>
          <w:noProof/>
        </w:rPr>
        <w:t>urostat) kokoaa kansallisia tietoja maakaasun ja sähkön hinnoista käyttäen menetelmiä, jotka mahdollistavat jäsenvaltioiden väliset hintavertailut. Kyseiset hintatiedot on kerättävä EU:n tasolla, jotta voidaan varmistaa tietojen olevan luotettavia ja verta</w:t>
      </w:r>
      <w:r>
        <w:rPr>
          <w:noProof/>
        </w:rPr>
        <w:t>ilukelpoisia kaikkien EU:n jäsenvaltioiden välillä sekä aggregoida tiedot sekä EU:n että euroalueen osalta. Kansallisella tasolla hintatiedot kerää toimivaltainen kansallinen viranomainen, ja tämän jälkeen Eurostat julkaisee ne.</w:t>
      </w:r>
    </w:p>
    <w:p w:rsidR="00835405" w:rsidRDefault="00AA79E6">
      <w:pPr>
        <w:pStyle w:val="ManualHeading2"/>
        <w:rPr>
          <w:rFonts w:eastAsia="Arial Unicode MS"/>
          <w:noProof/>
          <w:u w:color="000000"/>
          <w:bdr w:val="nil"/>
        </w:rPr>
      </w:pPr>
      <w:r>
        <w:rPr>
          <w:noProof/>
        </w:rPr>
        <w:t>•</w:t>
      </w:r>
      <w:r>
        <w:rPr>
          <w:noProof/>
        </w:rPr>
        <w:tab/>
        <w:t>Suhteellisuus</w:t>
      </w:r>
    </w:p>
    <w:p w:rsidR="00835405" w:rsidRDefault="00AA79E6">
      <w:pPr>
        <w:pBdr>
          <w:top w:val="nil"/>
          <w:left w:val="nil"/>
          <w:bottom w:val="nil"/>
          <w:right w:val="nil"/>
          <w:between w:val="nil"/>
          <w:bar w:val="nil"/>
        </w:pBdr>
        <w:spacing w:before="0" w:after="240"/>
        <w:rPr>
          <w:rFonts w:eastAsia="Arial Unicode MS"/>
          <w:noProof/>
        </w:rPr>
      </w:pPr>
      <w:r>
        <w:rPr>
          <w:noProof/>
        </w:rPr>
        <w:t>Ehdotettu s</w:t>
      </w:r>
      <w:r>
        <w:rPr>
          <w:noProof/>
        </w:rPr>
        <w:t>äädös kattaa maakaasun ja sähkön hintoja koskevien tietojen keruun kotitaloussektorin ja muiden kuin kotitaloussektorin osalta. Aiemmin hintatiedot on kerätty teollisuussektorin osalta direktiivin 2008/92/EY mukaisesti mutta kotitaloussektorin osalta hinta</w:t>
      </w:r>
      <w:r>
        <w:rPr>
          <w:noProof/>
        </w:rPr>
        <w:t>tietoja on kerätty vapaaehtoisuuteen perustuvan sopimuksen perusteella. Energian sisämarkkinoiden muuttuessa yhä mutkikkaammiksi on etenkin kotitaloussektorin osalta yhä vaikeampi saada luotettavia ja ajantasaisia tietoja maakaasun ja sähkön hinnoista, kos</w:t>
      </w:r>
      <w:r>
        <w:rPr>
          <w:noProof/>
        </w:rPr>
        <w:t>ka kyseisten tietojen toimittamista edellyttävät oikeudellisesti sitovat velvoitteet puuttuvat. Ehdotettuun säädökseen sisältyvät muutokset direktiivin 2008/92/EY mukaiseen tilanteeseen nähden tarkoittavat, että säädöksen soveltamisalaan kuuluisivat myös t</w:t>
      </w:r>
      <w:r>
        <w:rPr>
          <w:noProof/>
        </w:rPr>
        <w:t>iedot, joita nykyisin kerätään vapaaehtoisuuden pohjalta. Tällä ei ylitetä sitä, mikä on tarpeen asetettujen tavoitteiden saavuttamiseksi.</w:t>
      </w:r>
    </w:p>
    <w:p w:rsidR="00835405" w:rsidRDefault="00AA79E6">
      <w:pPr>
        <w:pStyle w:val="ManualHeading2"/>
        <w:rPr>
          <w:rFonts w:eastAsia="Arial Unicode MS"/>
          <w:noProof/>
          <w:u w:color="000000"/>
          <w:bdr w:val="nil"/>
        </w:rPr>
      </w:pPr>
      <w:r>
        <w:rPr>
          <w:noProof/>
        </w:rPr>
        <w:t>•</w:t>
      </w:r>
      <w:r>
        <w:rPr>
          <w:noProof/>
        </w:rPr>
        <w:tab/>
        <w:t>Valittu oikeudellinen väline</w:t>
      </w:r>
    </w:p>
    <w:p w:rsidR="00835405" w:rsidRDefault="00AA79E6">
      <w:pPr>
        <w:pBdr>
          <w:top w:val="nil"/>
          <w:left w:val="nil"/>
          <w:bottom w:val="nil"/>
          <w:right w:val="nil"/>
          <w:between w:val="nil"/>
          <w:bar w:val="nil"/>
        </w:pBdr>
        <w:spacing w:before="0" w:after="240"/>
        <w:rPr>
          <w:noProof/>
        </w:rPr>
      </w:pPr>
      <w:r>
        <w:rPr>
          <w:noProof/>
        </w:rPr>
        <w:t>Käyttämällä oikeudellisena välineenä Euroopan parlamentin ja neuvoston asetusta voidaa</w:t>
      </w:r>
      <w:r>
        <w:rPr>
          <w:noProof/>
        </w:rPr>
        <w:t>n todennäköisesti varmistaa nopea, sujuva ja yhdenmukainen täytäntöönpano koko EU:n alueella.</w:t>
      </w:r>
    </w:p>
    <w:p w:rsidR="00835405" w:rsidRDefault="00AA79E6">
      <w:pPr>
        <w:pStyle w:val="ManualHeading1"/>
        <w:rPr>
          <w:noProof/>
        </w:rPr>
      </w:pPr>
      <w:r>
        <w:rPr>
          <w:noProof/>
        </w:rPr>
        <w:t>3.</w:t>
      </w:r>
      <w:r>
        <w:rPr>
          <w:noProof/>
        </w:rPr>
        <w:tab/>
        <w:t>JÄLKIARVIOINTIEN, SIDOSRYHMÄKUULEMISTEN JA VAIKUTUSTENARVIOINTIEN TULOKSET</w:t>
      </w:r>
    </w:p>
    <w:p w:rsidR="00835405" w:rsidRDefault="00AA79E6">
      <w:pPr>
        <w:pStyle w:val="ManualHeading2"/>
        <w:rPr>
          <w:rFonts w:eastAsia="Arial Unicode MS"/>
          <w:noProof/>
          <w:u w:color="000000"/>
          <w:bdr w:val="nil"/>
        </w:rPr>
      </w:pPr>
      <w:r>
        <w:rPr>
          <w:noProof/>
        </w:rPr>
        <w:t>•</w:t>
      </w:r>
      <w:r>
        <w:rPr>
          <w:noProof/>
        </w:rPr>
        <w:tab/>
        <w:t>Voimassa olevan lainsäädännön jälkiarvioinnit/kuntotarkastukset</w:t>
      </w:r>
    </w:p>
    <w:p w:rsidR="00835405" w:rsidRDefault="00AA79E6">
      <w:pPr>
        <w:pBdr>
          <w:top w:val="nil"/>
          <w:left w:val="nil"/>
          <w:bottom w:val="nil"/>
          <w:right w:val="nil"/>
          <w:between w:val="nil"/>
          <w:bar w:val="nil"/>
        </w:pBdr>
        <w:spacing w:before="0" w:after="240"/>
        <w:rPr>
          <w:rFonts w:eastAsia="Arial Unicode MS"/>
          <w:noProof/>
          <w:szCs w:val="24"/>
        </w:rPr>
      </w:pPr>
      <w:r>
        <w:rPr>
          <w:noProof/>
        </w:rPr>
        <w:t>Voimassa oleva sovellettava lainsäädäntö (direktiivi 2008/92/EY) kattaa ainoastaan maakaasun ja sähkön hintatietojen keruun teollisuussektorin osalta. Näissä hintakartoituksissa käytettävät menetelmät, jotka otettiin käyttöön vuonna 2007, ovat osoittautune</w:t>
      </w:r>
      <w:r>
        <w:rPr>
          <w:noProof/>
        </w:rPr>
        <w:t xml:space="preserve">et tehokkaiksi. </w:t>
      </w:r>
    </w:p>
    <w:p w:rsidR="00835405" w:rsidRDefault="00AA79E6">
      <w:pPr>
        <w:pStyle w:val="ManualHeading2"/>
        <w:rPr>
          <w:rFonts w:eastAsia="Arial Unicode MS"/>
          <w:noProof/>
          <w:u w:color="000000"/>
          <w:bdr w:val="nil"/>
        </w:rPr>
      </w:pPr>
      <w:r>
        <w:rPr>
          <w:noProof/>
        </w:rPr>
        <w:t>•</w:t>
      </w:r>
      <w:r>
        <w:rPr>
          <w:noProof/>
        </w:rPr>
        <w:tab/>
        <w:t>Sidosryhmien kuuleminen</w:t>
      </w:r>
    </w:p>
    <w:p w:rsidR="00835405" w:rsidRDefault="00AA79E6">
      <w:pPr>
        <w:pBdr>
          <w:top w:val="nil"/>
          <w:left w:val="nil"/>
          <w:bottom w:val="nil"/>
          <w:right w:val="nil"/>
          <w:between w:val="nil"/>
          <w:bar w:val="nil"/>
        </w:pBdr>
        <w:spacing w:before="0" w:after="240"/>
        <w:rPr>
          <w:rFonts w:eastAsia="Arial Unicode MS"/>
          <w:noProof/>
        </w:rPr>
      </w:pPr>
      <w:r>
        <w:rPr>
          <w:noProof/>
        </w:rPr>
        <w:t xml:space="preserve">Eurostat kuuli energiatilastotyöryhmän (Energy Statistics Working Group, ESWG) jäseniä kirjallisesti tammikuussa 2015. Heidän huomautuksensa ja suosituksensa otettiin huomioon. </w:t>
      </w:r>
      <w:r>
        <w:rPr>
          <w:noProof/>
        </w:rPr>
        <w:lastRenderedPageBreak/>
        <w:t xml:space="preserve">ESWG:n kirjallinen kuuleminen johti </w:t>
      </w:r>
      <w:r>
        <w:rPr>
          <w:noProof/>
        </w:rPr>
        <w:t>siihen, että veroja ja veroluonteisia maksuja koskevien osakomponenttien määrää on vähennetty (11:stä 6:een) ja ilmoitettavia sähkön ja maakaasun verkkohintoja koskevia tietoja on vähennetty merkittävästi. Alakohtaisia tilastoja ja tilinpitoa ja ympäristöt</w:t>
      </w:r>
      <w:r>
        <w:rPr>
          <w:noProof/>
        </w:rPr>
        <w:t xml:space="preserve">ilastoja ja -tilinpitoa käsittelevien johtajien ryhmän (DIMESA) jäseniä kuultiin kirjallisesti touko- ja kesäkuussa 2015, ja kuulemisen perusteella pidennettiin hintatietojen komponenttien ja/tai osakomponenttien ilmoittamista koskevien poikkeushakemusten </w:t>
      </w:r>
      <w:r>
        <w:rPr>
          <w:noProof/>
        </w:rPr>
        <w:t>määräaikoja. Kotitaloussektorille vahvistettiin maakaasun hintojen osalta kynnysarvo, jotta maat, joissa maakaasun kulutus kotitalouksissa on vähäistä, voidaan vapauttaa ilmoitusvelvollisuudesta. Muutettu luonnos esiteltiin DIMESA-ryhmän kokouksessa 11. ke</w:t>
      </w:r>
      <w:r>
        <w:rPr>
          <w:noProof/>
        </w:rPr>
        <w:t>säkuuta 2015 ja ESWG-ryhmän kokouksessa 24. kesäkuuta 2015.</w:t>
      </w:r>
    </w:p>
    <w:p w:rsidR="00835405" w:rsidRDefault="00AA79E6">
      <w:pPr>
        <w:pStyle w:val="ManualHeading2"/>
        <w:rPr>
          <w:rFonts w:eastAsia="Arial Unicode MS"/>
          <w:noProof/>
          <w:u w:color="000000"/>
          <w:bdr w:val="nil"/>
        </w:rPr>
      </w:pPr>
      <w:r>
        <w:rPr>
          <w:noProof/>
        </w:rPr>
        <w:t>•</w:t>
      </w:r>
      <w:r>
        <w:rPr>
          <w:noProof/>
        </w:rPr>
        <w:tab/>
        <w:t>Asiantuntijoiden hankkiminen ja käyttäminen</w:t>
      </w:r>
    </w:p>
    <w:p w:rsidR="00835405" w:rsidRDefault="00AA79E6">
      <w:pPr>
        <w:pBdr>
          <w:top w:val="nil"/>
          <w:left w:val="nil"/>
          <w:bottom w:val="nil"/>
          <w:right w:val="nil"/>
          <w:between w:val="nil"/>
          <w:bar w:val="nil"/>
        </w:pBdr>
        <w:spacing w:before="0" w:after="240"/>
        <w:rPr>
          <w:noProof/>
        </w:rPr>
      </w:pPr>
      <w:r>
        <w:rPr>
          <w:noProof/>
        </w:rPr>
        <w:t>Eurostat kuuli tiedonkeruun toteutettavuudesta Eurogasia ja Eurelectriciä, kahta kaasualalla ja sähköalalla toimivaa yhteisöä. Niiden suositukset sähk</w:t>
      </w:r>
      <w:r>
        <w:rPr>
          <w:noProof/>
        </w:rPr>
        <w:t>ön ja maakaasun verkkohintojen osakomponentteja koskevan tiedon saatavuudesta otettiin huomioon.</w:t>
      </w:r>
    </w:p>
    <w:p w:rsidR="00835405" w:rsidRDefault="00AA79E6">
      <w:pPr>
        <w:pStyle w:val="ManualHeading2"/>
        <w:rPr>
          <w:rFonts w:eastAsia="Arial Unicode MS"/>
          <w:noProof/>
          <w:u w:color="000000"/>
          <w:bdr w:val="nil"/>
        </w:rPr>
      </w:pPr>
      <w:r>
        <w:rPr>
          <w:noProof/>
        </w:rPr>
        <w:t>•</w:t>
      </w:r>
      <w:r>
        <w:rPr>
          <w:noProof/>
        </w:rPr>
        <w:tab/>
        <w:t>Sääntelyn tila ja yksinkertaistaminen</w:t>
      </w:r>
    </w:p>
    <w:p w:rsidR="00835405" w:rsidRDefault="00AA79E6">
      <w:pPr>
        <w:pBdr>
          <w:top w:val="nil"/>
          <w:left w:val="nil"/>
          <w:bottom w:val="nil"/>
          <w:right w:val="nil"/>
          <w:between w:val="nil"/>
          <w:bar w:val="nil"/>
        </w:pBdr>
        <w:spacing w:before="0" w:after="240"/>
        <w:rPr>
          <w:rFonts w:eastAsia="Arial Unicode MS"/>
          <w:noProof/>
        </w:rPr>
      </w:pPr>
      <w:r>
        <w:rPr>
          <w:noProof/>
        </w:rPr>
        <w:t>Raportoivien viranomaisten ja komission hallinnollinen rasite ei kasva merkittävästi, sillä suurin osa asianomaisista h</w:t>
      </w:r>
      <w:r>
        <w:rPr>
          <w:noProof/>
        </w:rPr>
        <w:t>intatiedoista ilmoitetaan jo nyt vapaaehtoisuuden pohjalta. Vaikka ilmoitettavien tietojen luetteloon on lisätty muutamia veroihin ja veronluonteisiin maksuihin liittyviä osakomponentteja, ilmoitustiheyttä on harvennettu vuosittaisesta kerran kolmessa vuod</w:t>
      </w:r>
      <w:r>
        <w:rPr>
          <w:noProof/>
        </w:rPr>
        <w:t>essa tapahtuvaksi. Sen vuoksi hallinnollinen kokonaisrasite ei todennäköisesti muutu.</w:t>
      </w:r>
    </w:p>
    <w:p w:rsidR="00835405" w:rsidRDefault="00AA79E6">
      <w:pPr>
        <w:pStyle w:val="ManualHeading2"/>
        <w:rPr>
          <w:rFonts w:eastAsia="Arial Unicode MS"/>
          <w:noProof/>
          <w:u w:color="000000"/>
          <w:bdr w:val="nil"/>
        </w:rPr>
      </w:pPr>
      <w:r>
        <w:rPr>
          <w:noProof/>
        </w:rPr>
        <w:t>•</w:t>
      </w:r>
      <w:r>
        <w:rPr>
          <w:noProof/>
        </w:rPr>
        <w:tab/>
        <w:t>Vaikutusten arviointi</w:t>
      </w:r>
    </w:p>
    <w:p w:rsidR="00835405" w:rsidRDefault="00AA79E6">
      <w:pPr>
        <w:pBdr>
          <w:top w:val="nil"/>
          <w:left w:val="nil"/>
          <w:bottom w:val="nil"/>
          <w:right w:val="nil"/>
          <w:between w:val="nil"/>
          <w:bar w:val="nil"/>
        </w:pBdr>
        <w:spacing w:before="0" w:after="240"/>
        <w:rPr>
          <w:noProof/>
        </w:rPr>
      </w:pPr>
      <w:r>
        <w:rPr>
          <w:noProof/>
        </w:rPr>
        <w:t>Ehdotusta varten ei tehty vaikutusten arviointia, sillä se ei aiheuta merkittävää muutosta raportoivien viranomaisten tai komission toimintaan. Yk</w:t>
      </w:r>
      <w:r>
        <w:rPr>
          <w:noProof/>
        </w:rPr>
        <w:t>sityiskohtaiset perustelut päätökselle olla tekemättä vaikutusten arviointia esitetään komission etenemissuunnitelmassa, joka on julkaistu komission verkkosivustolla osoitteessa http://ec.europa.eu/smart-regulation/impact/planned_ia/docs/2014_estat_001_roa</w:t>
      </w:r>
      <w:r>
        <w:rPr>
          <w:noProof/>
        </w:rPr>
        <w:t>dmap_electricityprices.pdf.</w:t>
      </w:r>
    </w:p>
    <w:p w:rsidR="00835405" w:rsidRDefault="00AA79E6">
      <w:pPr>
        <w:pStyle w:val="ManualHeading2"/>
        <w:rPr>
          <w:rFonts w:eastAsia="Arial Unicode MS"/>
          <w:noProof/>
          <w:u w:color="000000"/>
          <w:bdr w:val="nil"/>
        </w:rPr>
      </w:pPr>
      <w:r>
        <w:rPr>
          <w:noProof/>
        </w:rPr>
        <w:t>•</w:t>
      </w:r>
      <w:r>
        <w:rPr>
          <w:noProof/>
        </w:rPr>
        <w:tab/>
        <w:t>Perusoikeudet</w:t>
      </w:r>
    </w:p>
    <w:p w:rsidR="00835405" w:rsidRDefault="00AA79E6">
      <w:pPr>
        <w:pBdr>
          <w:top w:val="nil"/>
          <w:left w:val="nil"/>
          <w:bottom w:val="nil"/>
          <w:right w:val="nil"/>
          <w:between w:val="nil"/>
          <w:bar w:val="nil"/>
        </w:pBdr>
        <w:spacing w:before="0" w:after="240"/>
        <w:rPr>
          <w:rFonts w:eastAsia="Arial Unicode MS"/>
          <w:noProof/>
        </w:rPr>
      </w:pPr>
      <w:r>
        <w:rPr>
          <w:noProof/>
        </w:rPr>
        <w:t>Ei sovelleta.</w:t>
      </w:r>
    </w:p>
    <w:p w:rsidR="00835405" w:rsidRDefault="00AA79E6">
      <w:pPr>
        <w:pStyle w:val="ManualHeading1"/>
        <w:rPr>
          <w:noProof/>
        </w:rPr>
      </w:pPr>
      <w:r>
        <w:rPr>
          <w:noProof/>
        </w:rPr>
        <w:t>4.</w:t>
      </w:r>
      <w:r>
        <w:rPr>
          <w:noProof/>
        </w:rPr>
        <w:tab/>
        <w:t>TALOUSARVIOVAIKUTUKSET</w:t>
      </w:r>
    </w:p>
    <w:p w:rsidR="00835405" w:rsidRDefault="00AA79E6">
      <w:pPr>
        <w:spacing w:before="60" w:after="60"/>
        <w:rPr>
          <w:noProof/>
          <w:szCs w:val="24"/>
        </w:rPr>
      </w:pPr>
      <w:r>
        <w:rPr>
          <w:noProof/>
        </w:rPr>
        <w:t>Ehdotuksella ei ole vaikutuksia EU:n talousarvioon. Koska toiminta ei kasva merkittävästi, lisäkustannuksia ei ole.</w:t>
      </w:r>
    </w:p>
    <w:p w:rsidR="00835405" w:rsidRDefault="00AA79E6">
      <w:pPr>
        <w:pStyle w:val="ManualHeading1"/>
        <w:rPr>
          <w:noProof/>
        </w:rPr>
      </w:pPr>
      <w:r>
        <w:rPr>
          <w:noProof/>
        </w:rPr>
        <w:t>5.</w:t>
      </w:r>
      <w:r>
        <w:rPr>
          <w:noProof/>
        </w:rPr>
        <w:tab/>
        <w:t>MUUT NÄKÖKOHDAT</w:t>
      </w:r>
    </w:p>
    <w:p w:rsidR="00835405" w:rsidRDefault="00AA79E6">
      <w:pPr>
        <w:pStyle w:val="ManualHeading2"/>
        <w:rPr>
          <w:rFonts w:eastAsia="Arial Unicode MS"/>
          <w:noProof/>
          <w:u w:color="000000"/>
          <w:bdr w:val="nil"/>
        </w:rPr>
      </w:pPr>
      <w:r>
        <w:rPr>
          <w:noProof/>
        </w:rPr>
        <w:t>•</w:t>
      </w:r>
      <w:r>
        <w:rPr>
          <w:noProof/>
        </w:rPr>
        <w:tab/>
        <w:t xml:space="preserve">Täytäntöönpanosuunnitelmat sekä </w:t>
      </w:r>
      <w:r>
        <w:rPr>
          <w:noProof/>
        </w:rPr>
        <w:t>seuranta-, arviointi- ja raportointijärjestelyt</w:t>
      </w:r>
    </w:p>
    <w:p w:rsidR="00835405" w:rsidRDefault="00AA79E6">
      <w:pPr>
        <w:pBdr>
          <w:top w:val="nil"/>
          <w:left w:val="nil"/>
          <w:bottom w:val="nil"/>
          <w:right w:val="nil"/>
          <w:between w:val="nil"/>
          <w:bar w:val="nil"/>
        </w:pBdr>
        <w:spacing w:before="0" w:after="240"/>
        <w:rPr>
          <w:rFonts w:eastAsia="Arial Unicode MS"/>
          <w:noProof/>
        </w:rPr>
      </w:pPr>
      <w:r>
        <w:rPr>
          <w:noProof/>
        </w:rPr>
        <w:t>Ei ole.</w:t>
      </w:r>
    </w:p>
    <w:p w:rsidR="00835405" w:rsidRDefault="00AA79E6">
      <w:pPr>
        <w:pStyle w:val="ManualHeading2"/>
        <w:rPr>
          <w:rFonts w:eastAsia="Arial Unicode MS"/>
          <w:noProof/>
          <w:u w:color="000000"/>
          <w:bdr w:val="nil"/>
        </w:rPr>
      </w:pPr>
      <w:r>
        <w:rPr>
          <w:noProof/>
        </w:rPr>
        <w:t>•</w:t>
      </w:r>
      <w:r>
        <w:rPr>
          <w:noProof/>
        </w:rPr>
        <w:tab/>
        <w:t>Perusteluasiakirjat (direktiivien osalta)</w:t>
      </w:r>
    </w:p>
    <w:p w:rsidR="00835405" w:rsidRDefault="00AA79E6">
      <w:pPr>
        <w:pBdr>
          <w:top w:val="nil"/>
          <w:left w:val="nil"/>
          <w:bottom w:val="nil"/>
          <w:right w:val="nil"/>
          <w:between w:val="nil"/>
          <w:bar w:val="nil"/>
        </w:pBdr>
        <w:spacing w:before="0" w:after="240"/>
        <w:rPr>
          <w:rFonts w:eastAsia="Arial Unicode MS"/>
          <w:noProof/>
        </w:rPr>
      </w:pPr>
      <w:r>
        <w:rPr>
          <w:noProof/>
        </w:rPr>
        <w:t>Ei sovelleta.</w:t>
      </w:r>
    </w:p>
    <w:p w:rsidR="00835405" w:rsidRDefault="00AA79E6">
      <w:pPr>
        <w:pStyle w:val="ManualHeading2"/>
        <w:rPr>
          <w:rFonts w:eastAsia="Arial Unicode MS"/>
          <w:noProof/>
          <w:u w:color="000000"/>
          <w:bdr w:val="nil"/>
        </w:rPr>
      </w:pPr>
      <w:r>
        <w:rPr>
          <w:noProof/>
        </w:rPr>
        <w:t>•</w:t>
      </w:r>
      <w:r>
        <w:rPr>
          <w:noProof/>
        </w:rPr>
        <w:tab/>
        <w:t>Yksityiskohtainen selvitys ehdotuksen säännöksistä</w:t>
      </w:r>
    </w:p>
    <w:p w:rsidR="00835405" w:rsidRDefault="00AA79E6">
      <w:pPr>
        <w:pBdr>
          <w:top w:val="nil"/>
          <w:left w:val="nil"/>
          <w:bottom w:val="nil"/>
          <w:right w:val="nil"/>
          <w:between w:val="nil"/>
          <w:bar w:val="nil"/>
        </w:pBdr>
        <w:spacing w:before="0" w:after="240"/>
        <w:rPr>
          <w:noProof/>
        </w:rPr>
      </w:pPr>
      <w:r>
        <w:rPr>
          <w:noProof/>
        </w:rPr>
        <w:t>Maakaasun ja sähkön hintoja koskevat luotettavat, ajantasaiset ja täydelliset tiedot ovat</w:t>
      </w:r>
      <w:r>
        <w:rPr>
          <w:noProof/>
        </w:rPr>
        <w:t xml:space="preserve"> tärkeä tietolähde eurooppalaisille poliittisille päättäjille. Koska kaasun ja sähkön hintatietojen keruu tapahtuu kotitaloussektorin osalta vapaaehtoisuuden pohjalta, yksittäiset tiedontuottajat (sähkö- ja kaasuyhtiöt) voivat päättää olla jatkamatta sitä.</w:t>
      </w:r>
      <w:r>
        <w:rPr>
          <w:noProof/>
        </w:rPr>
        <w:t xml:space="preserve"> Koska tiedonkeruu kuuluu jatkossa oikeudellisen kehyksen soveltamisalaan, ilmoitusten jatkuminen on varmistettu.</w:t>
      </w:r>
    </w:p>
    <w:p w:rsidR="00835405" w:rsidRDefault="00AA79E6">
      <w:pPr>
        <w:pBdr>
          <w:top w:val="nil"/>
          <w:left w:val="nil"/>
          <w:bottom w:val="nil"/>
          <w:right w:val="nil"/>
          <w:between w:val="nil"/>
          <w:bar w:val="nil"/>
        </w:pBdr>
        <w:spacing w:before="0" w:after="240"/>
        <w:rPr>
          <w:rFonts w:eastAsia="Arial Unicode MS"/>
          <w:noProof/>
        </w:rPr>
      </w:pPr>
      <w:r>
        <w:rPr>
          <w:noProof/>
        </w:rPr>
        <w:t>Tärkeimpien sähkön ja maakaasun hintoihin vaikuttavien tekijöiden analysoimiseksi ei riitä, että tarkastellaan pelkästään kaasun ja sähkön lop</w:t>
      </w:r>
      <w:r>
        <w:rPr>
          <w:noProof/>
        </w:rPr>
        <w:t>ullisia hintoja ja verkkohintoja sekä veroja ja tuotteiden hintoja. Hintoihin vaikuttavien tekijöiden määrittelemistä varten on kerättäviin tietoihin lisätty joukko muuttujia (osakomponentteja), jotka mahdollistavat yhdenmukaistettujen menetelmien mukaises</w:t>
      </w:r>
      <w:r>
        <w:rPr>
          <w:noProof/>
        </w:rPr>
        <w:t xml:space="preserve">ti kerättyjen tietojen analysoinnin. </w:t>
      </w:r>
    </w:p>
    <w:p w:rsidR="00835405" w:rsidRDefault="00AA79E6">
      <w:pPr>
        <w:autoSpaceDE w:val="0"/>
        <w:autoSpaceDN w:val="0"/>
        <w:adjustRightInd w:val="0"/>
        <w:spacing w:before="0" w:after="0"/>
        <w:jc w:val="left"/>
        <w:rPr>
          <w:b/>
          <w:bCs/>
          <w:noProof/>
          <w:szCs w:val="24"/>
        </w:rPr>
      </w:pPr>
      <w:r>
        <w:rPr>
          <w:b/>
          <w:noProof/>
        </w:rPr>
        <w:t>Euroopan talousalue</w:t>
      </w:r>
    </w:p>
    <w:p w:rsidR="00835405" w:rsidRDefault="00AA79E6">
      <w:pPr>
        <w:autoSpaceDE w:val="0"/>
        <w:autoSpaceDN w:val="0"/>
        <w:adjustRightInd w:val="0"/>
        <w:spacing w:before="0" w:after="0"/>
        <w:jc w:val="left"/>
        <w:rPr>
          <w:noProof/>
          <w:szCs w:val="24"/>
        </w:rPr>
      </w:pPr>
      <w:r>
        <w:rPr>
          <w:noProof/>
        </w:rPr>
        <w:t>Ehdotettu säädös koskee ETA-sopimuksen soveltamisalaan kuuluvaa alaa, minkä vuoksi se olisi ulotettava koskemaan Euroopan talousaluetta.</w:t>
      </w:r>
    </w:p>
    <w:p w:rsidR="00835405" w:rsidRDefault="00835405">
      <w:pPr>
        <w:rPr>
          <w:noProof/>
        </w:rPr>
        <w:sectPr w:rsidR="00835405">
          <w:footerReference w:type="default" r:id="rId11"/>
          <w:footerReference w:type="first" r:id="rId12"/>
          <w:pgSz w:w="11907" w:h="16839"/>
          <w:pgMar w:top="1134" w:right="1417" w:bottom="1134" w:left="1417" w:header="709" w:footer="709" w:gutter="0"/>
          <w:cols w:space="708"/>
          <w:docGrid w:linePitch="360"/>
        </w:sectPr>
      </w:pPr>
    </w:p>
    <w:p w:rsidR="00835405" w:rsidRDefault="00AA79E6">
      <w:pPr>
        <w:pStyle w:val="Rfrenceinterinstitutionnelle"/>
        <w:rPr>
          <w:noProof/>
        </w:rPr>
      </w:pPr>
      <w:r>
        <w:rPr>
          <w:noProof/>
        </w:rPr>
        <w:t>2015/0239 (COD)</w:t>
      </w:r>
    </w:p>
    <w:p w:rsidR="00835405" w:rsidRDefault="00AA79E6">
      <w:pPr>
        <w:pStyle w:val="Statut"/>
        <w:rPr>
          <w:noProof/>
        </w:rPr>
      </w:pPr>
      <w:r>
        <w:rPr>
          <w:noProof/>
        </w:rPr>
        <w:t>Ehdotus</w:t>
      </w:r>
    </w:p>
    <w:p w:rsidR="00835405" w:rsidRDefault="00AA79E6">
      <w:pPr>
        <w:pStyle w:val="Typedudocument"/>
        <w:rPr>
          <w:noProof/>
        </w:rPr>
      </w:pPr>
      <w:r>
        <w:rPr>
          <w:noProof/>
        </w:rPr>
        <w:t>EUROOPAN PARLAMENTIN JA NEUVOSTON ASETUS</w:t>
      </w:r>
    </w:p>
    <w:p w:rsidR="00835405" w:rsidRDefault="00AA79E6">
      <w:pPr>
        <w:pStyle w:val="Titreobjet"/>
        <w:rPr>
          <w:noProof/>
        </w:rPr>
      </w:pPr>
      <w:r>
        <w:rPr>
          <w:noProof/>
        </w:rPr>
        <w:t xml:space="preserve">maakaasun ja sähkön hintoja koskevista Euroopan tilastoista sekä yhteisön menettelyn toteuttamiseksi kaasusta ja sähköstä teollisilta käyttäjiltä </w:t>
      </w:r>
      <w:r>
        <w:rPr>
          <w:noProof/>
        </w:rPr>
        <w:t>perittävien hintojen avoimuuden takaamiseksi annetun Euroopan parlamentin ja neuvoston direktiivin 2008/92/EY kumoamisesta</w:t>
      </w:r>
    </w:p>
    <w:p w:rsidR="00835405" w:rsidRDefault="00AA79E6">
      <w:pPr>
        <w:pStyle w:val="IntrtEEE"/>
        <w:rPr>
          <w:noProof/>
        </w:rPr>
      </w:pPr>
      <w:r>
        <w:rPr>
          <w:noProof/>
        </w:rPr>
        <w:t>(ETA:n kannalta merkityksellinen teksti)</w:t>
      </w:r>
    </w:p>
    <w:p w:rsidR="00835405" w:rsidRDefault="00AA79E6">
      <w:pPr>
        <w:rPr>
          <w:noProof/>
        </w:rPr>
      </w:pPr>
      <w:r>
        <w:rPr>
          <w:noProof/>
        </w:rPr>
        <w:t>EUROOPAN PARLAMENTTI JA EUROOPAN UNIONIN NEUVOSTO, jotka</w:t>
      </w:r>
    </w:p>
    <w:p w:rsidR="00835405" w:rsidRDefault="00AA79E6">
      <w:pPr>
        <w:pStyle w:val="Titrearticle"/>
        <w:jc w:val="left"/>
        <w:rPr>
          <w:bCs/>
          <w:i w:val="0"/>
          <w:noProof/>
        </w:rPr>
      </w:pPr>
      <w:r>
        <w:rPr>
          <w:i w:val="0"/>
          <w:noProof/>
        </w:rPr>
        <w:t>ottavat huomioon Euroopan unionin t</w:t>
      </w:r>
      <w:r>
        <w:rPr>
          <w:i w:val="0"/>
          <w:noProof/>
        </w:rPr>
        <w:t>oiminnasta tehdyn sopimuksen ja erityisesti sen 338 artiklan 1 kohdan,</w:t>
      </w:r>
    </w:p>
    <w:p w:rsidR="00835405" w:rsidRDefault="00AA79E6">
      <w:pPr>
        <w:pStyle w:val="Titrearticle"/>
        <w:spacing w:before="0"/>
        <w:jc w:val="left"/>
        <w:rPr>
          <w:bCs/>
          <w:i w:val="0"/>
          <w:noProof/>
        </w:rPr>
      </w:pPr>
      <w:r>
        <w:rPr>
          <w:i w:val="0"/>
          <w:noProof/>
        </w:rPr>
        <w:t>ottavat huomioon Euroopan komission ehdotuksen,</w:t>
      </w:r>
    </w:p>
    <w:p w:rsidR="00835405" w:rsidRDefault="00AA79E6">
      <w:pPr>
        <w:pStyle w:val="Titrearticle"/>
        <w:spacing w:before="120"/>
        <w:jc w:val="left"/>
        <w:rPr>
          <w:bCs/>
          <w:i w:val="0"/>
          <w:noProof/>
        </w:rPr>
      </w:pPr>
      <w:r>
        <w:rPr>
          <w:i w:val="0"/>
          <w:noProof/>
        </w:rPr>
        <w:t>sen jälkeen, kun esitys lainsäätämisjärjestyksessä hyväksyttäväksi säädökseksi on toimitettu kansallisille parlamenteille,</w:t>
      </w:r>
    </w:p>
    <w:p w:rsidR="00835405" w:rsidRDefault="00AA79E6">
      <w:pPr>
        <w:pStyle w:val="Titrearticle"/>
        <w:spacing w:before="120"/>
        <w:jc w:val="left"/>
        <w:rPr>
          <w:bCs/>
          <w:i w:val="0"/>
          <w:noProof/>
        </w:rPr>
      </w:pPr>
      <w:r>
        <w:rPr>
          <w:i w:val="0"/>
          <w:noProof/>
        </w:rPr>
        <w:t>noudattavat ta</w:t>
      </w:r>
      <w:r>
        <w:rPr>
          <w:i w:val="0"/>
          <w:noProof/>
        </w:rPr>
        <w:t>vallista lainsäätämisjärjestystä,</w:t>
      </w:r>
      <w:r>
        <w:rPr>
          <w:rStyle w:val="FootnoteReference"/>
          <w:i w:val="0"/>
          <w:noProof/>
        </w:rPr>
        <w:footnoteReference w:id="1"/>
      </w:r>
    </w:p>
    <w:p w:rsidR="00835405" w:rsidRDefault="00AA79E6">
      <w:pPr>
        <w:pStyle w:val="Titrearticle"/>
        <w:spacing w:before="120"/>
        <w:jc w:val="left"/>
        <w:rPr>
          <w:bCs/>
          <w:i w:val="0"/>
          <w:noProof/>
        </w:rPr>
      </w:pPr>
      <w:r>
        <w:rPr>
          <w:i w:val="0"/>
          <w:noProof/>
        </w:rPr>
        <w:t>sekä katsovat seuraavaa:</w:t>
      </w:r>
    </w:p>
    <w:p w:rsidR="00835405" w:rsidRDefault="00AA79E6">
      <w:pPr>
        <w:pStyle w:val="ListNumber"/>
        <w:rPr>
          <w:noProof/>
        </w:rPr>
      </w:pPr>
      <w:r>
        <w:rPr>
          <w:noProof/>
        </w:rPr>
        <w:t>Kilpailukyky, kestävyys ja energiavarmuus ovat joustavan energiaunionin ja tulevaisuuteen suuntautuvan ilmastonmuutospolitiikan yleiset tavoitteet.</w:t>
      </w:r>
    </w:p>
    <w:p w:rsidR="00835405" w:rsidRDefault="00AA79E6">
      <w:pPr>
        <w:pStyle w:val="ListNumber"/>
        <w:rPr>
          <w:noProof/>
        </w:rPr>
      </w:pPr>
      <w:r>
        <w:rPr>
          <w:noProof/>
        </w:rPr>
        <w:t>Energiaunionipolitiikan laatimista ja jäsenvalti</w:t>
      </w:r>
      <w:r>
        <w:rPr>
          <w:noProof/>
        </w:rPr>
        <w:t>oiden energiamarkkinoiden seurantaa varten tarvitaan laadukasta, vertailukelpoista, ajantasaista, luotettavaa ja yhdenmukaistettua tietoa.</w:t>
      </w:r>
    </w:p>
    <w:p w:rsidR="00835405" w:rsidRDefault="00AA79E6">
      <w:pPr>
        <w:pStyle w:val="ListNumber"/>
        <w:rPr>
          <w:bCs/>
          <w:noProof/>
        </w:rPr>
      </w:pPr>
      <w:r>
        <w:rPr>
          <w:noProof/>
        </w:rPr>
        <w:t>Tämän asetuksen tarkoituksena on Euroopan tilastojen tuottaminen erityisesti sellaisen energiapolitiikan tueksi, jonk</w:t>
      </w:r>
      <w:r>
        <w:rPr>
          <w:noProof/>
        </w:rPr>
        <w:t>a tavoitteena on täysin yhdennettyjen energian sisämarkkinoiden luominen asiakkaille. Markkinoiden yhdentymisen edistämiseksi läpinäkyvyyttä olisi lisättävä energian kustannusten ja hintojen sekä julkisen tuen määrän osalta.</w:t>
      </w:r>
    </w:p>
    <w:p w:rsidR="00835405" w:rsidRDefault="00AA79E6">
      <w:pPr>
        <w:pStyle w:val="ListNumber"/>
        <w:rPr>
          <w:bCs/>
          <w:noProof/>
        </w:rPr>
      </w:pPr>
      <w:r>
        <w:rPr>
          <w:noProof/>
        </w:rPr>
        <w:t>Tähän asti Euroopan parlamentin</w:t>
      </w:r>
      <w:r>
        <w:rPr>
          <w:noProof/>
        </w:rPr>
        <w:t xml:space="preserve"> ja neuvoston direktiivi 2008/92/EY</w:t>
      </w:r>
      <w:r>
        <w:rPr>
          <w:rStyle w:val="FootnoteReference"/>
          <w:noProof/>
        </w:rPr>
        <w:footnoteReference w:id="2"/>
      </w:r>
      <w:r>
        <w:rPr>
          <w:noProof/>
        </w:rPr>
        <w:t xml:space="preserve"> on tarjonnut yhteisen kehyksen unionissa teollisuusasiakkailta veloitettuja maakaasun ja sähkön vähittäishintoja koskevien vertailukelpoisten tilastotietojen tuottamista, siirtämistä ja levittämistä varten.</w:t>
      </w:r>
    </w:p>
    <w:p w:rsidR="00835405" w:rsidRDefault="00AA79E6">
      <w:pPr>
        <w:pStyle w:val="ListNumber"/>
        <w:rPr>
          <w:bCs/>
          <w:noProof/>
        </w:rPr>
      </w:pPr>
      <w:r>
        <w:rPr>
          <w:noProof/>
        </w:rPr>
        <w:t>Kotitalousse</w:t>
      </w:r>
      <w:r>
        <w:rPr>
          <w:noProof/>
        </w:rPr>
        <w:t>ktorin loppukäyttäjiltä veloitettuja maakaasun ja sähkön vähittäishintoja koskevia tietoja on tähän asti kerätty vapaaehtoisen sopimuksen perusteella.</w:t>
      </w:r>
    </w:p>
    <w:p w:rsidR="00835405" w:rsidRDefault="00AA79E6">
      <w:pPr>
        <w:pStyle w:val="ListNumber"/>
        <w:rPr>
          <w:bCs/>
          <w:noProof/>
        </w:rPr>
      </w:pPr>
      <w:r>
        <w:rPr>
          <w:noProof/>
        </w:rPr>
        <w:t xml:space="preserve">Energian sisämarkkinoiden muuttuessa jatkuvasti mutkikkaammiksi on maakaasun ja sähkön hintoja koskevien </w:t>
      </w:r>
      <w:r>
        <w:rPr>
          <w:noProof/>
        </w:rPr>
        <w:t>luotettavien ja ajantasaisten tietojen saaminen yhä vaikeampaa, kun kyseisten tietojen toimittamista koskevat oikeudellisesti sitovat velvoitteet puuttuvat etenkin kotitaloussektorin osalta.</w:t>
      </w:r>
    </w:p>
    <w:p w:rsidR="00835405" w:rsidRDefault="00AA79E6">
      <w:pPr>
        <w:pStyle w:val="ListNumber"/>
        <w:rPr>
          <w:bCs/>
          <w:noProof/>
        </w:rPr>
      </w:pPr>
      <w:r>
        <w:rPr>
          <w:noProof/>
        </w:rPr>
        <w:t xml:space="preserve">Jotta voidaan varmistaa laadukkaiden hintatietojen ilmoittaminen </w:t>
      </w:r>
      <w:r>
        <w:rPr>
          <w:noProof/>
        </w:rPr>
        <w:t>sekä kotitaloussektorilta että muulta kuin kotitaloussektorilta, kummankin tyypin tietojen keruuta olisi säänneltävä säädöksellä.</w:t>
      </w:r>
    </w:p>
    <w:p w:rsidR="00835405" w:rsidRDefault="00AA79E6">
      <w:pPr>
        <w:pStyle w:val="ListNumber"/>
        <w:rPr>
          <w:noProof/>
        </w:rPr>
      </w:pPr>
      <w:r>
        <w:rPr>
          <w:noProof/>
        </w:rPr>
        <w:t>Useimmissa maissa on käytettävissä siirtoverkkoja koskevia tietoja, jotka saadaan energia-alan sääntelyviranomaisilta. Jakeluk</w:t>
      </w:r>
      <w:r>
        <w:rPr>
          <w:noProof/>
        </w:rPr>
        <w:t>ustannuksia koskevia tietoja kerää kuitenkin paljon suurempi määrä toimijoita, ja joissakin jäsenvaltioissa kyseisistä tiedoista ilmoittaminen nähdään haasteellisemmaksi. Kun otetaan huomioon jakelukustannusten merkitys ja niihin liittyvä läpinäkyvyyden ta</w:t>
      </w:r>
      <w:r>
        <w:rPr>
          <w:noProof/>
        </w:rPr>
        <w:t>rve, on välttämätöntä yhdenmukaistaa tietojen keruuta luotettaviin menetelmiin nojaten.</w:t>
      </w:r>
    </w:p>
    <w:p w:rsidR="00835405" w:rsidRDefault="00AA79E6">
      <w:pPr>
        <w:pStyle w:val="ListNumber"/>
        <w:rPr>
          <w:bCs/>
          <w:noProof/>
        </w:rPr>
      </w:pPr>
      <w:r>
        <w:rPr>
          <w:noProof/>
        </w:rPr>
        <w:t>Komission (Eurostatin) hintajulkaisuissaan käyttämän kulutusluokituksen olisi varmistettava markkinoiden läpinäkyvyys ja muiden kuin luottamuksellisten hintatietojen la</w:t>
      </w:r>
      <w:r>
        <w:rPr>
          <w:noProof/>
        </w:rPr>
        <w:t>aja levitys ja mahdollistaa Euroopan tason aggregaattien laskeminen.</w:t>
      </w:r>
    </w:p>
    <w:p w:rsidR="00835405" w:rsidRDefault="00AA79E6">
      <w:pPr>
        <w:pStyle w:val="ListNumber"/>
        <w:rPr>
          <w:bCs/>
          <w:noProof/>
        </w:rPr>
      </w:pPr>
      <w:r>
        <w:rPr>
          <w:noProof/>
        </w:rPr>
        <w:t>Euroopan parlamentin ja neuvoston asetuksessa (EY) N:o 223/2009</w:t>
      </w:r>
      <w:r>
        <w:rPr>
          <w:rStyle w:val="FootnoteReference"/>
          <w:noProof/>
        </w:rPr>
        <w:footnoteReference w:id="3"/>
      </w:r>
      <w:r>
        <w:rPr>
          <w:noProof/>
        </w:rPr>
        <w:t xml:space="preserve"> edellytetään tilastojen keräämistä puolueettomuuden, avoimuuden, luotettavuuden, objektiivisuuden, ammatillisen riippumatt</w:t>
      </w:r>
      <w:r>
        <w:rPr>
          <w:noProof/>
        </w:rPr>
        <w:t>omuuden ja kustannustehokkuuden periaatteiden mukaisesti ja tilastosalaisuutta suojaten.</w:t>
      </w:r>
    </w:p>
    <w:p w:rsidR="00835405" w:rsidRDefault="00AA79E6">
      <w:pPr>
        <w:pStyle w:val="ListNumber"/>
        <w:rPr>
          <w:bCs/>
          <w:noProof/>
        </w:rPr>
      </w:pPr>
      <w:r>
        <w:rPr>
          <w:noProof/>
        </w:rPr>
        <w:t>Loppukäyttäjiltä veloitettuja maakaasun ja sähkön hintoja koskevan tiedon olisi mahdollistettava vertailut muiden energiahyödykkeiden hintojen kanssa.</w:t>
      </w:r>
    </w:p>
    <w:p w:rsidR="00835405" w:rsidRDefault="00AA79E6">
      <w:pPr>
        <w:pStyle w:val="ListNumber"/>
        <w:rPr>
          <w:bCs/>
          <w:noProof/>
        </w:rPr>
      </w:pPr>
      <w:r>
        <w:rPr>
          <w:noProof/>
        </w:rPr>
        <w:t>Hintatietojen ke</w:t>
      </w:r>
      <w:r>
        <w:rPr>
          <w:noProof/>
        </w:rPr>
        <w:t>ruuta ja niiden laatua koskeva informaatio olisi ilmoitettava osana tavanomaista ilmoitusmenettelyä.</w:t>
      </w:r>
    </w:p>
    <w:p w:rsidR="00835405" w:rsidRDefault="00AA79E6">
      <w:pPr>
        <w:pStyle w:val="ListNumber"/>
        <w:rPr>
          <w:bCs/>
          <w:noProof/>
        </w:rPr>
      </w:pPr>
      <w:r>
        <w:rPr>
          <w:noProof/>
        </w:rPr>
        <w:t>Kulutusluokituksen yksityiskohtainen erittely ja kunkin luokan markkinaosuus ovat olennainen osa maakaasun ja sähkön hintatilastoja.</w:t>
      </w:r>
    </w:p>
    <w:p w:rsidR="00835405" w:rsidRDefault="00AA79E6">
      <w:pPr>
        <w:pStyle w:val="ListNumber"/>
        <w:rPr>
          <w:bCs/>
          <w:noProof/>
        </w:rPr>
      </w:pPr>
      <w:r>
        <w:rPr>
          <w:noProof/>
        </w:rPr>
        <w:t>Hinta-analyysin tekemi</w:t>
      </w:r>
      <w:r>
        <w:rPr>
          <w:noProof/>
        </w:rPr>
        <w:t>nen on mahdollista vain, jos jäsenvaltioilta saadaan käyttöön maakaasun ja sähkön hintojen eri komponenttien ja osakomponenttien osalta laadukkaat viralliset tilastot. Tarkistetun menetelmän avulla tuotetaan loppukäyttäjiltä veloitettujen maakaasun ja sähk</w:t>
      </w:r>
      <w:r>
        <w:rPr>
          <w:noProof/>
        </w:rPr>
        <w:t>ön hintojen eri komponentteja ja osakomponentteja koskeva yksityiskohtainen erittely, ja sen ansiosta on mahdollista analysoida, kuinka eri tekijät vaikuttavat lopullisiin hintoihin.</w:t>
      </w:r>
    </w:p>
    <w:p w:rsidR="00835405" w:rsidRDefault="00AA79E6">
      <w:pPr>
        <w:pStyle w:val="ListNumber"/>
        <w:rPr>
          <w:bCs/>
          <w:noProof/>
        </w:rPr>
      </w:pPr>
      <w:r>
        <w:rPr>
          <w:noProof/>
        </w:rPr>
        <w:t>Komissiolle (Eurostatille) hinnoista ja loppukäyttäjiin sovellettavista m</w:t>
      </w:r>
      <w:r>
        <w:rPr>
          <w:noProof/>
        </w:rPr>
        <w:t>yyntiehdoista toimitettujen tietojen sekä kussakin kuluttajaluokassa tapahtuneeseen kulutukseen perustuvan loppukäyttäjien jaottelun olisi tarjottava komissiolle tarvittavat tiedot, jotta se voi tehdä päätöksiä aiheellisista energiapolitiikkaan liittyvistä</w:t>
      </w:r>
      <w:r>
        <w:rPr>
          <w:noProof/>
        </w:rPr>
        <w:t xml:space="preserve"> toimenpiteistä ja ehdotuksista.</w:t>
      </w:r>
    </w:p>
    <w:p w:rsidR="00835405" w:rsidRDefault="00AA79E6">
      <w:pPr>
        <w:pStyle w:val="ListNumber"/>
        <w:rPr>
          <w:bCs/>
          <w:noProof/>
        </w:rPr>
      </w:pPr>
      <w:r>
        <w:rPr>
          <w:noProof/>
        </w:rPr>
        <w:t>Hintojen läpinäkyvyyden takaamiseksi on tunnettava hyvin kunkin jäsenvaltion verot ja maksut. On todettu olevan tärkeää eritellä verkkokustannuksia, maksuja, veroja, veroluonteisia maksuja ja korvauksia koskevat tiedot.</w:t>
      </w:r>
    </w:p>
    <w:p w:rsidR="00835405" w:rsidRDefault="00AA79E6">
      <w:pPr>
        <w:pStyle w:val="ListNumber"/>
        <w:rPr>
          <w:bCs/>
          <w:noProof/>
        </w:rPr>
      </w:pPr>
      <w:r>
        <w:rPr>
          <w:noProof/>
        </w:rPr>
        <w:t>Jäs</w:t>
      </w:r>
      <w:r>
        <w:rPr>
          <w:noProof/>
        </w:rPr>
        <w:t>envaltiot, joissa maakaasun kulutuksen osuus kotitalouksien lopullisesta energiankulutuksesta on pieni, olisi vapautettava velvoitteesta ilmoittaa tiedot lopullisilta kotitalousasiakkailta veloitetuista maakaasun hinnoista.</w:t>
      </w:r>
    </w:p>
    <w:p w:rsidR="00835405" w:rsidRDefault="00AA79E6">
      <w:pPr>
        <w:pStyle w:val="ListNumber"/>
        <w:rPr>
          <w:bCs/>
          <w:noProof/>
        </w:rPr>
      </w:pPr>
      <w:r>
        <w:rPr>
          <w:noProof/>
        </w:rPr>
        <w:t>Tietojen luotettavuuden parantam</w:t>
      </w:r>
      <w:r>
        <w:rPr>
          <w:noProof/>
        </w:rPr>
        <w:t>iseksi komission (Eurostatin) olisi yhdessä jäsenvaltioiden kanssa arvioitava ja tarvittaessa parannettava tietojen keruu- ja käsittelymenetelmiä seikkaperäisesti tilastojen hallintokehykseen soveltuvalla tavalla. Tästä syystä olisi säännöllisesti laaditta</w:t>
      </w:r>
      <w:r>
        <w:rPr>
          <w:noProof/>
        </w:rPr>
        <w:t>va laaturaportteja ja arvioitava hintatietojen laatua.</w:t>
      </w:r>
    </w:p>
    <w:p w:rsidR="00835405" w:rsidRDefault="00AA79E6">
      <w:pPr>
        <w:pStyle w:val="ListNumber"/>
        <w:rPr>
          <w:noProof/>
        </w:rPr>
      </w:pPr>
      <w:r>
        <w:rPr>
          <w:noProof/>
        </w:rPr>
        <w:t xml:space="preserve">Jäsenvaltion perustellusta pyynnöstä komissio voi myöntää jäsenvaltioille poikkeuksia sellaisista yksittäisistä velvoitteista, joiden osalta tämän asetuksen soveltaminen jäsenvaltion kansalliseen </w:t>
      </w:r>
      <w:r>
        <w:rPr>
          <w:noProof/>
        </w:rPr>
        <w:t>tilastointijärjestelmään vaatii huomattavia mukautuksia ja todennäköisesti lisää merkittävästi vastausrasitetta.</w:t>
      </w:r>
    </w:p>
    <w:p w:rsidR="00835405" w:rsidRDefault="00AA79E6">
      <w:pPr>
        <w:pStyle w:val="ListNumber"/>
        <w:rPr>
          <w:noProof/>
        </w:rPr>
      </w:pPr>
      <w:r>
        <w:rPr>
          <w:noProof/>
        </w:rPr>
        <w:t>Jotta jäsenvaltioiden toimittamat tiedot säilyisivät laadukkaina, komissiolle olisi siirrettävä valta hyväksyä Euroopan unionin toiminnasta teh</w:t>
      </w:r>
      <w:r>
        <w:rPr>
          <w:noProof/>
        </w:rPr>
        <w:t>dyn sopimuksen 290 artiklan mukaisesti säädösvallan siirron nojalla annettavia delegoituja säädöksiä maakaasun markkinoihin mahdollisesti sovellettavien kynnysarvojen mukauttamiseksi. On erityisen tärkeää, että komissio asiaa valmistellessaan toteuttaa asi</w:t>
      </w:r>
      <w:r>
        <w:rPr>
          <w:noProof/>
        </w:rPr>
        <w:t>anmukaiset kuulemiset, myös asiantuntijatasolla. Komission olisi delegoituja säädöksiä valmistellessaan ja laatiessaan varmistettava, että asianomaiset asiakirjat toimitetaan Euroopan parlamentille ja neuvostolle yhtäaikaisesti, hyvissä ajoin ja asianmukai</w:t>
      </w:r>
      <w:r>
        <w:rPr>
          <w:noProof/>
        </w:rPr>
        <w:t>sesti.</w:t>
      </w:r>
    </w:p>
    <w:p w:rsidR="00835405" w:rsidRDefault="00AA79E6">
      <w:pPr>
        <w:pStyle w:val="ListNumber"/>
        <w:rPr>
          <w:noProof/>
        </w:rPr>
      </w:pPr>
      <w:r>
        <w:rPr>
          <w:noProof/>
        </w:rPr>
        <w:t>Komission olisi varmistettava, ettei näistä delegoiduista säädöksistä aiheudu huomattavaa hallinnollista lisärasitetta jäsenvaltioille tai vastaajille.</w:t>
      </w:r>
    </w:p>
    <w:p w:rsidR="00835405" w:rsidRDefault="00AA79E6">
      <w:pPr>
        <w:pStyle w:val="ListNumber"/>
        <w:rPr>
          <w:bCs/>
          <w:noProof/>
        </w:rPr>
      </w:pPr>
      <w:r>
        <w:rPr>
          <w:noProof/>
        </w:rPr>
        <w:t>Jotta voidaan varmistaa tämän asetuksen yhdenmukainen täytäntöönpano, komissiolle olisi siirrettä</w:t>
      </w:r>
      <w:r>
        <w:rPr>
          <w:noProof/>
        </w:rPr>
        <w:t>vä täytäntöönpanovaltaa tietojen toimittamismuodon ja -järjestelyjen, laaturaportteja koskevien vaatimusten ja raportin rakenteen ja vertailukelpoisuuden sekä poikkeusten myöntämisen osalta. Tätä valtaa olisi käytettävä yleisistä säännöistä ja periaatteist</w:t>
      </w:r>
      <w:r>
        <w:rPr>
          <w:noProof/>
        </w:rPr>
        <w:t>a, joiden mukaisesti jäsenvaltiot valvovat komission täytäntöönpanovallan käyttöä, 16 päivänä helmikuuta 2011 annetun Euroopan parlamentin ja neuvoston asetuksen (EU) N:o 182/2011 mukaisesti.</w:t>
      </w:r>
    </w:p>
    <w:p w:rsidR="00835405" w:rsidRDefault="00AA79E6">
      <w:pPr>
        <w:pStyle w:val="ListNumber"/>
        <w:rPr>
          <w:bCs/>
          <w:noProof/>
        </w:rPr>
      </w:pPr>
      <w:r>
        <w:rPr>
          <w:noProof/>
        </w:rPr>
        <w:t>Kumotaan direktiivi 2008/92/EY.</w:t>
      </w:r>
    </w:p>
    <w:p w:rsidR="00835405" w:rsidRDefault="00AA79E6">
      <w:pPr>
        <w:pStyle w:val="ListNumber"/>
        <w:rPr>
          <w:bCs/>
          <w:noProof/>
        </w:rPr>
      </w:pPr>
      <w:r>
        <w:rPr>
          <w:noProof/>
        </w:rPr>
        <w:t>Euroopan tilastojärjestelmää käs</w:t>
      </w:r>
      <w:r>
        <w:rPr>
          <w:noProof/>
        </w:rPr>
        <w:t>ittelevää komiteaa on kuultu,</w:t>
      </w:r>
    </w:p>
    <w:p w:rsidR="00835405" w:rsidRDefault="00AA79E6">
      <w:pPr>
        <w:pStyle w:val="Titrearticle"/>
        <w:jc w:val="left"/>
        <w:rPr>
          <w:bCs/>
          <w:i w:val="0"/>
          <w:noProof/>
        </w:rPr>
      </w:pPr>
      <w:r>
        <w:rPr>
          <w:i w:val="0"/>
          <w:noProof/>
        </w:rPr>
        <w:br w:type="page"/>
      </w:r>
      <w:r>
        <w:rPr>
          <w:i w:val="0"/>
          <w:noProof/>
        </w:rPr>
        <w:t>OVAT HYVÄKSYNEET TÄMÄN ASETUKSEN:</w:t>
      </w:r>
    </w:p>
    <w:p w:rsidR="00835405" w:rsidRDefault="00AA79E6">
      <w:pPr>
        <w:pStyle w:val="Titrearticle"/>
        <w:rPr>
          <w:noProof/>
        </w:rPr>
      </w:pPr>
      <w:r>
        <w:rPr>
          <w:noProof/>
        </w:rPr>
        <w:t>1 artikla</w:t>
      </w:r>
    </w:p>
    <w:p w:rsidR="00835405" w:rsidRDefault="00AA79E6">
      <w:pPr>
        <w:jc w:val="center"/>
        <w:rPr>
          <w:b/>
          <w:noProof/>
        </w:rPr>
      </w:pPr>
      <w:r>
        <w:rPr>
          <w:b/>
          <w:noProof/>
        </w:rPr>
        <w:t>Kohde</w:t>
      </w:r>
    </w:p>
    <w:p w:rsidR="00835405" w:rsidRDefault="00AA79E6">
      <w:pPr>
        <w:tabs>
          <w:tab w:val="left" w:pos="0"/>
        </w:tabs>
        <w:rPr>
          <w:noProof/>
        </w:rPr>
      </w:pPr>
      <w:r>
        <w:rPr>
          <w:noProof/>
        </w:rPr>
        <w:t xml:space="preserve">Tässä asetuksessa vahvistetaan yhteinen kehys kotitalousasiakkailta ja muilta loppukäyttäjiltä EU:ssa veloitettuja maakaasun ja sähkön hintoja koskevien vertailukelpoisten </w:t>
      </w:r>
      <w:r>
        <w:rPr>
          <w:noProof/>
        </w:rPr>
        <w:t>Euroopan tilastojen kehittämiseksi, tuottamiseksi ja levittämiseksi.</w:t>
      </w:r>
    </w:p>
    <w:p w:rsidR="00835405" w:rsidRDefault="00AA79E6">
      <w:pPr>
        <w:pStyle w:val="Titrearticle"/>
        <w:rPr>
          <w:noProof/>
        </w:rPr>
      </w:pPr>
      <w:r>
        <w:rPr>
          <w:noProof/>
        </w:rPr>
        <w:t>2 artikla</w:t>
      </w:r>
    </w:p>
    <w:p w:rsidR="00835405" w:rsidRDefault="00AA79E6">
      <w:pPr>
        <w:jc w:val="center"/>
        <w:rPr>
          <w:b/>
          <w:noProof/>
        </w:rPr>
      </w:pPr>
      <w:r>
        <w:rPr>
          <w:b/>
          <w:noProof/>
        </w:rPr>
        <w:t>Määritelmät</w:t>
      </w:r>
    </w:p>
    <w:p w:rsidR="00835405" w:rsidRDefault="00AA79E6">
      <w:pPr>
        <w:rPr>
          <w:noProof/>
        </w:rPr>
      </w:pPr>
      <w:r>
        <w:rPr>
          <w:noProof/>
        </w:rPr>
        <w:t>Tässä asetuksessa tarkoitetaan</w:t>
      </w:r>
    </w:p>
    <w:p w:rsidR="00835405" w:rsidRDefault="00AA79E6">
      <w:pPr>
        <w:pStyle w:val="Point0number"/>
        <w:numPr>
          <w:ilvl w:val="0"/>
          <w:numId w:val="10"/>
        </w:numPr>
        <w:rPr>
          <w:noProof/>
        </w:rPr>
      </w:pPr>
      <w:r>
        <w:rPr>
          <w:noProof/>
        </w:rPr>
        <w:t>’kotitaloudella’, ’energian loppukäytöllä’ ja ’omaan käyttöön tuottajilla’ samaa kuin Euroopan parlamentin ja neuvoston asetuksen (EY)</w:t>
      </w:r>
      <w:r>
        <w:rPr>
          <w:noProof/>
        </w:rPr>
        <w:t xml:space="preserve"> N:o 1099/2008</w:t>
      </w:r>
      <w:r>
        <w:rPr>
          <w:rStyle w:val="FootnoteReference"/>
          <w:noProof/>
        </w:rPr>
        <w:footnoteReference w:id="4"/>
      </w:r>
      <w:r>
        <w:rPr>
          <w:noProof/>
        </w:rPr>
        <w:t xml:space="preserve"> liitteessä A;</w:t>
      </w:r>
    </w:p>
    <w:p w:rsidR="00835405" w:rsidRDefault="00AA79E6">
      <w:pPr>
        <w:pStyle w:val="Point0number"/>
        <w:numPr>
          <w:ilvl w:val="0"/>
          <w:numId w:val="10"/>
        </w:numPr>
        <w:rPr>
          <w:noProof/>
        </w:rPr>
      </w:pPr>
      <w:r>
        <w:rPr>
          <w:noProof/>
        </w:rPr>
        <w:t>’asiakkaalla’, ’loppukäyttäjällä’, ’kotitalousasiakkaalla’, ’muulla kuin kotitalousasiakkaalla’, ’siirrolla’, ’jakelulla’ ja ’toimituksella’ sähkön yhteydessä samaa kuin Euroopan parlamentin ja neuvoston direktiivissä 2009/72/</w:t>
      </w:r>
      <w:r>
        <w:rPr>
          <w:noProof/>
        </w:rPr>
        <w:t>EY</w:t>
      </w:r>
      <w:r>
        <w:rPr>
          <w:rStyle w:val="FootnoteReference"/>
          <w:noProof/>
        </w:rPr>
        <w:footnoteReference w:id="5"/>
      </w:r>
      <w:r>
        <w:rPr>
          <w:noProof/>
        </w:rPr>
        <w:t>, kun niitä käytetään sähkön yhteydessä;</w:t>
      </w:r>
    </w:p>
    <w:p w:rsidR="00835405" w:rsidRDefault="00AA79E6">
      <w:pPr>
        <w:pStyle w:val="Point0number"/>
        <w:numPr>
          <w:ilvl w:val="0"/>
          <w:numId w:val="10"/>
        </w:numPr>
        <w:rPr>
          <w:noProof/>
        </w:rPr>
      </w:pPr>
      <w:r>
        <w:rPr>
          <w:noProof/>
        </w:rPr>
        <w:t>’asiakkaalla’, ’loppukäyttäjällä’, ’kotitalousasiakkaalla’, ’muulla kuin kotitalousasiakkaalla’, ’siirrolla”, ’jakelulla’ ja ’toimituksella’ maakaasun yhteydessä samaa kuin Euroopan parlamentin ja neuvoston direk</w:t>
      </w:r>
      <w:r>
        <w:rPr>
          <w:noProof/>
        </w:rPr>
        <w:t>tiivissä 2009/73/EY</w:t>
      </w:r>
      <w:r>
        <w:rPr>
          <w:rStyle w:val="FootnoteReference"/>
          <w:noProof/>
        </w:rPr>
        <w:footnoteReference w:id="6"/>
      </w:r>
      <w:r>
        <w:rPr>
          <w:noProof/>
        </w:rPr>
        <w:t>, kun niitä käytetään maakaasun yhteydessä;</w:t>
      </w:r>
    </w:p>
    <w:p w:rsidR="00835405" w:rsidRDefault="00AA79E6">
      <w:pPr>
        <w:pStyle w:val="Point0number"/>
        <w:numPr>
          <w:ilvl w:val="0"/>
          <w:numId w:val="10"/>
        </w:numPr>
        <w:rPr>
          <w:noProof/>
        </w:rPr>
      </w:pPr>
      <w:r>
        <w:rPr>
          <w:noProof/>
        </w:rPr>
        <w:t>’verkkokomponentilla’ jakelu- ja siirtoverkkokustannusten yhdistelmää, jota tarkoitetaan liitteessä I olevassa 6 kohdassa ja liitteessä II olevassa 5 kohdassa.</w:t>
      </w:r>
    </w:p>
    <w:p w:rsidR="00835405" w:rsidRDefault="00AA79E6">
      <w:pPr>
        <w:pStyle w:val="Titrearticle"/>
        <w:rPr>
          <w:noProof/>
        </w:rPr>
      </w:pPr>
      <w:r>
        <w:rPr>
          <w:noProof/>
        </w:rPr>
        <w:t>3 artikla</w:t>
      </w:r>
    </w:p>
    <w:p w:rsidR="00835405" w:rsidRDefault="00AA79E6">
      <w:pPr>
        <w:jc w:val="center"/>
        <w:rPr>
          <w:b/>
          <w:noProof/>
        </w:rPr>
      </w:pPr>
      <w:r>
        <w:rPr>
          <w:b/>
          <w:noProof/>
        </w:rPr>
        <w:t>Tietolähteet</w:t>
      </w:r>
    </w:p>
    <w:p w:rsidR="00835405" w:rsidRDefault="00AA79E6">
      <w:pPr>
        <w:tabs>
          <w:tab w:val="left" w:pos="0"/>
        </w:tabs>
        <w:rPr>
          <w:noProof/>
        </w:rPr>
      </w:pPr>
      <w:r>
        <w:rPr>
          <w:noProof/>
        </w:rPr>
        <w:t>Jäsenvalt</w:t>
      </w:r>
      <w:r>
        <w:rPr>
          <w:noProof/>
        </w:rPr>
        <w:t>ioiden on koottava yhteen tietoja maakaasun ja sähkön hinnoista ja hintojen osakomponenteista (liitteissä I ja II tarkoitetut verkkokustannukset ja verot, veronluonteiset maksut ja muut maksut) ja kulutusmääristä sekä laadittava laaturaportti pienemmän vas</w:t>
      </w:r>
      <w:r>
        <w:rPr>
          <w:noProof/>
        </w:rPr>
        <w:t>tausrasitteen ja hallinnon yksinkertaistamisen periaatteita noudattaen ja käyttäen seuraavia lähteitä:</w:t>
      </w:r>
    </w:p>
    <w:p w:rsidR="00835405" w:rsidRDefault="00AA79E6">
      <w:pPr>
        <w:pStyle w:val="Point0letter"/>
        <w:numPr>
          <w:ilvl w:val="1"/>
          <w:numId w:val="20"/>
        </w:numPr>
        <w:rPr>
          <w:noProof/>
        </w:rPr>
      </w:pPr>
      <w:r>
        <w:rPr>
          <w:noProof/>
        </w:rPr>
        <w:t>yksittäiset tuottajia tai välittäjiä, siirto- ja jakeluverkonhaltijoita, energiatuotteiden tuojia tai viejiä sekä toimittajia koskevat maakaasun ja sähkö</w:t>
      </w:r>
      <w:r>
        <w:rPr>
          <w:noProof/>
        </w:rPr>
        <w:t>n vähittäishintoihin liittyvät tilastotutkimukset;</w:t>
      </w:r>
    </w:p>
    <w:p w:rsidR="00835405" w:rsidRDefault="00AA79E6">
      <w:pPr>
        <w:pStyle w:val="Point0letter"/>
        <w:numPr>
          <w:ilvl w:val="1"/>
          <w:numId w:val="20"/>
        </w:numPr>
        <w:rPr>
          <w:noProof/>
        </w:rPr>
      </w:pPr>
      <w:r>
        <w:rPr>
          <w:noProof/>
        </w:rPr>
        <w:t>muut kotitaloussektorin asiakkaita ja muun kuin kotitaloussektorin asiakkaita koskevat tilastotutkimukset;</w:t>
      </w:r>
    </w:p>
    <w:p w:rsidR="00835405" w:rsidRDefault="00AA79E6">
      <w:pPr>
        <w:pStyle w:val="Point0letter"/>
        <w:numPr>
          <w:ilvl w:val="1"/>
          <w:numId w:val="20"/>
        </w:numPr>
        <w:rPr>
          <w:noProof/>
        </w:rPr>
      </w:pPr>
      <w:r>
        <w:rPr>
          <w:noProof/>
        </w:rPr>
        <w:t>hallinnolliset lähteet, kuten kansallisten maakaasu- ja sähkömarkkinoita sääntelevien viranomaiste</w:t>
      </w:r>
      <w:r>
        <w:rPr>
          <w:noProof/>
        </w:rPr>
        <w:t>n ylläpitämät lähteet;</w:t>
      </w:r>
    </w:p>
    <w:p w:rsidR="00835405" w:rsidRDefault="00AA79E6">
      <w:pPr>
        <w:pStyle w:val="Point0letter"/>
        <w:numPr>
          <w:ilvl w:val="1"/>
          <w:numId w:val="20"/>
        </w:numPr>
        <w:rPr>
          <w:noProof/>
        </w:rPr>
      </w:pPr>
      <w:r>
        <w:rPr>
          <w:noProof/>
        </w:rPr>
        <w:t>muut lähteet, joissa käytetään luotettavia tilastollisia estimointimenetelmiä.</w:t>
      </w:r>
    </w:p>
    <w:p w:rsidR="00835405" w:rsidRDefault="00AA79E6">
      <w:pPr>
        <w:jc w:val="center"/>
        <w:rPr>
          <w:noProof/>
        </w:rPr>
      </w:pPr>
      <w:r>
        <w:rPr>
          <w:noProof/>
        </w:rPr>
        <w:t>4 artikla</w:t>
      </w:r>
    </w:p>
    <w:p w:rsidR="00835405" w:rsidRDefault="00AA79E6">
      <w:pPr>
        <w:jc w:val="center"/>
        <w:rPr>
          <w:b/>
          <w:noProof/>
        </w:rPr>
      </w:pPr>
      <w:r>
        <w:rPr>
          <w:b/>
          <w:noProof/>
        </w:rPr>
        <w:t>Kattavuus</w:t>
      </w:r>
    </w:p>
    <w:p w:rsidR="00835405" w:rsidRDefault="00AA79E6">
      <w:pPr>
        <w:pStyle w:val="Point0number"/>
        <w:numPr>
          <w:ilvl w:val="0"/>
          <w:numId w:val="11"/>
        </w:numPr>
        <w:rPr>
          <w:noProof/>
        </w:rPr>
      </w:pPr>
      <w:r>
        <w:rPr>
          <w:noProof/>
        </w:rPr>
        <w:t>Jäsenvaltioiden on varmistettava, että tietojen keruu- ja laadintajärjestelmä on edustava.</w:t>
      </w:r>
    </w:p>
    <w:p w:rsidR="00835405" w:rsidRDefault="00AA79E6">
      <w:pPr>
        <w:pStyle w:val="Point0number"/>
        <w:numPr>
          <w:ilvl w:val="0"/>
          <w:numId w:val="11"/>
        </w:numPr>
        <w:rPr>
          <w:noProof/>
        </w:rPr>
      </w:pPr>
      <w:r>
        <w:rPr>
          <w:noProof/>
        </w:rPr>
        <w:t xml:space="preserve">Jäsenvaltiot eivät ole velvollisia </w:t>
      </w:r>
      <w:r>
        <w:rPr>
          <w:noProof/>
        </w:rPr>
        <w:t>toimittamaan komissiolle (Eurostatille) maakaasun hintatietoja kotitalousasiakkaiden osalta, jos maakaasun kulutus kotitaloussektorilla on alle kynnysarvon, joka on 1 prosentti kansallisesta energian kokonaiskulutuksesta kotitaloussektorilla. Komissio (Eur</w:t>
      </w:r>
      <w:r>
        <w:rPr>
          <w:noProof/>
        </w:rPr>
        <w:t>ostat) tarkistaa säännöllisesti vähintään kolmen vuoden välein, missä jäsenvaltioissa täyttyvät kotitaloussektorilla toteutuneen maakaasun kulutuksen osalta edellytykset sille, ettei tietojen ilmoittamisvelvoitetta sovelleta.</w:t>
      </w:r>
    </w:p>
    <w:p w:rsidR="00835405" w:rsidRDefault="00AA79E6">
      <w:pPr>
        <w:pStyle w:val="Point0number"/>
        <w:numPr>
          <w:ilvl w:val="0"/>
          <w:numId w:val="11"/>
        </w:numPr>
        <w:rPr>
          <w:noProof/>
        </w:rPr>
      </w:pPr>
      <w:r>
        <w:rPr>
          <w:noProof/>
        </w:rPr>
        <w:t>Siirretään komissiolle valta a</w:t>
      </w:r>
      <w:r>
        <w:rPr>
          <w:noProof/>
        </w:rPr>
        <w:t>ntaa delegoituja säädöksiä 10 artiklan mukaisesti kynnysarvon mukauttamiseksi, ottaen huomioon taloudelliset ja tekniset kehityssuuntaukset.</w:t>
      </w:r>
    </w:p>
    <w:p w:rsidR="00835405" w:rsidRDefault="00AA79E6">
      <w:pPr>
        <w:jc w:val="center"/>
        <w:rPr>
          <w:noProof/>
        </w:rPr>
      </w:pPr>
      <w:r>
        <w:rPr>
          <w:i/>
          <w:noProof/>
        </w:rPr>
        <w:t>5 artikla</w:t>
      </w:r>
    </w:p>
    <w:p w:rsidR="00835405" w:rsidRDefault="00AA79E6">
      <w:pPr>
        <w:jc w:val="center"/>
        <w:rPr>
          <w:b/>
          <w:noProof/>
        </w:rPr>
      </w:pPr>
      <w:r>
        <w:rPr>
          <w:b/>
          <w:noProof/>
        </w:rPr>
        <w:t>Tietojen toimittaminen</w:t>
      </w:r>
    </w:p>
    <w:p w:rsidR="00835405" w:rsidRDefault="00AA79E6">
      <w:pPr>
        <w:pStyle w:val="Point0number"/>
        <w:numPr>
          <w:ilvl w:val="0"/>
          <w:numId w:val="12"/>
        </w:numPr>
        <w:ind w:left="709" w:hanging="709"/>
        <w:rPr>
          <w:noProof/>
        </w:rPr>
      </w:pPr>
      <w:r>
        <w:rPr>
          <w:noProof/>
        </w:rPr>
        <w:t>Jäsenvaltioiden on toimitettava komissiolle (Eurostatille) liitteissä I ja II esit</w:t>
      </w:r>
      <w:r>
        <w:rPr>
          <w:noProof/>
        </w:rPr>
        <w:t>etyt tiedot.</w:t>
      </w:r>
    </w:p>
    <w:p w:rsidR="00835405" w:rsidRDefault="00AA79E6">
      <w:pPr>
        <w:pStyle w:val="Point0number"/>
        <w:numPr>
          <w:ilvl w:val="0"/>
          <w:numId w:val="12"/>
        </w:numPr>
        <w:ind w:hanging="720"/>
        <w:rPr>
          <w:noProof/>
        </w:rPr>
      </w:pPr>
      <w:r>
        <w:rPr>
          <w:noProof/>
        </w:rPr>
        <w:t>Komissio vahvistaa ja hyväksyy täytäntöönpanosäädöksillä muodon ja järjestelyt liitteissä esitettyjen tietojen toimittamista varten. Nämä täytäntöönpanosäädökset hyväksytään 11 artiklan 2 kohdassa tarkoitettua tarkastelumenettelyä noudattaen.</w:t>
      </w:r>
    </w:p>
    <w:p w:rsidR="00835405" w:rsidRDefault="00AA79E6">
      <w:pPr>
        <w:pStyle w:val="Titrearticle"/>
        <w:rPr>
          <w:noProof/>
        </w:rPr>
      </w:pPr>
      <w:r>
        <w:rPr>
          <w:noProof/>
        </w:rPr>
        <w:t>6 artikla</w:t>
      </w:r>
    </w:p>
    <w:p w:rsidR="00835405" w:rsidRDefault="00AA79E6">
      <w:pPr>
        <w:jc w:val="center"/>
        <w:rPr>
          <w:b/>
          <w:noProof/>
        </w:rPr>
      </w:pPr>
      <w:r>
        <w:rPr>
          <w:b/>
          <w:noProof/>
        </w:rPr>
        <w:t>Viiteajanjakso ja toimitustiheys</w:t>
      </w:r>
    </w:p>
    <w:p w:rsidR="00835405" w:rsidRDefault="00AA79E6">
      <w:pPr>
        <w:pStyle w:val="Point0number"/>
        <w:numPr>
          <w:ilvl w:val="0"/>
          <w:numId w:val="13"/>
        </w:numPr>
        <w:ind w:hanging="720"/>
        <w:rPr>
          <w:noProof/>
        </w:rPr>
      </w:pPr>
      <w:r>
        <w:rPr>
          <w:noProof/>
        </w:rPr>
        <w:t>Jäsenvaltioiden on koottava kaikki tämän asetuksen liitteissä mainitut tiedot tämän asetuksen hyväksymistä seuraavan kalenterivuoden alusta lähtien ja toimitettava tilastot komissiolle (Eurostatille) kolmen kuukau</w:t>
      </w:r>
      <w:r>
        <w:rPr>
          <w:noProof/>
        </w:rPr>
        <w:t>den kuluessa viiteajanjakson päättymisestä.</w:t>
      </w:r>
    </w:p>
    <w:p w:rsidR="00835405" w:rsidRDefault="00AA79E6">
      <w:pPr>
        <w:pStyle w:val="Point0number"/>
        <w:numPr>
          <w:ilvl w:val="0"/>
          <w:numId w:val="13"/>
        </w:numPr>
        <w:ind w:hanging="720"/>
        <w:rPr>
          <w:noProof/>
        </w:rPr>
      </w:pPr>
      <w:r>
        <w:rPr>
          <w:noProof/>
        </w:rPr>
        <w:t>Toimitustiheys on</w:t>
      </w:r>
    </w:p>
    <w:p w:rsidR="00835405" w:rsidRDefault="00AA79E6">
      <w:pPr>
        <w:pStyle w:val="Point0letter"/>
        <w:numPr>
          <w:ilvl w:val="1"/>
          <w:numId w:val="18"/>
        </w:numPr>
        <w:tabs>
          <w:tab w:val="clear" w:pos="850"/>
          <w:tab w:val="num" w:pos="1134"/>
        </w:tabs>
        <w:ind w:firstLine="1"/>
        <w:rPr>
          <w:noProof/>
        </w:rPr>
      </w:pPr>
      <w:r>
        <w:rPr>
          <w:noProof/>
        </w:rPr>
        <w:tab/>
        <w:t>kerran vuodessa (tammikuu–joulukuu) liitteessä I olevan 6 kohdan a alakohdassa ja saman liitteen 7 kohdassa tarkoitettujen tietojen ja liitteessä II olevan 5 kohdan a alakohdassa sekä saman lii</w:t>
      </w:r>
      <w:r>
        <w:rPr>
          <w:noProof/>
        </w:rPr>
        <w:t>tteen 6 kohdassa tarkoitettujen tietojen osalta;</w:t>
      </w:r>
    </w:p>
    <w:p w:rsidR="00835405" w:rsidRDefault="00AA79E6">
      <w:pPr>
        <w:pStyle w:val="Point0letter"/>
        <w:numPr>
          <w:ilvl w:val="1"/>
          <w:numId w:val="9"/>
        </w:numPr>
        <w:ind w:left="851" w:firstLine="0"/>
        <w:rPr>
          <w:noProof/>
        </w:rPr>
      </w:pPr>
      <w:r>
        <w:rPr>
          <w:noProof/>
        </w:rPr>
        <w:t>kaksi kertaa vuodessa (tammikuu–kesäkuu ja heinäkuu–joulukuu) liitteessä I olevan 6 kohdan b alakohdassa sekä liitteessä II olevan 5 kohdan b alakohdassa tarkoitettujen tietojen osalta.</w:t>
      </w:r>
    </w:p>
    <w:p w:rsidR="00835405" w:rsidRDefault="00AA79E6">
      <w:pPr>
        <w:jc w:val="center"/>
        <w:rPr>
          <w:noProof/>
        </w:rPr>
      </w:pPr>
      <w:r>
        <w:rPr>
          <w:i/>
          <w:noProof/>
        </w:rPr>
        <w:t>7 artikla</w:t>
      </w:r>
    </w:p>
    <w:p w:rsidR="00835405" w:rsidRDefault="00AA79E6">
      <w:pPr>
        <w:jc w:val="center"/>
        <w:rPr>
          <w:b/>
          <w:noProof/>
        </w:rPr>
      </w:pPr>
      <w:r>
        <w:rPr>
          <w:b/>
          <w:noProof/>
        </w:rPr>
        <w:t>Laadunarvio</w:t>
      </w:r>
      <w:r>
        <w:rPr>
          <w:b/>
          <w:noProof/>
        </w:rPr>
        <w:t>inti ja laaturaportit</w:t>
      </w:r>
    </w:p>
    <w:p w:rsidR="00835405" w:rsidRDefault="00AA79E6">
      <w:pPr>
        <w:pStyle w:val="Point0number"/>
        <w:numPr>
          <w:ilvl w:val="0"/>
          <w:numId w:val="14"/>
        </w:numPr>
        <w:ind w:hanging="720"/>
        <w:rPr>
          <w:noProof/>
        </w:rPr>
      </w:pPr>
      <w:r>
        <w:rPr>
          <w:noProof/>
        </w:rPr>
        <w:t>Jäsenvaltioiden on varmistettava tietojen laatu asetuksen (EY) N:o 223/2009 12 artiklan 1 kohdassa tarkoitettujen laatukriteerien mukaisesti.</w:t>
      </w:r>
    </w:p>
    <w:p w:rsidR="00835405" w:rsidRDefault="00AA79E6">
      <w:pPr>
        <w:pStyle w:val="Point0number"/>
        <w:numPr>
          <w:ilvl w:val="0"/>
          <w:numId w:val="14"/>
        </w:numPr>
        <w:ind w:hanging="720"/>
        <w:rPr>
          <w:noProof/>
        </w:rPr>
      </w:pPr>
      <w:r>
        <w:rPr>
          <w:noProof/>
        </w:rPr>
        <w:t>Jäsenvaltioiden on ilmoitettava komissiolle (Eurostatille) kaikista menetelmiä koskevista ta</w:t>
      </w:r>
      <w:r>
        <w:rPr>
          <w:noProof/>
        </w:rPr>
        <w:t>i muista muutoksista, jotka saattavat vaikuttaa merkittävästi maakaasun ja sähkön hintatilastoihin, viipymättä ja joka tapauksessa viimeistään yhden kuukauden kuluttua muutoksesta.</w:t>
      </w:r>
    </w:p>
    <w:p w:rsidR="00835405" w:rsidRDefault="00AA79E6">
      <w:pPr>
        <w:pStyle w:val="Point0number"/>
        <w:numPr>
          <w:ilvl w:val="0"/>
          <w:numId w:val="14"/>
        </w:numPr>
        <w:ind w:hanging="720"/>
        <w:rPr>
          <w:noProof/>
        </w:rPr>
      </w:pPr>
      <w:r>
        <w:rPr>
          <w:noProof/>
        </w:rPr>
        <w:t>Jäsenvaltioiden on toimitettava komissiolle (Eurostatille) joka kolmas vuos</w:t>
      </w:r>
      <w:r>
        <w:rPr>
          <w:noProof/>
        </w:rPr>
        <w:t>i tietoja koskeva laaturaportti, jossa esitetään, kuinka kyseiset tiedot on laskettu. Raporttiin on sisällyttävä tiedot aineiston kattavuudesta ja keruusta, laskentakriteereistä, käytetyistä menetelmistä ja tietolähteistä sekä menetelmien ja tietolähteiden</w:t>
      </w:r>
      <w:r>
        <w:rPr>
          <w:noProof/>
        </w:rPr>
        <w:t xml:space="preserve"> mahdollisista muutoksista.</w:t>
      </w:r>
    </w:p>
    <w:p w:rsidR="00835405" w:rsidRDefault="00AA79E6">
      <w:pPr>
        <w:pStyle w:val="Point0number"/>
        <w:numPr>
          <w:ilvl w:val="0"/>
          <w:numId w:val="14"/>
        </w:numPr>
        <w:ind w:hanging="720"/>
        <w:rPr>
          <w:noProof/>
        </w:rPr>
      </w:pPr>
      <w:r>
        <w:rPr>
          <w:noProof/>
        </w:rPr>
        <w:t>Komissio (Eurostat) arvioi toimitettujen tietojen ja laaturaporteissa annetun informaation laadun sekä laatii laadunarvioinnista tiivistelmäraportin ja julkistaa sen.</w:t>
      </w:r>
    </w:p>
    <w:p w:rsidR="00835405" w:rsidRDefault="00AA79E6">
      <w:pPr>
        <w:pStyle w:val="Point0number"/>
        <w:numPr>
          <w:ilvl w:val="0"/>
          <w:numId w:val="14"/>
        </w:numPr>
        <w:ind w:hanging="720"/>
        <w:rPr>
          <w:noProof/>
        </w:rPr>
      </w:pPr>
      <w:r>
        <w:rPr>
          <w:noProof/>
        </w:rPr>
        <w:t>Jos komissio (Eurostat) toteaa toimitetuissa tiedoissa tilast</w:t>
      </w:r>
      <w:r>
        <w:rPr>
          <w:noProof/>
        </w:rPr>
        <w:t xml:space="preserve">ollisesti merkittäviä poikkeamia tai epäjohdonmukaisuuksia, se voi tietojen arvioimista varten pyytää kansallisia viranomaisia esittämään tiedot tarkoituksenmukaisesti jaoteltuna sekä laskenta- tai arviointimenetelmät, joihin toimitetut tiedot perustuvat, </w:t>
      </w:r>
      <w:r>
        <w:rPr>
          <w:noProof/>
        </w:rPr>
        <w:t>sekä tarvittaessa pyytää asianomaista jäsenvaltiota korjaamaan ja toimittamaan uudelleen epätarkaksi katsotun tietoaineiston tai informaation.</w:t>
      </w:r>
    </w:p>
    <w:p w:rsidR="00835405" w:rsidRDefault="00AA79E6">
      <w:pPr>
        <w:pStyle w:val="Point0number"/>
        <w:numPr>
          <w:ilvl w:val="0"/>
          <w:numId w:val="14"/>
        </w:numPr>
        <w:rPr>
          <w:noProof/>
        </w:rPr>
      </w:pPr>
      <w:r>
        <w:rPr>
          <w:noProof/>
        </w:rPr>
        <w:t xml:space="preserve">Komissio vahvistaa täytäntöönpanosäädöksillä 3 kohdassa tarkoitettuja laaturaportteja sekä raporttien rakennetta </w:t>
      </w:r>
      <w:r>
        <w:rPr>
          <w:noProof/>
        </w:rPr>
        <w:t>ja vertailukelpoisuutta koskevat vaatimukset. Nämä täytäntöönpanosäädökset hyväksytään 11 artiklan 2 kohdassa tarkoitettua tarkastelumenettelyä noudattaen.</w:t>
      </w:r>
    </w:p>
    <w:p w:rsidR="00835405" w:rsidRDefault="00AA79E6">
      <w:pPr>
        <w:pStyle w:val="Titrearticle"/>
        <w:rPr>
          <w:noProof/>
        </w:rPr>
      </w:pPr>
      <w:r>
        <w:rPr>
          <w:noProof/>
        </w:rPr>
        <w:t>8 artikla</w:t>
      </w:r>
    </w:p>
    <w:p w:rsidR="00835405" w:rsidRDefault="00AA79E6">
      <w:pPr>
        <w:jc w:val="center"/>
        <w:rPr>
          <w:b/>
          <w:noProof/>
        </w:rPr>
      </w:pPr>
      <w:r>
        <w:rPr>
          <w:b/>
          <w:noProof/>
        </w:rPr>
        <w:t>Levitys</w:t>
      </w:r>
    </w:p>
    <w:p w:rsidR="00835405" w:rsidRDefault="00AA79E6">
      <w:pPr>
        <w:rPr>
          <w:noProof/>
        </w:rPr>
      </w:pPr>
      <w:r>
        <w:rPr>
          <w:noProof/>
        </w:rPr>
        <w:t xml:space="preserve">Komissio (Eurostat) antaa maakaasun ja sähkön hintatilastot levitykseen </w:t>
      </w:r>
      <w:r>
        <w:rPr>
          <w:noProof/>
        </w:rPr>
        <w:t>viimeistään viiden kuukauden kuluttua kunkin viiteajanjakson päättymisestä.</w:t>
      </w:r>
    </w:p>
    <w:p w:rsidR="00835405" w:rsidRDefault="00AA79E6">
      <w:pPr>
        <w:pStyle w:val="Titrearticle"/>
        <w:rPr>
          <w:noProof/>
        </w:rPr>
      </w:pPr>
      <w:r>
        <w:rPr>
          <w:noProof/>
        </w:rPr>
        <w:t>9 artikla</w:t>
      </w:r>
    </w:p>
    <w:p w:rsidR="00835405" w:rsidRDefault="00AA79E6">
      <w:pPr>
        <w:jc w:val="center"/>
        <w:rPr>
          <w:b/>
          <w:noProof/>
        </w:rPr>
      </w:pPr>
      <w:r>
        <w:rPr>
          <w:b/>
          <w:noProof/>
        </w:rPr>
        <w:t>Poikkeukset</w:t>
      </w:r>
    </w:p>
    <w:p w:rsidR="00835405" w:rsidRDefault="00AA79E6">
      <w:pPr>
        <w:pStyle w:val="Point0number"/>
        <w:numPr>
          <w:ilvl w:val="0"/>
          <w:numId w:val="15"/>
        </w:numPr>
        <w:ind w:hanging="720"/>
        <w:rPr>
          <w:noProof/>
        </w:rPr>
      </w:pPr>
      <w:r>
        <w:rPr>
          <w:noProof/>
        </w:rPr>
        <w:t>Poikkeuksia voidaan myöntää täytäntöönpanosäädöksillä sellaisista yksittäisistä velvoitteista, joiden osalta tämän asetuksen soveltaminen jäsenvaltion kansall</w:t>
      </w:r>
      <w:r>
        <w:rPr>
          <w:noProof/>
        </w:rPr>
        <w:t>iseen tilastointijärjestelmään vaatii huomattavia mukautuksia ja todennäköisesti lisää merkittävästi vastausrasitetta. Nämä täytäntöönpanosäädökset hyväksytään 11 artiklan 2 kohdassa tarkoitettua tarkastelumenettelyä noudattaen viimeistään [xx-xx-xxx].</w:t>
      </w:r>
    </w:p>
    <w:p w:rsidR="00835405" w:rsidRDefault="00AA79E6">
      <w:pPr>
        <w:pStyle w:val="Point0number"/>
        <w:numPr>
          <w:ilvl w:val="0"/>
          <w:numId w:val="15"/>
        </w:numPr>
        <w:ind w:hanging="720"/>
        <w:rPr>
          <w:noProof/>
        </w:rPr>
      </w:pPr>
      <w:r>
        <w:rPr>
          <w:noProof/>
        </w:rPr>
        <w:t>Ede</w:t>
      </w:r>
      <w:r>
        <w:rPr>
          <w:noProof/>
        </w:rPr>
        <w:t>llä olevan 1 kohdan tarkoitusta varten asianomaisen jäsenvaltion on esitettävä komissiolle asianmukaisesti perusteltu pyyntö viimeistään yhdeksän kuukauden kuluttua tämän asetuksen voimaantulosta.</w:t>
      </w:r>
    </w:p>
    <w:p w:rsidR="00835405" w:rsidRDefault="00AA79E6">
      <w:pPr>
        <w:pStyle w:val="Point0number"/>
        <w:numPr>
          <w:ilvl w:val="0"/>
          <w:numId w:val="15"/>
        </w:numPr>
        <w:ind w:hanging="720"/>
        <w:rPr>
          <w:noProof/>
        </w:rPr>
      </w:pPr>
      <w:r>
        <w:rPr>
          <w:noProof/>
        </w:rPr>
        <w:t>Poikkeukset ovat voimassa mahdollisimman lyhyen ajan eivätk</w:t>
      </w:r>
      <w:r>
        <w:rPr>
          <w:noProof/>
        </w:rPr>
        <w:t>ä missään tapauksessa yli kolmea vuotta.</w:t>
      </w:r>
    </w:p>
    <w:p w:rsidR="00835405" w:rsidRDefault="00AA79E6">
      <w:pPr>
        <w:pStyle w:val="Point0number"/>
        <w:numPr>
          <w:ilvl w:val="0"/>
          <w:numId w:val="15"/>
        </w:numPr>
        <w:ind w:hanging="720"/>
        <w:rPr>
          <w:noProof/>
        </w:rPr>
      </w:pPr>
      <w:r>
        <w:rPr>
          <w:noProof/>
        </w:rPr>
        <w:t>Jäsenvaltion, jolle on myönnetty poikkeus 1 kohdan mukaisesti, on sovellettava edelleen asiaankuuluvia direktiivin 2008/92/EY säännöksiä myös poikkeuksen voimassaoloaikana.</w:t>
      </w:r>
    </w:p>
    <w:p w:rsidR="00835405" w:rsidRDefault="00AA79E6">
      <w:pPr>
        <w:pStyle w:val="Titrearticle"/>
        <w:rPr>
          <w:noProof/>
        </w:rPr>
      </w:pPr>
      <w:r>
        <w:rPr>
          <w:noProof/>
        </w:rPr>
        <w:t>10 artikla</w:t>
      </w:r>
    </w:p>
    <w:p w:rsidR="00835405" w:rsidRDefault="00AA79E6">
      <w:pPr>
        <w:jc w:val="center"/>
        <w:rPr>
          <w:b/>
          <w:noProof/>
        </w:rPr>
      </w:pPr>
      <w:r>
        <w:rPr>
          <w:b/>
          <w:noProof/>
        </w:rPr>
        <w:t>Siirretyn säädösvallan käyttämi</w:t>
      </w:r>
      <w:r>
        <w:rPr>
          <w:b/>
          <w:noProof/>
        </w:rPr>
        <w:t>nen</w:t>
      </w:r>
    </w:p>
    <w:p w:rsidR="00835405" w:rsidRDefault="00AA79E6">
      <w:pPr>
        <w:pStyle w:val="Point0number"/>
        <w:numPr>
          <w:ilvl w:val="0"/>
          <w:numId w:val="16"/>
        </w:numPr>
        <w:ind w:hanging="720"/>
        <w:rPr>
          <w:noProof/>
        </w:rPr>
      </w:pPr>
      <w:r>
        <w:rPr>
          <w:noProof/>
        </w:rPr>
        <w:t>Komissiolle siirrettyä valta antaa delegoituja säädöksiä koskevat tässä artiklassa säädetyt edellytykset.</w:t>
      </w:r>
    </w:p>
    <w:p w:rsidR="00835405" w:rsidRDefault="00AA79E6">
      <w:pPr>
        <w:pStyle w:val="Point0number"/>
        <w:numPr>
          <w:ilvl w:val="0"/>
          <w:numId w:val="16"/>
        </w:numPr>
        <w:ind w:hanging="720"/>
        <w:rPr>
          <w:noProof/>
        </w:rPr>
      </w:pPr>
      <w:r>
        <w:rPr>
          <w:noProof/>
        </w:rPr>
        <w:t>Siirretään komissiolle [x] päivästä [x]kuuta [x] määräämättömäksi ajaksi 4 artiklan 3 kohdassa tarkoitettu valta antaa delegoituja säädöksiä.</w:t>
      </w:r>
    </w:p>
    <w:p w:rsidR="00835405" w:rsidRDefault="00AA79E6">
      <w:pPr>
        <w:pStyle w:val="Point0number"/>
        <w:numPr>
          <w:ilvl w:val="0"/>
          <w:numId w:val="16"/>
        </w:numPr>
        <w:ind w:hanging="720"/>
        <w:rPr>
          <w:noProof/>
        </w:rPr>
      </w:pPr>
      <w:r>
        <w:rPr>
          <w:noProof/>
        </w:rPr>
        <w:t>Euro</w:t>
      </w:r>
      <w:r>
        <w:rPr>
          <w:noProof/>
        </w:rPr>
        <w:t>opan parlamentti tai neuvosto voi milloin tahansa peruuttaa 4 artiklan 3 kohdassa tarkoitetun säädösvallan siirron. Peruuttamispäätöksellä lopetetaan tuossa päätöksessä mainittu säädösvallan siirto. Peruuttaminen tulee voimaan sitä päivää seuraavana päivän</w:t>
      </w:r>
      <w:r>
        <w:rPr>
          <w:noProof/>
        </w:rPr>
        <w:t xml:space="preserve">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rsidR="00835405" w:rsidRDefault="00AA79E6">
      <w:pPr>
        <w:pStyle w:val="Point0number"/>
        <w:numPr>
          <w:ilvl w:val="0"/>
          <w:numId w:val="16"/>
        </w:numPr>
        <w:ind w:hanging="720"/>
        <w:rPr>
          <w:noProof/>
        </w:rPr>
      </w:pPr>
      <w:r>
        <w:rPr>
          <w:noProof/>
        </w:rPr>
        <w:t>Heti kun komissio on ant</w:t>
      </w:r>
      <w:r>
        <w:rPr>
          <w:noProof/>
        </w:rPr>
        <w:t>anut delegoidun säädöksen, komissio antaa sen tiedoksi yhtäaikaisesti Euroopan parlamentille ja neuvostolle.</w:t>
      </w:r>
    </w:p>
    <w:p w:rsidR="00835405" w:rsidRDefault="00AA79E6">
      <w:pPr>
        <w:pStyle w:val="Point0number"/>
        <w:numPr>
          <w:ilvl w:val="0"/>
          <w:numId w:val="16"/>
        </w:numPr>
        <w:ind w:hanging="720"/>
        <w:rPr>
          <w:noProof/>
        </w:rPr>
      </w:pPr>
      <w:r>
        <w:rPr>
          <w:noProof/>
        </w:rPr>
        <w:t>Edellä 4 artiklan 3 kohdan nojalla annettu delegoitu säädös tulee voimaan ainoastaan, jos Euroopan parlamentti tai neuvosto ei ole kahden kuukauden</w:t>
      </w:r>
      <w:r>
        <w:rPr>
          <w:noProof/>
        </w:rPr>
        <w:t xml:space="preserve"> kuluessa siitä, kun asianomainen säädös on annettu tiedoksi Euroopan parlamentille ja neuvostolle, ilmaissut vastustavansa sitä tai jos sekä Euroopan parlamentti että neuvosto ovat ennen mainitun määräajan päättymistä ilmoittaneet komissiolle, että ne eiv</w:t>
      </w:r>
      <w:r>
        <w:rPr>
          <w:noProof/>
        </w:rPr>
        <w:t>ät vastusta säädöstä. Euroopan parlamentin tai neuvoston aloitteesta tätä määräaikaa jatketaan kahdella kuukaudella.</w:t>
      </w:r>
    </w:p>
    <w:p w:rsidR="00835405" w:rsidRDefault="00AA79E6">
      <w:pPr>
        <w:pStyle w:val="Titrearticle"/>
        <w:rPr>
          <w:noProof/>
        </w:rPr>
      </w:pPr>
      <w:r>
        <w:rPr>
          <w:noProof/>
        </w:rPr>
        <w:t>11 artikla</w:t>
      </w:r>
    </w:p>
    <w:p w:rsidR="00835405" w:rsidRDefault="00AA79E6">
      <w:pPr>
        <w:jc w:val="center"/>
        <w:rPr>
          <w:b/>
          <w:noProof/>
        </w:rPr>
      </w:pPr>
      <w:r>
        <w:rPr>
          <w:b/>
          <w:noProof/>
        </w:rPr>
        <w:t>Komiteamenettely</w:t>
      </w:r>
    </w:p>
    <w:p w:rsidR="00835405" w:rsidRDefault="00AA79E6">
      <w:pPr>
        <w:pStyle w:val="Point0number"/>
        <w:numPr>
          <w:ilvl w:val="0"/>
          <w:numId w:val="17"/>
        </w:numPr>
        <w:ind w:hanging="720"/>
        <w:rPr>
          <w:noProof/>
        </w:rPr>
      </w:pPr>
      <w:r>
        <w:rPr>
          <w:noProof/>
        </w:rPr>
        <w:t>Komissiota avustaa asetuksella (EY) N:o 223/2009 perustettu Euroopan tilastojärjestelmää käsittelevä komitea. T</w:t>
      </w:r>
      <w:r>
        <w:rPr>
          <w:noProof/>
        </w:rPr>
        <w:t>ämä komitea on asetuksessa (EU) N:o 182/2011</w:t>
      </w:r>
      <w:r>
        <w:rPr>
          <w:rStyle w:val="FootnoteReference"/>
          <w:noProof/>
        </w:rPr>
        <w:footnoteReference w:id="7"/>
      </w:r>
      <w:r>
        <w:rPr>
          <w:noProof/>
        </w:rPr>
        <w:t xml:space="preserve"> tarkoitettu komitea.</w:t>
      </w:r>
    </w:p>
    <w:p w:rsidR="00835405" w:rsidRDefault="00AA79E6">
      <w:pPr>
        <w:pStyle w:val="Point0number"/>
        <w:numPr>
          <w:ilvl w:val="0"/>
          <w:numId w:val="17"/>
        </w:numPr>
        <w:ind w:hanging="720"/>
        <w:rPr>
          <w:noProof/>
        </w:rPr>
      </w:pPr>
      <w:r>
        <w:rPr>
          <w:noProof/>
        </w:rPr>
        <w:t>Kun viitataan tähän kohtaan, sovelletaan asetuksen (EU) N:o 182/2011 5 artiklaa.</w:t>
      </w:r>
    </w:p>
    <w:p w:rsidR="00835405" w:rsidRDefault="00AA79E6">
      <w:pPr>
        <w:pStyle w:val="Titrearticle"/>
        <w:rPr>
          <w:noProof/>
        </w:rPr>
      </w:pPr>
      <w:r>
        <w:rPr>
          <w:noProof/>
        </w:rPr>
        <w:t>12 artikla</w:t>
      </w:r>
    </w:p>
    <w:p w:rsidR="00835405" w:rsidRDefault="00AA79E6">
      <w:pPr>
        <w:jc w:val="center"/>
        <w:rPr>
          <w:b/>
          <w:noProof/>
        </w:rPr>
      </w:pPr>
      <w:r>
        <w:rPr>
          <w:b/>
          <w:noProof/>
        </w:rPr>
        <w:t>Direktiivin 2008/92/EY kumoaminen</w:t>
      </w:r>
    </w:p>
    <w:p w:rsidR="00835405" w:rsidRDefault="00AA79E6">
      <w:pPr>
        <w:pStyle w:val="Point0number"/>
        <w:numPr>
          <w:ilvl w:val="0"/>
          <w:numId w:val="19"/>
        </w:numPr>
        <w:tabs>
          <w:tab w:val="clear" w:pos="850"/>
          <w:tab w:val="num" w:pos="709"/>
        </w:tabs>
        <w:rPr>
          <w:noProof/>
        </w:rPr>
      </w:pPr>
      <w:r>
        <w:rPr>
          <w:noProof/>
        </w:rPr>
        <w:t>Kumotaan direktiivi 2008/92/EY.</w:t>
      </w:r>
    </w:p>
    <w:p w:rsidR="00835405" w:rsidRDefault="00AA79E6">
      <w:pPr>
        <w:pStyle w:val="Point0number"/>
        <w:numPr>
          <w:ilvl w:val="0"/>
          <w:numId w:val="19"/>
        </w:numPr>
        <w:tabs>
          <w:tab w:val="clear" w:pos="850"/>
          <w:tab w:val="num" w:pos="709"/>
        </w:tabs>
        <w:ind w:left="709" w:hanging="709"/>
        <w:rPr>
          <w:noProof/>
        </w:rPr>
      </w:pPr>
      <w:r>
        <w:rPr>
          <w:noProof/>
        </w:rPr>
        <w:t xml:space="preserve">Viittauksia kumottuun </w:t>
      </w:r>
      <w:r>
        <w:rPr>
          <w:noProof/>
        </w:rPr>
        <w:t>direktiiviin pidetään viittauksina tähän asetukseen.</w:t>
      </w:r>
    </w:p>
    <w:p w:rsidR="00835405" w:rsidRDefault="00AA79E6">
      <w:pPr>
        <w:pStyle w:val="Titrearticle"/>
        <w:rPr>
          <w:noProof/>
        </w:rPr>
      </w:pPr>
      <w:r>
        <w:rPr>
          <w:noProof/>
        </w:rPr>
        <w:br w:type="page"/>
      </w:r>
      <w:bookmarkStart w:id="0" w:name="_GoBack"/>
      <w:bookmarkEnd w:id="0"/>
      <w:r>
        <w:rPr>
          <w:noProof/>
        </w:rPr>
        <w:t>13 artikla</w:t>
      </w:r>
    </w:p>
    <w:p w:rsidR="00835405" w:rsidRDefault="00AA79E6">
      <w:pPr>
        <w:jc w:val="center"/>
        <w:rPr>
          <w:b/>
          <w:noProof/>
        </w:rPr>
      </w:pPr>
      <w:r>
        <w:rPr>
          <w:b/>
          <w:noProof/>
        </w:rPr>
        <w:t>Voimaantulo</w:t>
      </w:r>
    </w:p>
    <w:p w:rsidR="00835405" w:rsidRDefault="00AA79E6">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rsidR="00835405" w:rsidRDefault="00AA79E6">
      <w:pPr>
        <w:pStyle w:val="Applicationdirecte"/>
        <w:rPr>
          <w:noProof/>
        </w:rPr>
      </w:pPr>
      <w:r>
        <w:rPr>
          <w:noProof/>
        </w:rPr>
        <w:t>Tämä asetus on kaikilta osiltaan velvoittava, ja s</w:t>
      </w:r>
      <w:r>
        <w:rPr>
          <w:noProof/>
        </w:rPr>
        <w:t>itä sovelletaan sellaisenaan kaikissa jäsenvaltioissa.</w:t>
      </w:r>
    </w:p>
    <w:p w:rsidR="00835405" w:rsidRDefault="00AA79E6">
      <w:pPr>
        <w:pStyle w:val="Fait"/>
        <w:rPr>
          <w:noProof/>
        </w:rPr>
      </w:pPr>
      <w:r>
        <w:rPr>
          <w:noProof/>
        </w:rPr>
        <w:t>Tehty Brysselissä</w:t>
      </w:r>
    </w:p>
    <w:p w:rsidR="00835405" w:rsidRDefault="00AA79E6">
      <w:pPr>
        <w:pStyle w:val="Institutionquisigne"/>
        <w:rPr>
          <w:noProof/>
        </w:rPr>
      </w:pPr>
      <w:r>
        <w:rPr>
          <w:noProof/>
        </w:rPr>
        <w:t>Euroopan parlamentin puolesta</w:t>
      </w:r>
      <w:r>
        <w:rPr>
          <w:noProof/>
        </w:rPr>
        <w:tab/>
        <w:t>Neuvoston puolesta</w:t>
      </w:r>
    </w:p>
    <w:p w:rsidR="00835405" w:rsidRDefault="00AA79E6">
      <w:pPr>
        <w:pStyle w:val="Personnequisigne"/>
        <w:rPr>
          <w:noProof/>
        </w:rPr>
      </w:pPr>
      <w:r>
        <w:rPr>
          <w:noProof/>
        </w:rPr>
        <w:t>Puhemies</w:t>
      </w:r>
      <w:r>
        <w:rPr>
          <w:noProof/>
        </w:rPr>
        <w:tab/>
        <w:t>Puheenjohtaja</w:t>
      </w:r>
    </w:p>
    <w:sectPr w:rsidR="0083540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05" w:rsidRDefault="00AA79E6">
      <w:pPr>
        <w:spacing w:before="0" w:after="0"/>
      </w:pPr>
      <w:r>
        <w:separator/>
      </w:r>
    </w:p>
  </w:endnote>
  <w:endnote w:type="continuationSeparator" w:id="0">
    <w:p w:rsidR="00835405" w:rsidRDefault="00AA79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05" w:rsidRDefault="00AA79E6">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05" w:rsidRDefault="00AA79E6">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w:instrText>
    </w:r>
    <w:r>
      <w:instrText xml:space="preserve">*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05" w:rsidRDefault="00835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05" w:rsidRDefault="00AA79E6">
      <w:pPr>
        <w:spacing w:before="0" w:after="0"/>
      </w:pPr>
      <w:r>
        <w:separator/>
      </w:r>
    </w:p>
  </w:footnote>
  <w:footnote w:type="continuationSeparator" w:id="0">
    <w:p w:rsidR="00835405" w:rsidRDefault="00AA79E6">
      <w:pPr>
        <w:spacing w:before="0" w:after="0"/>
      </w:pPr>
      <w:r>
        <w:continuationSeparator/>
      </w:r>
    </w:p>
  </w:footnote>
  <w:footnote w:id="1">
    <w:p w:rsidR="00835405" w:rsidRDefault="00AA79E6">
      <w:pPr>
        <w:pStyle w:val="FootnoteText"/>
      </w:pPr>
      <w:r>
        <w:rPr>
          <w:rStyle w:val="FootnoteReference"/>
        </w:rPr>
        <w:footnoteRef/>
      </w:r>
      <w:r>
        <w:tab/>
        <w:t>Euroopan parlamentin lausunto, annettu ... (ei vielä julkaistu virallisessa lehdessä), ja neuvoston päätö</w:t>
      </w:r>
      <w:r>
        <w:t>s, hyväksytty ....</w:t>
      </w:r>
    </w:p>
  </w:footnote>
  <w:footnote w:id="2">
    <w:p w:rsidR="00835405" w:rsidRDefault="00AA79E6">
      <w:pPr>
        <w:pStyle w:val="FootnoteText"/>
      </w:pPr>
      <w:r>
        <w:rPr>
          <w:rStyle w:val="FootnoteReference"/>
        </w:rPr>
        <w:footnoteRef/>
      </w:r>
      <w:r>
        <w:tab/>
        <w:t>Euroopan parlamentin ja neuvoston direktiivi 2008/92/EY, annettu 22 päivänä lokakuuta 2008, yhteisön menettelyn toteuttamiseksi kaasusta ja sähköstä teollisilta käyttäjiltä perittävien hintojen avoimuuden takaamiseksi (EUVL L 298, 7.11</w:t>
      </w:r>
      <w:r>
        <w:t>.2008, s. 9).</w:t>
      </w:r>
    </w:p>
  </w:footnote>
  <w:footnote w:id="3">
    <w:p w:rsidR="00835405" w:rsidRDefault="00AA79E6">
      <w:pPr>
        <w:pStyle w:val="FootnoteText"/>
      </w:pPr>
      <w:r>
        <w:rPr>
          <w:rStyle w:val="FootnoteReference"/>
        </w:rPr>
        <w:footnoteRef/>
      </w:r>
      <w:r>
        <w:tab/>
        <w:t>Euroopan parlamentin ja neuvoston asetus (EY) N:o 223/2009, annettu 11 päivänä maaliskuuta 2009, Euroopan tilastoista sekä salassapidettävien tilastotietojen luovuttamisesta Euroopan yhteisöjen tilastotoimistolle annetun Euroopan parlamenti</w:t>
      </w:r>
      <w:r>
        <w:t>n ja neuvoston asetuksen (EY, Euratom) N:o 1101/2008, yhteisön tilastoista annetun neuvoston asetuksen (EY) N:o 322/97 ja Euroopan yhteisöjen tilasto-ohjelmakomitean perustamisesta tehdyn neuvoston päätöksen 89/382/ETY, Euratom kumoamisesta (EUVL L 87, 31.</w:t>
      </w:r>
      <w:r>
        <w:t>3.2009, s. 164).</w:t>
      </w:r>
    </w:p>
  </w:footnote>
  <w:footnote w:id="4">
    <w:p w:rsidR="00835405" w:rsidRDefault="00AA79E6">
      <w:pPr>
        <w:pStyle w:val="FootnoteText"/>
      </w:pPr>
      <w:r>
        <w:rPr>
          <w:rStyle w:val="FootnoteReference"/>
        </w:rPr>
        <w:footnoteRef/>
      </w:r>
      <w:r>
        <w:tab/>
        <w:t>Euroopan parlamentin ja neuvoston asetus (EY) N:o 1099/2008, annettu 22 päivänä lokakuuta 2008, energiatilastoista (EUVL L 304, 14.11.2008, s. 6–11).</w:t>
      </w:r>
    </w:p>
  </w:footnote>
  <w:footnote w:id="5">
    <w:p w:rsidR="00835405" w:rsidRDefault="00AA79E6">
      <w:pPr>
        <w:pStyle w:val="FootnoteText"/>
      </w:pPr>
      <w:r>
        <w:rPr>
          <w:rStyle w:val="FootnoteReference"/>
        </w:rPr>
        <w:footnoteRef/>
      </w:r>
      <w:r>
        <w:tab/>
        <w:t xml:space="preserve">Euroopan parlamentin ja neuvoston direktiivi 2009/72/EY, annettu 13 päivänä </w:t>
      </w:r>
      <w:r>
        <w:t>heinäkuuta 2009, sähkön sisämarkkinoita koskevista yhteisistä säännöistä ja direktiivin 2003/54/EY kumoamisesta (EUVL L 211, 14.8.2009, s. 55).</w:t>
      </w:r>
    </w:p>
  </w:footnote>
  <w:footnote w:id="6">
    <w:p w:rsidR="00835405" w:rsidRDefault="00AA79E6">
      <w:pPr>
        <w:pStyle w:val="FootnoteText"/>
      </w:pPr>
      <w:r>
        <w:rPr>
          <w:rStyle w:val="FootnoteReference"/>
        </w:rPr>
        <w:footnoteRef/>
      </w:r>
      <w:r>
        <w:tab/>
        <w:t>Euroopan parlamentin ja neuvoston direktiivi 2009/73/EY, annettu 13 päivänä heinäkuuta 2009, maakaasun sisämar</w:t>
      </w:r>
      <w:r>
        <w:t>kkinoita koskevista yhteisistä säännöistä ja direktiivin 2003/55/EY kumoamisesta (EUVL L 211, 14.8.2009, s. 94).</w:t>
      </w:r>
    </w:p>
  </w:footnote>
  <w:footnote w:id="7">
    <w:p w:rsidR="00835405" w:rsidRDefault="00AA79E6">
      <w:pPr>
        <w:pStyle w:val="FootnoteText"/>
        <w:rPr>
          <w:rStyle w:val="FootnoteReference"/>
          <w:vertAlign w:val="baseline"/>
        </w:rPr>
      </w:pPr>
      <w:r>
        <w:rPr>
          <w:rStyle w:val="FootnoteReference"/>
        </w:rPr>
        <w:footnoteRef/>
      </w:r>
      <w:r>
        <w:tab/>
      </w:r>
      <w:r>
        <w:rPr>
          <w:rStyle w:val="FootnoteReference"/>
          <w:vertAlign w:val="baseline"/>
        </w:rPr>
        <w:t>Euroopan parlamentin ja neuvoston asetus (EU) N:o 182/2011, annettu 16 päivänä helmikuuta 2011, yleisistä säännöistä ja periaatteista, joiden</w:t>
      </w:r>
      <w:r>
        <w:rPr>
          <w:rStyle w:val="FootnoteReference"/>
          <w:vertAlign w:val="baseline"/>
        </w:rPr>
        <w:t xml:space="preserve"> mukaisesti jäsenvaltiot valvovat komission täytäntöönpanovallan käyttöä (EUVL L 55, 28.2.2011, s. 13–18).</w:t>
      </w:r>
    </w:p>
    <w:p w:rsidR="00835405" w:rsidRDefault="00835405">
      <w:pPr>
        <w:pStyle w:val="Footn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362B3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8AA7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EF27A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7086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F2D2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6827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B780542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DD3599"/>
    <w:multiLevelType w:val="multilevel"/>
    <w:tmpl w:val="4EAA5BA6"/>
    <w:name w:val="0,8283764"/>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7"/>
  </w:num>
  <w:num w:numId="29">
    <w:abstractNumId w:val="14"/>
  </w:num>
  <w:num w:numId="30">
    <w:abstractNumId w:val="16"/>
  </w:num>
  <w:num w:numId="31">
    <w:abstractNumId w:val="17"/>
  </w:num>
  <w:num w:numId="32">
    <w:abstractNumId w:val="10"/>
  </w:num>
  <w:num w:numId="33">
    <w:abstractNumId w:val="15"/>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efaultTabStop w:val="720"/>
  <w:hyphenationZone w:val="425"/>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1-10 10:52: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FigNum" w:val="1"/>
    <w:docVar w:name="LW_CONFIDENCE" w:val=" "/>
    <w:docVar w:name="LW_CONST_RESTREINT_UE" w:val="RESTREINT UE"/>
    <w:docVar w:name="LW_CORRIGENDUM" w:val="&lt;UNUSED&gt;"/>
    <w:docVar w:name="LW_COVERPAGE_GUID" w:val="6D19A048A5A74AA7A95380C0C621FAEA"/>
    <w:docVar w:name="LW_CROSSREFERENCE" w:val="&lt;UNUSED&gt;"/>
    <w:docVar w:name="LW_DocType" w:val="COM"/>
    <w:docVar w:name="LW_EMISSION" w:val="18.11.2015"/>
    <w:docVar w:name="LW_EMISSION_ISODATE" w:val="2015-11-18"/>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239"/>
    <w:docVar w:name="LW_REF.II.NEW.CP_YEAR" w:val="2015"/>
    <w:docVar w:name="LW_REF.INST.NEW" w:val="COM"/>
    <w:docVar w:name="LW_REF.INST.NEW_ADOPTED" w:val="final"/>
    <w:docVar w:name="LW_REF.INST.NEW_TEXT" w:val="(2015) 496"/>
    <w:docVar w:name="LW_REF.INTERNE" w:val="&lt;UNUSED&gt;"/>
    <w:docVar w:name="LW_SOUS.TITRE.OBJ.CP" w:val="&lt;UNUSED&gt;"/>
    <w:docVar w:name="LW_STATUT.CP" w:val="Ehdotus"/>
    <w:docVar w:name="LW_SUPERTITRE" w:val="&lt;UNUSED&gt;"/>
    <w:docVar w:name="LW_TITRE.OBJ.CP" w:val="maakaasun ja sähkön hintoja koskevista Euroopan tilastoista sekä yhteisön menettelyn toteuttamiseksi kaasusta ja sähköstä teollisilta käyttäjiltä perittävien hintojen avoimuuden takaamiseksi annetun Euroopan parlamentin ja neuvoston direktiivin 2008/92/EY kumoamisesta"/>
    <w:docVar w:name="LW_TYPE.DOC.CP" w:val="EUROOPAN PARLAMENTIN JA NEUVOSTON ASETUS"/>
    <w:docVar w:name="Stamp" w:val="\\dossiers.dgt.cec.eu.int\dossiers\ESTAT\ESTAT-2015-10287\ESTAT-2015-10287-00-00-EN-REV-00.DOC"/>
  </w:docVars>
  <w:rsids>
    <w:rsidRoot w:val="00835405"/>
    <w:rsid w:val="00835405"/>
    <w:rsid w:val="00AA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styleId="ListNumber">
    <w:name w:val="List Number"/>
    <w:basedOn w:val="Normal"/>
    <w:uiPriority w:val="99"/>
    <w:unhideWhenUsed/>
    <w:pPr>
      <w:numPr>
        <w:numId w:val="5"/>
      </w:numPr>
      <w:spacing w:before="0" w:after="240"/>
    </w:pPr>
    <w:rPr>
      <w:rFonts w:eastAsia="Times New Roman"/>
      <w:szCs w:val="20"/>
    </w:rPr>
  </w:style>
  <w:style w:type="paragraph" w:customStyle="1" w:styleId="ListNumberLevel2">
    <w:name w:val="List Number (Level 2)"/>
    <w:basedOn w:val="Normal"/>
    <w:uiPriority w:val="99"/>
    <w:pPr>
      <w:numPr>
        <w:ilvl w:val="1"/>
        <w:numId w:val="5"/>
      </w:numPr>
      <w:spacing w:before="0" w:after="240"/>
    </w:pPr>
    <w:rPr>
      <w:rFonts w:eastAsia="Times New Roman"/>
      <w:szCs w:val="20"/>
    </w:rPr>
  </w:style>
  <w:style w:type="paragraph" w:customStyle="1" w:styleId="ListNumberLevel3">
    <w:name w:val="List Number (Level 3)"/>
    <w:basedOn w:val="Normal"/>
    <w:uiPriority w:val="99"/>
    <w:pPr>
      <w:numPr>
        <w:ilvl w:val="2"/>
        <w:numId w:val="5"/>
      </w:numPr>
      <w:spacing w:before="0" w:after="240"/>
    </w:pPr>
    <w:rPr>
      <w:rFonts w:eastAsia="Times New Roman"/>
      <w:szCs w:val="20"/>
    </w:rPr>
  </w:style>
  <w:style w:type="paragraph" w:customStyle="1" w:styleId="ListNumberLevel4">
    <w:name w:val="List Number (Level 4)"/>
    <w:basedOn w:val="Normal"/>
    <w:uiPriority w:val="99"/>
    <w:pPr>
      <w:numPr>
        <w:ilvl w:val="3"/>
        <w:numId w:val="5"/>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fi-FI"/>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fi-FI"/>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Footno">
    <w:name w:val="Footno"/>
    <w:basedOn w:val="Personnequisigne"/>
    <w:pPr>
      <w:ind w:left="720" w:hanging="720"/>
    </w:pPr>
    <w:rPr>
      <w:i w:val="0"/>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C340-45B7-4DEB-9E9F-A74F20E0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3031</Words>
  <Characters>22915</Characters>
  <Application>Microsoft Office Word</Application>
  <DocSecurity>0</DocSecurity>
  <Lines>790</Lines>
  <Paragraphs>480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LAGES CARVALHO Patrick (SG)</cp:lastModifiedBy>
  <cp:revision>19</cp:revision>
  <cp:lastPrinted>2015-08-07T08:09:00Z</cp:lastPrinted>
  <dcterms:created xsi:type="dcterms:W3CDTF">2015-09-25T12:01:00Z</dcterms:created>
  <dcterms:modified xsi:type="dcterms:W3CDTF">2015-11-10T10:06:00Z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