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7A5C8B66FBA247B7ABCB7806161E5B7B" style="width:450.75pt;height:418.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2013/0089 (COD)</w:t>
      </w:r>
    </w:p>
    <w:p>
      <w:pPr>
        <w:pStyle w:val="Typedudocument"/>
        <w:rPr>
          <w:noProof/>
        </w:rPr>
      </w:pPr>
      <w:r>
        <w:rPr>
          <w:noProof/>
        </w:rPr>
        <w:t>KOMISSION TIEDONANTO</w:t>
      </w:r>
      <w:r>
        <w:rPr>
          <w:noProof/>
        </w:rPr>
        <w:br/>
        <w:t>EUROOPAN PARLAMENTILLE</w:t>
      </w:r>
      <w:r>
        <w:rPr>
          <w:noProof/>
        </w:rPr>
        <w:br/>
      </w:r>
      <w:r>
        <w:rPr>
          <w:noProof/>
        </w:rPr>
        <w:br/>
        <w:t>Euroopan unionin toiminnasta tehdyn sopimuksen 294 artiklan 6 kohdan mukaisesti</w:t>
      </w:r>
    </w:p>
    <w:p>
      <w:pPr>
        <w:pStyle w:val="Titreobjet"/>
        <w:rPr>
          <w:noProof/>
        </w:rPr>
      </w:pPr>
      <w:r>
        <w:rPr>
          <w:noProof/>
        </w:rPr>
        <w:t>neuvoston vahvistamasta kannasta jäsenvaltioiden tavaramerkkilainsäädännön lähentämisestä annetun ehdotuksen Euroopan parlamentin ja neuvoston direktiiviksi (uudelleenlaadittu teksti) hyväksymiseksi</w:t>
      </w:r>
    </w:p>
    <w:p>
      <w:pPr>
        <w:pStyle w:val="IntrtEEE"/>
        <w:rPr>
          <w:noProof/>
        </w:rPr>
      </w:pPr>
      <w:r>
        <w:rPr>
          <w:noProof/>
        </w:rPr>
        <w:t>(ETA:n kannalta merkityksellinen teksti)</w:t>
      </w:r>
    </w:p>
    <w:p>
      <w:pPr>
        <w:pStyle w:val="ManualHeading1"/>
        <w:rPr>
          <w:noProof/>
          <w:sz w:val="22"/>
        </w:rPr>
      </w:pPr>
      <w:r>
        <w:rPr>
          <w:noProof/>
        </w:rPr>
        <w:t>1.</w:t>
      </w:r>
      <w:r>
        <w:rPr>
          <w:noProof/>
        </w:rPr>
        <w:tab/>
        <w:t>Tausta</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Päivä, jona ehdotus on toimitettu Euroopan parlamentille ja neuvostolle</w:t>
            </w:r>
            <w:r>
              <w:rPr>
                <w:noProof/>
              </w:rPr>
              <w:br/>
              <w:t>(asiakirja COM(2013) 0162 final – 2013/0089 COD):</w:t>
            </w:r>
          </w:p>
        </w:tc>
        <w:tc>
          <w:tcPr>
            <w:tcW w:w="2483" w:type="dxa"/>
          </w:tcPr>
          <w:p>
            <w:pPr>
              <w:rPr>
                <w:noProof/>
              </w:rPr>
            </w:pPr>
            <w:r>
              <w:rPr>
                <w:noProof/>
              </w:rPr>
              <w:t>27. maaliskuuta 2013</w:t>
            </w:r>
          </w:p>
        </w:tc>
      </w:tr>
      <w:tr>
        <w:tc>
          <w:tcPr>
            <w:tcW w:w="6804" w:type="dxa"/>
          </w:tcPr>
          <w:p>
            <w:pPr>
              <w:rPr>
                <w:noProof/>
              </w:rPr>
            </w:pPr>
            <w:r>
              <w:rPr>
                <w:noProof/>
              </w:rPr>
              <w:t>Päivä, jona Euroopan talous- ja sosiaalikomitea on antanut lausuntonsa:</w:t>
            </w:r>
          </w:p>
        </w:tc>
        <w:tc>
          <w:tcPr>
            <w:tcW w:w="2483" w:type="dxa"/>
          </w:tcPr>
          <w:p>
            <w:pPr>
              <w:rPr>
                <w:noProof/>
              </w:rPr>
            </w:pPr>
            <w:r>
              <w:rPr>
                <w:noProof/>
              </w:rPr>
              <w:t>11. heinäkuuta 2013</w:t>
            </w:r>
          </w:p>
        </w:tc>
      </w:tr>
      <w:tr>
        <w:tc>
          <w:tcPr>
            <w:tcW w:w="6804" w:type="dxa"/>
          </w:tcPr>
          <w:p>
            <w:pPr>
              <w:rPr>
                <w:noProof/>
              </w:rPr>
            </w:pPr>
            <w:r>
              <w:rPr>
                <w:noProof/>
              </w:rPr>
              <w:t>Päivä, jona Euroopan tietosuojavaltuutettu on antanut lausuntonsa:</w:t>
            </w:r>
          </w:p>
        </w:tc>
        <w:tc>
          <w:tcPr>
            <w:tcW w:w="2483" w:type="dxa"/>
          </w:tcPr>
          <w:p>
            <w:pPr>
              <w:rPr>
                <w:noProof/>
              </w:rPr>
            </w:pPr>
            <w:r>
              <w:rPr>
                <w:noProof/>
              </w:rPr>
              <w:t>4. helmikuuta 2014</w:t>
            </w:r>
          </w:p>
        </w:tc>
      </w:tr>
      <w:tr>
        <w:tc>
          <w:tcPr>
            <w:tcW w:w="6804" w:type="dxa"/>
          </w:tcPr>
          <w:p>
            <w:pPr>
              <w:rPr>
                <w:noProof/>
              </w:rPr>
            </w:pPr>
            <w:r>
              <w:rPr>
                <w:noProof/>
              </w:rPr>
              <w:t>Päivä, jona Euroopan parlamentti on vahvistanut ensimmäisen käsittelyn kantansa:</w:t>
            </w:r>
          </w:p>
        </w:tc>
        <w:tc>
          <w:tcPr>
            <w:tcW w:w="2483" w:type="dxa"/>
          </w:tcPr>
          <w:p>
            <w:pPr>
              <w:rPr>
                <w:noProof/>
              </w:rPr>
            </w:pPr>
            <w:r>
              <w:rPr>
                <w:noProof/>
              </w:rPr>
              <w:t>25. helmikuuta 2014</w:t>
            </w:r>
          </w:p>
        </w:tc>
      </w:tr>
      <w:tr>
        <w:tc>
          <w:tcPr>
            <w:tcW w:w="6804" w:type="dxa"/>
          </w:tcPr>
          <w:p>
            <w:pPr>
              <w:rPr>
                <w:noProof/>
              </w:rPr>
            </w:pPr>
            <w:r>
              <w:rPr>
                <w:noProof/>
              </w:rPr>
              <w:t>Päivä, jona neuvoston kanta on vahvistettu:</w:t>
            </w:r>
          </w:p>
        </w:tc>
        <w:tc>
          <w:tcPr>
            <w:tcW w:w="2483" w:type="dxa"/>
          </w:tcPr>
          <w:p>
            <w:pPr>
              <w:rPr>
                <w:noProof/>
              </w:rPr>
            </w:pPr>
            <w:r>
              <w:rPr>
                <w:noProof/>
              </w:rPr>
              <w:t>10. marraskuuta 2015</w:t>
            </w:r>
          </w:p>
        </w:tc>
      </w:tr>
    </w:tbl>
    <w:p>
      <w:pPr>
        <w:pStyle w:val="ManualHeading1"/>
        <w:rPr>
          <w:noProof/>
        </w:rPr>
      </w:pPr>
      <w:r>
        <w:rPr>
          <w:noProof/>
        </w:rPr>
        <w:t>2.</w:t>
      </w:r>
      <w:r>
        <w:rPr>
          <w:noProof/>
        </w:rPr>
        <w:tab/>
        <w:t>Komission ehdotuksen tavoite</w:t>
      </w:r>
    </w:p>
    <w:p>
      <w:pPr>
        <w:rPr>
          <w:noProof/>
        </w:rPr>
      </w:pPr>
      <w:r>
        <w:rPr>
          <w:noProof/>
        </w:rPr>
        <w:t xml:space="preserve">Tavaramerkkejä koskevan jäsenvaltioiden lainsäädännön lähentämisestä annetun komission ehdotuksen Euroopan parlamentin ja neuvoston direktiiviksi (uudelleenlaadintaa koskeva ehdotus) (COM(2013)) 0162 final – 2013/0089 (COD)), jolla 22 päivänä lokakuuta 2008 annettu vastaava Euroopan parlamentin ja neuvoston direktiivi 2008/95/ETY laaditaan uudelleen, ja yhteisön tavaramerkistä 26 päivänä helmikuuta 2009 annetun asetuksen (EY) N:o 207/2009 muuttamisesta samanaikaisesti annettavan ehdotuksen tärkeimpänä yhteisenä tavoitteena, kun niitä tarkastellaan pakettina, on edistää innovointia ja talouskasvua parantamalla EU:n tavaramerkkien rekisteröintijärjestelmien saatavuutta, tehokkuutta ja vaikuttavuutta yritysten kannalta. Tarkoituksena on alentaa kustannuksia, yksinkertaistaa ja nopeuttaa menettelyjä, parantaa oikeusvarmuutta sekä tarjota entistä parempaa suojaa väärentämiseltä. </w:t>
      </w:r>
    </w:p>
    <w:p>
      <w:pPr>
        <w:rPr>
          <w:noProof/>
        </w:rPr>
      </w:pPr>
      <w:r>
        <w:rPr>
          <w:noProof/>
        </w:rPr>
        <w:t>Direktiivin uudelleenlaadintaa koskevan ehdotuksen tavoitteena on erityisesti:</w:t>
      </w:r>
    </w:p>
    <w:p>
      <w:pPr>
        <w:pStyle w:val="Tiret0"/>
        <w:numPr>
          <w:ilvl w:val="0"/>
          <w:numId w:val="5"/>
        </w:numPr>
        <w:rPr>
          <w:noProof/>
        </w:rPr>
      </w:pPr>
      <w:r>
        <w:rPr>
          <w:noProof/>
        </w:rPr>
        <w:t xml:space="preserve">nykyaikaistaa ja parantaa direktiivin 2008/95 nykyisiä säännöksiä muuttamalla vanhentuneita säännöksiä siten, että niissä otetaan Lissabonin sopimuksen voimaantulo huomioon, lisäämällä oikeusvarmuutta ja täsmentämällä tavaramerkkioikeuksien soveltamisalaa ja rajoituksia </w:t>
      </w:r>
    </w:p>
    <w:p>
      <w:pPr>
        <w:pStyle w:val="Tiret0"/>
        <w:rPr>
          <w:noProof/>
        </w:rPr>
      </w:pPr>
      <w:r>
        <w:rPr>
          <w:noProof/>
        </w:rPr>
        <w:lastRenderedPageBreak/>
        <w:t>lähentää kansallisia tavaramerkkisäädöksiä ja -menettelyjä toisiinsa niiden yhtenäistämiseksi EU:n tavaramerkkijärjestelmän kanssa</w:t>
      </w:r>
    </w:p>
    <w:p>
      <w:pPr>
        <w:pStyle w:val="Tiret0"/>
        <w:rPr>
          <w:noProof/>
        </w:rPr>
      </w:pPr>
      <w:r>
        <w:rPr>
          <w:noProof/>
        </w:rPr>
        <w:t xml:space="preserve">helpottaa jäsenvaltioiden tavaramerkkivirastojen ja OHIMin yhteistyötä käytäntöjen lähentämiseksi toisiinsa ja yhteisten välineiden kehittämiseksi ottamalla käyttöön oikeusperusta tätä yhteistyötä varten.   </w:t>
      </w:r>
    </w:p>
    <w:p>
      <w:pPr>
        <w:pStyle w:val="ManualHeading1"/>
        <w:rPr>
          <w:noProof/>
        </w:rPr>
      </w:pPr>
      <w:r>
        <w:rPr>
          <w:noProof/>
        </w:rPr>
        <w:t>3.</w:t>
      </w:r>
      <w:r>
        <w:rPr>
          <w:noProof/>
        </w:rPr>
        <w:tab/>
        <w:t>Huomautukset neuvoston kannasta</w:t>
      </w:r>
    </w:p>
    <w:p>
      <w:pPr>
        <w:pStyle w:val="ManualHeading2"/>
        <w:rPr>
          <w:noProof/>
        </w:rPr>
      </w:pPr>
      <w:r>
        <w:rPr>
          <w:noProof/>
        </w:rPr>
        <w:t>3.1</w:t>
      </w:r>
      <w:r>
        <w:rPr>
          <w:noProof/>
        </w:rPr>
        <w:tab/>
        <w:t>Yleiset huomiot</w:t>
      </w:r>
    </w:p>
    <w:p>
      <w:pPr>
        <w:widowControl w:val="0"/>
        <w:rPr>
          <w:noProof/>
        </w:rPr>
      </w:pPr>
      <w:r>
        <w:rPr>
          <w:noProof/>
        </w:rPr>
        <w:t xml:space="preserve">Neuvoston kanta vastaa neuvoston, Europan parlamentin oikeudellisista asioista vastaavan valiokunnan (JURI) ja komission 21. huhtikuuta 2015 pidetyissä epävirallisissa kolmikantakeskusteluissa saavuttamaa väliaikaista poliittista yhteisymmärrystä. Tämä poliittinen yhteisymmärrys vahvistettiin neuvostossa 13. heinäkuuta 2015. Neuvoston ensimmäisen käsittelyn kannan vahvistamisen ja parlamentin vuoden 2015 joulukuun puolivälissä järjestettävän täysistuntoäänestyksen ansiosta teksti voitaneen hyväksyä lopullisesti toisen käsittelyn varhaisessa vaiheessa. Komission näkökulmasta saavutettu kompromissi on kohtuullinen ja sitä voidaan kannattaa. </w:t>
      </w:r>
    </w:p>
    <w:p>
      <w:pPr>
        <w:pStyle w:val="ManualHeading2"/>
        <w:rPr>
          <w:noProof/>
        </w:rPr>
      </w:pPr>
      <w:r>
        <w:rPr>
          <w:noProof/>
        </w:rPr>
        <w:t>3.2</w:t>
      </w:r>
      <w:r>
        <w:rPr>
          <w:noProof/>
        </w:rPr>
        <w:tab/>
        <w:t>Huomautukset Euroopan parlamentin esittämiin tarkistuksiin</w:t>
      </w:r>
    </w:p>
    <w:p>
      <w:pPr>
        <w:pStyle w:val="ManualHeading3"/>
        <w:rPr>
          <w:noProof/>
        </w:rPr>
      </w:pPr>
      <w:r>
        <w:rPr>
          <w:noProof/>
        </w:rPr>
        <w:t>3.2.1.</w:t>
      </w:r>
      <w:r>
        <w:rPr>
          <w:noProof/>
        </w:rPr>
        <w:tab/>
        <w:t>Euroopan parlamentin tarkistukset, jotka on sisällytetty kokonaan, osittain tai periaatteessa neuvoston ensimmäisessä käsittelyssä vahvistamaan kantaan</w:t>
      </w:r>
    </w:p>
    <w:p>
      <w:pPr>
        <w:widowControl w:val="0"/>
        <w:rPr>
          <w:noProof/>
        </w:rPr>
      </w:pPr>
      <w:r>
        <w:rPr>
          <w:noProof/>
        </w:rPr>
        <w:t>Neuvoston ensimmäisessä käsittelyssä vahvistama kanta kattaa lähes kaikki tärkeimmät Euroopan parlamentin esittämät tarkistukset, joiden mukaan esimerkiksi jäsenvaltioiden kansallisille virastoille säädettävä velvoite tutkia tavaramerkin ehdottomat hylkäysperusteet kaikilla unionin lainkäyttöalueilla ja kielillä poistetaan samoin kuin säännös, jossa ohjeistetaan, milloin tavaramerkin käyttöä kolmannen osapuolen toimesta ei pidetä rehellisen liiketoimintatavan mukaisena. Komissio voi hyväksyä kaikki kyseiset tarkistukset kohtuullisina.</w:t>
      </w:r>
    </w:p>
    <w:p>
      <w:pPr>
        <w:widowControl w:val="0"/>
        <w:rPr>
          <w:noProof/>
        </w:rPr>
      </w:pPr>
      <w:r>
        <w:rPr>
          <w:noProof/>
        </w:rPr>
        <w:t>Neuvosto hyväksyi lisäksi sen, että niin sanotun "kaksinkertaista samuutta" koskevan säännön – jolla tavaramerkki suojataan samanlaisten merkkien käytöltä samanlaisiin tavaroihin tai palveluihin – rajaaminen tapauksiin, jotka vaikuttavat tavaramerkin tehtävään alkuperän osoittajana, poistetaan. Komissio pitää näitä muutoksia hyväksyttävinä.</w:t>
      </w:r>
    </w:p>
    <w:p>
      <w:pPr>
        <w:widowControl w:val="0"/>
        <w:rPr>
          <w:noProof/>
        </w:rPr>
      </w:pPr>
      <w:r>
        <w:rPr>
          <w:noProof/>
        </w:rPr>
        <w:t>Lisäksi neuvosto hyväksyi sen, että jäsenvaltioille jää mahdollisuus tarkastella omasta aloitteestaan hylkäämiseen johtaneita suhteellisia perusteita, kuten Euroopan parlamentti ehdotti. Komissio pitää valitettavana, että näin menetetään tilaisuus poistaa tämä mahdollisuus ja varmistaa tällä tavoin yrityksille tasapuoliset toimintaolosuhteet unionissa. Komissio voi kuitenkin hyväksyä tarkistuksen osana pakettia, ottaen asianmukaisesti huomioon jäsenvaltioiden nykyiset oikeudelliset perinteet.</w:t>
      </w:r>
    </w:p>
    <w:p>
      <w:pPr>
        <w:widowControl w:val="0"/>
        <w:rPr>
          <w:noProof/>
        </w:rPr>
      </w:pPr>
      <w:r>
        <w:rPr>
          <w:noProof/>
        </w:rPr>
        <w:t xml:space="preserve">Neuvosto hyväksyi lisäksi Euroopan parlamentin tarkistukset, joissa annetaan mahdollisuus esittää tavaramerkin rekisteröintiä vastaan väite sekä menettämis- tai mitättömyysvaatimus yhden tai useamman aikaisemman oikeuden perusteella ja kohdistaa ne kaikkia niitä tavaroita tai palveluja tai osaa niistä vastaan, joita varten tavaramerkkiä on haettu tai joita varten se on rekisteröity. Tämä seikka ei kuulunut komission alkuperäiseen ehdotukseen, mutta se voidaan täysin hyväksyä, koska se tekee tavaramerkkijärjestelmästä tehokkaamman. </w:t>
      </w:r>
    </w:p>
    <w:p>
      <w:pPr>
        <w:widowControl w:val="0"/>
        <w:rPr>
          <w:noProof/>
        </w:rPr>
      </w:pPr>
    </w:p>
    <w:p>
      <w:pPr>
        <w:pStyle w:val="ManualHeading3"/>
        <w:rPr>
          <w:noProof/>
        </w:rPr>
      </w:pPr>
      <w:r>
        <w:rPr>
          <w:noProof/>
        </w:rPr>
        <w:lastRenderedPageBreak/>
        <w:t>3.2.2.</w:t>
      </w:r>
      <w:r>
        <w:rPr>
          <w:noProof/>
        </w:rPr>
        <w:tab/>
        <w:t>Euroopan parlamentin tarkistukset, joita ei ole sisällytetty neuvoston ensimmäisessä käsittelyssä vahvistamaan kantaan</w:t>
      </w:r>
    </w:p>
    <w:p>
      <w:pPr>
        <w:widowControl w:val="0"/>
        <w:rPr>
          <w:noProof/>
        </w:rPr>
      </w:pPr>
      <w:r>
        <w:rPr>
          <w:noProof/>
        </w:rPr>
        <w:t>Neuvosto katsoi, että Euroopan parlamentin tarkistus, jolla rajoitetaan pienten väärennettyjä tuotteita sisältävien lähetysten tuontia koskevan uuden säännösehdotuksen soveltamisalaa, rajoittaa epäasianmukaisesti jo olemassa olevia tavaramerkin antamia oikeuksia. Ehdotettu säännös päätettiin sen vuoksi poistaa, koska se ei Euroopan unionin tuomioistuimen oikeuskäytäntö huomioon ottaen ole enää tarpeen. Komissio kannattaa edellä tarkoitettua poistoa.</w:t>
      </w:r>
    </w:p>
    <w:p>
      <w:pPr>
        <w:widowControl w:val="0"/>
        <w:rPr>
          <w:noProof/>
        </w:rPr>
      </w:pPr>
      <w:r>
        <w:rPr>
          <w:noProof/>
        </w:rPr>
        <w:t>Neuvosto ei suostunut täydentämään edelleen tavaramerkin vaikutusten rajoittamista, jota Euroopan parlamentti ehdotti. Se hyväksyi kuitenkin aitojen tavaroiden jälleenmyyntiä koskevaan johdanto-osan kappaleeseen lisättävän täsmennyksen, joka koskee tavaramerkin käyttöä taiteellista ilmaisua varten, sekä tarpeen soveltaa direktiiviä siten, että perusoikeuksien ja -vapauksien kunnioittaminen taataan täysimääräisesti. Komissio pitää näitä muutoksia hyväksyttävinä.</w:t>
      </w:r>
    </w:p>
    <w:p>
      <w:pPr>
        <w:widowControl w:val="0"/>
        <w:rPr>
          <w:noProof/>
        </w:rPr>
      </w:pPr>
    </w:p>
    <w:p>
      <w:pPr>
        <w:pStyle w:val="ManualHeading2"/>
        <w:rPr>
          <w:noProof/>
        </w:rPr>
      </w:pPr>
      <w:r>
        <w:rPr>
          <w:noProof/>
        </w:rPr>
        <w:t>3.3</w:t>
      </w:r>
      <w:r>
        <w:rPr>
          <w:noProof/>
        </w:rPr>
        <w:tab/>
        <w:t>Neuvoston esittämät uudet säännökset ja komission kanta niihin</w:t>
      </w:r>
    </w:p>
    <w:p>
      <w:pPr>
        <w:rPr>
          <w:noProof/>
        </w:rPr>
      </w:pPr>
      <w:r>
        <w:rPr>
          <w:noProof/>
        </w:rPr>
        <w:t>Komissio oli ehdottanut, että tavaramerkkien haltijoille annetaan oikeus estää tavaroiden kauttakuljetus jäsenvaltiossa ainoastaan sillä perusteella, että tavaroissa on olennaisesti samankaltainen tavaramerkki kuin kyseisessä jäsenvaltiossa rekisteröity tavaramerkki. Euroopan parlamentti hyväksyi komission ehdotuksen. Neuvosto hyväksyi  kauttakuljetusta koskevasta säännöksestä kompromissiratkaisun, jonka mukaan oikeus estää tavaroiden tuominen siihen jäsenvaltioon, jossa tavaramerkki on rekisteröity, raukeaa, jos ilmoittaja/tavaroiden haltija pystyy toimivaltaisessa tuomioistuimessa osoittamaan, että tavaramerkin haltijalla ei ole oikeutta estää tavaroiden saattamista markkinoille maassa, joka on niiden lopullinen määränpää. Samalla kun säilytetään komission ehdotuksen keskiössä oleva tavoite luoda tehokkaita ja tuloksellisia keinoja torjua unionin kautta kulkevien väärennettyjen tavaroiden yhä kasvavia virtoja, tarkistuksessa on löydetty sopiva tasapaino tavaramerkkioikeuksien tehokkaan täytäntöönpanon varmistamistarpeen ja takeiden antamistarpeen välillä, jotta ei aiheettomasti haitata tavaroiden vapaata liikkuvuutta niissä tilanteissa, joissa tavaramerkkioikeudet kuuluvat EU:n ulkopuolella oleville eri osapuolille. Komissio voi näin ollen hyväksyä neuvoston ehdottaman ratkaisun.</w:t>
      </w:r>
    </w:p>
    <w:p>
      <w:pPr>
        <w:widowControl w:val="0"/>
        <w:rPr>
          <w:noProof/>
        </w:rPr>
      </w:pPr>
      <w:r>
        <w:rPr>
          <w:noProof/>
        </w:rPr>
        <w:t>Lisäksi neuvosto ei hyväksynyt velvoitetta perustaa niin kutsuttua ”</w:t>
      </w:r>
      <w:r>
        <w:rPr>
          <w:i/>
          <w:noProof/>
        </w:rPr>
        <w:t>one-class-per-fee</w:t>
      </w:r>
      <w:r>
        <w:rPr>
          <w:noProof/>
        </w:rPr>
        <w:t>” -järjestelmää kansallisella tasolla, vaan kannatti ainoastaan valinnaista järjestelmää. Komissio pahoittelee tätä päätöstä, mutta voi hyväksyä sen osana pakettia.</w:t>
      </w:r>
    </w:p>
    <w:p>
      <w:pPr>
        <w:pStyle w:val="ManualHeading1"/>
        <w:rPr>
          <w:noProof/>
        </w:rPr>
      </w:pPr>
      <w:r>
        <w:rPr>
          <w:noProof/>
        </w:rPr>
        <w:t>4.</w:t>
      </w:r>
      <w:r>
        <w:rPr>
          <w:noProof/>
        </w:rPr>
        <w:tab/>
        <w:t>Päätelmät</w:t>
      </w:r>
    </w:p>
    <w:p>
      <w:pPr>
        <w:rPr>
          <w:noProof/>
          <w:sz w:val="40"/>
          <w:szCs w:val="40"/>
        </w:rPr>
      </w:pPr>
      <w:r>
        <w:rPr>
          <w:noProof/>
        </w:rPr>
        <w:t>Neuvoston kanta vastaa komission alkuperäisen ehdotuksen tärkeimpiä tavoitteita. Näin ollen komissio tukee sitä.</w:t>
      </w:r>
      <w:r>
        <w:rPr>
          <w:noProof/>
          <w:sz w:val="40"/>
        </w:rPr>
        <w:t xml:space="preserve"> </w:t>
      </w:r>
    </w:p>
    <w:p>
      <w:pPr>
        <w:rPr>
          <w:noProof/>
        </w:rPr>
      </w:pPr>
    </w:p>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9FC872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79CB28A"/>
    <w:lvl w:ilvl="0">
      <w:start w:val="1"/>
      <w:numFmt w:val="decimal"/>
      <w:pStyle w:val="ListNumber3"/>
      <w:lvlText w:val="%1."/>
      <w:lvlJc w:val="left"/>
      <w:pPr>
        <w:tabs>
          <w:tab w:val="num" w:pos="926"/>
        </w:tabs>
        <w:ind w:left="926" w:hanging="360"/>
      </w:pPr>
    </w:lvl>
  </w:abstractNum>
  <w:abstractNum w:abstractNumId="2">
    <w:nsid w:val="FFFFFF7F"/>
    <w:multiLevelType w:val="singleLevel"/>
    <w:tmpl w:val="C3228458"/>
    <w:lvl w:ilvl="0">
      <w:start w:val="1"/>
      <w:numFmt w:val="decimal"/>
      <w:pStyle w:val="ListNumber2"/>
      <w:lvlText w:val="%1."/>
      <w:lvlJc w:val="left"/>
      <w:pPr>
        <w:tabs>
          <w:tab w:val="num" w:pos="643"/>
        </w:tabs>
        <w:ind w:left="643" w:hanging="360"/>
      </w:pPr>
    </w:lvl>
  </w:abstractNum>
  <w:abstractNum w:abstractNumId="3">
    <w:nsid w:val="FFFFFF81"/>
    <w:multiLevelType w:val="singleLevel"/>
    <w:tmpl w:val="148491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012BEB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206C86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73CAB46"/>
    <w:lvl w:ilvl="0">
      <w:start w:val="1"/>
      <w:numFmt w:val="decimal"/>
      <w:pStyle w:val="ListNumber"/>
      <w:lvlText w:val="%1."/>
      <w:lvlJc w:val="left"/>
      <w:pPr>
        <w:tabs>
          <w:tab w:val="num" w:pos="360"/>
        </w:tabs>
        <w:ind w:left="360" w:hanging="360"/>
      </w:pPr>
    </w:lvl>
  </w:abstractNum>
  <w:abstractNum w:abstractNumId="7">
    <w:nsid w:val="FFFFFF89"/>
    <w:multiLevelType w:val="singleLevel"/>
    <w:tmpl w:val="E934161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4996626"/>
    <w:multiLevelType w:val="hybridMultilevel"/>
    <w:tmpl w:val="167E1E8A"/>
    <w:lvl w:ilvl="0" w:tplc="1F961EDC">
      <w:start w:val="1"/>
      <w:numFmt w:val="bullet"/>
      <w:pStyle w:val="Briefinglist1"/>
      <w:lvlText w:val=""/>
      <w:lvlJc w:val="left"/>
      <w:pPr>
        <w:tabs>
          <w:tab w:val="num" w:pos="568"/>
        </w:tabs>
        <w:ind w:left="568" w:hanging="284"/>
      </w:pPr>
      <w:rPr>
        <w:rFonts w:ascii="Symbol" w:hAnsi="Symbol" w:hint="default"/>
        <w:b w:val="0"/>
        <w:i w:val="0"/>
        <w:color w:val="auto"/>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num>
  <w:num w:numId="6">
    <w:abstractNumId w:val="6"/>
  </w:num>
  <w:num w:numId="7">
    <w:abstractNumId w:val="2"/>
  </w:num>
  <w:num w:numId="8">
    <w:abstractNumId w:val="1"/>
  </w:num>
  <w:num w:numId="9">
    <w:abstractNumId w:val="0"/>
  </w:num>
  <w:num w:numId="10">
    <w:abstractNumId w:val="8"/>
  </w:num>
  <w:num w:numId="11">
    <w:abstractNumId w:val="19"/>
  </w:num>
  <w:num w:numId="12">
    <w:abstractNumId w:val="13"/>
  </w:num>
  <w:num w:numId="13">
    <w:abstractNumId w:val="21"/>
  </w:num>
  <w:num w:numId="14">
    <w:abstractNumId w:val="12"/>
  </w:num>
  <w:num w:numId="15">
    <w:abstractNumId w:val="14"/>
  </w:num>
  <w:num w:numId="16">
    <w:abstractNumId w:val="10"/>
  </w:num>
  <w:num w:numId="17">
    <w:abstractNumId w:val="20"/>
  </w:num>
  <w:num w:numId="18">
    <w:abstractNumId w:val="9"/>
  </w:num>
  <w:num w:numId="19">
    <w:abstractNumId w:val="15"/>
  </w:num>
  <w:num w:numId="20">
    <w:abstractNumId w:val="17"/>
  </w:num>
  <w:num w:numId="21">
    <w:abstractNumId w:val="18"/>
  </w:num>
  <w:num w:numId="22">
    <w:abstractNumId w:val="11"/>
  </w:num>
  <w:num w:numId="23">
    <w:abstractNumId w:val="16"/>
  </w:num>
  <w:num w:numId="24">
    <w:abstractNumId w:val="22"/>
  </w:num>
  <w:num w:numId="25">
    <w:abstractNumId w:val="19"/>
  </w:num>
  <w:num w:numId="26">
    <w:abstractNumId w:val="13"/>
  </w:num>
  <w:num w:numId="27">
    <w:abstractNumId w:val="21"/>
  </w:num>
  <w:num w:numId="28">
    <w:abstractNumId w:val="12"/>
  </w:num>
  <w:num w:numId="29">
    <w:abstractNumId w:val="14"/>
  </w:num>
  <w:num w:numId="30">
    <w:abstractNumId w:val="10"/>
  </w:num>
  <w:num w:numId="31">
    <w:abstractNumId w:val="20"/>
  </w:num>
  <w:num w:numId="32">
    <w:abstractNumId w:val="9"/>
  </w:num>
  <w:num w:numId="33">
    <w:abstractNumId w:val="15"/>
  </w:num>
  <w:num w:numId="34">
    <w:abstractNumId w:val="17"/>
  </w:num>
  <w:num w:numId="35">
    <w:abstractNumId w:val="18"/>
  </w:num>
  <w:num w:numId="36">
    <w:abstractNumId w:val="11"/>
  </w:num>
  <w:num w:numId="37">
    <w:abstractNumId w:val="16"/>
  </w:num>
  <w:num w:numId="3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1-22 09:34:4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7A5C8B66FBA247B7ABCB7806161E5B7B"/>
    <w:docVar w:name="LW_CROSSREFERENCE" w:val="&lt;UNUSED&gt;"/>
    <w:docVar w:name="LW_DocType" w:val="COM"/>
    <w:docVar w:name="LW_EMISSION" w:val="24.11.2015"/>
    <w:docVar w:name="LW_EMISSION_ISODATE" w:val="2015-11-24"/>
    <w:docVar w:name="LW_EMISSION_LOCATION" w:val="BRX"/>
    <w:docVar w:name="LW_EMISSION_PREFIX" w:val="Bryssel "/>
    <w:docVar w:name="LW_EMISSION_SUFFIX" w:val=" "/>
    <w:docVar w:name="LW_ID_DOCMODEL" w:val="SJ-028"/>
    <w:docVar w:name="LW_ID_DOCSTRUCTURE" w:val="COM/PL/CODEC"/>
    <w:docVar w:name="LW_ID_DOCTYPE" w:val="SJ-028"/>
    <w:docVar w:name="LW_INTERETEEE.CP" w:val="(ETA:n kannalta merkityksellinen teksti)"/>
    <w:docVar w:name="LW_LANGUE" w:val="FI"/>
    <w:docVar w:name="LW_MARKING" w:val="&lt;UNUSED&gt;"/>
    <w:docVar w:name="LW_NOM.INST" w:val="EUROOPAN KOMISSIO"/>
    <w:docVar w:name="LW_NOM.INST_JOINTDOC" w:val="&lt;EMPTY&gt;"/>
    <w:docVar w:name="LW_PART_NBR" w:val="1"/>
    <w:docVar w:name="LW_PART_NBR_TOTAL" w:val="1"/>
    <w:docVar w:name="LW_REF.II.NEW.CP" w:val="COD"/>
    <w:docVar w:name="LW_REF.II.NEW.CP_NUMBER" w:val="0089"/>
    <w:docVar w:name="LW_REF.II.NEW.CP_YEAR" w:val="2013"/>
    <w:docVar w:name="LW_REF.INST.NEW" w:val="COM"/>
    <w:docVar w:name="LW_REF.INST.NEW_ADOPTED" w:val="final"/>
    <w:docVar w:name="LW_REF.INST.NEW_TEXT" w:val="(2015) 588"/>
    <w:docVar w:name="LW_REF.INTERNE" w:val="&lt;UNUSED&gt;"/>
    <w:docVar w:name="LW_SOUS.TITRE.OBJ.CP" w:val="&lt;UNUSED&gt;"/>
    <w:docVar w:name="LW_SUPERTITRE" w:val="&lt;UNUSED&gt;"/>
    <w:docVar w:name="LW_TITRE.OBJ.CP" w:val="neuvoston vahvistamasta kannasta jäsenvaltioiden tavaramerkkilainsäädännön lähentämisestä annetun ehdotuksen Euroopan parlamentin ja neuvoston direktiiviksi (uudelleenlaadittu teksti) hyväksymiseksi"/>
    <w:docVar w:name="LW_TYPE.DOC.CP" w:val="KOMISSION TIEDONANTO_x000b_EUROOPAN PARLAMENTILLE_x000b__x000b_Euroopan unionin toiminnasta tehdyn sopimuksen 294 artiklan 6 kohdan mukaisest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Briefinglist1">
    <w:name w:val="Briefing list 1"/>
    <w:basedOn w:val="Normal"/>
    <w:pPr>
      <w:keepLines/>
      <w:numPr>
        <w:numId w:val="10"/>
      </w:numPr>
      <w:spacing w:before="0"/>
    </w:pPr>
    <w:rPr>
      <w:rFonts w:ascii="Arial" w:eastAsia="Times New Roman" w:hAnsi="Arial" w:cs="Arial"/>
      <w:sz w:val="22"/>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Briefinglist1">
    <w:name w:val="Briefing list 1"/>
    <w:basedOn w:val="Normal"/>
    <w:pPr>
      <w:keepLines/>
      <w:numPr>
        <w:numId w:val="10"/>
      </w:numPr>
      <w:spacing w:before="0"/>
    </w:pPr>
    <w:rPr>
      <w:rFonts w:ascii="Arial" w:eastAsia="Times New Roman" w:hAnsi="Arial" w:cs="Arial"/>
      <w:sz w:val="22"/>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24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4</Pages>
  <Words>847</Words>
  <Characters>7291</Characters>
  <Application>Microsoft Office Word</Application>
  <DocSecurity>0</DocSecurity>
  <Lines>123</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cp:lastPrinted>2015-11-12T16:13:00Z</cp:lastPrinted>
  <dcterms:created xsi:type="dcterms:W3CDTF">2015-11-20T14:40:00Z</dcterms:created>
  <dcterms:modified xsi:type="dcterms:W3CDTF">2015-11-22T08:34:00Z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