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BB" w:rsidRDefault="00281FC7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42F61BBC559455BBA10CD4682B0F061" style="width:450pt;height:406.5pt">
            <v:imagedata r:id="rId9" o:title=""/>
          </v:shape>
        </w:pict>
      </w:r>
    </w:p>
    <w:bookmarkEnd w:id="0"/>
    <w:p w:rsidR="00EE1BBB" w:rsidRDefault="00EE1BBB">
      <w:pPr>
        <w:rPr>
          <w:noProof/>
        </w:rPr>
        <w:sectPr w:rsidR="00EE1BBB" w:rsidSect="00281F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00" w:right="1417" w:bottom="1000" w:left="1417" w:header="709" w:footer="709" w:gutter="0"/>
          <w:pgNumType w:start="0"/>
          <w:cols w:space="720"/>
          <w:docGrid w:linePitch="326"/>
        </w:sectPr>
      </w:pPr>
    </w:p>
    <w:p w:rsidR="00EE1BBB" w:rsidRDefault="00281FC7">
      <w:pPr>
        <w:pStyle w:val="Body"/>
        <w:pageBreakBefore/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t>ANNEX: Priority actions</w:t>
      </w:r>
    </w:p>
    <w:tbl>
      <w:tblPr>
        <w:tblW w:w="928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71"/>
        <w:gridCol w:w="4440"/>
        <w:gridCol w:w="1317"/>
        <w:gridCol w:w="1260"/>
      </w:tblGrid>
      <w:tr w:rsidR="00EE1BBB">
        <w:trPr>
          <w:trHeight w:val="900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line="240" w:lineRule="auto"/>
              <w:jc w:val="center"/>
              <w:rPr>
                <w:noProof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Objectives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jc w:val="center"/>
              <w:rPr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Actions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jc w:val="center"/>
              <w:rPr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Lead (and support by)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jc w:val="center"/>
              <w:rPr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Timing</w:t>
            </w:r>
          </w:p>
        </w:tc>
      </w:tr>
      <w:tr w:rsidR="00EE1BBB">
        <w:trPr>
          <w:trHeight w:val="1500"/>
          <w:jc w:val="center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1. Restricting access to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illegal firearms and explosives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</w:rPr>
              <w:t>a) Improve the intelligence pictures and monitor new risks through:</w:t>
            </w:r>
          </w:p>
          <w:p w:rsidR="00EE1BBB" w:rsidRDefault="00281FC7">
            <w:pPr>
              <w:pStyle w:val="Body"/>
              <w:keepNext/>
              <w:keepLines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noProof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noProof/>
                <w:szCs w:val="24"/>
              </w:rPr>
              <w:t>Improve existing statistical and analysis tools and developing assessments at national level on movements of firearms and their availability, and prioritise</w:t>
            </w:r>
            <w:r>
              <w:rPr>
                <w:rFonts w:ascii="Times New Roman" w:hAnsi="Times New Roman"/>
                <w:noProof/>
                <w:szCs w:val="24"/>
              </w:rPr>
              <w:t xml:space="preserve"> exchange at EU level;</w:t>
            </w:r>
          </w:p>
          <w:p w:rsidR="00EE1BBB" w:rsidRDefault="00281FC7">
            <w:pPr>
              <w:pStyle w:val="Body"/>
              <w:keepNext/>
              <w:keepLines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noProof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Europol to produce EU-wide analytical products and given the strong links with terrorism, </w:t>
            </w:r>
            <w:bookmarkStart w:id="1" w:name="_GoBack"/>
            <w:bookmarkEnd w:id="1"/>
            <w:r>
              <w:rPr>
                <w:rFonts w:ascii="Times New Roman" w:hAnsi="Times New Roman"/>
                <w:noProof/>
                <w:szCs w:val="24"/>
                <w:lang w:val="en-US"/>
              </w:rPr>
              <w:t>to enhance EU IRU's monitoring role</w:t>
            </w:r>
            <w:r>
              <w:rPr>
                <w:rFonts w:ascii="Times New Roman" w:hAnsi="Times New Roman"/>
                <w:noProof/>
                <w:szCs w:val="24"/>
              </w:rPr>
              <w:t>;</w:t>
            </w:r>
          </w:p>
          <w:p w:rsidR="00EE1BBB" w:rsidRDefault="00281FC7">
            <w:pPr>
              <w:pStyle w:val="Body"/>
              <w:keepNext/>
              <w:keepLines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noProof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noProof/>
                <w:szCs w:val="24"/>
              </w:rPr>
              <w:t>Mapping out global firearms trafficking routes to the EU by UNODC;</w:t>
            </w:r>
          </w:p>
          <w:p w:rsidR="00EE1BBB" w:rsidRDefault="00281FC7">
            <w:pPr>
              <w:pStyle w:val="Body"/>
              <w:keepNext/>
              <w:keepLines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Engage with partners to improve </w:t>
            </w:r>
            <w:r>
              <w:rPr>
                <w:rFonts w:ascii="Times New Roman" w:hAnsi="Times New Roman"/>
                <w:noProof/>
                <w:szCs w:val="24"/>
              </w:rPr>
              <w:t>knowledge on the illicit trafficking of firearms covering inter alia online trafficking and the diversion of legal trade;</w:t>
            </w:r>
          </w:p>
          <w:p w:rsidR="00EE1BBB" w:rsidRDefault="00281FC7">
            <w:pPr>
              <w:pStyle w:val="Body"/>
              <w:keepNext/>
              <w:keepLines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noProof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noProof/>
                <w:szCs w:val="24"/>
              </w:rPr>
              <w:t>Improve the access to all EU-wide and national analytical products to all law MS enforcement authorities;</w:t>
            </w:r>
          </w:p>
          <w:p w:rsidR="00EE1BBB" w:rsidRDefault="00281FC7">
            <w:pPr>
              <w:pStyle w:val="ListParagraph"/>
              <w:keepNext/>
              <w:keepLines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bCs/>
                <w:iCs/>
                <w:noProof/>
              </w:rPr>
            </w:pPr>
            <w:r>
              <w:rPr>
                <w:rFonts w:eastAsia="Calibri"/>
                <w:bCs/>
                <w:iCs/>
                <w:noProof/>
                <w:color w:val="000000"/>
                <w:sz w:val="22"/>
                <w:szCs w:val="22"/>
                <w:u w:color="000000"/>
              </w:rPr>
              <w:t xml:space="preserve">Continue to provide </w:t>
            </w:r>
            <w:r>
              <w:rPr>
                <w:rFonts w:eastAsia="Calibri"/>
                <w:bCs/>
                <w:iCs/>
                <w:noProof/>
                <w:color w:val="000000"/>
                <w:sz w:val="22"/>
                <w:szCs w:val="22"/>
                <w:u w:color="000000"/>
              </w:rPr>
              <w:t>financial assistance with a focus on projects with a comprehensive scope and a strong data collection impact;</w:t>
            </w:r>
          </w:p>
          <w:p w:rsidR="00EE1BBB" w:rsidRDefault="00281FC7">
            <w:pPr>
              <w:pStyle w:val="Body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noProof/>
                <w:sz w:val="20"/>
              </w:rPr>
            </w:pPr>
            <w:r>
              <w:rPr>
                <w:rFonts w:ascii="Times New Roman" w:hAnsi="Times New Roman" w:cs="Times New Roman"/>
                <w:iCs/>
                <w:noProof/>
              </w:rPr>
              <w:t>Assess risks stemming from technological innovations</w:t>
            </w:r>
            <w:r>
              <w:rPr>
                <w:rFonts w:ascii="Times New Roman" w:hAnsi="Times New Roman" w:cs="Times New Roman"/>
                <w:bCs/>
                <w:noProof/>
              </w:rPr>
              <w:t>, (such as 3D printing)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Europol, MS, COM, UNODC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2016-2017</w:t>
            </w:r>
          </w:p>
        </w:tc>
      </w:tr>
      <w:tr w:rsidR="00EE1BBB">
        <w:trPr>
          <w:trHeight w:val="600"/>
          <w:jc w:val="center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BB" w:rsidRDefault="00EE1BBB">
            <w:pPr>
              <w:rPr>
                <w:noProof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auto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</w:rPr>
              <w:t>b)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</w:rPr>
              <w:t xml:space="preserve">Enhancing the security of </w:t>
            </w:r>
            <w:r>
              <w:rPr>
                <w:rFonts w:ascii="Times New Roman" w:hAnsi="Times New Roman"/>
                <w:bCs/>
                <w:noProof/>
              </w:rPr>
              <w:t>explosives through:</w:t>
            </w:r>
            <w:r>
              <w:rPr>
                <w:rFonts w:ascii="Times New Roman" w:eastAsia="Arial Unicode MS" w:hAnsi="Times New Roman" w:cs="Times New Roman"/>
                <w:noProof/>
                <w:color w:val="auto"/>
                <w:lang w:eastAsia="en-US"/>
              </w:rPr>
              <w:t xml:space="preserve"> </w:t>
            </w:r>
          </w:p>
          <w:p w:rsidR="00EE1BBB" w:rsidRDefault="00281FC7">
            <w:pPr>
              <w:pStyle w:val="Body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Full implementation of the Regulation on Explosives Precursors</w:t>
            </w:r>
            <w:r>
              <w:rPr>
                <w:rFonts w:ascii="Times New Roman" w:hAnsi="Times New Roman"/>
                <w:noProof/>
              </w:rPr>
              <w:t>;</w:t>
            </w:r>
          </w:p>
          <w:p w:rsidR="00EE1BBB" w:rsidRDefault="00281FC7">
            <w:pPr>
              <w:pStyle w:val="Body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>Bringing forward the revision of the Precursors Regulation</w:t>
            </w:r>
            <w:r>
              <w:rPr>
                <w:noProof/>
              </w:rPr>
              <w:t>;</w:t>
            </w:r>
          </w:p>
          <w:p w:rsidR="00EE1BBB" w:rsidRDefault="00281FC7">
            <w:pPr>
              <w:pStyle w:val="Body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  <w:lang w:val="en-US"/>
              </w:rPr>
              <w:t>Assess the need to harmonise vetting standards and procedures at EU level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COM, MS, stakeholders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From 2015</w:t>
            </w:r>
          </w:p>
        </w:tc>
      </w:tr>
      <w:tr w:rsidR="00EE1BBB">
        <w:trPr>
          <w:trHeight w:val="900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2. Enhancing operational cooperation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</w:rPr>
              <w:t xml:space="preserve">a) Full implementation of the </w:t>
            </w:r>
            <w:r>
              <w:rPr>
                <w:rFonts w:ascii="Times New Roman" w:hAnsi="Times New Roman"/>
                <w:iCs/>
                <w:noProof/>
              </w:rPr>
              <w:t>Operational Action Plan (</w:t>
            </w:r>
            <w:r>
              <w:rPr>
                <w:rFonts w:ascii="Times New Roman" w:hAnsi="Times New Roman"/>
                <w:noProof/>
              </w:rPr>
              <w:t>OAP) 2016 on firearms and additional support on:</w:t>
            </w:r>
          </w:p>
          <w:p w:rsidR="00EE1BBB" w:rsidRDefault="00281FC7">
            <w:pPr>
              <w:pStyle w:val="Body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</w:rPr>
              <w:t>Operational actions against online trafficking;</w:t>
            </w:r>
          </w:p>
          <w:p w:rsidR="00EE1BBB" w:rsidRDefault="00281FC7">
            <w:pPr>
              <w:pStyle w:val="Body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Evaluating the modalities for a system to exchange of information </w:t>
            </w:r>
            <w:r>
              <w:rPr>
                <w:rFonts w:ascii="Times New Roman" w:hAnsi="Times New Roman"/>
                <w:noProof/>
                <w:szCs w:val="24"/>
              </w:rPr>
              <w:t>on the intra-EU transfers of firearms taking into account relevant existing EU information systems and instruments</w:t>
            </w:r>
            <w:r>
              <w:rPr>
                <w:rFonts w:ascii="Times New Roman" w:hAnsi="Times New Roman"/>
                <w:iCs/>
                <w:noProof/>
                <w:szCs w:val="20"/>
              </w:rPr>
              <w:t>;</w:t>
            </w:r>
          </w:p>
          <w:p w:rsidR="00EE1BBB" w:rsidRDefault="00281FC7">
            <w:pPr>
              <w:pStyle w:val="Body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Exploring the possibility to prohibit </w:t>
            </w:r>
            <w:r>
              <w:rPr>
                <w:rFonts w:ascii="Times New Roman" w:hAnsi="Times New Roman"/>
                <w:noProof/>
                <w:szCs w:val="24"/>
              </w:rPr>
              <w:lastRenderedPageBreak/>
              <w:t>cash payments in the context of sales or acquisition of firearms and ammunition by individuals;</w:t>
            </w:r>
          </w:p>
          <w:p w:rsidR="00EE1BBB" w:rsidRDefault="00281FC7">
            <w:pPr>
              <w:pStyle w:val="Body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Cs w:val="20"/>
              </w:rPr>
            </w:pPr>
            <w:r>
              <w:rPr>
                <w:rFonts w:ascii="Times New Roman" w:hAnsi="Times New Roman"/>
                <w:iCs/>
                <w:noProof/>
                <w:szCs w:val="20"/>
              </w:rPr>
              <w:t>Reinfo</w:t>
            </w:r>
            <w:r>
              <w:rPr>
                <w:rFonts w:ascii="Times New Roman" w:hAnsi="Times New Roman"/>
                <w:iCs/>
                <w:noProof/>
                <w:szCs w:val="20"/>
              </w:rPr>
              <w:t>rcing controls at the external borders</w:t>
            </w:r>
            <w:r>
              <w:rPr>
                <w:noProof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0"/>
              </w:rPr>
              <w:t xml:space="preserve">by undertaking </w:t>
            </w:r>
            <w:r>
              <w:rPr>
                <w:rFonts w:ascii="Times New Roman" w:hAnsi="Times New Roman"/>
                <w:iCs/>
                <w:noProof/>
                <w:szCs w:val="20"/>
              </w:rPr>
              <w:t xml:space="preserve">risk-based controls on goods </w:t>
            </w:r>
            <w:r>
              <w:rPr>
                <w:rFonts w:ascii="Times New Roman" w:hAnsi="Times New Roman" w:cs="Times New Roman"/>
                <w:noProof/>
                <w:szCs w:val="20"/>
              </w:rPr>
              <w:t>and through</w:t>
            </w:r>
            <w:r>
              <w:rPr>
                <w:noProof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0"/>
              </w:rPr>
              <w:t>establishing a</w:t>
            </w:r>
            <w:r>
              <w:rPr>
                <w:rFonts w:ascii="Times New Roman" w:hAnsi="Times New Roman"/>
                <w:iCs/>
                <w:noProof/>
                <w:szCs w:val="20"/>
              </w:rPr>
              <w:t xml:space="preserve"> Customs Priority Control Action;</w:t>
            </w:r>
          </w:p>
          <w:p w:rsidR="00EE1BBB" w:rsidRDefault="00281FC7">
            <w:pPr>
              <w:pStyle w:val="Body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bCs/>
                <w:noProof/>
                <w:szCs w:val="20"/>
              </w:rPr>
              <w:t>Enhancing the tracing of firearms through the development of a handbook for tracking and tracing illegal firearms</w:t>
            </w:r>
            <w:r>
              <w:rPr>
                <w:rFonts w:ascii="Times New Roman" w:hAnsi="Times New Roman"/>
                <w:bCs/>
                <w:noProof/>
                <w:szCs w:val="20"/>
              </w:rPr>
              <w:t xml:space="preserve"> in the framework of the European Firearms Experts Group;</w:t>
            </w:r>
          </w:p>
          <w:p w:rsidR="00EE1BBB" w:rsidRDefault="00281FC7">
            <w:pPr>
              <w:pStyle w:val="Body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iCs/>
                <w:noProof/>
                <w:szCs w:val="20"/>
              </w:rPr>
              <w:t xml:space="preserve">Developing common training curricula on firearms and explosives; </w:t>
            </w:r>
          </w:p>
          <w:p w:rsidR="00EE1BBB" w:rsidRDefault="00281FC7">
            <w:pPr>
              <w:pStyle w:val="Body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>Developing innovative detection tools;</w:t>
            </w:r>
          </w:p>
          <w:p w:rsidR="00EE1BBB" w:rsidRDefault="00281FC7">
            <w:pPr>
              <w:pStyle w:val="Body"/>
              <w:numPr>
                <w:ilvl w:val="0"/>
                <w:numId w:val="37"/>
              </w:numPr>
              <w:spacing w:after="0" w:line="240" w:lineRule="auto"/>
              <w:jc w:val="both"/>
              <w:rPr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  <w:szCs w:val="20"/>
              </w:rPr>
              <w:t xml:space="preserve">Joint operational actions </w:t>
            </w:r>
            <w:r>
              <w:rPr>
                <w:rFonts w:ascii="Times New Roman" w:hAnsi="Times New Roman"/>
                <w:noProof/>
              </w:rPr>
              <w:t>involving all relevant law enforcement authorities.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rFonts w:ascii="Times New Roman" w:hAnsi="Times New Roman"/>
                <w:noProof/>
                <w:szCs w:val="24"/>
                <w:lang w:val="pt-PT"/>
              </w:rPr>
            </w:pPr>
            <w:r>
              <w:rPr>
                <w:rFonts w:ascii="Times New Roman" w:hAnsi="Times New Roman"/>
                <w:noProof/>
                <w:szCs w:val="24"/>
                <w:lang w:val="pt-PT"/>
              </w:rPr>
              <w:lastRenderedPageBreak/>
              <w:t>COM, Europol,</w:t>
            </w:r>
          </w:p>
          <w:p w:rsidR="00EE1BBB" w:rsidRDefault="00281FC7">
            <w:pPr>
              <w:pStyle w:val="Body"/>
              <w:spacing w:after="0" w:line="240" w:lineRule="auto"/>
              <w:rPr>
                <w:noProof/>
                <w:lang w:val="pt-PT"/>
              </w:rPr>
            </w:pPr>
            <w:r>
              <w:rPr>
                <w:rFonts w:ascii="Times New Roman" w:hAnsi="Times New Roman"/>
                <w:noProof/>
                <w:szCs w:val="24"/>
                <w:lang w:val="pt-PT"/>
              </w:rPr>
              <w:t>E</w:t>
            </w:r>
            <w:r>
              <w:rPr>
                <w:rFonts w:ascii="Times New Roman" w:hAnsi="Times New Roman"/>
                <w:noProof/>
                <w:szCs w:val="24"/>
                <w:lang w:val="pt-PT"/>
              </w:rPr>
              <w:t>urojust, CEPOL, 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2015-2017</w:t>
            </w:r>
          </w:p>
        </w:tc>
      </w:tr>
      <w:tr w:rsidR="00EE1BBB">
        <w:trPr>
          <w:trHeight w:val="600"/>
          <w:jc w:val="center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3. Improving gathering and sharing of operational information on firearms by maximizing use of existing tools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jc w:val="both"/>
              <w:rPr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bCs/>
                <w:noProof/>
                <w:szCs w:val="24"/>
              </w:rPr>
              <w:t>A</w:t>
            </w:r>
            <w:r>
              <w:rPr>
                <w:rFonts w:ascii="Times New Roman" w:hAnsi="Times New Roman"/>
                <w:noProof/>
                <w:szCs w:val="24"/>
              </w:rPr>
              <w:t xml:space="preserve">ssessment of existing systems of exchange of information relevant to the fight against firearms and explosives </w:t>
            </w:r>
            <w:r>
              <w:rPr>
                <w:rFonts w:ascii="Times New Roman" w:hAnsi="Times New Roman"/>
                <w:noProof/>
                <w:szCs w:val="24"/>
              </w:rPr>
              <w:t>trafficking with to ensure their technical compatibility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Cs w:val="24"/>
              </w:rPr>
              <w:t>with a particular attention given to the need to enhance police-customs cooperation and the development foreseen by the Firearms Directive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rFonts w:ascii="Times New Roman" w:hAnsi="Times New Roman"/>
                <w:noProof/>
                <w:szCs w:val="24"/>
                <w:lang w:val="pt-PT"/>
              </w:rPr>
            </w:pPr>
            <w:r>
              <w:rPr>
                <w:rFonts w:ascii="Times New Roman" w:hAnsi="Times New Roman"/>
                <w:noProof/>
                <w:szCs w:val="24"/>
                <w:lang w:val="pt-PT"/>
              </w:rPr>
              <w:t>COM, Europol,</w:t>
            </w:r>
          </w:p>
          <w:p w:rsidR="00EE1BBB" w:rsidRDefault="00281FC7">
            <w:pPr>
              <w:pStyle w:val="Body"/>
              <w:spacing w:after="0" w:line="240" w:lineRule="auto"/>
              <w:rPr>
                <w:noProof/>
                <w:lang w:val="pt-PT"/>
              </w:rPr>
            </w:pPr>
            <w:r>
              <w:rPr>
                <w:rFonts w:ascii="Times New Roman" w:hAnsi="Times New Roman"/>
                <w:noProof/>
                <w:szCs w:val="24"/>
                <w:lang w:val="pt-PT"/>
              </w:rPr>
              <w:t>Eurojust, INTERPOL, 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2016</w:t>
            </w:r>
          </w:p>
        </w:tc>
      </w:tr>
      <w:tr w:rsidR="00EE1BBB">
        <w:trPr>
          <w:trHeight w:val="900"/>
          <w:jc w:val="center"/>
        </w:trPr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BB" w:rsidRDefault="00EE1BBB">
            <w:pPr>
              <w:rPr>
                <w:noProof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jc w:val="both"/>
              <w:rPr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</w:rPr>
              <w:t xml:space="preserve">b) Ensure effective interoperability between </w:t>
            </w:r>
            <w:r>
              <w:rPr>
                <w:rFonts w:ascii="Times New Roman" w:hAnsi="Times New Roman"/>
                <w:bCs/>
                <w:noProof/>
                <w:szCs w:val="24"/>
              </w:rPr>
              <w:t>existing information systems, including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SIS II, iARMS in relation with UMF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COM, Europol, INTERPOL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June 2016</w:t>
            </w:r>
          </w:p>
        </w:tc>
      </w:tr>
      <w:tr w:rsidR="00EE1BBB">
        <w:trPr>
          <w:trHeight w:val="600"/>
          <w:jc w:val="center"/>
        </w:trPr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BBB" w:rsidRDefault="00EE1BBB">
            <w:pPr>
              <w:rPr>
                <w:noProof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line="240" w:lineRule="auto"/>
              <w:jc w:val="both"/>
              <w:rPr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</w:rPr>
              <w:t xml:space="preserve">c)  Extend the use of iTRACE, </w:t>
            </w:r>
            <w:r>
              <w:rPr>
                <w:rFonts w:ascii="Times New Roman" w:hAnsi="Times New Roman"/>
                <w:bCs/>
                <w:noProof/>
                <w:szCs w:val="24"/>
              </w:rPr>
              <w:t xml:space="preserve">the European Bomb Data System (EBDS) and the </w:t>
            </w:r>
            <w:r>
              <w:rPr>
                <w:rFonts w:ascii="Times New Roman" w:hAnsi="Times New Roman"/>
                <w:iCs/>
                <w:noProof/>
                <w:szCs w:val="24"/>
              </w:rPr>
              <w:t xml:space="preserve">Europol Analysis System </w:t>
            </w:r>
            <w:r>
              <w:rPr>
                <w:rFonts w:ascii="Times New Roman" w:hAnsi="Times New Roman"/>
                <w:iCs/>
                <w:noProof/>
                <w:szCs w:val="24"/>
              </w:rPr>
              <w:t>while ensuring the full use of its Focal Point on firearms.</w:t>
            </w:r>
            <w:r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rFonts w:ascii="Times New Roman" w:hAnsi="Times New Roman"/>
                <w:noProof/>
                <w:szCs w:val="24"/>
                <w:lang w:val="pt-PT"/>
              </w:rPr>
            </w:pPr>
            <w:r>
              <w:rPr>
                <w:rFonts w:ascii="Times New Roman" w:hAnsi="Times New Roman"/>
                <w:noProof/>
                <w:szCs w:val="24"/>
                <w:lang w:val="pt-PT"/>
              </w:rPr>
              <w:t>COM, EEAS, Europol,</w:t>
            </w:r>
          </w:p>
          <w:p w:rsidR="00EE1BBB" w:rsidRDefault="00281FC7">
            <w:pPr>
              <w:pStyle w:val="Body"/>
              <w:spacing w:after="0" w:line="240" w:lineRule="auto"/>
              <w:rPr>
                <w:rFonts w:ascii="Times New Roman" w:hAnsi="Times New Roman"/>
                <w:noProof/>
                <w:szCs w:val="24"/>
                <w:lang w:val="pt-PT"/>
              </w:rPr>
            </w:pPr>
            <w:r>
              <w:rPr>
                <w:rFonts w:ascii="Times New Roman" w:hAnsi="Times New Roman"/>
                <w:noProof/>
                <w:szCs w:val="24"/>
                <w:lang w:val="pt-PT"/>
              </w:rPr>
              <w:t>Eurojust, INTERPOL,</w:t>
            </w:r>
          </w:p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June 2016 and ongoing </w:t>
            </w:r>
          </w:p>
        </w:tc>
      </w:tr>
      <w:tr w:rsidR="00EE1BBB">
        <w:trPr>
          <w:trHeight w:val="600"/>
          <w:jc w:val="center"/>
        </w:trPr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BB" w:rsidRDefault="00EE1BBB">
            <w:pPr>
              <w:rPr>
                <w:noProof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line="240" w:lineRule="auto"/>
              <w:jc w:val="both"/>
              <w:rPr>
                <w:rFonts w:ascii="Times New Roman" w:hAnsi="Times New Roman"/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  <w:szCs w:val="24"/>
              </w:rPr>
              <w:t>d) Enhance the exchange of ballistic information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COM, EEAS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Ongoing</w:t>
            </w:r>
          </w:p>
        </w:tc>
      </w:tr>
      <w:tr w:rsidR="00EE1BBB">
        <w:trPr>
          <w:trHeight w:val="600"/>
          <w:jc w:val="center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4. Stronger cooperation with third countries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jc w:val="both"/>
              <w:rPr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Enhancing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operational activities and enlarging the scope of the EU/South East Europe region Action Plan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COM, EEAS, SEESAC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Ongoing</w:t>
            </w:r>
          </w:p>
        </w:tc>
      </w:tr>
      <w:tr w:rsidR="00EE1BBB">
        <w:trPr>
          <w:trHeight w:val="600"/>
          <w:jc w:val="center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BB" w:rsidRDefault="00EE1BBB">
            <w:pPr>
              <w:rPr>
                <w:noProof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b) </w:t>
            </w:r>
            <w:r>
              <w:rPr>
                <w:rFonts w:ascii="Times New Roman" w:hAnsi="Times New Roman"/>
                <w:bCs/>
                <w:noProof/>
                <w:szCs w:val="24"/>
              </w:rPr>
              <w:t>Strengthening cooperation with Middle East and North African countries (MENA)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COM, EEAS, 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Ongoing </w:t>
            </w:r>
          </w:p>
        </w:tc>
      </w:tr>
      <w:tr w:rsidR="00EE1BBB">
        <w:trPr>
          <w:trHeight w:val="600"/>
          <w:jc w:val="center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BB" w:rsidRDefault="00EE1BBB">
            <w:pPr>
              <w:rPr>
                <w:noProof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jc w:val="both"/>
              <w:rPr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</w:rPr>
              <w:t xml:space="preserve">c) </w:t>
            </w:r>
            <w:r>
              <w:rPr>
                <w:rFonts w:ascii="Times New Roman" w:hAnsi="Times New Roman"/>
                <w:bCs/>
                <w:noProof/>
              </w:rPr>
              <w:t xml:space="preserve">Enhancing cooperation </w:t>
            </w:r>
            <w:r>
              <w:rPr>
                <w:rFonts w:ascii="Times New Roman" w:hAnsi="Times New Roman"/>
                <w:bCs/>
                <w:noProof/>
              </w:rPr>
              <w:t>with Ukraine and Turkey</w:t>
            </w:r>
            <w:r>
              <w:rPr>
                <w:rFonts w:ascii="Times New Roman" w:hAnsi="Times New Roman"/>
                <w:noProof/>
                <w:sz w:val="20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COM, EEAS, 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Ongoing and from 2015</w:t>
            </w:r>
          </w:p>
        </w:tc>
      </w:tr>
      <w:tr w:rsidR="00EE1BBB">
        <w:trPr>
          <w:trHeight w:val="600"/>
          <w:jc w:val="center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BB" w:rsidRDefault="00EE1BBB">
            <w:pPr>
              <w:rPr>
                <w:noProof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jc w:val="both"/>
              <w:rPr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</w:rPr>
              <w:t xml:space="preserve">d) </w:t>
            </w:r>
            <w:r>
              <w:rPr>
                <w:rFonts w:ascii="Times New Roman" w:hAnsi="Times New Roman"/>
                <w:bCs/>
                <w:noProof/>
                <w:szCs w:val="24"/>
              </w:rPr>
              <w:t>Enhancing cooperation with other relevant Third Countries', regional actors and international organisations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COM, EEAS, 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BB" w:rsidRDefault="00281FC7">
            <w:pPr>
              <w:pStyle w:val="Body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From 2015</w:t>
            </w:r>
          </w:p>
        </w:tc>
      </w:tr>
    </w:tbl>
    <w:p w:rsidR="00EE1BBB" w:rsidRDefault="00EE1BBB" w:rsidP="00281FC7">
      <w:pPr>
        <w:rPr>
          <w:noProof/>
          <w:lang w:val="en-GB"/>
        </w:rPr>
      </w:pPr>
    </w:p>
    <w:sectPr w:rsidR="00EE1BBB" w:rsidSect="00281F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000" w:right="1418" w:bottom="1000" w:left="1418" w:header="601" w:footer="567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BB" w:rsidRDefault="00281FC7">
      <w:r>
        <w:separator/>
      </w:r>
    </w:p>
  </w:endnote>
  <w:endnote w:type="continuationSeparator" w:id="0">
    <w:p w:rsidR="00EE1BBB" w:rsidRDefault="0028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B" w:rsidRDefault="00EE1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B" w:rsidRDefault="00281FC7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B" w:rsidRDefault="00EE1BBB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B" w:rsidRDefault="00EE1BB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B" w:rsidRDefault="00281FC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B" w:rsidRDefault="00281FC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BB" w:rsidRDefault="00281FC7">
      <w:r>
        <w:separator/>
      </w:r>
    </w:p>
  </w:footnote>
  <w:footnote w:type="continuationSeparator" w:id="0">
    <w:p w:rsidR="00EE1BBB" w:rsidRDefault="0028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B" w:rsidRDefault="00EE1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B" w:rsidRDefault="00EE1BBB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B" w:rsidRDefault="00EE1BBB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B" w:rsidRDefault="00EE1BB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B" w:rsidRDefault="00EE1BB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B" w:rsidRDefault="00EE1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4973607"/>
    <w:multiLevelType w:val="hybridMultilevel"/>
    <w:tmpl w:val="3628159E"/>
    <w:lvl w:ilvl="0" w:tplc="8D86E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0E3C"/>
    <w:multiLevelType w:val="hybridMultilevel"/>
    <w:tmpl w:val="82C6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222CF"/>
    <w:multiLevelType w:val="hybridMultilevel"/>
    <w:tmpl w:val="BC0458DE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DE61A8"/>
    <w:multiLevelType w:val="hybridMultilevel"/>
    <w:tmpl w:val="686A40CA"/>
    <w:name w:val="LegalNumParListTemplate3"/>
    <w:lvl w:ilvl="0" w:tplc="A588FCC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9168C"/>
    <w:multiLevelType w:val="hybridMultilevel"/>
    <w:tmpl w:val="2B26C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5F0F"/>
    <w:multiLevelType w:val="hybridMultilevel"/>
    <w:tmpl w:val="3DC0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A212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B58268F"/>
    <w:multiLevelType w:val="hybridMultilevel"/>
    <w:tmpl w:val="3D706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5EFA"/>
    <w:multiLevelType w:val="hybridMultilevel"/>
    <w:tmpl w:val="A1DE3764"/>
    <w:lvl w:ilvl="0" w:tplc="77CE9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C5B17"/>
    <w:multiLevelType w:val="hybridMultilevel"/>
    <w:tmpl w:val="BC0458DE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734306"/>
    <w:multiLevelType w:val="multilevel"/>
    <w:tmpl w:val="28629EE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53F191B"/>
    <w:multiLevelType w:val="hybridMultilevel"/>
    <w:tmpl w:val="BE66DFAA"/>
    <w:lvl w:ilvl="0" w:tplc="7EDE7E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D0AD3"/>
    <w:multiLevelType w:val="hybridMultilevel"/>
    <w:tmpl w:val="E5A45FBC"/>
    <w:lvl w:ilvl="0" w:tplc="3CF4E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22800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A46B2"/>
    <w:multiLevelType w:val="hybridMultilevel"/>
    <w:tmpl w:val="EA86C244"/>
    <w:lvl w:ilvl="0" w:tplc="40C6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>
    <w:nsid w:val="409978B0"/>
    <w:multiLevelType w:val="hybridMultilevel"/>
    <w:tmpl w:val="3C9ECDA4"/>
    <w:lvl w:ilvl="0" w:tplc="81F29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47443FFC"/>
    <w:multiLevelType w:val="hybridMultilevel"/>
    <w:tmpl w:val="7786F2DA"/>
    <w:lvl w:ilvl="0" w:tplc="499E9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FC8A0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F4001"/>
    <w:multiLevelType w:val="hybridMultilevel"/>
    <w:tmpl w:val="34DC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>
    <w:nsid w:val="5F9E7D3E"/>
    <w:multiLevelType w:val="hybridMultilevel"/>
    <w:tmpl w:val="F6CE0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2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>
    <w:nsid w:val="64BF3853"/>
    <w:multiLevelType w:val="hybridMultilevel"/>
    <w:tmpl w:val="E044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E3C48"/>
    <w:multiLevelType w:val="hybridMultilevel"/>
    <w:tmpl w:val="7A58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D0CE2"/>
    <w:multiLevelType w:val="hybridMultilevel"/>
    <w:tmpl w:val="EAEA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A47E3"/>
    <w:multiLevelType w:val="hybridMultilevel"/>
    <w:tmpl w:val="4A18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8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27011D9"/>
    <w:multiLevelType w:val="hybridMultilevel"/>
    <w:tmpl w:val="48762CE2"/>
    <w:lvl w:ilvl="0" w:tplc="6128D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B63E6"/>
    <w:multiLevelType w:val="singleLevel"/>
    <w:tmpl w:val="0292EEF0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3"/>
  </w:num>
  <w:num w:numId="5">
    <w:abstractNumId w:val="16"/>
  </w:num>
  <w:num w:numId="6">
    <w:abstractNumId w:val="22"/>
  </w:num>
  <w:num w:numId="7">
    <w:abstractNumId w:val="32"/>
  </w:num>
  <w:num w:numId="8">
    <w:abstractNumId w:val="37"/>
  </w:num>
  <w:num w:numId="9">
    <w:abstractNumId w:val="20"/>
  </w:num>
  <w:num w:numId="10">
    <w:abstractNumId w:val="31"/>
  </w:num>
  <w:num w:numId="11">
    <w:abstractNumId w:val="29"/>
  </w:num>
  <w:num w:numId="12">
    <w:abstractNumId w:val="25"/>
  </w:num>
  <w:num w:numId="13">
    <w:abstractNumId w:val="28"/>
  </w:num>
  <w:num w:numId="14">
    <w:abstractNumId w:val="13"/>
  </w:num>
  <w:num w:numId="15">
    <w:abstractNumId w:val="21"/>
  </w:num>
  <w:num w:numId="16">
    <w:abstractNumId w:val="8"/>
  </w:num>
  <w:num w:numId="17">
    <w:abstractNumId w:val="17"/>
  </w:num>
  <w:num w:numId="18">
    <w:abstractNumId w:val="38"/>
  </w:num>
  <w:num w:numId="19">
    <w:abstractNumId w:val="18"/>
  </w:num>
  <w:num w:numId="20">
    <w:abstractNumId w:val="40"/>
  </w:num>
  <w:num w:numId="21">
    <w:abstractNumId w:val="5"/>
  </w:num>
  <w:num w:numId="22">
    <w:abstractNumId w:val="27"/>
  </w:num>
  <w:num w:numId="23">
    <w:abstractNumId w:val="2"/>
  </w:num>
  <w:num w:numId="24">
    <w:abstractNumId w:val="26"/>
  </w:num>
  <w:num w:numId="25">
    <w:abstractNumId w:val="15"/>
  </w:num>
  <w:num w:numId="26">
    <w:abstractNumId w:val="39"/>
  </w:num>
  <w:num w:numId="27">
    <w:abstractNumId w:val="35"/>
  </w:num>
  <w:num w:numId="28">
    <w:abstractNumId w:val="24"/>
  </w:num>
  <w:num w:numId="29">
    <w:abstractNumId w:val="36"/>
  </w:num>
  <w:num w:numId="30">
    <w:abstractNumId w:val="30"/>
  </w:num>
  <w:num w:numId="31">
    <w:abstractNumId w:val="7"/>
  </w:num>
  <w:num w:numId="32">
    <w:abstractNumId w:val="14"/>
  </w:num>
  <w:num w:numId="33">
    <w:abstractNumId w:val="34"/>
  </w:num>
  <w:num w:numId="34">
    <w:abstractNumId w:val="6"/>
  </w:num>
  <w:num w:numId="35">
    <w:abstractNumId w:val="3"/>
  </w:num>
  <w:num w:numId="36">
    <w:abstractNumId w:val="33"/>
  </w:num>
  <w:num w:numId="37">
    <w:abstractNumId w:val="9"/>
  </w:num>
  <w:num w:numId="38">
    <w:abstractNumId w:val="1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"/>
  </w:num>
  <w:num w:numId="42">
    <w:abstractNumId w:val="19"/>
  </w:num>
  <w:num w:numId="43">
    <w:abstractNumId w:val="12"/>
  </w:num>
  <w:num w:numId="4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o the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642F61BBC559455BBA10CD4682B0F061"/>
    <w:docVar w:name="LW_CROSSREFERENCE" w:val="&lt;UNUSED&gt;"/>
    <w:docVar w:name="LW_DocType" w:val="REP"/>
    <w:docVar w:name="LW_EMISSION" w:val="2.12.2015"/>
    <w:docVar w:name="LW_EMISSION_ISODATE" w:val="2015-12-02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Implementing the European Agenda on Security:_x000b_EU action plan against illicit trafficking in and use of firearms and explosives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5) 624"/>
    <w:docVar w:name="LW_REF.INTERNE" w:val="&lt;UNUSED&gt;"/>
    <w:docVar w:name="LW_SUPERTITRE" w:val="&lt;UNUSED&gt;"/>
    <w:docVar w:name="LW_TITRE.OBJ.CP" w:val="&lt;UNUSED&gt;"/>
    <w:docVar w:name="LW_TYPE.DOC.CP" w:val="ANNEX_x000b_"/>
    <w:docVar w:name="LW_TYPEACTEPRINCIPAL.CP" w:val="Communication from the European Commission to the European Parliament and the Council"/>
  </w:docVars>
  <w:rsids>
    <w:rsidRoot w:val="00EE1BBB"/>
    <w:rsid w:val="00281FC7"/>
    <w:rsid w:val="00E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Date">
    <w:name w:val="Date"/>
    <w:basedOn w:val="Normal"/>
    <w:next w:val="References"/>
    <w:pPr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</w:pPr>
  </w:style>
  <w:style w:type="paragraph" w:customStyle="1" w:styleId="Designator">
    <w:name w:val="Designator"/>
    <w:basedOn w:val="Normal"/>
    <w:pPr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eastAsia="en-US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Pagedecouverture">
    <w:name w:val="Page de couverture"/>
    <w:next w:val="Body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u w:val="single" w:color="0000FF"/>
      <w:lang w:val="it-IT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CommentTextChar">
    <w:name w:val="Comment Text Char"/>
    <w:basedOn w:val="DefaultParagraphFon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Pr>
      <w:rFonts w:eastAsia="Arial Unicode MS"/>
      <w:b/>
      <w:bCs/>
      <w:bdr w:val="nil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Pr>
      <w:lang w:eastAsia="en-US"/>
    </w:rPr>
  </w:style>
  <w:style w:type="paragraph" w:styleId="Revision">
    <w:name w:val="Revision"/>
    <w:hidden/>
    <w:uiPriority w:val="99"/>
    <w:semiHidden/>
    <w:rPr>
      <w:rFonts w:eastAsia="Arial Unicode MS"/>
      <w:sz w:val="24"/>
      <w:szCs w:val="24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Heading1Char">
    <w:name w:val="Heading 1 Char"/>
    <w:basedOn w:val="DefaultParagraphFont"/>
    <w:link w:val="Heading1"/>
    <w:rPr>
      <w:rFonts w:eastAsia="Arial Unicode MS"/>
      <w:b/>
      <w:smallCaps/>
      <w:sz w:val="24"/>
      <w:szCs w:val="24"/>
      <w:bdr w:val="nil"/>
      <w:lang w:val="en-US" w:eastAsia="en-US"/>
    </w:rPr>
  </w:style>
  <w:style w:type="character" w:customStyle="1" w:styleId="FooterCoverPageChar">
    <w:name w:val="Footer Cover Page Char"/>
    <w:basedOn w:val="Heading1Char"/>
    <w:link w:val="FooterCoverPage"/>
    <w:rPr>
      <w:rFonts w:eastAsia="Arial Unicode MS"/>
      <w:b w:val="0"/>
      <w:smallCaps w:val="0"/>
      <w:sz w:val="24"/>
      <w:szCs w:val="24"/>
      <w:bdr w:val="nil"/>
      <w:lang w:val="en-US"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Heading1Char"/>
    <w:link w:val="HeaderCoverPage"/>
    <w:rPr>
      <w:rFonts w:eastAsia="Arial Unicode MS"/>
      <w:b w:val="0"/>
      <w:smallCaps w:val="0"/>
      <w:sz w:val="24"/>
      <w:szCs w:val="24"/>
      <w:bdr w:val="nil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st1">
    <w:name w:val="st1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Date">
    <w:name w:val="Date"/>
    <w:basedOn w:val="Normal"/>
    <w:next w:val="References"/>
    <w:pPr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</w:pPr>
  </w:style>
  <w:style w:type="paragraph" w:customStyle="1" w:styleId="Designator">
    <w:name w:val="Designator"/>
    <w:basedOn w:val="Normal"/>
    <w:pPr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eastAsia="en-US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Pagedecouverture">
    <w:name w:val="Page de couverture"/>
    <w:next w:val="Body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u w:val="single" w:color="0000FF"/>
      <w:lang w:val="it-IT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CommentTextChar">
    <w:name w:val="Comment Text Char"/>
    <w:basedOn w:val="DefaultParagraphFon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Pr>
      <w:rFonts w:eastAsia="Arial Unicode MS"/>
      <w:b/>
      <w:bCs/>
      <w:bdr w:val="nil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Pr>
      <w:lang w:eastAsia="en-US"/>
    </w:rPr>
  </w:style>
  <w:style w:type="paragraph" w:styleId="Revision">
    <w:name w:val="Revision"/>
    <w:hidden/>
    <w:uiPriority w:val="99"/>
    <w:semiHidden/>
    <w:rPr>
      <w:rFonts w:eastAsia="Arial Unicode MS"/>
      <w:sz w:val="24"/>
      <w:szCs w:val="24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Heading1Char">
    <w:name w:val="Heading 1 Char"/>
    <w:basedOn w:val="DefaultParagraphFont"/>
    <w:link w:val="Heading1"/>
    <w:rPr>
      <w:rFonts w:eastAsia="Arial Unicode MS"/>
      <w:b/>
      <w:smallCaps/>
      <w:sz w:val="24"/>
      <w:szCs w:val="24"/>
      <w:bdr w:val="nil"/>
      <w:lang w:val="en-US" w:eastAsia="en-US"/>
    </w:rPr>
  </w:style>
  <w:style w:type="character" w:customStyle="1" w:styleId="FooterCoverPageChar">
    <w:name w:val="Footer Cover Page Char"/>
    <w:basedOn w:val="Heading1Char"/>
    <w:link w:val="FooterCoverPage"/>
    <w:rPr>
      <w:rFonts w:eastAsia="Arial Unicode MS"/>
      <w:b w:val="0"/>
      <w:smallCaps w:val="0"/>
      <w:sz w:val="24"/>
      <w:szCs w:val="24"/>
      <w:bdr w:val="nil"/>
      <w:lang w:val="en-US"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Heading1Char"/>
    <w:link w:val="HeaderCoverPage"/>
    <w:rPr>
      <w:rFonts w:eastAsia="Arial Unicode MS"/>
      <w:b w:val="0"/>
      <w:smallCaps w:val="0"/>
      <w:sz w:val="24"/>
      <w:szCs w:val="24"/>
      <w:bdr w:val="nil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st1">
    <w:name w:val="st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01-D643-4AF5-98C9-D6945253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3293</Characters>
  <Application>Microsoft Office Word</Application>
  <DocSecurity>0</DocSecurity>
  <PresentationFormat>Microsoft Word 14.0</PresentationFormat>
  <Lines>56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2015-11-30T09:37:00Z</dcterms:created>
  <dcterms:modified xsi:type="dcterms:W3CDTF">2015-12-01T13:59:00Z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lassification">
    <vt:lpwstr> </vt:lpwstr>
  </property>
</Properties>
</file>