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F1" w:rsidRDefault="00E73400">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CD92644D8A5460B8906EE11F97F5EAF" style="width:451.5pt;height:321.75pt">
            <v:imagedata r:id="rId9" o:title=""/>
          </v:shape>
        </w:pict>
      </w:r>
    </w:p>
    <w:bookmarkEnd w:id="0"/>
    <w:p w:rsidR="00A018F1" w:rsidRDefault="00A018F1">
      <w:pPr>
        <w:rPr>
          <w:noProof/>
        </w:rPr>
        <w:sectPr w:rsidR="00A018F1">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sdt>
      <w:sdtPr>
        <w:rPr>
          <w:rFonts w:ascii="Times New Roman" w:eastAsiaTheme="minorHAnsi" w:hAnsi="Times New Roman" w:cs="Times New Roman"/>
          <w:b w:val="0"/>
          <w:bCs w:val="0"/>
          <w:noProof/>
          <w:color w:val="auto"/>
          <w:sz w:val="24"/>
          <w:szCs w:val="24"/>
        </w:rPr>
        <w:id w:val="-979756781"/>
        <w:docPartObj>
          <w:docPartGallery w:val="Table of Contents"/>
          <w:docPartUnique/>
        </w:docPartObj>
      </w:sdtPr>
      <w:sdtEndPr>
        <w:rPr>
          <w:rFonts w:asciiTheme="minorHAnsi" w:hAnsiTheme="minorHAnsi" w:cstheme="minorBidi"/>
          <w:sz w:val="22"/>
          <w:szCs w:val="22"/>
        </w:rPr>
      </w:sdtEndPr>
      <w:sdtContent>
        <w:p w:rsidR="00A018F1" w:rsidRDefault="00E73400">
          <w:pPr>
            <w:pStyle w:val="TOCHeading"/>
            <w:jc w:val="center"/>
            <w:rPr>
              <w:rFonts w:ascii="Times New Roman" w:hAnsi="Times New Roman" w:cs="Times New Roman"/>
              <w:noProof/>
              <w:sz w:val="24"/>
              <w:szCs w:val="24"/>
            </w:rPr>
          </w:pPr>
          <w:r>
            <w:rPr>
              <w:rFonts w:ascii="Times New Roman" w:hAnsi="Times New Roman"/>
              <w:noProof/>
              <w:sz w:val="24"/>
            </w:rPr>
            <w:t>TABLE DES MATIÈRES</w:t>
          </w:r>
        </w:p>
        <w:p w:rsidR="00A018F1" w:rsidRDefault="00E73400">
          <w:pPr>
            <w:pStyle w:val="TOC1"/>
            <w:tabs>
              <w:tab w:val="left" w:pos="840"/>
            </w:tabs>
            <w:rPr>
              <w:rFonts w:eastAsiaTheme="minorEastAsia"/>
              <w:noProof/>
              <w:lang w:val="en-GB" w:eastAsia="en-GB" w:bidi="ar-SA"/>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664851" w:history="1">
            <w:r>
              <w:rPr>
                <w:rStyle w:val="Hyperlink"/>
                <w:noProof/>
              </w:rPr>
              <w:t>1.</w:t>
            </w:r>
            <w:r>
              <w:rPr>
                <w:rFonts w:eastAsiaTheme="minorEastAsia"/>
                <w:noProof/>
                <w:lang w:val="en-GB" w:eastAsia="en-GB" w:bidi="ar-SA"/>
              </w:rPr>
              <w:tab/>
            </w:r>
            <w:r>
              <w:rPr>
                <w:rStyle w:val="Hyperlink"/>
                <w:noProof/>
              </w:rPr>
              <w:t>INTRODUCTION</w:t>
            </w:r>
            <w:r>
              <w:rPr>
                <w:noProof/>
                <w:webHidden/>
              </w:rPr>
              <w:tab/>
            </w:r>
            <w:r>
              <w:rPr>
                <w:noProof/>
                <w:webHidden/>
              </w:rPr>
              <w:fldChar w:fldCharType="begin"/>
            </w:r>
            <w:r>
              <w:rPr>
                <w:noProof/>
                <w:webHidden/>
              </w:rPr>
              <w:instrText xml:space="preserve"> PAGEREF _Toc436664851 \h </w:instrText>
            </w:r>
            <w:r>
              <w:rPr>
                <w:noProof/>
                <w:webHidden/>
              </w:rPr>
            </w:r>
            <w:r>
              <w:rPr>
                <w:noProof/>
                <w:webHidden/>
              </w:rPr>
              <w:fldChar w:fldCharType="separate"/>
            </w:r>
            <w:r>
              <w:rPr>
                <w:noProof/>
                <w:webHidden/>
              </w:rPr>
              <w:t>3</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2" w:history="1">
            <w:r>
              <w:rPr>
                <w:rStyle w:val="Hyperlink"/>
                <w:noProof/>
              </w:rPr>
              <w:t>2.</w:t>
            </w:r>
            <w:r>
              <w:rPr>
                <w:rFonts w:eastAsiaTheme="minorEastAsia"/>
                <w:noProof/>
                <w:lang w:val="en-GB" w:eastAsia="en-GB" w:bidi="ar-SA"/>
              </w:rPr>
              <w:tab/>
            </w:r>
            <w:r>
              <w:rPr>
                <w:rStyle w:val="Hyperlink"/>
                <w:noProof/>
              </w:rPr>
              <w:t>INFORMATIONS GÉNÉRALES SUR LES AGT</w:t>
            </w:r>
            <w:r>
              <w:rPr>
                <w:noProof/>
                <w:webHidden/>
              </w:rPr>
              <w:tab/>
            </w:r>
            <w:r>
              <w:rPr>
                <w:noProof/>
                <w:webHidden/>
              </w:rPr>
              <w:fldChar w:fldCharType="begin"/>
            </w:r>
            <w:r>
              <w:rPr>
                <w:noProof/>
                <w:webHidden/>
              </w:rPr>
              <w:instrText xml:space="preserve"> PAGEREF _Toc436664852 \h </w:instrText>
            </w:r>
            <w:r>
              <w:rPr>
                <w:noProof/>
                <w:webHidden/>
              </w:rPr>
            </w:r>
            <w:r>
              <w:rPr>
                <w:noProof/>
                <w:webHidden/>
              </w:rPr>
              <w:fldChar w:fldCharType="separate"/>
            </w:r>
            <w:r>
              <w:rPr>
                <w:noProof/>
                <w:webHidden/>
              </w:rPr>
              <w:t>4</w:t>
            </w:r>
            <w:r>
              <w:rPr>
                <w:noProof/>
                <w:webHidden/>
              </w:rPr>
              <w:fldChar w:fldCharType="end"/>
            </w:r>
          </w:hyperlink>
        </w:p>
        <w:p w:rsidR="00A018F1" w:rsidRDefault="00E73400">
          <w:pPr>
            <w:pStyle w:val="TOC2"/>
            <w:rPr>
              <w:rFonts w:eastAsiaTheme="minorEastAsia"/>
              <w:noProof/>
              <w:lang w:val="en-GB" w:eastAsia="en-GB" w:bidi="ar-SA"/>
            </w:rPr>
          </w:pPr>
          <w:hyperlink w:anchor="_Toc436664853" w:history="1">
            <w:r>
              <w:rPr>
                <w:rStyle w:val="Hyperlink"/>
                <w:noProof/>
              </w:rPr>
              <w:t>Conséquences de la consommation d’AGT sur la société et recommandations en matière de niveaux maximaux de consommation d’AGT</w:t>
            </w:r>
            <w:r>
              <w:rPr>
                <w:noProof/>
                <w:webHidden/>
              </w:rPr>
              <w:tab/>
            </w:r>
            <w:r>
              <w:rPr>
                <w:noProof/>
                <w:webHidden/>
              </w:rPr>
              <w:fldChar w:fldCharType="begin"/>
            </w:r>
            <w:r>
              <w:rPr>
                <w:noProof/>
                <w:webHidden/>
              </w:rPr>
              <w:instrText xml:space="preserve"> PAGEREF _Toc436664853 \h </w:instrText>
            </w:r>
            <w:r>
              <w:rPr>
                <w:noProof/>
                <w:webHidden/>
              </w:rPr>
            </w:r>
            <w:r>
              <w:rPr>
                <w:noProof/>
                <w:webHidden/>
              </w:rPr>
              <w:fldChar w:fldCharType="separate"/>
            </w:r>
            <w:r>
              <w:rPr>
                <w:noProof/>
                <w:webHidden/>
              </w:rPr>
              <w:t>4</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4" w:history="1">
            <w:r>
              <w:rPr>
                <w:rStyle w:val="Hyperlink"/>
                <w:noProof/>
              </w:rPr>
              <w:t>3.</w:t>
            </w:r>
            <w:r>
              <w:rPr>
                <w:rFonts w:eastAsiaTheme="minorEastAsia"/>
                <w:noProof/>
                <w:lang w:val="en-GB" w:eastAsia="en-GB" w:bidi="ar-SA"/>
              </w:rPr>
              <w:tab/>
            </w:r>
            <w:r>
              <w:rPr>
                <w:rStyle w:val="Hyperlink"/>
                <w:noProof/>
              </w:rPr>
              <w:t>MESURES DE RÉDUCTION DES AGT À L’ÉCHELLE MONDIALE</w:t>
            </w:r>
            <w:r>
              <w:rPr>
                <w:noProof/>
                <w:webHidden/>
              </w:rPr>
              <w:tab/>
            </w:r>
            <w:r>
              <w:rPr>
                <w:noProof/>
                <w:webHidden/>
              </w:rPr>
              <w:fldChar w:fldCharType="begin"/>
            </w:r>
            <w:r>
              <w:rPr>
                <w:noProof/>
                <w:webHidden/>
              </w:rPr>
              <w:instrText xml:space="preserve"> PAGEREF _Toc436664854 \h </w:instrText>
            </w:r>
            <w:r>
              <w:rPr>
                <w:noProof/>
                <w:webHidden/>
              </w:rPr>
            </w:r>
            <w:r>
              <w:rPr>
                <w:noProof/>
                <w:webHidden/>
              </w:rPr>
              <w:fldChar w:fldCharType="separate"/>
            </w:r>
            <w:r>
              <w:rPr>
                <w:noProof/>
                <w:webHidden/>
              </w:rPr>
              <w:t>7</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5" w:history="1">
            <w:r>
              <w:rPr>
                <w:rStyle w:val="Hyperlink"/>
                <w:noProof/>
              </w:rPr>
              <w:t>4.</w:t>
            </w:r>
            <w:r>
              <w:rPr>
                <w:rFonts w:eastAsiaTheme="minorEastAsia"/>
                <w:noProof/>
                <w:lang w:val="en-GB" w:eastAsia="en-GB" w:bidi="ar-SA"/>
              </w:rPr>
              <w:tab/>
            </w:r>
            <w:r>
              <w:rPr>
                <w:rStyle w:val="Hyperlink"/>
                <w:noProof/>
              </w:rPr>
              <w:t>ÉTAT DES LIEUX SUR LA PRÉSENCE DES AGT EN EUROPE</w:t>
            </w:r>
            <w:r>
              <w:rPr>
                <w:noProof/>
                <w:webHidden/>
              </w:rPr>
              <w:tab/>
            </w:r>
            <w:r>
              <w:rPr>
                <w:noProof/>
                <w:webHidden/>
              </w:rPr>
              <w:fldChar w:fldCharType="begin"/>
            </w:r>
            <w:r>
              <w:rPr>
                <w:noProof/>
                <w:webHidden/>
              </w:rPr>
              <w:instrText xml:space="preserve"> PAGEREF _Toc436664855 \h </w:instrText>
            </w:r>
            <w:r>
              <w:rPr>
                <w:noProof/>
                <w:webHidden/>
              </w:rPr>
            </w:r>
            <w:r>
              <w:rPr>
                <w:noProof/>
                <w:webHidden/>
              </w:rPr>
              <w:fldChar w:fldCharType="separate"/>
            </w:r>
            <w:r>
              <w:rPr>
                <w:noProof/>
                <w:webHidden/>
              </w:rPr>
              <w:t>9</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6" w:history="1">
            <w:r>
              <w:rPr>
                <w:rStyle w:val="Hyperlink"/>
                <w:noProof/>
              </w:rPr>
              <w:t>4.1</w:t>
            </w:r>
            <w:r>
              <w:rPr>
                <w:rFonts w:eastAsiaTheme="minorEastAsia"/>
                <w:noProof/>
                <w:lang w:val="en-GB" w:eastAsia="en-GB" w:bidi="ar-SA"/>
              </w:rPr>
              <w:tab/>
            </w:r>
            <w:r>
              <w:rPr>
                <w:rStyle w:val="Hyperlink"/>
                <w:noProof/>
              </w:rPr>
              <w:t>Teneur en AGT dans les denrées alimentaires en E</w:t>
            </w:r>
            <w:r>
              <w:rPr>
                <w:rStyle w:val="Hyperlink"/>
                <w:noProof/>
              </w:rPr>
              <w:t>urope</w:t>
            </w:r>
            <w:r>
              <w:rPr>
                <w:noProof/>
                <w:webHidden/>
              </w:rPr>
              <w:tab/>
            </w:r>
            <w:r>
              <w:rPr>
                <w:noProof/>
                <w:webHidden/>
              </w:rPr>
              <w:fldChar w:fldCharType="begin"/>
            </w:r>
            <w:r>
              <w:rPr>
                <w:noProof/>
                <w:webHidden/>
              </w:rPr>
              <w:instrText xml:space="preserve"> PAGEREF _Toc436664856 \h </w:instrText>
            </w:r>
            <w:r>
              <w:rPr>
                <w:noProof/>
                <w:webHidden/>
              </w:rPr>
            </w:r>
            <w:r>
              <w:rPr>
                <w:noProof/>
                <w:webHidden/>
              </w:rPr>
              <w:fldChar w:fldCharType="separate"/>
            </w:r>
            <w:r>
              <w:rPr>
                <w:noProof/>
                <w:webHidden/>
              </w:rPr>
              <w:t>9</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7" w:history="1">
            <w:r>
              <w:rPr>
                <w:rStyle w:val="Hyperlink"/>
                <w:noProof/>
              </w:rPr>
              <w:t>4.2</w:t>
            </w:r>
            <w:r>
              <w:rPr>
                <w:rFonts w:eastAsiaTheme="minorEastAsia"/>
                <w:noProof/>
                <w:lang w:val="en-GB" w:eastAsia="en-GB" w:bidi="ar-SA"/>
              </w:rPr>
              <w:tab/>
            </w:r>
            <w:r>
              <w:rPr>
                <w:rStyle w:val="Hyperlink"/>
                <w:noProof/>
              </w:rPr>
              <w:t>Consommation d’AGT en Europe</w:t>
            </w:r>
            <w:r>
              <w:rPr>
                <w:noProof/>
                <w:webHidden/>
              </w:rPr>
              <w:tab/>
            </w:r>
            <w:r>
              <w:rPr>
                <w:noProof/>
                <w:webHidden/>
              </w:rPr>
              <w:fldChar w:fldCharType="begin"/>
            </w:r>
            <w:r>
              <w:rPr>
                <w:noProof/>
                <w:webHidden/>
              </w:rPr>
              <w:instrText xml:space="preserve"> PAGEREF _Toc436664857 \h </w:instrText>
            </w:r>
            <w:r>
              <w:rPr>
                <w:noProof/>
                <w:webHidden/>
              </w:rPr>
            </w:r>
            <w:r>
              <w:rPr>
                <w:noProof/>
                <w:webHidden/>
              </w:rPr>
              <w:fldChar w:fldCharType="separate"/>
            </w:r>
            <w:r>
              <w:rPr>
                <w:noProof/>
                <w:webHidden/>
              </w:rPr>
              <w:t>10</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8" w:history="1">
            <w:r>
              <w:rPr>
                <w:rStyle w:val="Hyperlink"/>
                <w:noProof/>
              </w:rPr>
              <w:t>5.</w:t>
            </w:r>
            <w:r>
              <w:rPr>
                <w:rFonts w:eastAsiaTheme="minorEastAsia"/>
                <w:noProof/>
                <w:lang w:val="en-GB" w:eastAsia="en-GB" w:bidi="ar-SA"/>
              </w:rPr>
              <w:tab/>
            </w:r>
            <w:r>
              <w:rPr>
                <w:rStyle w:val="Hyperlink"/>
                <w:noProof/>
              </w:rPr>
              <w:t>INFORMATION DES CONSOMMATEURS AU SUJET DES AGT</w:t>
            </w:r>
            <w:r>
              <w:rPr>
                <w:noProof/>
                <w:webHidden/>
              </w:rPr>
              <w:tab/>
            </w:r>
            <w:r>
              <w:rPr>
                <w:noProof/>
                <w:webHidden/>
              </w:rPr>
              <w:fldChar w:fldCharType="begin"/>
            </w:r>
            <w:r>
              <w:rPr>
                <w:noProof/>
                <w:webHidden/>
              </w:rPr>
              <w:instrText xml:space="preserve"> PAGEREF _Toc436664858 \h </w:instrText>
            </w:r>
            <w:r>
              <w:rPr>
                <w:noProof/>
                <w:webHidden/>
              </w:rPr>
            </w:r>
            <w:r>
              <w:rPr>
                <w:noProof/>
                <w:webHidden/>
              </w:rPr>
              <w:fldChar w:fldCharType="separate"/>
            </w:r>
            <w:r>
              <w:rPr>
                <w:noProof/>
                <w:webHidden/>
              </w:rPr>
              <w:t>11</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59" w:history="1">
            <w:r>
              <w:rPr>
                <w:rStyle w:val="Hyperlink"/>
                <w:noProof/>
              </w:rPr>
              <w:t>6.</w:t>
            </w:r>
            <w:r>
              <w:rPr>
                <w:rFonts w:eastAsiaTheme="minorEastAsia"/>
                <w:noProof/>
                <w:lang w:val="en-GB" w:eastAsia="en-GB" w:bidi="ar-SA"/>
              </w:rPr>
              <w:tab/>
            </w:r>
            <w:r>
              <w:rPr>
                <w:rStyle w:val="Hyperlink"/>
                <w:noProof/>
              </w:rPr>
              <w:t>SOLUTIONS POSSIBLES POUR DIMINUER LA CONSOMMATION D’AGT DANS L’UE</w:t>
            </w:r>
            <w:r>
              <w:rPr>
                <w:noProof/>
                <w:webHidden/>
              </w:rPr>
              <w:tab/>
            </w:r>
            <w:r>
              <w:rPr>
                <w:noProof/>
                <w:webHidden/>
              </w:rPr>
              <w:fldChar w:fldCharType="begin"/>
            </w:r>
            <w:r>
              <w:rPr>
                <w:noProof/>
                <w:webHidden/>
              </w:rPr>
              <w:instrText xml:space="preserve"> PAGEREF _Toc436664859 \h </w:instrText>
            </w:r>
            <w:r>
              <w:rPr>
                <w:noProof/>
                <w:webHidden/>
              </w:rPr>
            </w:r>
            <w:r>
              <w:rPr>
                <w:noProof/>
                <w:webHidden/>
              </w:rPr>
              <w:fldChar w:fldCharType="separate"/>
            </w:r>
            <w:r>
              <w:rPr>
                <w:noProof/>
                <w:webHidden/>
              </w:rPr>
              <w:t>12</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60" w:history="1">
            <w:r>
              <w:rPr>
                <w:rStyle w:val="Hyperlink"/>
                <w:noProof/>
              </w:rPr>
              <w:t>6.1</w:t>
            </w:r>
            <w:r>
              <w:rPr>
                <w:rFonts w:eastAsiaTheme="minorEastAsia"/>
                <w:noProof/>
                <w:lang w:val="en-GB" w:eastAsia="en-GB" w:bidi="ar-SA"/>
              </w:rPr>
              <w:tab/>
            </w:r>
            <w:r>
              <w:rPr>
                <w:rStyle w:val="Hyperlink"/>
                <w:noProof/>
              </w:rPr>
              <w:t>Considérations générales</w:t>
            </w:r>
            <w:r>
              <w:rPr>
                <w:noProof/>
                <w:webHidden/>
              </w:rPr>
              <w:tab/>
            </w:r>
            <w:r>
              <w:rPr>
                <w:noProof/>
                <w:webHidden/>
              </w:rPr>
              <w:fldChar w:fldCharType="begin"/>
            </w:r>
            <w:r>
              <w:rPr>
                <w:noProof/>
                <w:webHidden/>
              </w:rPr>
              <w:instrText xml:space="preserve"> PAGEREF _Toc436664860 \h </w:instrText>
            </w:r>
            <w:r>
              <w:rPr>
                <w:noProof/>
                <w:webHidden/>
              </w:rPr>
            </w:r>
            <w:r>
              <w:rPr>
                <w:noProof/>
                <w:webHidden/>
              </w:rPr>
              <w:fldChar w:fldCharType="separate"/>
            </w:r>
            <w:r>
              <w:rPr>
                <w:noProof/>
                <w:webHidden/>
              </w:rPr>
              <w:t>13</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61" w:history="1">
            <w:r>
              <w:rPr>
                <w:rStyle w:val="Hyperlink"/>
                <w:noProof/>
              </w:rPr>
              <w:t>6.2</w:t>
            </w:r>
            <w:r>
              <w:rPr>
                <w:rFonts w:eastAsiaTheme="minorEastAsia"/>
                <w:noProof/>
                <w:lang w:val="en-GB" w:eastAsia="en-GB" w:bidi="ar-SA"/>
              </w:rPr>
              <w:tab/>
            </w:r>
            <w:r>
              <w:rPr>
                <w:rStyle w:val="Hyperlink"/>
                <w:noProof/>
              </w:rPr>
              <w:t>Déclaration obligatoire concernant la teneur en AGT</w:t>
            </w:r>
            <w:r>
              <w:rPr>
                <w:noProof/>
                <w:webHidden/>
              </w:rPr>
              <w:tab/>
            </w:r>
            <w:r>
              <w:rPr>
                <w:noProof/>
                <w:webHidden/>
              </w:rPr>
              <w:fldChar w:fldCharType="begin"/>
            </w:r>
            <w:r>
              <w:rPr>
                <w:noProof/>
                <w:webHidden/>
              </w:rPr>
              <w:instrText xml:space="preserve"> PAGEREF _Toc436664861 \h </w:instrText>
            </w:r>
            <w:r>
              <w:rPr>
                <w:noProof/>
                <w:webHidden/>
              </w:rPr>
            </w:r>
            <w:r>
              <w:rPr>
                <w:noProof/>
                <w:webHidden/>
              </w:rPr>
              <w:fldChar w:fldCharType="separate"/>
            </w:r>
            <w:r>
              <w:rPr>
                <w:noProof/>
                <w:webHidden/>
              </w:rPr>
              <w:t>15</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62" w:history="1">
            <w:r>
              <w:rPr>
                <w:rStyle w:val="Hyperlink"/>
                <w:noProof/>
              </w:rPr>
              <w:t>6.3</w:t>
            </w:r>
            <w:r>
              <w:rPr>
                <w:rFonts w:eastAsiaTheme="minorEastAsia"/>
                <w:noProof/>
                <w:lang w:val="en-GB" w:eastAsia="en-GB" w:bidi="ar-SA"/>
              </w:rPr>
              <w:tab/>
            </w:r>
            <w:r>
              <w:rPr>
                <w:rStyle w:val="Hyperlink"/>
                <w:noProof/>
              </w:rPr>
              <w:t>Limite légale à l’échelle de l’UE relative à la teneur en AGT d’origine industrielle dans les denrées alimentaires</w:t>
            </w:r>
            <w:r>
              <w:rPr>
                <w:noProof/>
                <w:webHidden/>
              </w:rPr>
              <w:tab/>
            </w:r>
            <w:r>
              <w:rPr>
                <w:noProof/>
                <w:webHidden/>
              </w:rPr>
              <w:fldChar w:fldCharType="begin"/>
            </w:r>
            <w:r>
              <w:rPr>
                <w:noProof/>
                <w:webHidden/>
              </w:rPr>
              <w:instrText xml:space="preserve"> PAGEREF _Toc436664862 \h </w:instrText>
            </w:r>
            <w:r>
              <w:rPr>
                <w:noProof/>
                <w:webHidden/>
              </w:rPr>
            </w:r>
            <w:r>
              <w:rPr>
                <w:noProof/>
                <w:webHidden/>
              </w:rPr>
              <w:fldChar w:fldCharType="separate"/>
            </w:r>
            <w:r>
              <w:rPr>
                <w:noProof/>
                <w:webHidden/>
              </w:rPr>
              <w:t>16</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63" w:history="1">
            <w:r>
              <w:rPr>
                <w:rStyle w:val="Hyperlink"/>
                <w:noProof/>
              </w:rPr>
              <w:t>6.4</w:t>
            </w:r>
            <w:r>
              <w:rPr>
                <w:rFonts w:eastAsiaTheme="minorEastAsia"/>
                <w:noProof/>
                <w:lang w:val="en-GB" w:eastAsia="en-GB" w:bidi="ar-SA"/>
              </w:rPr>
              <w:tab/>
            </w:r>
            <w:r>
              <w:rPr>
                <w:rStyle w:val="Hyperlink"/>
                <w:noProof/>
              </w:rPr>
              <w:t>Accords volontaires visant à réduire la teneur en AGT dans les denrées alimentaires et les régimes alimentaires à l’échelle de l’UE</w:t>
            </w:r>
            <w:r>
              <w:rPr>
                <w:noProof/>
                <w:webHidden/>
              </w:rPr>
              <w:tab/>
            </w:r>
            <w:r>
              <w:rPr>
                <w:noProof/>
                <w:webHidden/>
              </w:rPr>
              <w:fldChar w:fldCharType="begin"/>
            </w:r>
            <w:r>
              <w:rPr>
                <w:noProof/>
                <w:webHidden/>
              </w:rPr>
              <w:instrText xml:space="preserve"> PAGEREF _Toc436664863 \h </w:instrText>
            </w:r>
            <w:r>
              <w:rPr>
                <w:noProof/>
                <w:webHidden/>
              </w:rPr>
            </w:r>
            <w:r>
              <w:rPr>
                <w:noProof/>
                <w:webHidden/>
              </w:rPr>
              <w:fldChar w:fldCharType="separate"/>
            </w:r>
            <w:r>
              <w:rPr>
                <w:noProof/>
                <w:webHidden/>
              </w:rPr>
              <w:t>17</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64" w:history="1">
            <w:r>
              <w:rPr>
                <w:rStyle w:val="Hyperlink"/>
                <w:noProof/>
              </w:rPr>
              <w:t>6.5</w:t>
            </w:r>
            <w:r>
              <w:rPr>
                <w:rFonts w:eastAsiaTheme="minorEastAsia"/>
                <w:noProof/>
                <w:lang w:val="en-GB" w:eastAsia="en-GB" w:bidi="ar-SA"/>
              </w:rPr>
              <w:tab/>
            </w:r>
            <w:r>
              <w:rPr>
                <w:rStyle w:val="Hyperlink"/>
                <w:noProof/>
              </w:rPr>
              <w:t>Élaboration d’orientations de l’UE concernant des limites légales nationales relatives à la teneur en AGT dans les denrées alimentaires</w:t>
            </w:r>
            <w:r>
              <w:rPr>
                <w:noProof/>
                <w:webHidden/>
              </w:rPr>
              <w:tab/>
            </w:r>
            <w:r>
              <w:rPr>
                <w:noProof/>
                <w:webHidden/>
              </w:rPr>
              <w:fldChar w:fldCharType="begin"/>
            </w:r>
            <w:r>
              <w:rPr>
                <w:noProof/>
                <w:webHidden/>
              </w:rPr>
              <w:instrText xml:space="preserve"> PAGEREF _Toc436664864 \h </w:instrText>
            </w:r>
            <w:r>
              <w:rPr>
                <w:noProof/>
                <w:webHidden/>
              </w:rPr>
            </w:r>
            <w:r>
              <w:rPr>
                <w:noProof/>
                <w:webHidden/>
              </w:rPr>
              <w:fldChar w:fldCharType="separate"/>
            </w:r>
            <w:r>
              <w:rPr>
                <w:noProof/>
                <w:webHidden/>
              </w:rPr>
              <w:t>17</w:t>
            </w:r>
            <w:r>
              <w:rPr>
                <w:noProof/>
                <w:webHidden/>
              </w:rPr>
              <w:fldChar w:fldCharType="end"/>
            </w:r>
          </w:hyperlink>
        </w:p>
        <w:p w:rsidR="00A018F1" w:rsidRDefault="00E73400">
          <w:pPr>
            <w:pStyle w:val="TOC1"/>
            <w:tabs>
              <w:tab w:val="left" w:pos="840"/>
            </w:tabs>
            <w:rPr>
              <w:rFonts w:eastAsiaTheme="minorEastAsia"/>
              <w:noProof/>
              <w:lang w:val="en-GB" w:eastAsia="en-GB" w:bidi="ar-SA"/>
            </w:rPr>
          </w:pPr>
          <w:hyperlink w:anchor="_Toc436664865" w:history="1">
            <w:r>
              <w:rPr>
                <w:rStyle w:val="Hyperlink"/>
                <w:noProof/>
              </w:rPr>
              <w:t>7.</w:t>
            </w:r>
            <w:r>
              <w:rPr>
                <w:rFonts w:eastAsiaTheme="minorEastAsia"/>
                <w:noProof/>
                <w:lang w:val="en-GB" w:eastAsia="en-GB" w:bidi="ar-SA"/>
              </w:rPr>
              <w:tab/>
            </w:r>
            <w:r>
              <w:rPr>
                <w:rStyle w:val="Hyperlink"/>
                <w:noProof/>
              </w:rPr>
              <w:t>CONCLUSIONS</w:t>
            </w:r>
            <w:r>
              <w:rPr>
                <w:noProof/>
                <w:webHidden/>
              </w:rPr>
              <w:tab/>
            </w:r>
            <w:r>
              <w:rPr>
                <w:noProof/>
                <w:webHidden/>
              </w:rPr>
              <w:fldChar w:fldCharType="begin"/>
            </w:r>
            <w:r>
              <w:rPr>
                <w:noProof/>
                <w:webHidden/>
              </w:rPr>
              <w:instrText xml:space="preserve"> PAGEREF _Toc436664865 \h </w:instrText>
            </w:r>
            <w:r>
              <w:rPr>
                <w:noProof/>
                <w:webHidden/>
              </w:rPr>
            </w:r>
            <w:r>
              <w:rPr>
                <w:noProof/>
                <w:webHidden/>
              </w:rPr>
              <w:fldChar w:fldCharType="separate"/>
            </w:r>
            <w:r>
              <w:rPr>
                <w:noProof/>
                <w:webHidden/>
              </w:rPr>
              <w:t>17</w:t>
            </w:r>
            <w:r>
              <w:rPr>
                <w:noProof/>
                <w:webHidden/>
              </w:rPr>
              <w:fldChar w:fldCharType="end"/>
            </w:r>
          </w:hyperlink>
        </w:p>
        <w:p w:rsidR="00A018F1" w:rsidRDefault="00E73400">
          <w:pPr>
            <w:pStyle w:val="TOC2"/>
            <w:rPr>
              <w:noProof/>
            </w:rPr>
          </w:pPr>
          <w:r>
            <w:rPr>
              <w:rFonts w:ascii="Times New Roman" w:hAnsi="Times New Roman" w:cs="Times New Roman"/>
              <w:b/>
              <w:bCs/>
              <w:noProof/>
              <w:sz w:val="24"/>
              <w:szCs w:val="24"/>
            </w:rPr>
            <w:fldChar w:fldCharType="end"/>
          </w:r>
        </w:p>
      </w:sdtContent>
    </w:sdt>
    <w:p w:rsidR="00A018F1" w:rsidRDefault="00E73400">
      <w:pPr>
        <w:jc w:val="center"/>
        <w:rPr>
          <w:rFonts w:ascii="Times New Roman" w:hAnsi="Times New Roman"/>
          <w:b/>
          <w:noProof/>
          <w:sz w:val="24"/>
        </w:rPr>
      </w:pPr>
      <w:r>
        <w:rPr>
          <w:rFonts w:ascii="Times New Roman" w:hAnsi="Times New Roman"/>
          <w:noProof/>
          <w:sz w:val="24"/>
        </w:rPr>
        <w:t xml:space="preserve"> </w:t>
      </w:r>
      <w:r>
        <w:rPr>
          <w:noProof/>
        </w:rPr>
        <w:br w:type="page"/>
      </w:r>
      <w:r>
        <w:rPr>
          <w:rFonts w:ascii="Times New Roman" w:hAnsi="Times New Roman"/>
          <w:b/>
          <w:noProof/>
          <w:sz w:val="24"/>
        </w:rPr>
        <w:lastRenderedPageBreak/>
        <w:t>RAPPORT DE LA COMMISSION AU PARLEMENT EUROPÉEN ET AU CONSEIL</w:t>
      </w:r>
    </w:p>
    <w:p w:rsidR="00A018F1" w:rsidRDefault="00E73400">
      <w:pPr>
        <w:jc w:val="center"/>
        <w:rPr>
          <w:rFonts w:ascii="Times New Roman" w:hAnsi="Times New Roman" w:cs="Times New Roman"/>
          <w:b/>
          <w:noProof/>
          <w:sz w:val="24"/>
          <w:szCs w:val="24"/>
        </w:rPr>
      </w:pPr>
      <w:r>
        <w:rPr>
          <w:rFonts w:ascii="Times New Roman" w:hAnsi="Times New Roman"/>
          <w:b/>
          <w:noProof/>
          <w:sz w:val="24"/>
        </w:rPr>
        <w:t>en ce qui concerne les</w:t>
      </w:r>
      <w:r>
        <w:rPr>
          <w:rFonts w:ascii="Times New Roman" w:hAnsi="Times New Roman"/>
          <w:b/>
          <w:noProof/>
          <w:sz w:val="24"/>
        </w:rPr>
        <w:t xml:space="preserve"> acides gras trans dans les denrées alimentaires et, de manière générale, dans le régime alimentaire de la population de l’Union</w:t>
      </w:r>
    </w:p>
    <w:p w:rsidR="00A018F1" w:rsidRDefault="00A018F1">
      <w:pPr>
        <w:jc w:val="center"/>
        <w:rPr>
          <w:rFonts w:ascii="Times New Roman" w:hAnsi="Times New Roman" w:cs="Times New Roman"/>
          <w:noProof/>
          <w:sz w:val="24"/>
          <w:szCs w:val="24"/>
        </w:rPr>
      </w:pPr>
    </w:p>
    <w:p w:rsidR="00A018F1" w:rsidRDefault="00E73400">
      <w:pPr>
        <w:pStyle w:val="Heading1"/>
        <w:numPr>
          <w:ilvl w:val="0"/>
          <w:numId w:val="6"/>
        </w:numPr>
        <w:spacing w:after="240" w:line="240" w:lineRule="auto"/>
        <w:rPr>
          <w:noProof/>
        </w:rPr>
      </w:pPr>
      <w:bookmarkStart w:id="2" w:name="_Toc435540751"/>
      <w:bookmarkStart w:id="3" w:name="_Toc436664851"/>
      <w:r>
        <w:rPr>
          <w:noProof/>
        </w:rPr>
        <w:t>INTRODUCTION</w:t>
      </w:r>
      <w:bookmarkEnd w:id="2"/>
      <w:bookmarkEnd w:id="3"/>
    </w:p>
    <w:p w:rsidR="00A018F1" w:rsidRDefault="00E73400">
      <w:pPr>
        <w:spacing w:after="0"/>
        <w:jc w:val="both"/>
        <w:rPr>
          <w:rFonts w:ascii="Times New Roman" w:hAnsi="Times New Roman"/>
          <w:noProof/>
          <w:sz w:val="24"/>
        </w:rPr>
      </w:pPr>
      <w:r>
        <w:rPr>
          <w:rFonts w:ascii="Times New Roman" w:hAnsi="Times New Roman"/>
          <w:noProof/>
          <w:sz w:val="24"/>
        </w:rPr>
        <w:t>L’article 30, paragraphe 7, du règlement (UE) nº 1169/2011 du Parlement européen et du Conseil concernant l’infor</w:t>
      </w:r>
      <w:r>
        <w:rPr>
          <w:rFonts w:ascii="Times New Roman" w:hAnsi="Times New Roman"/>
          <w:noProof/>
          <w:sz w:val="24"/>
        </w:rPr>
        <w:t>mation des consommateurs sur les denrées alimentaires</w:t>
      </w:r>
      <w:bookmarkStart w:id="4" w:name="_Ref399857051"/>
      <w:r>
        <w:rPr>
          <w:rStyle w:val="FootnoteReference"/>
          <w:rFonts w:ascii="Times New Roman" w:hAnsi="Times New Roman"/>
          <w:noProof/>
          <w:sz w:val="24"/>
        </w:rPr>
        <w:footnoteReference w:id="2"/>
      </w:r>
      <w:bookmarkEnd w:id="4"/>
      <w:r>
        <w:rPr>
          <w:rFonts w:ascii="Times New Roman" w:hAnsi="Times New Roman"/>
          <w:noProof/>
          <w:sz w:val="24"/>
        </w:rPr>
        <w:t xml:space="preserve"> prévoit que la Commission présente un rapport au Parlement européen et au Conseil sur «</w:t>
      </w:r>
      <w:r>
        <w:rPr>
          <w:rFonts w:ascii="Times New Roman" w:hAnsi="Times New Roman"/>
          <w:i/>
          <w:noProof/>
          <w:sz w:val="24"/>
        </w:rPr>
        <w:t xml:space="preserve">la présence d’acides gras trans dans les denrées alimentaires et, de manière générale, dans le régime alimentaire </w:t>
      </w:r>
      <w:r>
        <w:rPr>
          <w:rFonts w:ascii="Times New Roman" w:hAnsi="Times New Roman"/>
          <w:i/>
          <w:noProof/>
          <w:sz w:val="24"/>
        </w:rPr>
        <w:t>de la population de l’Union. Le but du rapport est d’évaluer les effets de mesures appropriées qui pourraient permettre aux consommateurs de faire des choix plus sains quant aux denrées alimentaires et à leur régime alimentaire en général, ou qui pourraien</w:t>
      </w:r>
      <w:r>
        <w:rPr>
          <w:rFonts w:ascii="Times New Roman" w:hAnsi="Times New Roman"/>
          <w:i/>
          <w:noProof/>
          <w:sz w:val="24"/>
        </w:rPr>
        <w:t>t promouvoir l’apport d’options plus saines en ce qui concerne les denrées alimentaires offertes aux consommateurs, y compris, entre autres, la fourniture d’informations aux consommateurs sur lesdits acides gras trans ou l’imposition de restrictions à leur</w:t>
      </w:r>
      <w:r>
        <w:rPr>
          <w:rFonts w:ascii="Times New Roman" w:hAnsi="Times New Roman"/>
          <w:i/>
          <w:noProof/>
          <w:sz w:val="24"/>
        </w:rPr>
        <w:t xml:space="preserve"> usage. La Commission joint à ce rapport, le cas échéant, une proposition législative.</w:t>
      </w:r>
      <w:r>
        <w:rPr>
          <w:rFonts w:ascii="Times New Roman" w:hAnsi="Times New Roman"/>
          <w:noProof/>
          <w:sz w:val="24"/>
        </w:rPr>
        <w:t>»</w:t>
      </w:r>
      <w:r>
        <w:rPr>
          <w:rFonts w:ascii="Times New Roman" w:hAnsi="Times New Roman"/>
          <w:noProof/>
          <w:sz w:val="24"/>
          <w:vertAlign w:val="superscript"/>
        </w:rPr>
        <w:t>1</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C’est dans ce cadre qu’a été élaboré le présent rapport qui</w:t>
      </w:r>
    </w:p>
    <w:p w:rsidR="00A018F1" w:rsidRDefault="00E73400">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dresse un état des lieux sur la présence d’acides gras trans (AGT) dans les denrées alimentaires et, de ma</w:t>
      </w:r>
      <w:r>
        <w:rPr>
          <w:rFonts w:ascii="Times New Roman" w:hAnsi="Times New Roman"/>
          <w:noProof/>
          <w:sz w:val="24"/>
        </w:rPr>
        <w:t>nière générale, dans le régime alimentaire de la population de l’Union;</w:t>
      </w:r>
    </w:p>
    <w:p w:rsidR="00A018F1" w:rsidRDefault="00E73400">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présente les stratégies actuelles destinées à limiter la consommation d’AGT à l’échelle mondiale et évalue leur efficacité, en abordant plus spécifiquement les limites légales relative</w:t>
      </w:r>
      <w:r>
        <w:rPr>
          <w:rFonts w:ascii="Times New Roman" w:hAnsi="Times New Roman"/>
          <w:noProof/>
          <w:sz w:val="24"/>
        </w:rPr>
        <w:t>s à la teneur en AGT, l’étiquetage obligatoire mentionnant la présence d’AGT et la reformulation facultative; et</w:t>
      </w:r>
    </w:p>
    <w:p w:rsidR="00A018F1" w:rsidRDefault="00E73400">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décrit quelques-unes des incidences possibles résultant de la mise en place de telles stratégies dans l’Union européenne (UE).</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Le présent rapp</w:t>
      </w:r>
      <w:r>
        <w:rPr>
          <w:rFonts w:ascii="Times New Roman" w:hAnsi="Times New Roman"/>
          <w:noProof/>
          <w:sz w:val="24"/>
        </w:rPr>
        <w:t>ort s’appuie sur des analyses bibliographiques et des données recueillies, analysées et synthétisées par le Centre commun de recherche dans ce domaine ainsi que sur une consultation approfondie des autorités nationales compétentes et des acteurs concernés.</w:t>
      </w:r>
      <w:r>
        <w:rPr>
          <w:rFonts w:ascii="Times New Roman" w:hAnsi="Times New Roman"/>
          <w:noProof/>
          <w:sz w:val="24"/>
        </w:rPr>
        <w:t xml:space="preserve"> Il est accompagné d’un document de travail des services de la Commission qui fournit des informations détaillées étayant certaines des conclusions exposées dans le présent rapport</w:t>
      </w:r>
      <w:bookmarkStart w:id="5" w:name="_Ref399421628"/>
      <w:r>
        <w:rPr>
          <w:rFonts w:ascii="Times New Roman" w:hAnsi="Times New Roman"/>
          <w:noProof/>
          <w:sz w:val="24"/>
        </w:rPr>
        <w:t>.</w:t>
      </w:r>
      <w:bookmarkStart w:id="6" w:name="_Ref274952469"/>
      <w:r>
        <w:rPr>
          <w:rStyle w:val="FootnoteReference"/>
          <w:rFonts w:ascii="Times New Roman" w:hAnsi="Times New Roman"/>
          <w:noProof/>
          <w:sz w:val="24"/>
        </w:rPr>
        <w:footnoteReference w:id="3"/>
      </w:r>
      <w:bookmarkEnd w:id="5"/>
      <w:bookmarkEnd w:id="6"/>
    </w:p>
    <w:p w:rsidR="00A018F1" w:rsidRDefault="00A018F1">
      <w:pPr>
        <w:spacing w:after="0"/>
        <w:jc w:val="both"/>
        <w:rPr>
          <w:rFonts w:ascii="Times New Roman" w:hAnsi="Times New Roman"/>
          <w:noProof/>
          <w:sz w:val="24"/>
        </w:rPr>
      </w:pPr>
    </w:p>
    <w:p w:rsidR="00A018F1" w:rsidRDefault="00E73400">
      <w:pPr>
        <w:pStyle w:val="Heading1"/>
        <w:numPr>
          <w:ilvl w:val="0"/>
          <w:numId w:val="6"/>
        </w:numPr>
        <w:spacing w:after="240" w:line="240" w:lineRule="auto"/>
        <w:rPr>
          <w:noProof/>
        </w:rPr>
      </w:pPr>
      <w:bookmarkStart w:id="7" w:name="_Toc436664852"/>
      <w:r>
        <w:rPr>
          <w:noProof/>
        </w:rPr>
        <w:lastRenderedPageBreak/>
        <w:t>INFORMATIONS GÉNÉRALES SUR LES AGT</w:t>
      </w:r>
      <w:bookmarkEnd w:id="7"/>
    </w:p>
    <w:p w:rsidR="00A018F1" w:rsidRDefault="00E73400">
      <w:pPr>
        <w:jc w:val="both"/>
        <w:rPr>
          <w:rFonts w:ascii="Times New Roman" w:hAnsi="Times New Roman" w:cs="Times New Roman"/>
          <w:noProof/>
          <w:sz w:val="24"/>
          <w:szCs w:val="24"/>
        </w:rPr>
      </w:pPr>
      <w:r>
        <w:rPr>
          <w:rFonts w:ascii="Times New Roman" w:hAnsi="Times New Roman"/>
          <w:noProof/>
          <w:sz w:val="24"/>
        </w:rPr>
        <w:t>Les AGT sont un type particulier d’ac</w:t>
      </w:r>
      <w:r>
        <w:rPr>
          <w:rFonts w:ascii="Times New Roman" w:hAnsi="Times New Roman"/>
          <w:noProof/>
          <w:sz w:val="24"/>
        </w:rPr>
        <w:t>ides gras insaturés. Dans le règlement (UE) nº 1169/2011, ils sont définis comme des «acides gras qui présentent au moins une liaison double non conjuguée (c’est-à-dire interrompue par au moins un groupement méthylène) entre atomes de carbone en configurat</w:t>
      </w:r>
      <w:r>
        <w:rPr>
          <w:rFonts w:ascii="Times New Roman" w:hAnsi="Times New Roman"/>
          <w:noProof/>
          <w:sz w:val="24"/>
        </w:rPr>
        <w:t>ion trans.»</w:t>
      </w:r>
      <w:r>
        <w:rPr>
          <w:rStyle w:val="FootnoteReference"/>
          <w:rFonts w:ascii="Times New Roman" w:hAnsi="Times New Roman"/>
          <w:noProof/>
          <w:sz w:val="24"/>
        </w:rPr>
        <w:footnoteReference w:id="4"/>
      </w:r>
      <w:r>
        <w:rPr>
          <w:rFonts w:ascii="Times New Roman" w:hAnsi="Times New Roman"/>
          <w:noProof/>
          <w:sz w:val="24"/>
        </w:rPr>
        <w:t xml:space="preserve"> Certains AGT sont produits à la suite de procédés industriels (ci-après les «AGT d’origine industrielle»). Les huiles partiellement hydrogénées constituent la principale source alimentaire des AGT d’origine industrielle. Ces huiles contiennent</w:t>
      </w:r>
      <w:r>
        <w:rPr>
          <w:rFonts w:ascii="Times New Roman" w:hAnsi="Times New Roman"/>
          <w:noProof/>
          <w:sz w:val="24"/>
        </w:rPr>
        <w:t xml:space="preserve"> généralement des matières grasses saturées et insaturées, dont font partie les AGT en quantités variables (depuis de faibles quantités jusqu’à plus de 50 %), en fonction de la technique de production utilisée. Les AGT peuvent également être naturellement </w:t>
      </w:r>
      <w:r>
        <w:rPr>
          <w:rFonts w:ascii="Times New Roman" w:hAnsi="Times New Roman"/>
          <w:noProof/>
          <w:sz w:val="24"/>
        </w:rPr>
        <w:t>présents dans les produits alimentaires tirés de ruminants, tels que les produits laitiers ou la viande de bovins, d’ovins ou de caprins (ci-après les «AGT provenant de ruminants»). Les réductions d’AGT ciblent les AGT d’origine industrielle, étant donné q</w:t>
      </w:r>
      <w:r>
        <w:rPr>
          <w:rFonts w:ascii="Times New Roman" w:hAnsi="Times New Roman"/>
          <w:noProof/>
          <w:sz w:val="24"/>
        </w:rPr>
        <w:t xml:space="preserve">u’il est possible de modifier la proportion d’AGT dans ces matières grasses alors que celle dans les graisses de ruminants est relativement stable. Les AGT provenant de ruminants représentent entre 0,3 et 0,8 % de l’apport énergétique journalier selon les </w:t>
      </w:r>
      <w:r>
        <w:rPr>
          <w:rFonts w:ascii="Times New Roman" w:hAnsi="Times New Roman"/>
          <w:noProof/>
          <w:sz w:val="24"/>
        </w:rPr>
        <w:t>habitudes alimentaires dans toute l’Europe</w:t>
      </w:r>
      <w:r>
        <w:rPr>
          <w:rStyle w:val="FootnoteReference"/>
          <w:rFonts w:ascii="Times New Roman" w:hAnsi="Times New Roman"/>
          <w:noProof/>
          <w:sz w:val="24"/>
        </w:rPr>
        <w:footnoteReference w:id="5"/>
      </w:r>
      <w:r>
        <w:rPr>
          <w:rFonts w:ascii="Times New Roman" w:hAnsi="Times New Roman"/>
          <w:noProof/>
          <w:sz w:val="24"/>
        </w:rPr>
        <w:t>.</w:t>
      </w:r>
    </w:p>
    <w:p w:rsidR="00A018F1" w:rsidRDefault="00E73400">
      <w:pPr>
        <w:pStyle w:val="Heading2"/>
        <w:spacing w:after="240" w:line="240" w:lineRule="auto"/>
        <w:ind w:left="567"/>
        <w:rPr>
          <w:noProof/>
        </w:rPr>
      </w:pPr>
      <w:bookmarkStart w:id="8" w:name="_Toc436664853"/>
      <w:r>
        <w:rPr>
          <w:noProof/>
        </w:rPr>
        <w:t>Conséquences de la consommation d’AGT sur la société et recommandations en matière de niveaux maximaux de consommation d’AGT</w:t>
      </w:r>
      <w:bookmarkEnd w:id="8"/>
    </w:p>
    <w:p w:rsidR="00A018F1" w:rsidRDefault="00E73400">
      <w:pPr>
        <w:spacing w:after="0"/>
        <w:jc w:val="both"/>
        <w:rPr>
          <w:rFonts w:ascii="Times" w:hAnsi="Times"/>
          <w:noProof/>
          <w:color w:val="131413"/>
          <w:sz w:val="24"/>
          <w:szCs w:val="24"/>
        </w:rPr>
      </w:pPr>
      <w:r>
        <w:rPr>
          <w:rFonts w:ascii="Times New Roman" w:hAnsi="Times New Roman"/>
          <w:noProof/>
          <w:sz w:val="24"/>
        </w:rPr>
        <w:t xml:space="preserve">La consommation d’AGT augmente le risque de maladie cardiaque plus que </w:t>
      </w:r>
      <w:r>
        <w:rPr>
          <w:rStyle w:val="A7"/>
          <w:rFonts w:ascii="Times New Roman" w:hAnsi="Times New Roman"/>
          <w:noProof/>
          <w:sz w:val="24"/>
        </w:rPr>
        <w:t xml:space="preserve">tout autre </w:t>
      </w:r>
      <w:r>
        <w:rPr>
          <w:rStyle w:val="A7"/>
          <w:rFonts w:ascii="Times New Roman" w:hAnsi="Times New Roman"/>
          <w:noProof/>
          <w:sz w:val="24"/>
        </w:rPr>
        <w:t>macronutriment sur la base du nombre de calories</w:t>
      </w:r>
      <w:r>
        <w:rPr>
          <w:rStyle w:val="A7"/>
          <w:rFonts w:ascii="Times New Roman" w:hAnsi="Times New Roman"/>
          <w:noProof/>
          <w:sz w:val="24"/>
          <w:vertAlign w:val="superscript"/>
        </w:rPr>
        <w:t>5</w:t>
      </w:r>
      <w:r>
        <w:rPr>
          <w:rFonts w:ascii="Times New Roman" w:hAnsi="Times New Roman"/>
          <w:noProof/>
          <w:sz w:val="24"/>
        </w:rPr>
        <w:t>.</w:t>
      </w:r>
      <w:r>
        <w:rPr>
          <w:rStyle w:val="A7"/>
          <w:rFonts w:ascii="Times New Roman" w:hAnsi="Times New Roman"/>
          <w:noProof/>
          <w:sz w:val="24"/>
        </w:rPr>
        <w:t xml:space="preserve"> Le risque de succomber des suites d’une maladie cardiaque est plus élevé lorsque 2 % de l’apport énergétique journalier provient de la consommation d’AGT en lieu et place de glucides, d’acides gras saturés</w:t>
      </w:r>
      <w:r>
        <w:rPr>
          <w:rStyle w:val="A7"/>
          <w:rFonts w:ascii="Times New Roman" w:hAnsi="Times New Roman"/>
          <w:noProof/>
          <w:sz w:val="24"/>
        </w:rPr>
        <w:t>, d’acides gras monoinsaturés cis et polyinsaturés cis ou d’autres types d’acides gras, si le nombre de calories remplacées reste dans chaque cas le même (les données disponibles indiquent une augmentation du risque entre 20 et 32 %).</w:t>
      </w:r>
      <w:bookmarkStart w:id="9" w:name="_Ref422847321"/>
      <w:r>
        <w:rPr>
          <w:rStyle w:val="FootnoteReference"/>
          <w:rFonts w:ascii="Times New Roman" w:hAnsi="Times New Roman"/>
          <w:noProof/>
          <w:color w:val="19161A"/>
          <w:sz w:val="24"/>
        </w:rPr>
        <w:footnoteReference w:id="6"/>
      </w:r>
      <w:bookmarkEnd w:id="9"/>
      <w:r>
        <w:rPr>
          <w:rStyle w:val="A7"/>
          <w:rFonts w:ascii="Times New Roman" w:hAnsi="Times New Roman"/>
          <w:noProof/>
          <w:sz w:val="24"/>
        </w:rPr>
        <w:t xml:space="preserve"> Malgré une disponibi</w:t>
      </w:r>
      <w:r>
        <w:rPr>
          <w:rStyle w:val="A7"/>
          <w:rFonts w:ascii="Times New Roman" w:hAnsi="Times New Roman"/>
          <w:noProof/>
          <w:sz w:val="24"/>
        </w:rPr>
        <w:t>lité limitée de données à l’échelle de l’UE, une étude récente ayant synthétisé les données recueillies auprès de neuf États membres de l’UE uniquement conclut que la consommation moyenne quotidienne d’AGT dans la population représente moins de 1 % de l’ap</w:t>
      </w:r>
      <w:r>
        <w:rPr>
          <w:rStyle w:val="A7"/>
          <w:rFonts w:ascii="Times New Roman" w:hAnsi="Times New Roman"/>
          <w:noProof/>
          <w:sz w:val="24"/>
        </w:rPr>
        <w:t>port énergétique journalier, mais qu’une consommation plus élevée a été observée chez des sous-populations particulières de certains de ces États membres.</w:t>
      </w:r>
      <w:r>
        <w:rPr>
          <w:rStyle w:val="A7"/>
          <w:rFonts w:ascii="Times New Roman" w:hAnsi="Times New Roman"/>
          <w:noProof/>
          <w:sz w:val="24"/>
          <w:vertAlign w:val="superscript"/>
        </w:rPr>
        <w:t>13</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w:hAnsi="Times"/>
          <w:noProof/>
          <w:sz w:val="24"/>
        </w:rPr>
        <w:t>Une consommation élevée d’AGT fait partie des facteurs de risque de développement d’une maladie co</w:t>
      </w:r>
      <w:r>
        <w:rPr>
          <w:rFonts w:ascii="Times" w:hAnsi="Times"/>
          <w:noProof/>
          <w:sz w:val="24"/>
        </w:rPr>
        <w:t xml:space="preserve">ronarienne. Selon une estimation prudente, les maladies coronariennes sont à l’origine de près de 660 000 décès par an dans l’UE, soit environ 14 % de la mortalité globale. </w:t>
      </w:r>
      <w:r>
        <w:rPr>
          <w:rFonts w:ascii="Times New Roman" w:hAnsi="Times New Roman"/>
          <w:noProof/>
          <w:sz w:val="24"/>
        </w:rPr>
        <w:t>Des écarts importants sont observés dans l’UE, les maladies coronariennes représent</w:t>
      </w:r>
      <w:r>
        <w:rPr>
          <w:rFonts w:ascii="Times New Roman" w:hAnsi="Times New Roman"/>
          <w:noProof/>
          <w:sz w:val="24"/>
        </w:rPr>
        <w:t>ant entre 6 % et 36 % des causes de mortalité totale, respectivement pour la France et la Lituanie</w:t>
      </w:r>
      <w:r>
        <w:rPr>
          <w:rStyle w:val="FootnoteReference"/>
          <w:rFonts w:ascii="Times New Roman" w:hAnsi="Times New Roman"/>
          <w:noProof/>
          <w:sz w:val="24"/>
        </w:rPr>
        <w:footnoteReference w:id="7"/>
      </w:r>
      <w:r>
        <w:rPr>
          <w:rFonts w:ascii="Times New Roman" w:hAnsi="Times New Roman"/>
          <w:noProof/>
          <w:sz w:val="24"/>
        </w:rPr>
        <w:t>. Les coûts liés aux maladies coronariennes s’élèvent, d’après les estimations, à 0,5 % du produit intérieur brut (PIB), les coûts cumulés des soins liés à c</w:t>
      </w:r>
      <w:r>
        <w:rPr>
          <w:rFonts w:ascii="Times New Roman" w:hAnsi="Times New Roman"/>
          <w:noProof/>
          <w:sz w:val="24"/>
        </w:rPr>
        <w:t>es maladies s’élevant à 2,9 % du coût total des soins de santé. Les estimations en question et leurs sources sont présentées dans les tableaux ci-après.</w:t>
      </w:r>
    </w:p>
    <w:p w:rsidR="00A018F1" w:rsidRDefault="00A018F1">
      <w:pPr>
        <w:spacing w:after="0"/>
        <w:jc w:val="both"/>
        <w:rPr>
          <w:rFonts w:ascii="Times New Roman" w:hAnsi="Times New Roman"/>
          <w:noProof/>
          <w:sz w:val="24"/>
        </w:rPr>
      </w:pPr>
    </w:p>
    <w:p w:rsidR="00A018F1" w:rsidRDefault="00E73400">
      <w:pPr>
        <w:pStyle w:val="Caption"/>
        <w:keepNext/>
        <w:rPr>
          <w:rFonts w:cs="Times New Roman"/>
          <w:b/>
          <w:noProof/>
          <w:sz w:val="16"/>
          <w:szCs w:val="16"/>
        </w:rPr>
      </w:pPr>
      <w:r>
        <w:rPr>
          <w:noProof/>
          <w:sz w:val="20"/>
        </w:rPr>
        <w:t>Tableau 1 – Coût et coût total des soins liés aux maladies coronariennes dans l’UE-25 en euros et en %</w:t>
      </w:r>
      <w:r>
        <w:rPr>
          <w:noProof/>
          <w:sz w:val="20"/>
        </w:rPr>
        <w:t xml:space="preserve"> du PIB</w:t>
      </w:r>
      <w:r>
        <w:rPr>
          <w:rStyle w:val="FootnoteReference"/>
          <w:noProof/>
          <w:sz w:val="20"/>
        </w:rPr>
        <w:footnoteReference w:id="8"/>
      </w:r>
    </w:p>
    <w:tbl>
      <w:tblPr>
        <w:tblStyle w:val="TableGrid"/>
        <w:tblW w:w="0" w:type="auto"/>
        <w:tblLook w:val="04A0" w:firstRow="1" w:lastRow="0" w:firstColumn="1" w:lastColumn="0" w:noHBand="0" w:noVBand="1"/>
      </w:tblPr>
      <w:tblGrid>
        <w:gridCol w:w="2944"/>
        <w:gridCol w:w="2126"/>
        <w:gridCol w:w="1559"/>
      </w:tblGrid>
      <w:tr w:rsidR="00A018F1">
        <w:tc>
          <w:tcPr>
            <w:tcW w:w="2944" w:type="dxa"/>
          </w:tcPr>
          <w:p w:rsidR="00A018F1" w:rsidRDefault="00E73400">
            <w:pPr>
              <w:spacing w:after="0"/>
              <w:jc w:val="both"/>
              <w:rPr>
                <w:rFonts w:ascii="Times New Roman" w:hAnsi="Times New Roman"/>
                <w:noProof/>
              </w:rPr>
            </w:pPr>
            <w:r>
              <w:rPr>
                <w:rFonts w:ascii="Times New Roman" w:hAnsi="Times New Roman"/>
                <w:noProof/>
              </w:rPr>
              <w:t>UE-25</w:t>
            </w:r>
          </w:p>
        </w:tc>
        <w:tc>
          <w:tcPr>
            <w:tcW w:w="2126" w:type="dxa"/>
          </w:tcPr>
          <w:p w:rsidR="00A018F1" w:rsidRDefault="00A018F1">
            <w:pPr>
              <w:spacing w:after="0"/>
              <w:jc w:val="both"/>
              <w:rPr>
                <w:rFonts w:ascii="Times New Roman" w:hAnsi="Times New Roman"/>
                <w:noProof/>
              </w:rPr>
            </w:pPr>
          </w:p>
        </w:tc>
        <w:tc>
          <w:tcPr>
            <w:tcW w:w="1559" w:type="dxa"/>
          </w:tcPr>
          <w:p w:rsidR="00A018F1" w:rsidRDefault="00A018F1">
            <w:pPr>
              <w:spacing w:after="0"/>
              <w:jc w:val="both"/>
              <w:rPr>
                <w:rFonts w:ascii="Times New Roman" w:hAnsi="Times New Roman"/>
                <w:noProof/>
              </w:rPr>
            </w:pPr>
          </w:p>
        </w:tc>
      </w:tr>
      <w:tr w:rsidR="00A018F1">
        <w:tc>
          <w:tcPr>
            <w:tcW w:w="2944" w:type="dxa"/>
          </w:tcPr>
          <w:p w:rsidR="00A018F1" w:rsidRDefault="00A018F1">
            <w:pPr>
              <w:spacing w:after="0"/>
              <w:jc w:val="both"/>
              <w:rPr>
                <w:rFonts w:ascii="Times New Roman" w:hAnsi="Times New Roman"/>
                <w:noProof/>
              </w:rPr>
            </w:pPr>
          </w:p>
        </w:tc>
        <w:tc>
          <w:tcPr>
            <w:tcW w:w="2126" w:type="dxa"/>
          </w:tcPr>
          <w:p w:rsidR="00A018F1" w:rsidRDefault="00E73400">
            <w:pPr>
              <w:spacing w:after="0"/>
              <w:jc w:val="both"/>
              <w:rPr>
                <w:rFonts w:ascii="Times New Roman" w:hAnsi="Times New Roman"/>
                <w:noProof/>
              </w:rPr>
            </w:pPr>
            <w:r>
              <w:rPr>
                <w:rFonts w:ascii="Times New Roman" w:hAnsi="Times New Roman"/>
                <w:noProof/>
              </w:rPr>
              <w:t>en millions d’euros (2003)</w:t>
            </w:r>
          </w:p>
        </w:tc>
        <w:tc>
          <w:tcPr>
            <w:tcW w:w="1559" w:type="dxa"/>
          </w:tcPr>
          <w:p w:rsidR="00A018F1" w:rsidRDefault="00E73400">
            <w:pPr>
              <w:spacing w:after="0"/>
              <w:jc w:val="both"/>
              <w:rPr>
                <w:rFonts w:ascii="Times New Roman" w:hAnsi="Times New Roman"/>
                <w:noProof/>
              </w:rPr>
            </w:pPr>
            <w:r>
              <w:rPr>
                <w:rFonts w:ascii="Times New Roman" w:hAnsi="Times New Roman"/>
                <w:noProof/>
              </w:rPr>
              <w:t>% du PIB (2003)</w:t>
            </w:r>
          </w:p>
        </w:tc>
      </w:tr>
      <w:tr w:rsidR="00A018F1">
        <w:tc>
          <w:tcPr>
            <w:tcW w:w="2944" w:type="dxa"/>
          </w:tcPr>
          <w:p w:rsidR="00A018F1" w:rsidRDefault="00E73400">
            <w:pPr>
              <w:spacing w:after="0"/>
              <w:jc w:val="both"/>
              <w:rPr>
                <w:rFonts w:ascii="Times New Roman" w:hAnsi="Times New Roman"/>
                <w:noProof/>
              </w:rPr>
            </w:pPr>
            <w:r>
              <w:rPr>
                <w:rFonts w:ascii="Times New Roman" w:hAnsi="Times New Roman"/>
                <w:noProof/>
              </w:rPr>
              <w:t xml:space="preserve">Coût global des maladies coronariennes sur l’économie </w:t>
            </w:r>
          </w:p>
        </w:tc>
        <w:tc>
          <w:tcPr>
            <w:tcW w:w="2126" w:type="dxa"/>
          </w:tcPr>
          <w:p w:rsidR="00A018F1" w:rsidRDefault="00E73400">
            <w:pPr>
              <w:spacing w:after="0"/>
              <w:jc w:val="both"/>
              <w:rPr>
                <w:rFonts w:ascii="Times New Roman" w:hAnsi="Times New Roman"/>
                <w:noProof/>
              </w:rPr>
            </w:pPr>
            <w:r>
              <w:rPr>
                <w:rFonts w:ascii="Times New Roman" w:hAnsi="Times New Roman"/>
                <w:noProof/>
              </w:rPr>
              <w:t>45 564</w:t>
            </w:r>
          </w:p>
        </w:tc>
        <w:tc>
          <w:tcPr>
            <w:tcW w:w="1559" w:type="dxa"/>
          </w:tcPr>
          <w:p w:rsidR="00A018F1" w:rsidRDefault="00E73400">
            <w:pPr>
              <w:spacing w:after="0"/>
              <w:jc w:val="both"/>
              <w:rPr>
                <w:rFonts w:ascii="Times New Roman" w:hAnsi="Times New Roman"/>
                <w:noProof/>
              </w:rPr>
            </w:pPr>
            <w:r>
              <w:rPr>
                <w:rFonts w:ascii="Times New Roman" w:hAnsi="Times New Roman"/>
                <w:noProof/>
              </w:rPr>
              <w:t>0,5 %</w:t>
            </w:r>
          </w:p>
        </w:tc>
      </w:tr>
      <w:tr w:rsidR="00A018F1">
        <w:tc>
          <w:tcPr>
            <w:tcW w:w="2944" w:type="dxa"/>
          </w:tcPr>
          <w:p w:rsidR="00A018F1" w:rsidRDefault="00E73400">
            <w:pPr>
              <w:spacing w:after="0"/>
              <w:jc w:val="both"/>
              <w:rPr>
                <w:rFonts w:ascii="Times New Roman" w:hAnsi="Times New Roman"/>
                <w:noProof/>
              </w:rPr>
            </w:pPr>
            <w:r>
              <w:rPr>
                <w:rFonts w:ascii="Times New Roman" w:hAnsi="Times New Roman"/>
                <w:noProof/>
              </w:rPr>
              <w:t>Coût total des soins liés aux</w:t>
            </w:r>
          </w:p>
          <w:p w:rsidR="00A018F1" w:rsidRDefault="00E73400">
            <w:pPr>
              <w:spacing w:after="0"/>
              <w:jc w:val="both"/>
              <w:rPr>
                <w:rFonts w:ascii="Times New Roman" w:hAnsi="Times New Roman"/>
                <w:noProof/>
              </w:rPr>
            </w:pPr>
            <w:r>
              <w:rPr>
                <w:rFonts w:ascii="Times New Roman" w:hAnsi="Times New Roman"/>
                <w:noProof/>
              </w:rPr>
              <w:t>maladies coronariennes</w:t>
            </w:r>
          </w:p>
        </w:tc>
        <w:tc>
          <w:tcPr>
            <w:tcW w:w="2126" w:type="dxa"/>
          </w:tcPr>
          <w:p w:rsidR="00A018F1" w:rsidRDefault="00E73400">
            <w:pPr>
              <w:spacing w:after="0"/>
              <w:jc w:val="both"/>
              <w:rPr>
                <w:rFonts w:ascii="Times New Roman" w:hAnsi="Times New Roman"/>
                <w:noProof/>
              </w:rPr>
            </w:pPr>
            <w:r>
              <w:rPr>
                <w:rFonts w:ascii="Times New Roman" w:hAnsi="Times New Roman"/>
                <w:noProof/>
              </w:rPr>
              <w:t>28 250</w:t>
            </w:r>
          </w:p>
        </w:tc>
        <w:tc>
          <w:tcPr>
            <w:tcW w:w="1559" w:type="dxa"/>
          </w:tcPr>
          <w:p w:rsidR="00A018F1" w:rsidRDefault="00E73400">
            <w:pPr>
              <w:spacing w:after="0"/>
              <w:jc w:val="both"/>
              <w:rPr>
                <w:rFonts w:ascii="Times New Roman" w:hAnsi="Times New Roman"/>
                <w:noProof/>
              </w:rPr>
            </w:pPr>
            <w:r>
              <w:rPr>
                <w:rFonts w:ascii="Times New Roman" w:hAnsi="Times New Roman"/>
                <w:noProof/>
              </w:rPr>
              <w:t>0,3 %</w:t>
            </w:r>
          </w:p>
        </w:tc>
      </w:tr>
    </w:tbl>
    <w:p w:rsidR="00A018F1" w:rsidRDefault="00A018F1">
      <w:pPr>
        <w:pStyle w:val="Caption"/>
        <w:keepNext/>
        <w:rPr>
          <w:rFonts w:cs="Times New Roman"/>
          <w:noProof/>
          <w:sz w:val="20"/>
          <w:szCs w:val="20"/>
        </w:rPr>
      </w:pPr>
    </w:p>
    <w:p w:rsidR="00A018F1" w:rsidRDefault="00E73400">
      <w:pPr>
        <w:pStyle w:val="Caption"/>
        <w:keepNext/>
        <w:rPr>
          <w:rFonts w:cs="Times New Roman"/>
          <w:b/>
          <w:noProof/>
          <w:sz w:val="16"/>
          <w:szCs w:val="16"/>
        </w:rPr>
      </w:pPr>
      <w:r>
        <w:rPr>
          <w:noProof/>
          <w:sz w:val="20"/>
        </w:rPr>
        <w:t xml:space="preserve">Tableau 2 – Coût et coût total des soins liés aux </w:t>
      </w:r>
      <w:r>
        <w:rPr>
          <w:noProof/>
          <w:sz w:val="20"/>
        </w:rPr>
        <w:t>maladies coronariennes dans l’UE-28 en euros, en % du PIB et en % du coût total des soins</w:t>
      </w:r>
      <w:r>
        <w:rPr>
          <w:rStyle w:val="FootnoteReference"/>
          <w:noProof/>
          <w:sz w:val="20"/>
        </w:rPr>
        <w:footnoteReference w:id="9"/>
      </w:r>
    </w:p>
    <w:tbl>
      <w:tblPr>
        <w:tblStyle w:val="TableGrid"/>
        <w:tblW w:w="0" w:type="auto"/>
        <w:tblLook w:val="04A0" w:firstRow="1" w:lastRow="0" w:firstColumn="1" w:lastColumn="0" w:noHBand="0" w:noVBand="1"/>
      </w:tblPr>
      <w:tblGrid>
        <w:gridCol w:w="2944"/>
        <w:gridCol w:w="2126"/>
        <w:gridCol w:w="1559"/>
        <w:gridCol w:w="2552"/>
      </w:tblGrid>
      <w:tr w:rsidR="00A018F1">
        <w:tc>
          <w:tcPr>
            <w:tcW w:w="2944" w:type="dxa"/>
          </w:tcPr>
          <w:p w:rsidR="00A018F1" w:rsidRDefault="00E73400">
            <w:pPr>
              <w:spacing w:after="0"/>
              <w:jc w:val="both"/>
              <w:rPr>
                <w:rFonts w:ascii="Times New Roman" w:hAnsi="Times New Roman"/>
                <w:noProof/>
              </w:rPr>
            </w:pPr>
            <w:r>
              <w:rPr>
                <w:rFonts w:ascii="Times New Roman" w:hAnsi="Times New Roman"/>
                <w:noProof/>
              </w:rPr>
              <w:t>UE-28</w:t>
            </w:r>
          </w:p>
        </w:tc>
        <w:tc>
          <w:tcPr>
            <w:tcW w:w="2126" w:type="dxa"/>
          </w:tcPr>
          <w:p w:rsidR="00A018F1" w:rsidRDefault="00A018F1">
            <w:pPr>
              <w:spacing w:after="0"/>
              <w:jc w:val="both"/>
              <w:rPr>
                <w:rFonts w:ascii="Times New Roman" w:hAnsi="Times New Roman"/>
                <w:noProof/>
              </w:rPr>
            </w:pPr>
          </w:p>
        </w:tc>
        <w:tc>
          <w:tcPr>
            <w:tcW w:w="1559" w:type="dxa"/>
          </w:tcPr>
          <w:p w:rsidR="00A018F1" w:rsidRDefault="00A018F1">
            <w:pPr>
              <w:spacing w:after="0"/>
              <w:jc w:val="both"/>
              <w:rPr>
                <w:rFonts w:ascii="Times New Roman" w:hAnsi="Times New Roman"/>
                <w:noProof/>
              </w:rPr>
            </w:pPr>
          </w:p>
        </w:tc>
        <w:tc>
          <w:tcPr>
            <w:tcW w:w="2552" w:type="dxa"/>
          </w:tcPr>
          <w:p w:rsidR="00A018F1" w:rsidRDefault="00A018F1">
            <w:pPr>
              <w:spacing w:after="0"/>
              <w:jc w:val="both"/>
              <w:rPr>
                <w:rFonts w:ascii="Times New Roman" w:hAnsi="Times New Roman"/>
                <w:noProof/>
              </w:rPr>
            </w:pPr>
          </w:p>
        </w:tc>
      </w:tr>
      <w:tr w:rsidR="00A018F1">
        <w:tc>
          <w:tcPr>
            <w:tcW w:w="2944" w:type="dxa"/>
          </w:tcPr>
          <w:p w:rsidR="00A018F1" w:rsidRDefault="00A018F1">
            <w:pPr>
              <w:spacing w:after="0"/>
              <w:jc w:val="both"/>
              <w:rPr>
                <w:rFonts w:ascii="Times New Roman" w:hAnsi="Times New Roman"/>
                <w:noProof/>
              </w:rPr>
            </w:pPr>
          </w:p>
        </w:tc>
        <w:tc>
          <w:tcPr>
            <w:tcW w:w="2126" w:type="dxa"/>
          </w:tcPr>
          <w:p w:rsidR="00A018F1" w:rsidRDefault="00E73400">
            <w:pPr>
              <w:spacing w:after="0"/>
              <w:jc w:val="both"/>
              <w:rPr>
                <w:rFonts w:ascii="Times New Roman" w:hAnsi="Times New Roman"/>
                <w:noProof/>
              </w:rPr>
            </w:pPr>
            <w:r>
              <w:rPr>
                <w:rFonts w:ascii="Times New Roman" w:hAnsi="Times New Roman"/>
                <w:noProof/>
              </w:rPr>
              <w:t>en millions d’euros (2012)</w:t>
            </w:r>
          </w:p>
        </w:tc>
        <w:tc>
          <w:tcPr>
            <w:tcW w:w="1559" w:type="dxa"/>
          </w:tcPr>
          <w:p w:rsidR="00A018F1" w:rsidRDefault="00E73400">
            <w:pPr>
              <w:spacing w:after="0"/>
              <w:jc w:val="both"/>
              <w:rPr>
                <w:rFonts w:ascii="Times New Roman" w:hAnsi="Times New Roman"/>
                <w:noProof/>
              </w:rPr>
            </w:pPr>
            <w:r>
              <w:rPr>
                <w:rFonts w:ascii="Times New Roman" w:hAnsi="Times New Roman"/>
                <w:noProof/>
              </w:rPr>
              <w:t>% du PIB (2012)</w:t>
            </w:r>
          </w:p>
        </w:tc>
        <w:tc>
          <w:tcPr>
            <w:tcW w:w="2552" w:type="dxa"/>
          </w:tcPr>
          <w:p w:rsidR="00A018F1" w:rsidRDefault="00E73400">
            <w:pPr>
              <w:spacing w:after="0"/>
              <w:jc w:val="both"/>
              <w:rPr>
                <w:rFonts w:ascii="Times New Roman" w:hAnsi="Times New Roman"/>
                <w:noProof/>
              </w:rPr>
            </w:pPr>
            <w:r>
              <w:rPr>
                <w:rFonts w:ascii="Times New Roman" w:hAnsi="Times New Roman"/>
                <w:noProof/>
              </w:rPr>
              <w:t>% du coût total des soins (2012)</w:t>
            </w:r>
          </w:p>
        </w:tc>
      </w:tr>
      <w:tr w:rsidR="00A018F1">
        <w:tc>
          <w:tcPr>
            <w:tcW w:w="2944" w:type="dxa"/>
          </w:tcPr>
          <w:p w:rsidR="00A018F1" w:rsidRDefault="00E73400">
            <w:pPr>
              <w:spacing w:after="0"/>
              <w:jc w:val="both"/>
              <w:rPr>
                <w:rFonts w:ascii="Times New Roman" w:hAnsi="Times New Roman"/>
                <w:noProof/>
              </w:rPr>
            </w:pPr>
            <w:r>
              <w:rPr>
                <w:rFonts w:ascii="Times New Roman" w:hAnsi="Times New Roman"/>
                <w:noProof/>
              </w:rPr>
              <w:t>Coût des maladies coronariennes</w:t>
            </w:r>
          </w:p>
        </w:tc>
        <w:tc>
          <w:tcPr>
            <w:tcW w:w="2126" w:type="dxa"/>
          </w:tcPr>
          <w:p w:rsidR="00A018F1" w:rsidRDefault="00E73400">
            <w:pPr>
              <w:spacing w:after="0"/>
              <w:jc w:val="both"/>
              <w:rPr>
                <w:rFonts w:ascii="Times New Roman" w:hAnsi="Times New Roman"/>
                <w:noProof/>
              </w:rPr>
            </w:pPr>
            <w:r>
              <w:rPr>
                <w:rFonts w:ascii="Times New Roman" w:hAnsi="Times New Roman"/>
                <w:noProof/>
              </w:rPr>
              <w:t>58 755</w:t>
            </w:r>
          </w:p>
        </w:tc>
        <w:tc>
          <w:tcPr>
            <w:tcW w:w="1559" w:type="dxa"/>
          </w:tcPr>
          <w:p w:rsidR="00A018F1" w:rsidRDefault="00E73400">
            <w:pPr>
              <w:spacing w:after="0"/>
              <w:jc w:val="both"/>
              <w:rPr>
                <w:rFonts w:ascii="Times New Roman" w:hAnsi="Times New Roman"/>
                <w:noProof/>
              </w:rPr>
            </w:pPr>
            <w:r>
              <w:rPr>
                <w:rFonts w:ascii="Times New Roman" w:hAnsi="Times New Roman"/>
                <w:noProof/>
              </w:rPr>
              <w:t>0,5 %</w:t>
            </w:r>
          </w:p>
        </w:tc>
        <w:tc>
          <w:tcPr>
            <w:tcW w:w="2552" w:type="dxa"/>
          </w:tcPr>
          <w:p w:rsidR="00A018F1" w:rsidRDefault="00E73400">
            <w:pPr>
              <w:spacing w:after="0"/>
              <w:jc w:val="both"/>
              <w:rPr>
                <w:rFonts w:ascii="Times New Roman" w:hAnsi="Times New Roman"/>
                <w:noProof/>
              </w:rPr>
            </w:pPr>
            <w:r>
              <w:rPr>
                <w:rFonts w:ascii="Times New Roman" w:hAnsi="Times New Roman"/>
                <w:noProof/>
              </w:rPr>
              <w:t>Sans objet</w:t>
            </w:r>
          </w:p>
        </w:tc>
      </w:tr>
      <w:tr w:rsidR="00A018F1">
        <w:tc>
          <w:tcPr>
            <w:tcW w:w="2944" w:type="dxa"/>
          </w:tcPr>
          <w:p w:rsidR="00A018F1" w:rsidRDefault="00E73400">
            <w:pPr>
              <w:spacing w:after="0"/>
              <w:jc w:val="both"/>
              <w:rPr>
                <w:rFonts w:ascii="Times New Roman" w:hAnsi="Times New Roman"/>
                <w:noProof/>
              </w:rPr>
            </w:pPr>
            <w:r>
              <w:rPr>
                <w:rFonts w:ascii="Times New Roman" w:hAnsi="Times New Roman"/>
                <w:noProof/>
              </w:rPr>
              <w:t>Coût total des soins</w:t>
            </w:r>
            <w:r>
              <w:rPr>
                <w:rFonts w:ascii="Times New Roman" w:hAnsi="Times New Roman"/>
                <w:noProof/>
              </w:rPr>
              <w:t xml:space="preserve"> liés aux</w:t>
            </w:r>
          </w:p>
          <w:p w:rsidR="00A018F1" w:rsidRDefault="00E73400">
            <w:pPr>
              <w:spacing w:after="0"/>
              <w:jc w:val="both"/>
              <w:rPr>
                <w:rFonts w:ascii="Times New Roman" w:hAnsi="Times New Roman"/>
                <w:noProof/>
              </w:rPr>
            </w:pPr>
            <w:r>
              <w:rPr>
                <w:rFonts w:ascii="Times New Roman" w:hAnsi="Times New Roman"/>
                <w:noProof/>
              </w:rPr>
              <w:t>maladies coronariennes</w:t>
            </w:r>
          </w:p>
        </w:tc>
        <w:tc>
          <w:tcPr>
            <w:tcW w:w="2126" w:type="dxa"/>
          </w:tcPr>
          <w:p w:rsidR="00A018F1" w:rsidRDefault="00E73400">
            <w:pPr>
              <w:spacing w:after="0"/>
              <w:jc w:val="both"/>
              <w:rPr>
                <w:rFonts w:ascii="Times New Roman" w:hAnsi="Times New Roman"/>
                <w:noProof/>
              </w:rPr>
            </w:pPr>
            <w:r>
              <w:rPr>
                <w:rFonts w:ascii="Times New Roman" w:hAnsi="Times New Roman"/>
                <w:noProof/>
              </w:rPr>
              <w:t>36 428</w:t>
            </w:r>
          </w:p>
        </w:tc>
        <w:tc>
          <w:tcPr>
            <w:tcW w:w="1559" w:type="dxa"/>
          </w:tcPr>
          <w:p w:rsidR="00A018F1" w:rsidRDefault="00E73400">
            <w:pPr>
              <w:spacing w:after="0"/>
              <w:jc w:val="both"/>
              <w:rPr>
                <w:rFonts w:ascii="Times New Roman" w:hAnsi="Times New Roman"/>
                <w:noProof/>
              </w:rPr>
            </w:pPr>
            <w:r>
              <w:rPr>
                <w:rFonts w:ascii="Times New Roman" w:hAnsi="Times New Roman"/>
                <w:noProof/>
              </w:rPr>
              <w:t>0,3 %</w:t>
            </w:r>
          </w:p>
        </w:tc>
        <w:tc>
          <w:tcPr>
            <w:tcW w:w="2552" w:type="dxa"/>
          </w:tcPr>
          <w:p w:rsidR="00A018F1" w:rsidRDefault="00E73400">
            <w:pPr>
              <w:spacing w:after="0"/>
              <w:jc w:val="both"/>
              <w:rPr>
                <w:rFonts w:ascii="Times New Roman" w:hAnsi="Times New Roman"/>
                <w:noProof/>
              </w:rPr>
            </w:pPr>
            <w:r>
              <w:rPr>
                <w:rFonts w:ascii="Times New Roman" w:hAnsi="Times New Roman"/>
                <w:noProof/>
              </w:rPr>
              <w:t>2,9 %</w:t>
            </w:r>
          </w:p>
        </w:tc>
      </w:tr>
    </w:tbl>
    <w:p w:rsidR="00A018F1" w:rsidRDefault="00A018F1">
      <w:pPr>
        <w:spacing w:after="0"/>
        <w:jc w:val="both"/>
        <w:rPr>
          <w:rFonts w:ascii="Times New Roman" w:hAnsi="Times New Roman"/>
          <w:noProof/>
          <w:sz w:val="24"/>
          <w:highlight w:val="yellow"/>
        </w:rPr>
      </w:pPr>
    </w:p>
    <w:p w:rsidR="00A018F1" w:rsidRDefault="00E73400">
      <w:pPr>
        <w:spacing w:after="0"/>
        <w:jc w:val="both"/>
        <w:rPr>
          <w:rFonts w:ascii="Times New Roman" w:hAnsi="Times New Roman"/>
          <w:noProof/>
          <w:sz w:val="24"/>
          <w:highlight w:val="yellow"/>
        </w:rPr>
      </w:pPr>
      <w:r>
        <w:rPr>
          <w:rFonts w:ascii="Times New Roman" w:hAnsi="Times New Roman"/>
          <w:noProof/>
          <w:sz w:val="24"/>
          <w:lang w:val="en-GB" w:eastAsia="en-GB" w:bidi="ar-SA"/>
        </w:rPr>
        <w:drawing>
          <wp:inline distT="0" distB="0" distL="0" distR="0">
            <wp:extent cx="5633085" cy="36150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3085" cy="3615055"/>
                    </a:xfrm>
                    <a:prstGeom prst="rect">
                      <a:avLst/>
                    </a:prstGeom>
                    <a:noFill/>
                  </pic:spPr>
                </pic:pic>
              </a:graphicData>
            </a:graphic>
          </wp:inline>
        </w:drawing>
      </w:r>
    </w:p>
    <w:p w:rsidR="00A018F1" w:rsidRDefault="00A018F1">
      <w:pPr>
        <w:spacing w:after="0"/>
        <w:jc w:val="both"/>
        <w:rPr>
          <w:rFonts w:ascii="Times New Roman" w:hAnsi="Times New Roman"/>
          <w:noProof/>
          <w:sz w:val="24"/>
          <w:highlight w:val="yellow"/>
        </w:rPr>
      </w:pPr>
    </w:p>
    <w:p w:rsidR="00A018F1" w:rsidRDefault="00E73400">
      <w:pPr>
        <w:spacing w:after="0"/>
        <w:jc w:val="both"/>
        <w:rPr>
          <w:rFonts w:ascii="Times New Roman" w:hAnsi="Times New Roman" w:cs="Times New Roman"/>
          <w:noProof/>
          <w:sz w:val="20"/>
          <w:szCs w:val="20"/>
        </w:rPr>
      </w:pPr>
      <w:r>
        <w:rPr>
          <w:rFonts w:ascii="Times New Roman" w:hAnsi="Times New Roman" w:cs="Times New Roman"/>
          <w:noProof/>
          <w:sz w:val="20"/>
        </w:rPr>
        <w:t>Schéma 1 – Part des maladies coronariennes</w:t>
      </w:r>
      <w:r>
        <w:rPr>
          <w:rFonts w:ascii="Times New Roman" w:hAnsi="Times New Roman" w:cs="Times New Roman"/>
          <w:noProof/>
          <w:vertAlign w:val="superscript"/>
        </w:rPr>
        <w:footnoteReference w:id="10"/>
      </w:r>
      <w:r>
        <w:rPr>
          <w:rFonts w:ascii="Times New Roman" w:hAnsi="Times New Roman" w:cs="Times New Roman"/>
          <w:noProof/>
          <w:sz w:val="20"/>
        </w:rPr>
        <w:t xml:space="preserve"> en fonction de la mortalité totale (en %, 2011)</w:t>
      </w:r>
    </w:p>
    <w:p w:rsidR="00A018F1" w:rsidRDefault="00A018F1">
      <w:pPr>
        <w:spacing w:after="0"/>
        <w:jc w:val="both"/>
        <w:rPr>
          <w:rStyle w:val="A7"/>
          <w:rFonts w:ascii="Times New Roman" w:hAnsi="Times New Roman"/>
          <w:noProof/>
          <w:sz w:val="24"/>
        </w:rPr>
      </w:pPr>
    </w:p>
    <w:p w:rsidR="00A018F1" w:rsidRDefault="00E73400">
      <w:pPr>
        <w:spacing w:after="0"/>
        <w:jc w:val="both"/>
        <w:rPr>
          <w:rStyle w:val="A7"/>
          <w:rFonts w:ascii="Times New Roman" w:hAnsi="Times New Roman"/>
          <w:noProof/>
          <w:sz w:val="24"/>
        </w:rPr>
      </w:pPr>
      <w:r>
        <w:rPr>
          <w:rStyle w:val="A7"/>
          <w:rFonts w:ascii="Times New Roman" w:hAnsi="Times New Roman"/>
          <w:noProof/>
          <w:sz w:val="24"/>
        </w:rPr>
        <w:t xml:space="preserve">Une consommation élevée d’AGT contribue au risque de développer une maladie coronarienne; toutefois, il </w:t>
      </w:r>
      <w:r>
        <w:rPr>
          <w:rStyle w:val="A7"/>
          <w:rFonts w:ascii="Times New Roman" w:hAnsi="Times New Roman"/>
          <w:noProof/>
          <w:sz w:val="24"/>
        </w:rPr>
        <w:t>est difficile d’évaluer l’incidence exacte de cette consommation sur la totalité des problèmes sanitaires et économiques en raison du faible nombre de données disponibles relatives à la consommation d’AGT pour l’ensemble de l’UE. Il existe des données prou</w:t>
      </w:r>
      <w:r>
        <w:rPr>
          <w:rStyle w:val="A7"/>
          <w:rFonts w:ascii="Times New Roman" w:hAnsi="Times New Roman"/>
          <w:noProof/>
          <w:sz w:val="24"/>
        </w:rPr>
        <w:t>vant que la mise en place par le Danemark de limites légales relatives à la teneur en AGT d’origine industrielle a pratiquement éliminé ces AGT de l’approvisionnement alimentaire danois et a permis la diminution du nombre de décès causés par les maladies c</w:t>
      </w:r>
      <w:r>
        <w:rPr>
          <w:rStyle w:val="A7"/>
          <w:rFonts w:ascii="Times New Roman" w:hAnsi="Times New Roman"/>
          <w:noProof/>
          <w:sz w:val="24"/>
        </w:rPr>
        <w:t>ardiovasculaires</w:t>
      </w:r>
      <w:r>
        <w:rPr>
          <w:rStyle w:val="FootnoteReference"/>
          <w:rFonts w:ascii="Times New Roman" w:hAnsi="Times New Roman"/>
          <w:noProof/>
          <w:color w:val="19161A"/>
          <w:sz w:val="24"/>
        </w:rPr>
        <w:footnoteReference w:id="11"/>
      </w:r>
      <w:r>
        <w:rPr>
          <w:noProof/>
        </w:rPr>
        <w:t>.</w:t>
      </w:r>
      <w:r>
        <w:rPr>
          <w:rStyle w:val="A7"/>
          <w:rFonts w:ascii="Times New Roman" w:hAnsi="Times New Roman"/>
          <w:noProof/>
          <w:sz w:val="24"/>
        </w:rPr>
        <w:t xml:space="preserve"> Dans les trois ans ayant suivi la mise en œuvre de la limite légale, la mortalité due aux maladies cardiovasculaires a reculé en moyenne de 14,2 décès environ pour 100 000 habitants par an par rapport à un groupe témoin synthétique.</w:t>
      </w:r>
    </w:p>
    <w:p w:rsidR="00A018F1" w:rsidRDefault="00E73400">
      <w:pPr>
        <w:spacing w:after="0"/>
        <w:jc w:val="both"/>
        <w:rPr>
          <w:noProof/>
        </w:rPr>
      </w:pPr>
      <w:r>
        <w:rPr>
          <w:rStyle w:val="A7"/>
          <w:rFonts w:ascii="Times New Roman" w:hAnsi="Times New Roman"/>
          <w:noProof/>
          <w:sz w:val="24"/>
        </w:rPr>
        <w:t xml:space="preserve">Les </w:t>
      </w:r>
      <w:r>
        <w:rPr>
          <w:rStyle w:val="A7"/>
          <w:rFonts w:ascii="Times New Roman" w:hAnsi="Times New Roman"/>
          <w:noProof/>
          <w:sz w:val="24"/>
        </w:rPr>
        <w:t>AGT d’origine industrielle et les AGT provenant de ruminants contiennent essentiellement les mêmes composés, mais dans des proportions différentes. Les AGT provenant de ces deux sources semblent avoir les mêmes effets sur les lipides sanguins. Selon l’Auto</w:t>
      </w:r>
      <w:r>
        <w:rPr>
          <w:rStyle w:val="A7"/>
          <w:rFonts w:ascii="Times New Roman" w:hAnsi="Times New Roman"/>
          <w:noProof/>
          <w:sz w:val="24"/>
        </w:rPr>
        <w:t>rité européenne de sécurité des aliments, les données disponibles montrent que les AGT provenant de ruminants ont des effets néfastes sur les lipides sanguins et les lipoprotéines similaires à ceux dus aux AGT d’origine industrielle, lorsqu’ils sont consom</w:t>
      </w:r>
      <w:r>
        <w:rPr>
          <w:rStyle w:val="A7"/>
          <w:rFonts w:ascii="Times New Roman" w:hAnsi="Times New Roman"/>
          <w:noProof/>
          <w:sz w:val="24"/>
        </w:rPr>
        <w:t xml:space="preserve">més dans les mêmes quantités. </w:t>
      </w:r>
      <w:r>
        <w:rPr>
          <w:rFonts w:ascii="Times New Roman" w:hAnsi="Times New Roman"/>
          <w:noProof/>
          <w:sz w:val="24"/>
        </w:rPr>
        <w:t>Toutefois, les données dont on dispose sont insuffisantes pour savoir si le risque de maladie cardiaque diffère selon l’origine des AGT (industrielle ou provenant de ruminants), lorsqu’ils sont consommés dans les mêmes quantit</w:t>
      </w:r>
      <w:r>
        <w:rPr>
          <w:rFonts w:ascii="Times New Roman" w:hAnsi="Times New Roman"/>
          <w:noProof/>
          <w:sz w:val="24"/>
        </w:rPr>
        <w:t>és.</w:t>
      </w:r>
      <w:bookmarkStart w:id="10" w:name="_Ref422846565"/>
      <w:r>
        <w:rPr>
          <w:rStyle w:val="FootnoteReference"/>
          <w:rFonts w:ascii="Times New Roman" w:hAnsi="Times New Roman"/>
          <w:noProof/>
          <w:color w:val="19161A"/>
          <w:sz w:val="24"/>
        </w:rPr>
        <w:footnoteReference w:id="12"/>
      </w:r>
      <w:bookmarkEnd w:id="10"/>
      <w:r>
        <w:rPr>
          <w:noProof/>
        </w:rPr>
        <w:t xml:space="preserve"> </w:t>
      </w:r>
    </w:p>
    <w:p w:rsidR="00A018F1" w:rsidRDefault="00A018F1">
      <w:pPr>
        <w:spacing w:after="0"/>
        <w:jc w:val="both"/>
        <w:rPr>
          <w:noProof/>
        </w:rPr>
      </w:pPr>
    </w:p>
    <w:p w:rsidR="00A018F1" w:rsidRDefault="00E73400">
      <w:pPr>
        <w:spacing w:after="0"/>
        <w:jc w:val="both"/>
        <w:rPr>
          <w:rFonts w:ascii="Times New Roman" w:hAnsi="Times New Roman" w:cs="Times New Roman"/>
          <w:noProof/>
          <w:sz w:val="24"/>
          <w:szCs w:val="24"/>
        </w:rPr>
      </w:pPr>
      <w:r>
        <w:rPr>
          <w:rFonts w:ascii="Times New Roman" w:hAnsi="Times New Roman"/>
          <w:noProof/>
          <w:sz w:val="24"/>
        </w:rPr>
        <w:t>L’Autorité européenne de sécurité des aliments a conclu que «</w:t>
      </w:r>
      <w:r>
        <w:rPr>
          <w:rFonts w:ascii="Times New Roman" w:hAnsi="Times New Roman"/>
          <w:i/>
          <w:noProof/>
          <w:sz w:val="24"/>
        </w:rPr>
        <w:t>la consommation d’AGT devrait être aussi faible que possible dans le cadre d’un régime alimentaire approprié sur le plan nutritionnel</w:t>
      </w:r>
      <w:r>
        <w:rPr>
          <w:rFonts w:ascii="Times New Roman" w:hAnsi="Times New Roman"/>
          <w:noProof/>
          <w:sz w:val="24"/>
        </w:rPr>
        <w:t>»</w:t>
      </w:r>
      <w:r>
        <w:rPr>
          <w:rFonts w:ascii="Times New Roman" w:hAnsi="Times New Roman"/>
          <w:i/>
          <w:noProof/>
          <w:sz w:val="24"/>
          <w:vertAlign w:val="superscript"/>
        </w:rPr>
        <w:t>11,</w:t>
      </w:r>
      <w:r>
        <w:rPr>
          <w:rStyle w:val="FootnoteReference"/>
          <w:rFonts w:ascii="Times New Roman" w:hAnsi="Times New Roman"/>
          <w:i/>
          <w:noProof/>
          <w:sz w:val="24"/>
        </w:rPr>
        <w:footnoteReference w:id="13"/>
      </w:r>
      <w:r>
        <w:rPr>
          <w:rFonts w:ascii="Times New Roman" w:hAnsi="Times New Roman"/>
          <w:noProof/>
          <w:sz w:val="24"/>
        </w:rPr>
        <w:t>, tandis que l’Organisation mondiale de la santé r</w:t>
      </w:r>
      <w:r>
        <w:rPr>
          <w:rFonts w:ascii="Times New Roman" w:hAnsi="Times New Roman"/>
          <w:noProof/>
          <w:sz w:val="24"/>
        </w:rPr>
        <w:t>ecommande que la consommation d’AGT ne représente pas plus d’1 % de l’apport énergétique journalier, d’autres sources avançant le chiffre de 2 %</w:t>
      </w:r>
      <w:bookmarkStart w:id="11" w:name="_Ref401306945"/>
      <w:bookmarkStart w:id="12" w:name="_Ref401571252"/>
      <w:r>
        <w:rPr>
          <w:rFonts w:ascii="Times New Roman" w:hAnsi="Times New Roman"/>
          <w:noProof/>
          <w:sz w:val="24"/>
        </w:rPr>
        <w:t xml:space="preserve"> (voir</w:t>
      </w:r>
      <w:bookmarkStart w:id="13" w:name="_Ref432067767"/>
      <w:r>
        <w:rPr>
          <w:rFonts w:ascii="Times New Roman" w:hAnsi="Times New Roman"/>
          <w:noProof/>
          <w:sz w:val="24"/>
          <w:vertAlign w:val="superscript"/>
        </w:rPr>
        <w:footnoteReference w:id="14"/>
      </w:r>
      <w:bookmarkEnd w:id="11"/>
      <w:bookmarkEnd w:id="12"/>
      <w:bookmarkEnd w:id="13"/>
      <w:r>
        <w:rPr>
          <w:rFonts w:ascii="Times New Roman" w:hAnsi="Times New Roman"/>
          <w:noProof/>
          <w:sz w:val="24"/>
        </w:rPr>
        <w:t>pour avoir un aperçu général).</w:t>
      </w:r>
    </w:p>
    <w:p w:rsidR="00A018F1" w:rsidRDefault="00A018F1">
      <w:pPr>
        <w:spacing w:after="0"/>
        <w:jc w:val="both"/>
        <w:rPr>
          <w:rFonts w:ascii="Times New Roman" w:hAnsi="Times New Roman" w:cs="Times New Roman"/>
          <w:noProof/>
          <w:sz w:val="24"/>
          <w:szCs w:val="24"/>
        </w:rPr>
      </w:pPr>
    </w:p>
    <w:p w:rsidR="00A018F1" w:rsidRDefault="00E73400">
      <w:pPr>
        <w:pStyle w:val="Heading1"/>
        <w:numPr>
          <w:ilvl w:val="0"/>
          <w:numId w:val="6"/>
        </w:numPr>
        <w:spacing w:after="240" w:line="240" w:lineRule="auto"/>
        <w:rPr>
          <w:noProof/>
        </w:rPr>
      </w:pPr>
      <w:bookmarkStart w:id="14" w:name="_Toc436664854"/>
      <w:r>
        <w:rPr>
          <w:noProof/>
        </w:rPr>
        <w:t>MESURES DE RÉDUCTION DES AGT À L’ÉCHELLE MONDIALE</w:t>
      </w:r>
      <w:bookmarkEnd w:id="14"/>
    </w:p>
    <w:p w:rsidR="00A018F1" w:rsidRDefault="00E73400">
      <w:pPr>
        <w:autoSpaceDE w:val="0"/>
        <w:autoSpaceDN w:val="0"/>
        <w:adjustRightInd w:val="0"/>
        <w:spacing w:after="0"/>
        <w:jc w:val="both"/>
        <w:rPr>
          <w:rFonts w:ascii="Times New Roman" w:hAnsi="Times New Roman"/>
          <w:noProof/>
          <w:sz w:val="24"/>
        </w:rPr>
      </w:pPr>
      <w:r>
        <w:rPr>
          <w:rFonts w:ascii="Times New Roman" w:hAnsi="Times New Roman"/>
          <w:noProof/>
          <w:sz w:val="24"/>
        </w:rPr>
        <w:t xml:space="preserve">Les stratégies </w:t>
      </w:r>
      <w:r>
        <w:rPr>
          <w:rFonts w:ascii="Times New Roman" w:hAnsi="Times New Roman"/>
          <w:noProof/>
          <w:sz w:val="24"/>
        </w:rPr>
        <w:t>possibles pour limiter les teneurs en AGT dans les denrées alimentaires et la consommation de la population peuvent être globalement divisées en deux catégories: les mesures législatives, d’une part, et les mesures volontaires, d’autre part. Les mesures lé</w:t>
      </w:r>
      <w:r>
        <w:rPr>
          <w:rFonts w:ascii="Times New Roman" w:hAnsi="Times New Roman"/>
          <w:noProof/>
          <w:sz w:val="24"/>
        </w:rPr>
        <w:t>gislatives peuvent consister à fixer des limites relatives à la teneur en AGT dans les denrées alimentaires (au stade d’ingrédient ou dans le produit final) ou à insérer une mention obligatoire de la teneur en AGT dans la déclaration nutritionnelle. La ref</w:t>
      </w:r>
      <w:r>
        <w:rPr>
          <w:rFonts w:ascii="Times New Roman" w:hAnsi="Times New Roman"/>
          <w:noProof/>
          <w:sz w:val="24"/>
        </w:rPr>
        <w:t>ormulation facultative ou, si la législation l’autorise, la mention facultative de la teneur en AGT dans la déclaration nutritionnelle (variante qui n’est pas juridiquement possible à l’heure actuelle dans l’UE</w:t>
      </w:r>
      <w:r>
        <w:rPr>
          <w:rStyle w:val="FootnoteReference"/>
          <w:rFonts w:ascii="Times New Roman" w:hAnsi="Times New Roman"/>
          <w:noProof/>
          <w:sz w:val="24"/>
        </w:rPr>
        <w:footnoteReference w:id="15"/>
      </w:r>
      <w:r>
        <w:rPr>
          <w:rFonts w:ascii="Times New Roman" w:hAnsi="Times New Roman"/>
          <w:noProof/>
          <w:sz w:val="24"/>
        </w:rPr>
        <w:t xml:space="preserve">) laissent aux exploitants du secteur </w:t>
      </w:r>
      <w:r>
        <w:rPr>
          <w:rFonts w:ascii="Times New Roman" w:hAnsi="Times New Roman"/>
          <w:noProof/>
          <w:sz w:val="24"/>
        </w:rPr>
        <w:t>alimentaire le choix de reformuler ou non les produits ou d’informer les consommateurs sur la teneur en AGT. Par ailleurs, les gouvernements peuvent émettre des recommandations nutritionnelles concernant la consommation maximale d’AGT et les sources alimen</w:t>
      </w:r>
      <w:r>
        <w:rPr>
          <w:rFonts w:ascii="Times New Roman" w:hAnsi="Times New Roman"/>
          <w:noProof/>
          <w:sz w:val="24"/>
        </w:rPr>
        <w:t>taires d’AGT concernées. Les tableaux 4 et 5 donnent un aperçu des politiques ou mesures susmentionnées actuellement en place en Europe et ailleurs dans le monde. Dans le cas d’une catégorie particulière de denrées alimentaires (préparations pour nourrisso</w:t>
      </w:r>
      <w:r>
        <w:rPr>
          <w:rFonts w:ascii="Times New Roman" w:hAnsi="Times New Roman"/>
          <w:noProof/>
          <w:sz w:val="24"/>
        </w:rPr>
        <w:t>ns et préparations de suite), la teneur maximale en AGT est actuellement réglementée à l’échelle européenne</w:t>
      </w:r>
      <w:r>
        <w:rPr>
          <w:rFonts w:ascii="Times New Roman" w:hAnsi="Times New Roman"/>
          <w:noProof/>
          <w:sz w:val="24"/>
          <w:vertAlign w:val="superscript"/>
        </w:rPr>
        <w:footnoteReference w:id="16"/>
      </w:r>
      <w:r>
        <w:rPr>
          <w:rFonts w:ascii="Times New Roman" w:hAnsi="Times New Roman"/>
          <w:noProof/>
          <w:sz w:val="24"/>
        </w:rPr>
        <w:t>.</w:t>
      </w:r>
    </w:p>
    <w:p w:rsidR="00A018F1" w:rsidRDefault="00A018F1">
      <w:pPr>
        <w:autoSpaceDE w:val="0"/>
        <w:autoSpaceDN w:val="0"/>
        <w:adjustRightInd w:val="0"/>
        <w:spacing w:after="0"/>
        <w:jc w:val="both"/>
        <w:rPr>
          <w:rFonts w:ascii="Times New Roman" w:hAnsi="Times New Roman" w:cs="Times New Roman"/>
          <w:noProof/>
          <w:sz w:val="24"/>
          <w:szCs w:val="24"/>
        </w:rPr>
      </w:pPr>
    </w:p>
    <w:p w:rsidR="00A018F1" w:rsidRDefault="00E73400">
      <w:pPr>
        <w:pStyle w:val="Caption"/>
        <w:keepNext/>
        <w:rPr>
          <w:rFonts w:cs="Times New Roman"/>
          <w:b/>
          <w:noProof/>
          <w:sz w:val="16"/>
          <w:szCs w:val="16"/>
        </w:rPr>
      </w:pPr>
      <w:r>
        <w:rPr>
          <w:noProof/>
          <w:sz w:val="20"/>
        </w:rPr>
        <w:t>Tableau 4 – mesures de réduction des AGT appliquées dans les pays de l’UE.</w:t>
      </w:r>
      <w:r>
        <w:rPr>
          <w:b/>
          <w:noProof/>
          <w:sz w:val="16"/>
        </w:rPr>
        <w:t xml:space="preserve"> </w:t>
      </w:r>
      <w:r>
        <w:rPr>
          <w:noProof/>
        </w:rPr>
        <w:t xml:space="preserve">Adapté de </w:t>
      </w:r>
      <w:r>
        <w:rPr>
          <w:noProof/>
          <w:sz w:val="20"/>
          <w:vertAlign w:val="superscript"/>
        </w:rPr>
        <w:t>2,13</w:t>
      </w:r>
      <w:r>
        <w:rPr>
          <w:b/>
          <w:noProof/>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rsidR="00A018F1">
        <w:trPr>
          <w:cantSplit/>
          <w:trHeight w:val="284"/>
          <w:tblHeader/>
        </w:trPr>
        <w:tc>
          <w:tcPr>
            <w:tcW w:w="5250" w:type="dxa"/>
            <w:shd w:val="clear" w:color="auto" w:fill="auto"/>
            <w:vAlign w:val="center"/>
          </w:tcPr>
          <w:p w:rsidR="00A018F1" w:rsidRDefault="00E73400">
            <w:pPr>
              <w:pStyle w:val="Caption"/>
              <w:keepNext/>
              <w:jc w:val="left"/>
              <w:rPr>
                <w:rFonts w:cs="Times New Roman"/>
                <w:b/>
                <w:noProof/>
                <w:sz w:val="22"/>
                <w:szCs w:val="22"/>
              </w:rPr>
            </w:pPr>
            <w:r>
              <w:rPr>
                <w:b/>
                <w:noProof/>
                <w:sz w:val="22"/>
              </w:rPr>
              <w:t>Politique/mesure</w:t>
            </w:r>
          </w:p>
        </w:tc>
        <w:tc>
          <w:tcPr>
            <w:tcW w:w="2977" w:type="dxa"/>
          </w:tcPr>
          <w:p w:rsidR="00A018F1" w:rsidRDefault="00E73400">
            <w:pPr>
              <w:spacing w:after="0"/>
              <w:ind w:left="79" w:right="137"/>
              <w:rPr>
                <w:rFonts w:cs="Times New Roman"/>
                <w:b/>
                <w:noProof/>
              </w:rPr>
            </w:pPr>
            <w:r>
              <w:rPr>
                <w:rFonts w:ascii="Times New Roman" w:hAnsi="Times New Roman"/>
                <w:b/>
                <w:noProof/>
                <w:color w:val="000000" w:themeColor="text1"/>
              </w:rPr>
              <w:t>Pays (code pays à deux lettres)</w:t>
            </w:r>
          </w:p>
        </w:tc>
      </w:tr>
      <w:tr w:rsidR="00A018F1">
        <w:trPr>
          <w:cantSplit/>
          <w:trHeight w:val="213"/>
          <w:tblHeader/>
        </w:trPr>
        <w:tc>
          <w:tcPr>
            <w:tcW w:w="5250" w:type="dxa"/>
            <w:shd w:val="clear" w:color="auto" w:fill="auto"/>
          </w:tcPr>
          <w:p w:rsidR="00A018F1" w:rsidRDefault="00E73400">
            <w:pPr>
              <w:pStyle w:val="Caption"/>
              <w:keepNext/>
              <w:jc w:val="left"/>
              <w:rPr>
                <w:rFonts w:cs="Times New Roman"/>
                <w:b/>
                <w:noProof/>
                <w:sz w:val="22"/>
                <w:szCs w:val="22"/>
              </w:rPr>
            </w:pPr>
            <w:r>
              <w:rPr>
                <w:b/>
                <w:noProof/>
                <w:sz w:val="22"/>
              </w:rPr>
              <w:t>volo</w:t>
            </w:r>
            <w:r>
              <w:rPr>
                <w:b/>
                <w:noProof/>
                <w:sz w:val="22"/>
              </w:rPr>
              <w:t>ntaire – autoréglementation</w:t>
            </w:r>
          </w:p>
        </w:tc>
        <w:tc>
          <w:tcPr>
            <w:tcW w:w="2977" w:type="dxa"/>
          </w:tcPr>
          <w:p w:rsidR="00A018F1" w:rsidRDefault="00E73400">
            <w:pPr>
              <w:spacing w:after="0"/>
              <w:ind w:left="79" w:right="137"/>
              <w:rPr>
                <w:rFonts w:cs="Times New Roman"/>
                <w:noProof/>
              </w:rPr>
            </w:pPr>
            <w:r>
              <w:rPr>
                <w:rFonts w:ascii="Times New Roman" w:hAnsi="Times New Roman"/>
                <w:noProof/>
                <w:color w:val="000000" w:themeColor="text1"/>
              </w:rPr>
              <w:t>BE, DE, NL, PL, UK, EL</w:t>
            </w:r>
          </w:p>
        </w:tc>
      </w:tr>
      <w:tr w:rsidR="00A018F1">
        <w:trPr>
          <w:cantSplit/>
          <w:trHeight w:val="110"/>
          <w:tblHeader/>
        </w:trPr>
        <w:tc>
          <w:tcPr>
            <w:tcW w:w="5250" w:type="dxa"/>
            <w:shd w:val="clear" w:color="auto" w:fill="auto"/>
          </w:tcPr>
          <w:p w:rsidR="00A018F1" w:rsidRDefault="00E73400">
            <w:pPr>
              <w:pStyle w:val="Caption"/>
              <w:keepNext/>
              <w:jc w:val="left"/>
              <w:rPr>
                <w:rFonts w:cs="Times New Roman"/>
                <w:b/>
                <w:noProof/>
                <w:sz w:val="22"/>
                <w:szCs w:val="22"/>
              </w:rPr>
            </w:pPr>
            <w:r>
              <w:rPr>
                <w:b/>
                <w:noProof/>
                <w:sz w:val="22"/>
              </w:rPr>
              <w:t>volontaire – recommandation nutritionnelle</w:t>
            </w:r>
          </w:p>
        </w:tc>
        <w:tc>
          <w:tcPr>
            <w:tcW w:w="2977" w:type="dxa"/>
          </w:tcPr>
          <w:p w:rsidR="00A018F1" w:rsidRDefault="00E73400">
            <w:pPr>
              <w:spacing w:after="0"/>
              <w:ind w:left="79" w:right="137"/>
              <w:rPr>
                <w:rFonts w:cs="Times New Roman"/>
                <w:noProof/>
              </w:rPr>
            </w:pPr>
            <w:r>
              <w:rPr>
                <w:rFonts w:ascii="Times New Roman" w:hAnsi="Times New Roman"/>
                <w:noProof/>
                <w:color w:val="000000" w:themeColor="text1"/>
              </w:rPr>
              <w:t>BG, MT, SK, UK, FI</w:t>
            </w:r>
          </w:p>
        </w:tc>
      </w:tr>
      <w:tr w:rsidR="00A018F1">
        <w:trPr>
          <w:cantSplit/>
          <w:trHeight w:val="150"/>
          <w:tblHeader/>
        </w:trPr>
        <w:tc>
          <w:tcPr>
            <w:tcW w:w="5250" w:type="dxa"/>
            <w:shd w:val="clear" w:color="auto" w:fill="auto"/>
          </w:tcPr>
          <w:p w:rsidR="00A018F1" w:rsidRDefault="00E73400">
            <w:pPr>
              <w:pStyle w:val="Caption"/>
              <w:keepNext/>
              <w:jc w:val="left"/>
              <w:rPr>
                <w:rFonts w:cs="Times New Roman"/>
                <w:b/>
                <w:noProof/>
                <w:sz w:val="22"/>
                <w:szCs w:val="22"/>
              </w:rPr>
            </w:pPr>
            <w:r>
              <w:rPr>
                <w:b/>
                <w:noProof/>
                <w:sz w:val="22"/>
              </w:rPr>
              <w:t>volontaire – critères de composition pour les produits spécifiques traditionnels</w:t>
            </w:r>
          </w:p>
        </w:tc>
        <w:tc>
          <w:tcPr>
            <w:tcW w:w="2977" w:type="dxa"/>
          </w:tcPr>
          <w:p w:rsidR="00A018F1" w:rsidRDefault="00E73400">
            <w:pPr>
              <w:spacing w:after="0"/>
              <w:ind w:left="79" w:right="137"/>
              <w:rPr>
                <w:rFonts w:cs="Times New Roman"/>
                <w:noProof/>
              </w:rPr>
            </w:pPr>
            <w:r>
              <w:rPr>
                <w:rFonts w:ascii="Times New Roman" w:hAnsi="Times New Roman"/>
                <w:noProof/>
                <w:color w:val="000000" w:themeColor="text1"/>
              </w:rPr>
              <w:t>EE</w:t>
            </w:r>
          </w:p>
        </w:tc>
      </w:tr>
      <w:tr w:rsidR="00A018F1">
        <w:trPr>
          <w:cantSplit/>
          <w:trHeight w:val="124"/>
          <w:tblHeader/>
        </w:trPr>
        <w:tc>
          <w:tcPr>
            <w:tcW w:w="5250" w:type="dxa"/>
            <w:vMerge w:val="restart"/>
            <w:shd w:val="clear" w:color="auto" w:fill="auto"/>
          </w:tcPr>
          <w:p w:rsidR="00A018F1" w:rsidRDefault="00E73400">
            <w:pPr>
              <w:pStyle w:val="Caption"/>
              <w:keepNext/>
              <w:jc w:val="left"/>
              <w:rPr>
                <w:rFonts w:cs="Times New Roman"/>
                <w:b/>
                <w:noProof/>
                <w:sz w:val="22"/>
                <w:szCs w:val="22"/>
              </w:rPr>
            </w:pPr>
            <w:r>
              <w:rPr>
                <w:b/>
                <w:noProof/>
                <w:sz w:val="22"/>
              </w:rPr>
              <w:t>législation – limitant la teneur en AGT dans les denrées</w:t>
            </w:r>
            <w:r>
              <w:rPr>
                <w:b/>
                <w:noProof/>
                <w:sz w:val="22"/>
              </w:rPr>
              <w:t xml:space="preserve"> alimentaires*</w:t>
            </w:r>
          </w:p>
          <w:p w:rsidR="00A018F1" w:rsidRDefault="00E73400">
            <w:pPr>
              <w:pStyle w:val="Caption"/>
              <w:keepNext/>
              <w:ind w:left="856" w:hanging="856"/>
              <w:jc w:val="left"/>
              <w:rPr>
                <w:rFonts w:cs="Times New Roman"/>
                <w:b/>
                <w:noProof/>
                <w:sz w:val="22"/>
                <w:szCs w:val="22"/>
              </w:rPr>
            </w:pPr>
            <w:r>
              <w:rPr>
                <w:noProof/>
              </w:rPr>
              <w:tab/>
            </w:r>
            <w:r>
              <w:rPr>
                <w:b/>
                <w:noProof/>
                <w:sz w:val="22"/>
              </w:rPr>
              <w:t>– limitant la teneur en AGT dans les denrées alimentaires qui portent une allégation nutritionnelle facultative spécifique (keyhole)</w:t>
            </w:r>
          </w:p>
        </w:tc>
        <w:tc>
          <w:tcPr>
            <w:tcW w:w="2977" w:type="dxa"/>
          </w:tcPr>
          <w:p w:rsidR="00A018F1" w:rsidRDefault="00E73400">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AT, DK, LV</w:t>
            </w:r>
            <w:r>
              <w:rPr>
                <w:rStyle w:val="FootnoteReference"/>
                <w:rFonts w:ascii="Times New Roman" w:hAnsi="Times New Roman"/>
                <w:noProof/>
                <w:color w:val="000000" w:themeColor="text1"/>
              </w:rPr>
              <w:footnoteReference w:id="17"/>
            </w:r>
            <w:r>
              <w:rPr>
                <w:rFonts w:ascii="Times New Roman" w:hAnsi="Times New Roman"/>
                <w:noProof/>
                <w:color w:val="000000" w:themeColor="text1"/>
              </w:rPr>
              <w:t>HU</w:t>
            </w:r>
          </w:p>
          <w:p w:rsidR="00A018F1" w:rsidRDefault="00A018F1">
            <w:pPr>
              <w:spacing w:after="0"/>
              <w:ind w:left="79" w:right="137"/>
              <w:rPr>
                <w:rFonts w:cs="Times New Roman"/>
                <w:noProof/>
              </w:rPr>
            </w:pPr>
          </w:p>
        </w:tc>
      </w:tr>
      <w:tr w:rsidR="00A018F1">
        <w:trPr>
          <w:cantSplit/>
          <w:trHeight w:val="168"/>
          <w:tblHeader/>
        </w:trPr>
        <w:tc>
          <w:tcPr>
            <w:tcW w:w="5250" w:type="dxa"/>
            <w:vMerge/>
            <w:shd w:val="clear" w:color="auto" w:fill="auto"/>
          </w:tcPr>
          <w:p w:rsidR="00A018F1" w:rsidRDefault="00A018F1">
            <w:pPr>
              <w:pStyle w:val="Caption"/>
              <w:keepNext/>
              <w:jc w:val="left"/>
              <w:rPr>
                <w:rFonts w:cs="Times New Roman"/>
                <w:b/>
                <w:noProof/>
                <w:sz w:val="22"/>
                <w:szCs w:val="22"/>
              </w:rPr>
            </w:pPr>
          </w:p>
        </w:tc>
        <w:tc>
          <w:tcPr>
            <w:tcW w:w="2977" w:type="dxa"/>
          </w:tcPr>
          <w:p w:rsidR="00A018F1" w:rsidRDefault="00E73400">
            <w:pPr>
              <w:spacing w:after="0"/>
              <w:ind w:left="79" w:right="137"/>
              <w:rPr>
                <w:rFonts w:cs="Times New Roman"/>
                <w:noProof/>
              </w:rPr>
            </w:pPr>
            <w:r>
              <w:rPr>
                <w:rFonts w:ascii="Times New Roman" w:hAnsi="Times New Roman"/>
                <w:noProof/>
                <w:color w:val="000000" w:themeColor="text1"/>
              </w:rPr>
              <w:t>SE</w:t>
            </w:r>
          </w:p>
        </w:tc>
      </w:tr>
      <w:tr w:rsidR="00A018F1">
        <w:trPr>
          <w:cantSplit/>
          <w:trHeight w:val="168"/>
          <w:tblHeader/>
        </w:trPr>
        <w:tc>
          <w:tcPr>
            <w:tcW w:w="5250" w:type="dxa"/>
            <w:shd w:val="clear" w:color="auto" w:fill="auto"/>
          </w:tcPr>
          <w:p w:rsidR="00A018F1" w:rsidRDefault="00E73400">
            <w:pPr>
              <w:pStyle w:val="Caption"/>
              <w:keepNext/>
              <w:jc w:val="left"/>
              <w:rPr>
                <w:rFonts w:cs="Times New Roman"/>
                <w:b/>
                <w:noProof/>
                <w:sz w:val="22"/>
                <w:szCs w:val="22"/>
              </w:rPr>
            </w:pPr>
            <w:r>
              <w:rPr>
                <w:b/>
                <w:noProof/>
                <w:sz w:val="22"/>
              </w:rPr>
              <w:t>autre législation**</w:t>
            </w:r>
          </w:p>
        </w:tc>
        <w:tc>
          <w:tcPr>
            <w:tcW w:w="2977" w:type="dxa"/>
          </w:tcPr>
          <w:p w:rsidR="00A018F1" w:rsidRDefault="00E73400">
            <w:pPr>
              <w:spacing w:after="0"/>
              <w:ind w:left="79" w:right="137"/>
              <w:rPr>
                <w:rFonts w:cs="Times New Roman"/>
                <w:noProof/>
              </w:rPr>
            </w:pPr>
            <w:r>
              <w:rPr>
                <w:rFonts w:ascii="Times New Roman" w:hAnsi="Times New Roman"/>
                <w:noProof/>
                <w:color w:val="000000" w:themeColor="text1"/>
              </w:rPr>
              <w:t>ES, EL, FI</w:t>
            </w:r>
          </w:p>
        </w:tc>
      </w:tr>
    </w:tbl>
    <w:p w:rsidR="00A018F1" w:rsidRDefault="00E73400">
      <w:pPr>
        <w:tabs>
          <w:tab w:val="left" w:pos="284"/>
        </w:tabs>
        <w:spacing w:after="0"/>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 xml:space="preserve">tous les actes juridiques s’appliquent aux produits </w:t>
      </w:r>
      <w:r>
        <w:rPr>
          <w:rFonts w:ascii="Times New Roman" w:hAnsi="Times New Roman"/>
          <w:noProof/>
          <w:sz w:val="20"/>
        </w:rPr>
        <w:t>vendus au consommateur final (tel que défini dans le règlement</w:t>
      </w:r>
      <w:r>
        <w:rPr>
          <w:rStyle w:val="FootnoteReference"/>
          <w:rFonts w:ascii="Times New Roman" w:hAnsi="Times New Roman"/>
          <w:noProof/>
          <w:sz w:val="20"/>
        </w:rPr>
        <w:footnoteReference w:id="18"/>
      </w:r>
      <w:r>
        <w:rPr>
          <w:rFonts w:ascii="Times New Roman" w:hAnsi="Times New Roman"/>
          <w:noProof/>
          <w:sz w:val="20"/>
        </w:rPr>
        <w:t>). Les AGT provenant de ruminants ne sont pas concernés par l’ensemble des actes.</w:t>
      </w:r>
    </w:p>
    <w:p w:rsidR="00A018F1" w:rsidRDefault="00E73400">
      <w:pPr>
        <w:spacing w:after="0"/>
        <w:rPr>
          <w:rFonts w:ascii="Times New Roman" w:hAnsi="Times New Roman" w:cs="Times New Roman"/>
          <w:noProof/>
          <w:sz w:val="20"/>
          <w:szCs w:val="20"/>
        </w:rPr>
      </w:pPr>
      <w:r>
        <w:rPr>
          <w:rFonts w:ascii="Times New Roman" w:hAnsi="Times New Roman"/>
          <w:noProof/>
          <w:sz w:val="20"/>
        </w:rPr>
        <w:t>**</w:t>
      </w:r>
      <w:r>
        <w:rPr>
          <w:rFonts w:ascii="Times New Roman" w:hAnsi="Times New Roman"/>
          <w:i/>
          <w:noProof/>
          <w:sz w:val="20"/>
        </w:rPr>
        <w:t xml:space="preserve"> </w:t>
      </w:r>
      <w:r>
        <w:rPr>
          <w:rFonts w:ascii="Times New Roman" w:hAnsi="Times New Roman"/>
          <w:noProof/>
          <w:sz w:val="20"/>
        </w:rPr>
        <w:t>par exemple, les limites relatives à la teneur en AGT uniquement pour des catégories spécifiques de produits</w:t>
      </w:r>
      <w:r>
        <w:rPr>
          <w:rFonts w:ascii="Times New Roman" w:hAnsi="Times New Roman"/>
          <w:noProof/>
          <w:sz w:val="20"/>
        </w:rPr>
        <w:t>.</w:t>
      </w:r>
    </w:p>
    <w:p w:rsidR="00A018F1" w:rsidRDefault="00A018F1">
      <w:pPr>
        <w:spacing w:after="0"/>
        <w:rPr>
          <w:rFonts w:ascii="Times New Roman" w:hAnsi="Times New Roman" w:cs="Times New Roman"/>
          <w:noProof/>
          <w:sz w:val="20"/>
          <w:szCs w:val="20"/>
        </w:rPr>
      </w:pPr>
    </w:p>
    <w:p w:rsidR="00A018F1" w:rsidRDefault="00E73400">
      <w:pPr>
        <w:pStyle w:val="Caption"/>
        <w:keepNext/>
        <w:rPr>
          <w:rFonts w:cs="Times New Roman"/>
          <w:noProof/>
          <w:sz w:val="20"/>
          <w:szCs w:val="20"/>
        </w:rPr>
      </w:pPr>
      <w:r>
        <w:rPr>
          <w:noProof/>
          <w:sz w:val="20"/>
        </w:rPr>
        <w:t>Tableau 5 – réglementation relative aux AGT en dehors de l’Europe. Synthèse de</w:t>
      </w:r>
      <w:r>
        <w:rPr>
          <w:noProof/>
          <w:sz w:val="20"/>
          <w:vertAlign w:val="superscript"/>
        </w:rPr>
        <w:t>13</w:t>
      </w:r>
      <w:r>
        <w:rPr>
          <w:noProof/>
          <w:sz w:val="20"/>
        </w:rPr>
        <w:t xml:space="preserve"> et de l’OMS Europe</w:t>
      </w:r>
      <w:r>
        <w:rPr>
          <w:noProof/>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8"/>
        <w:gridCol w:w="5849"/>
      </w:tblGrid>
      <w:tr w:rsidR="00A018F1">
        <w:trPr>
          <w:trHeight w:hRule="exact" w:val="1034"/>
          <w:tblHeader/>
        </w:trPr>
        <w:tc>
          <w:tcPr>
            <w:tcW w:w="3288" w:type="dxa"/>
            <w:tcBorders>
              <w:bottom w:val="single" w:sz="4" w:space="0" w:color="auto"/>
            </w:tcBorders>
            <w:shd w:val="clear" w:color="auto" w:fill="auto"/>
            <w:vAlign w:val="center"/>
          </w:tcPr>
          <w:p w:rsidR="00A018F1" w:rsidRDefault="00E73400">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b/>
                <w:noProof/>
                <w:color w:val="000000" w:themeColor="text1"/>
              </w:rPr>
              <w:t>Politique/</w:t>
            </w:r>
            <w:r>
              <w:rPr>
                <w:rFonts w:ascii="Times New Roman" w:hAnsi="Times New Roman" w:cs="Times New Roman"/>
                <w:b/>
                <w:noProof/>
                <w:color w:val="000000" w:themeColor="text1"/>
                <w:lang w:val="en-GB" w:eastAsia="en-US" w:bidi="ar-SA"/>
              </w:rPr>
              <w:t>mesure</w:t>
            </w:r>
          </w:p>
        </w:tc>
        <w:tc>
          <w:tcPr>
            <w:tcW w:w="5849" w:type="dxa"/>
            <w:tcBorders>
              <w:bottom w:val="single" w:sz="4" w:space="0" w:color="auto"/>
            </w:tcBorders>
            <w:shd w:val="clear" w:color="auto" w:fill="auto"/>
            <w:vAlign w:val="center"/>
          </w:tcPr>
          <w:p w:rsidR="00A018F1" w:rsidRDefault="00E73400">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b/>
                <w:noProof/>
                <w:color w:val="000000" w:themeColor="text1"/>
              </w:rPr>
              <w:t>Pays</w:t>
            </w:r>
          </w:p>
        </w:tc>
      </w:tr>
      <w:tr w:rsidR="00A018F1">
        <w:trPr>
          <w:trHeight w:hRule="exact" w:val="1084"/>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A018F1" w:rsidRDefault="00E73400">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volontaire – autoréglementation </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rsidR="00A018F1" w:rsidRDefault="00E73400">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Costa Rica</w:t>
            </w:r>
          </w:p>
        </w:tc>
      </w:tr>
      <w:tr w:rsidR="00A018F1">
        <w:trPr>
          <w:trHeight w:hRule="exact" w:val="1754"/>
        </w:trPr>
        <w:tc>
          <w:tcPr>
            <w:tcW w:w="3288" w:type="dxa"/>
            <w:shd w:val="clear" w:color="auto" w:fill="auto"/>
            <w:vAlign w:val="center"/>
          </w:tcPr>
          <w:p w:rsidR="00A018F1" w:rsidRDefault="00E73400">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volontaire – étiquetage nutritionnel (obligatoire en association avec des </w:t>
            </w:r>
            <w:r>
              <w:rPr>
                <w:rFonts w:ascii="Times New Roman" w:hAnsi="Times New Roman"/>
                <w:b/>
                <w:noProof/>
                <w:color w:val="000000" w:themeColor="text1"/>
              </w:rPr>
              <w:t>allégations)</w:t>
            </w:r>
          </w:p>
        </w:tc>
        <w:tc>
          <w:tcPr>
            <w:tcW w:w="5849" w:type="dxa"/>
            <w:shd w:val="clear" w:color="auto" w:fill="auto"/>
            <w:vAlign w:val="center"/>
          </w:tcPr>
          <w:p w:rsidR="00A018F1" w:rsidRDefault="00E73400">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Australie/Nouvelle-Zélande, Colombie, </w:t>
            </w:r>
          </w:p>
        </w:tc>
      </w:tr>
      <w:tr w:rsidR="00A018F1">
        <w:trPr>
          <w:trHeight w:hRule="exact" w:val="1621"/>
        </w:trPr>
        <w:tc>
          <w:tcPr>
            <w:tcW w:w="3288" w:type="dxa"/>
            <w:shd w:val="clear" w:color="auto" w:fill="auto"/>
            <w:vAlign w:val="center"/>
          </w:tcPr>
          <w:p w:rsidR="00A018F1" w:rsidRDefault="00E73400">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approche combinée (législation – étiquetage nutritionnel obligatoire et mesure volontaire)</w:t>
            </w:r>
          </w:p>
        </w:tc>
        <w:tc>
          <w:tcPr>
            <w:tcW w:w="5849" w:type="dxa"/>
            <w:shd w:val="clear" w:color="auto" w:fill="auto"/>
            <w:vAlign w:val="center"/>
          </w:tcPr>
          <w:p w:rsidR="00A018F1" w:rsidRDefault="00E73400">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Canada (limite légale s’appliquant au territoire de la Colombie-Britannique) </w:t>
            </w:r>
          </w:p>
        </w:tc>
      </w:tr>
      <w:tr w:rsidR="00A018F1">
        <w:trPr>
          <w:trHeight w:hRule="exact" w:val="1734"/>
        </w:trPr>
        <w:tc>
          <w:tcPr>
            <w:tcW w:w="3288" w:type="dxa"/>
            <w:shd w:val="clear" w:color="auto" w:fill="auto"/>
            <w:vAlign w:val="center"/>
          </w:tcPr>
          <w:p w:rsidR="00A018F1" w:rsidRDefault="00E73400">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législation – étiquetage </w:t>
            </w:r>
            <w:r>
              <w:rPr>
                <w:rFonts w:ascii="Times New Roman" w:hAnsi="Times New Roman"/>
                <w:b/>
                <w:noProof/>
                <w:color w:val="000000" w:themeColor="text1"/>
              </w:rPr>
              <w:t>nutritionnel obligatoire</w:t>
            </w:r>
          </w:p>
        </w:tc>
        <w:tc>
          <w:tcPr>
            <w:tcW w:w="5849" w:type="dxa"/>
            <w:shd w:val="clear" w:color="auto" w:fill="auto"/>
            <w:vAlign w:val="center"/>
          </w:tcPr>
          <w:p w:rsidR="00A018F1" w:rsidRDefault="00E73400">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Chine, Équateur, Hong Kong, Israël, Jamaïque (sous certaines conditions), Malaisie, Mexique (sous certaines conditions), Paraguay, République de Corée, Taïwan, Uruguay</w:t>
            </w:r>
          </w:p>
        </w:tc>
      </w:tr>
      <w:tr w:rsidR="00A018F1">
        <w:trPr>
          <w:trHeight w:hRule="exact" w:val="2481"/>
        </w:trPr>
        <w:tc>
          <w:tcPr>
            <w:tcW w:w="3288" w:type="dxa"/>
            <w:shd w:val="clear" w:color="auto" w:fill="auto"/>
            <w:vAlign w:val="center"/>
          </w:tcPr>
          <w:p w:rsidR="00A018F1" w:rsidRDefault="00E73400">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législation – limitant la teneur en AGT dans les denrées </w:t>
            </w:r>
            <w:r>
              <w:rPr>
                <w:rFonts w:ascii="Times New Roman" w:hAnsi="Times New Roman"/>
                <w:b/>
                <w:noProof/>
                <w:color w:val="000000" w:themeColor="text1"/>
              </w:rPr>
              <w:t>alimentaires et étiquetage nutritionnel obligatoire</w:t>
            </w:r>
          </w:p>
        </w:tc>
        <w:tc>
          <w:tcPr>
            <w:tcW w:w="5849" w:type="dxa"/>
            <w:shd w:val="clear" w:color="auto" w:fill="auto"/>
            <w:vAlign w:val="center"/>
          </w:tcPr>
          <w:p w:rsidR="00A018F1" w:rsidRDefault="00E73400">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noProof/>
                <w:color w:val="000000" w:themeColor="text1"/>
              </w:rPr>
              <w:t>Argentine, Brésil (proposition d’étiquette obligatoire dans la restauration), Chili, pays du Conseil de coopération du Golfe (projet), Inde, Pérou (limite légale dans le cadre des programmes sociaux fourn</w:t>
            </w:r>
            <w:r>
              <w:rPr>
                <w:rFonts w:ascii="Times New Roman" w:hAnsi="Times New Roman"/>
                <w:noProof/>
                <w:color w:val="000000" w:themeColor="text1"/>
              </w:rPr>
              <w:t>issant des denrées alimentaires à certaines catégories de la population), Porto Rico (limite légale dans la restauration), Singapour, Afrique du Sud, États-Unis (les huiles partiellement hydrogénées ne sont pas «généralement reconnues comme étant sans risq</w:t>
            </w:r>
            <w:r>
              <w:rPr>
                <w:rFonts w:ascii="Times New Roman" w:hAnsi="Times New Roman"/>
                <w:noProof/>
                <w:color w:val="000000" w:themeColor="text1"/>
              </w:rPr>
              <w:t>ue»)</w:t>
            </w:r>
          </w:p>
        </w:tc>
      </w:tr>
    </w:tbl>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Une évolution récente mérite d’être mentionnée: il s’agit de la décision de la Food and Drug Administration (FDA) du 16 juin 2015 qui a conclu, en se fondant sur un examen approfondi de données scientifiques, que les huiles partiellement </w:t>
      </w:r>
      <w:r>
        <w:rPr>
          <w:rFonts w:ascii="Times New Roman" w:hAnsi="Times New Roman"/>
          <w:noProof/>
          <w:sz w:val="24"/>
        </w:rPr>
        <w:t>hydrogénées, principale source alimentaire des AGT d’origine industrielle dans les aliments transformés, ne sont pas «généralement reconnues comme étant sans risque» pour être utilisées dans l’alimentation humaine. Les producteurs de denrées alimentaires d</w:t>
      </w:r>
      <w:r>
        <w:rPr>
          <w:rFonts w:ascii="Times New Roman" w:hAnsi="Times New Roman"/>
          <w:noProof/>
          <w:sz w:val="24"/>
        </w:rPr>
        <w:t>isposeront de trois ans pour supprimer les huiles partiellement hydrogénées des produits, à moins que ces derniers ne soient approuvés par la FDA</w:t>
      </w:r>
      <w:r>
        <w:rPr>
          <w:rStyle w:val="FootnoteReference"/>
          <w:rFonts w:ascii="Times New Roman" w:hAnsi="Times New Roman"/>
          <w:noProof/>
          <w:sz w:val="24"/>
        </w:rPr>
        <w:footnoteReference w:id="20"/>
      </w:r>
      <w:r>
        <w:rPr>
          <w:rFonts w:ascii="Times New Roman" w:hAnsi="Times New Roman"/>
          <w:noProof/>
          <w:sz w:val="24"/>
        </w:rPr>
        <w:t xml:space="preserve">.   </w:t>
      </w:r>
    </w:p>
    <w:p w:rsidR="00A018F1" w:rsidRDefault="00A018F1">
      <w:pPr>
        <w:spacing w:after="0"/>
        <w:jc w:val="both"/>
        <w:rPr>
          <w:rFonts w:ascii="Times New Roman" w:hAnsi="Times New Roman" w:cs="Times New Roman"/>
          <w:noProof/>
          <w:sz w:val="24"/>
        </w:rPr>
      </w:pPr>
    </w:p>
    <w:p w:rsidR="00A018F1" w:rsidRDefault="00E73400">
      <w:pPr>
        <w:pStyle w:val="Heading1"/>
        <w:numPr>
          <w:ilvl w:val="0"/>
          <w:numId w:val="6"/>
        </w:numPr>
        <w:spacing w:after="240" w:line="240" w:lineRule="auto"/>
        <w:rPr>
          <w:noProof/>
        </w:rPr>
      </w:pPr>
      <w:bookmarkStart w:id="15" w:name="_Toc436664855"/>
      <w:r>
        <w:rPr>
          <w:noProof/>
        </w:rPr>
        <w:t>ÉTAT DES LIEUX SUR LA PRÉSENCE DES AGT EN EUROPE</w:t>
      </w:r>
      <w:bookmarkEnd w:id="15"/>
    </w:p>
    <w:p w:rsidR="00A018F1" w:rsidRDefault="00E73400">
      <w:pPr>
        <w:pStyle w:val="Heading1"/>
        <w:numPr>
          <w:ilvl w:val="1"/>
          <w:numId w:val="6"/>
        </w:numPr>
        <w:ind w:left="714" w:hanging="357"/>
        <w:rPr>
          <w:noProof/>
        </w:rPr>
      </w:pPr>
      <w:bookmarkStart w:id="16" w:name="_Toc436664856"/>
      <w:r>
        <w:rPr>
          <w:noProof/>
        </w:rPr>
        <w:t>Teneur en AGT dans les denrées alimentaires en Europe</w:t>
      </w:r>
      <w:bookmarkEnd w:id="16"/>
    </w:p>
    <w:p w:rsidR="00A018F1" w:rsidRDefault="00A018F1">
      <w:pPr>
        <w:spacing w:after="0"/>
        <w:rPr>
          <w:noProof/>
        </w:rPr>
      </w:pPr>
    </w:p>
    <w:p w:rsidR="00A018F1" w:rsidRDefault="00E73400">
      <w:pPr>
        <w:spacing w:after="0"/>
        <w:jc w:val="both"/>
        <w:rPr>
          <w:rFonts w:ascii="Times New Roman" w:hAnsi="Times New Roman" w:cs="Times New Roman"/>
          <w:noProof/>
          <w:sz w:val="24"/>
          <w:szCs w:val="24"/>
        </w:rPr>
      </w:pPr>
      <w:r>
        <w:rPr>
          <w:rFonts w:ascii="Times New Roman" w:hAnsi="Times New Roman"/>
          <w:noProof/>
          <w:sz w:val="24"/>
        </w:rPr>
        <w:t>La majorité des produits alimentaires contiennent moins de 2 g d’AGT/100 g de matières grasses (limite la plus basse fixée dans les pays de l’UE par une législation limitative). 77 % de ces produits ont une teneur inférieure à 0,5 g d’AGT/100 g de matières</w:t>
      </w:r>
      <w:r>
        <w:rPr>
          <w:rFonts w:ascii="Times New Roman" w:hAnsi="Times New Roman"/>
          <w:noProof/>
          <w:sz w:val="24"/>
        </w:rPr>
        <w:t xml:space="preserve"> grasses selon une analyse des dernières données disponibles relatives à la présence des AGT dans les denrées alimentaires sur le marché européen de l’alimentation.</w:t>
      </w:r>
      <w:r>
        <w:rPr>
          <w:rFonts w:ascii="Times New Roman" w:hAnsi="Times New Roman"/>
          <w:noProof/>
          <w:sz w:val="24"/>
          <w:vertAlign w:val="superscript"/>
        </w:rPr>
        <w:t>13</w:t>
      </w:r>
      <w:r>
        <w:rPr>
          <w:rFonts w:ascii="Times New Roman" w:hAnsi="Times New Roman"/>
          <w:noProof/>
          <w:sz w:val="24"/>
        </w:rPr>
        <w:t xml:space="preserve"> Toutefois, les données montrent également qu’il existe encore des produits sur le marché </w:t>
      </w:r>
      <w:r>
        <w:rPr>
          <w:rFonts w:ascii="Times New Roman" w:hAnsi="Times New Roman"/>
          <w:noProof/>
          <w:sz w:val="24"/>
        </w:rPr>
        <w:t>européen de l’alimentation qui ont des teneurs élevées en AGT (comme les biscuits ou le maïs à éclater avec des valeurs de l’ordre de 40 à 50 g d’AGT/100 g de matières grasses). Parmi ces produits figurent également les denrées alimentaires non préemballée</w:t>
      </w:r>
      <w:r>
        <w:rPr>
          <w:rFonts w:ascii="Times New Roman" w:hAnsi="Times New Roman"/>
          <w:noProof/>
          <w:sz w:val="24"/>
        </w:rPr>
        <w:t>s, telles que les produits de boulangerie contenant des AGT (teneurs &gt; 2 g d’AGT pour 100 g de matières grasses)</w:t>
      </w:r>
      <w:r>
        <w:rPr>
          <w:rFonts w:ascii="Times New Roman" w:hAnsi="Times New Roman"/>
          <w:noProof/>
          <w:sz w:val="24"/>
          <w:vertAlign w:val="superscript"/>
        </w:rPr>
        <w:t>13</w:t>
      </w:r>
      <w:r>
        <w:rPr>
          <w:rFonts w:ascii="Times New Roman" w:hAnsi="Times New Roman"/>
          <w:noProof/>
          <w:sz w:val="24"/>
        </w:rPr>
        <w:t>.</w:t>
      </w:r>
    </w:p>
    <w:p w:rsidR="00A018F1" w:rsidRDefault="00A018F1">
      <w:pPr>
        <w:spacing w:after="0"/>
        <w:jc w:val="both"/>
        <w:rPr>
          <w:rFonts w:ascii="Times New Roman" w:hAnsi="Times New Roman" w:cs="Times New Roman"/>
          <w:noProof/>
          <w:sz w:val="24"/>
          <w:szCs w:val="24"/>
        </w:rPr>
      </w:pPr>
    </w:p>
    <w:p w:rsidR="00A018F1" w:rsidRDefault="00E73400">
      <w:pPr>
        <w:spacing w:after="0"/>
        <w:jc w:val="both"/>
        <w:rPr>
          <w:rFonts w:ascii="Times New Roman" w:hAnsi="Times New Roman" w:cs="Times New Roman"/>
          <w:noProof/>
          <w:sz w:val="24"/>
          <w:szCs w:val="24"/>
        </w:rPr>
      </w:pPr>
      <w:r>
        <w:rPr>
          <w:rFonts w:ascii="Times New Roman" w:hAnsi="Times New Roman"/>
          <w:noProof/>
          <w:sz w:val="24"/>
        </w:rPr>
        <w:t xml:space="preserve">Une autre étude récente </w:t>
      </w:r>
      <w:bookmarkStart w:id="17" w:name="_Ref401588746"/>
      <w:r>
        <w:rPr>
          <w:rStyle w:val="FootnoteReference"/>
          <w:rFonts w:ascii="Times New Roman" w:hAnsi="Times New Roman"/>
          <w:noProof/>
          <w:sz w:val="24"/>
        </w:rPr>
        <w:footnoteReference w:id="21"/>
      </w:r>
      <w:bookmarkEnd w:id="17"/>
      <w:r>
        <w:rPr>
          <w:rFonts w:ascii="Times New Roman" w:hAnsi="Times New Roman"/>
          <w:noProof/>
          <w:sz w:val="24"/>
        </w:rPr>
        <w:t xml:space="preserve"> relative à des produits ayant fait l’objet d’un échantillonnage au cours de la période 2012-2013 confirme cette a</w:t>
      </w:r>
      <w:r>
        <w:rPr>
          <w:rFonts w:ascii="Times New Roman" w:hAnsi="Times New Roman"/>
          <w:noProof/>
          <w:sz w:val="24"/>
        </w:rPr>
        <w:t>nalyse. Dans les supermarchés de sept villes (Londres, Paris, Berlin, Vienne, Copenhague, Oslo et Stockholm), il a été constaté que les denrées alimentaires populaires, telles que les biscuits préemballés, les gâteaux ou les gaufres, ne contenaient pas d’h</w:t>
      </w:r>
      <w:r>
        <w:rPr>
          <w:rFonts w:ascii="Times New Roman" w:hAnsi="Times New Roman"/>
          <w:noProof/>
          <w:sz w:val="24"/>
        </w:rPr>
        <w:t>uiles partiellement hydrogénées, alors que la présence de produits à forte teneur en AGT d’origine industrielle a été confirmée dans neuf pays (cinq pays de l’UE: la Bulgarie, la Croatie, la Pologne, la Slovénie et la Suède; trois pays candidats: l’ancienn</w:t>
      </w:r>
      <w:r>
        <w:rPr>
          <w:rFonts w:ascii="Times New Roman" w:hAnsi="Times New Roman"/>
          <w:noProof/>
          <w:sz w:val="24"/>
        </w:rPr>
        <w:t>e République yougoslave de Macédoine, le Monténégro et la Serbie; et un pays candidat potentiel: la Bosnie-Herzégovine). L’étude suggère que les teneurs en AGT d’origine industrielle ont diminué dans certains pays européens, mais pas tous, pour des catégor</w:t>
      </w:r>
      <w:r>
        <w:rPr>
          <w:rFonts w:ascii="Times New Roman" w:hAnsi="Times New Roman"/>
          <w:noProof/>
          <w:sz w:val="24"/>
        </w:rPr>
        <w:t>ies de denrées alimentaires sélectionnées, entre 2006 et 2013. Dans certains pays d’Europe de l’est et du sud-est, les teneurs en AGT d’origine industrielle dans les biscuits, gâteaux et gaufres préemballés n’ont pas sensiblement diminué depuis le milieu d</w:t>
      </w:r>
      <w:r>
        <w:rPr>
          <w:rFonts w:ascii="Times New Roman" w:hAnsi="Times New Roman"/>
          <w:noProof/>
          <w:sz w:val="24"/>
        </w:rPr>
        <w:t>es années 2000, ce qui laisse à penser que, dans certaines régions de l’Union européenne, peu de progrès ont été accomplis. Les résultats d’une consultation des États membres et des acteurs concernés</w:t>
      </w:r>
      <w:r>
        <w:rPr>
          <w:rFonts w:ascii="Times New Roman" w:hAnsi="Times New Roman"/>
          <w:noProof/>
          <w:sz w:val="24"/>
          <w:vertAlign w:val="superscript"/>
        </w:rPr>
        <w:t>2</w:t>
      </w:r>
      <w:r>
        <w:rPr>
          <w:rFonts w:ascii="Times New Roman" w:hAnsi="Times New Roman"/>
          <w:noProof/>
          <w:sz w:val="24"/>
        </w:rPr>
        <w:t xml:space="preserve"> confirment, malgré une faible participation, les conclu</w:t>
      </w:r>
      <w:r>
        <w:rPr>
          <w:rFonts w:ascii="Times New Roman" w:hAnsi="Times New Roman"/>
          <w:noProof/>
          <w:sz w:val="24"/>
        </w:rPr>
        <w:t>sions générales de ces études. La majorité des produits dans lesquels ont été décelées de fortes teneurs en AGT dans les États membres concerne des denrées alimentaires qui contiennent des AGT d’origine industrielle: des matières grasses destinées à la fri</w:t>
      </w:r>
      <w:r>
        <w:rPr>
          <w:rFonts w:ascii="Times New Roman" w:hAnsi="Times New Roman"/>
          <w:noProof/>
          <w:sz w:val="24"/>
        </w:rPr>
        <w:t xml:space="preserve">ture (également à usage industriel), de la margarine en bâtonnets, de la margarine utilisée pour la production des produits de pâtisserie, des produits de boulangerie, des biscuits, des gaufres, des produits de confiserie y compris ceux avec un nappage au </w:t>
      </w:r>
      <w:r>
        <w:rPr>
          <w:rFonts w:ascii="Times New Roman" w:hAnsi="Times New Roman"/>
          <w:noProof/>
          <w:sz w:val="24"/>
        </w:rPr>
        <w:t>cacao tels que du riz soufflé enrobé, des soupes et des sauces.</w:t>
      </w:r>
    </w:p>
    <w:p w:rsidR="00A018F1" w:rsidRDefault="00A018F1">
      <w:pPr>
        <w:spacing w:after="0"/>
        <w:jc w:val="both"/>
        <w:rPr>
          <w:rFonts w:ascii="Times New Roman" w:hAnsi="Times New Roman" w:cs="Times New Roman"/>
          <w:noProof/>
          <w:sz w:val="24"/>
          <w:szCs w:val="24"/>
        </w:rPr>
      </w:pPr>
    </w:p>
    <w:p w:rsidR="00A018F1" w:rsidRDefault="00E73400">
      <w:pPr>
        <w:pStyle w:val="Heading1"/>
        <w:numPr>
          <w:ilvl w:val="1"/>
          <w:numId w:val="6"/>
        </w:numPr>
        <w:ind w:left="714" w:hanging="357"/>
        <w:rPr>
          <w:noProof/>
        </w:rPr>
      </w:pPr>
      <w:bookmarkStart w:id="18" w:name="_Toc436664857"/>
      <w:r>
        <w:rPr>
          <w:noProof/>
        </w:rPr>
        <w:t>Consommation d’AGT en Europe</w:t>
      </w:r>
      <w:bookmarkEnd w:id="18"/>
    </w:p>
    <w:p w:rsidR="00A018F1" w:rsidRDefault="00A018F1">
      <w:pPr>
        <w:spacing w:after="0"/>
        <w:rPr>
          <w:noProof/>
        </w:rPr>
      </w:pPr>
    </w:p>
    <w:p w:rsidR="00A018F1" w:rsidRDefault="00E73400">
      <w:pPr>
        <w:spacing w:after="0"/>
        <w:jc w:val="both"/>
        <w:rPr>
          <w:rFonts w:ascii="Times New Roman" w:hAnsi="Times New Roman"/>
          <w:noProof/>
          <w:sz w:val="24"/>
        </w:rPr>
      </w:pPr>
      <w:r>
        <w:rPr>
          <w:rFonts w:ascii="Times New Roman" w:hAnsi="Times New Roman"/>
          <w:noProof/>
          <w:sz w:val="24"/>
        </w:rPr>
        <w:t>Les données européennes datant du milieu des années 1990 ont montré que la consommation moyenne d’AGT provenant de toutes les sources par pays représentait entre</w:t>
      </w:r>
      <w:r>
        <w:rPr>
          <w:rFonts w:ascii="Times New Roman" w:hAnsi="Times New Roman"/>
          <w:noProof/>
          <w:sz w:val="24"/>
        </w:rPr>
        <w:t xml:space="preserve"> 0,5 et 2,1 % de l’apport énergétique journalier pour les hommes et entre 0,8 et 1,8 % de l’apport énergétique journalier pour les femmes.</w:t>
      </w:r>
      <w:bookmarkStart w:id="19" w:name="_Ref401650352"/>
      <w:r>
        <w:rPr>
          <w:rStyle w:val="FootnoteReference"/>
          <w:rFonts w:ascii="Times New Roman" w:hAnsi="Times New Roman"/>
          <w:noProof/>
          <w:sz w:val="24"/>
        </w:rPr>
        <w:footnoteReference w:id="22"/>
      </w:r>
      <w:bookmarkEnd w:id="19"/>
      <w:r>
        <w:rPr>
          <w:rFonts w:ascii="Times New Roman" w:hAnsi="Times New Roman"/>
          <w:noProof/>
          <w:sz w:val="24"/>
        </w:rPr>
        <w:t xml:space="preserve"> Des rapports plus récents indiquent que la consommation d’AGT a diminué dans un grand nombre de pays européens</w:t>
      </w:r>
      <w:r>
        <w:rPr>
          <w:noProof/>
        </w:rPr>
        <w:t>.</w:t>
      </w:r>
      <w:r>
        <w:rPr>
          <w:rFonts w:ascii="Times New Roman" w:hAnsi="Times New Roman"/>
          <w:noProof/>
          <w:sz w:val="24"/>
          <w:vertAlign w:val="superscript"/>
        </w:rPr>
        <w:t>11,20</w:t>
      </w:r>
      <w:r>
        <w:rPr>
          <w:rFonts w:ascii="Times New Roman" w:hAnsi="Times New Roman"/>
          <w:noProof/>
          <w:sz w:val="24"/>
          <w:vertAlign w:val="superscript"/>
        </w:rPr>
        <w:t>,</w:t>
      </w:r>
      <w:r>
        <w:rPr>
          <w:rStyle w:val="FootnoteReference"/>
          <w:rFonts w:ascii="Times New Roman" w:hAnsi="Times New Roman"/>
          <w:noProof/>
          <w:sz w:val="24"/>
        </w:rPr>
        <w:footnoteReference w:id="23"/>
      </w:r>
      <w:r>
        <w:rPr>
          <w:rFonts w:ascii="Times New Roman" w:hAnsi="Times New Roman"/>
          <w:noProof/>
          <w:sz w:val="24"/>
        </w:rPr>
        <w:t xml:space="preserve"> Malgré une disponibilité limitée des données à l’échelle de l’UE, une étude récente qui a synthétisé les données de neuf pays de l’UE conclut que la consommation moyenne d’AGT par jour de la population représente moins de 1 % de l’apport énergétique jou</w:t>
      </w:r>
      <w:r>
        <w:rPr>
          <w:rFonts w:ascii="Times New Roman" w:hAnsi="Times New Roman"/>
          <w:noProof/>
          <w:sz w:val="24"/>
        </w:rPr>
        <w:t xml:space="preserve">rnalier, mais que certaines catégories de la population dépassent ou risquent de dépasser les teneurs recommandées par l’Organisation mondiale de la santé, à savoir 1 % de l’apport énergétique journalier. On peut notamment citer parmi les sous-populations </w:t>
      </w:r>
      <w:r>
        <w:rPr>
          <w:rFonts w:ascii="Times New Roman" w:hAnsi="Times New Roman"/>
          <w:noProof/>
          <w:sz w:val="24"/>
        </w:rPr>
        <w:t xml:space="preserve">concernées les citoyens à faibles revenus (enquête alimentaire réalisée auprès de personnes britanniques disposant de faibles revenus), les étudiants âgés de 18 à 30 ans ou, d’une manière générale, les citoyens de la même tranche d’âge (données émanant de </w:t>
      </w:r>
      <w:r>
        <w:rPr>
          <w:rFonts w:ascii="Times New Roman" w:hAnsi="Times New Roman"/>
          <w:noProof/>
          <w:sz w:val="24"/>
        </w:rPr>
        <w:t>la Croatie et de l’Espagne, respectivement)</w:t>
      </w:r>
      <w:r>
        <w:rPr>
          <w:rFonts w:ascii="Times New Roman" w:hAnsi="Times New Roman"/>
          <w:noProof/>
          <w:sz w:val="24"/>
          <w:vertAlign w:val="superscript"/>
        </w:rPr>
        <w:t>13</w:t>
      </w:r>
      <w:r>
        <w:rPr>
          <w:rFonts w:ascii="Times New Roman" w:hAnsi="Times New Roman"/>
          <w:noProof/>
          <w:sz w:val="24"/>
        </w:rPr>
        <w:t>. Les produits à forte teneur en AGT (d’origine industrielle) contribuent à ces consommations élevées; toutefois, étant donné la diversité des habitudes de consommation, ces données ne peuvent être directement e</w:t>
      </w:r>
      <w:r>
        <w:rPr>
          <w:rFonts w:ascii="Times New Roman" w:hAnsi="Times New Roman"/>
          <w:noProof/>
          <w:sz w:val="24"/>
        </w:rPr>
        <w:t>xtrapolées à l’ensemble de l’UE pour tirer des conclusions générales. La consultation des États membres</w:t>
      </w:r>
      <w:r>
        <w:rPr>
          <w:rFonts w:ascii="Times New Roman" w:hAnsi="Times New Roman"/>
          <w:noProof/>
          <w:sz w:val="24"/>
          <w:vertAlign w:val="superscript"/>
        </w:rPr>
        <w:t>2</w:t>
      </w:r>
      <w:r>
        <w:rPr>
          <w:rFonts w:ascii="Times New Roman" w:hAnsi="Times New Roman"/>
          <w:noProof/>
          <w:sz w:val="24"/>
        </w:rPr>
        <w:t xml:space="preserve"> confirme ces conclusions. Elle désigne également les produits de boulangerie, les gâteaux et biscuits, les plats cuisinés et les produits frits comme s</w:t>
      </w:r>
      <w:r>
        <w:rPr>
          <w:rFonts w:ascii="Times New Roman" w:hAnsi="Times New Roman"/>
          <w:noProof/>
          <w:sz w:val="24"/>
        </w:rPr>
        <w:t>ources principales d’AGT, ainsi que les produits laitiers et la viande de ruminants comme sources importantes d’AGT d’origine naturelle.</w:t>
      </w:r>
    </w:p>
    <w:p w:rsidR="00A018F1" w:rsidRDefault="00A018F1">
      <w:pPr>
        <w:spacing w:after="0"/>
        <w:jc w:val="both"/>
        <w:rPr>
          <w:rFonts w:ascii="Times New Roman" w:hAnsi="Times New Roman"/>
          <w:noProof/>
          <w:sz w:val="24"/>
        </w:rPr>
      </w:pPr>
    </w:p>
    <w:p w:rsidR="00A018F1" w:rsidRDefault="00E73400">
      <w:pPr>
        <w:pStyle w:val="Heading1"/>
        <w:numPr>
          <w:ilvl w:val="0"/>
          <w:numId w:val="6"/>
        </w:numPr>
        <w:spacing w:after="240" w:line="240" w:lineRule="auto"/>
        <w:rPr>
          <w:noProof/>
        </w:rPr>
      </w:pPr>
      <w:bookmarkStart w:id="20" w:name="_Toc436664858"/>
      <w:bookmarkStart w:id="21" w:name="_Toc399862672"/>
      <w:r>
        <w:rPr>
          <w:noProof/>
        </w:rPr>
        <w:t>INFORMATION DES CONSOMMATEURS AU SUJET DES AGT</w:t>
      </w:r>
      <w:bookmarkEnd w:id="20"/>
    </w:p>
    <w:p w:rsidR="00A018F1" w:rsidRDefault="00E73400">
      <w:pPr>
        <w:spacing w:after="0"/>
        <w:jc w:val="both"/>
        <w:rPr>
          <w:rFonts w:ascii="Times New Roman" w:hAnsi="Times New Roman"/>
          <w:noProof/>
          <w:sz w:val="24"/>
        </w:rPr>
      </w:pPr>
      <w:r>
        <w:rPr>
          <w:rFonts w:ascii="Times New Roman" w:hAnsi="Times New Roman"/>
          <w:noProof/>
          <w:sz w:val="24"/>
        </w:rPr>
        <w:t>Les consommateurs ne sont en mesure de faire des choix éclairés en mati</w:t>
      </w:r>
      <w:r>
        <w:rPr>
          <w:rFonts w:ascii="Times New Roman" w:hAnsi="Times New Roman"/>
          <w:noProof/>
          <w:sz w:val="24"/>
        </w:rPr>
        <w:t>ère d’alimentation que s’ils ont connaissance des incidences sur la santé d’une consommation élevée d’AGT. Pour ce qui est des règles actuelles de l’UE, les consommateurs doivent comprendre la différence entre les huiles partiellement hydrogénées (contenan</w:t>
      </w:r>
      <w:r>
        <w:rPr>
          <w:rFonts w:ascii="Times New Roman" w:hAnsi="Times New Roman"/>
          <w:noProof/>
          <w:sz w:val="24"/>
        </w:rPr>
        <w:t>t entre autres des AGT) et les huiles complètement hydrogénées (contenant uniquement des acides gras saturés, mais pas d’AGT), étant donné que le règlement (UE) nº 1169/2011 prévoit la mention de ce type d’informations dans la liste des ingrédients des den</w:t>
      </w:r>
      <w:r>
        <w:rPr>
          <w:rFonts w:ascii="Times New Roman" w:hAnsi="Times New Roman"/>
          <w:noProof/>
          <w:sz w:val="24"/>
        </w:rPr>
        <w:t>rées alimentaires préemballées</w:t>
      </w:r>
      <w:r>
        <w:rPr>
          <w:rStyle w:val="FootnoteReference"/>
          <w:rFonts w:ascii="Times New Roman" w:hAnsi="Times New Roman"/>
          <w:noProof/>
          <w:sz w:val="24"/>
        </w:rPr>
        <w:footnoteReference w:id="24"/>
      </w:r>
      <w:r>
        <w:rPr>
          <w:rFonts w:ascii="Times New Roman" w:hAnsi="Times New Roman"/>
          <w:noProof/>
          <w:sz w:val="24"/>
        </w:rPr>
        <w:t>. À l’heure actuelle, la recherche d’huiles partiellement hydrogénées dans la liste des ingrédients des denrées alimentaires préemballées est le seul moyen pour les consommateurs d’identifier les produits susceptibles de cont</w:t>
      </w:r>
      <w:r>
        <w:rPr>
          <w:rFonts w:ascii="Times New Roman" w:hAnsi="Times New Roman"/>
          <w:noProof/>
          <w:sz w:val="24"/>
        </w:rPr>
        <w:t>enir des AGT, mais cela ne leur permet pas de connaître la teneur réelle en AGT.</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Il existe peu de données sur les connaissances des consommateurs européens en matière d’AGT et encore moins sur la question de savoir si ces connaissances influent sur leurs </w:t>
      </w:r>
      <w:r>
        <w:rPr>
          <w:rFonts w:ascii="Times New Roman" w:hAnsi="Times New Roman"/>
          <w:noProof/>
          <w:sz w:val="24"/>
        </w:rPr>
        <w:t>choix alimentaires.</w:t>
      </w:r>
      <w:r>
        <w:rPr>
          <w:rFonts w:ascii="Times New Roman" w:hAnsi="Times New Roman"/>
          <w:noProof/>
          <w:sz w:val="24"/>
          <w:vertAlign w:val="superscript"/>
        </w:rPr>
        <w:t>2</w:t>
      </w:r>
      <w:r>
        <w:rPr>
          <w:rFonts w:ascii="Times New Roman" w:hAnsi="Times New Roman"/>
          <w:noProof/>
          <w:sz w:val="24"/>
        </w:rPr>
        <w:t xml:space="preserve"> Les seules données disponibles donnent à penser que la majorité des Européens ne disposent pas de connaissances au sujet des AGT en général, des AGT d’origine industrielle ou provenant de ruminants, ni sur les huiles partiellement ou c</w:t>
      </w:r>
      <w:r>
        <w:rPr>
          <w:rFonts w:ascii="Times New Roman" w:hAnsi="Times New Roman"/>
          <w:noProof/>
          <w:sz w:val="24"/>
        </w:rPr>
        <w:t>omplètement hydrogénées. En outre, seule une petite fraction de la population semble préoccupée par la consommation d’AGT.</w:t>
      </w:r>
      <w:r>
        <w:rPr>
          <w:rFonts w:ascii="Times New Roman" w:hAnsi="Times New Roman"/>
          <w:noProof/>
          <w:sz w:val="24"/>
          <w:vertAlign w:val="superscript"/>
        </w:rPr>
        <w:t>2</w:t>
      </w:r>
    </w:p>
    <w:p w:rsidR="00A018F1" w:rsidRDefault="00A018F1">
      <w:pPr>
        <w:spacing w:before="120" w:after="12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Une étude récente rapporte que seulement un consommateur sur trois environ a déclaré avoir entendu parler des AGT et qu’il les cons</w:t>
      </w:r>
      <w:r>
        <w:rPr>
          <w:rFonts w:ascii="Times New Roman" w:hAnsi="Times New Roman"/>
          <w:noProof/>
          <w:sz w:val="24"/>
        </w:rPr>
        <w:t>idérait comme mauvais pour la santé.</w:t>
      </w:r>
      <w:bookmarkStart w:id="22" w:name="_Ref432070709"/>
      <w:r>
        <w:rPr>
          <w:rFonts w:ascii="Times New Roman" w:hAnsi="Times New Roman"/>
          <w:noProof/>
          <w:sz w:val="24"/>
          <w:vertAlign w:val="superscript"/>
        </w:rPr>
        <w:footnoteReference w:id="25"/>
      </w:r>
      <w:bookmarkEnd w:id="22"/>
      <w:r>
        <w:rPr>
          <w:rFonts w:ascii="Times New Roman" w:hAnsi="Times New Roman"/>
          <w:noProof/>
          <w:sz w:val="24"/>
        </w:rPr>
        <w:t xml:space="preserve"> Les mêmes chiffres ont été obtenus lorsque les consommateurs ont été interrogés sur les huiles partiellement et complètement hydrogénées, mais ces derniers ne faisaient pas de distinction en matière de conséquences sur</w:t>
      </w:r>
      <w:r>
        <w:rPr>
          <w:rFonts w:ascii="Times New Roman" w:hAnsi="Times New Roman"/>
          <w:noProof/>
          <w:sz w:val="24"/>
        </w:rPr>
        <w:t xml:space="preserve"> la santé selon le type d’huile. En présence de produits, par ailleurs identiques, dont la teneur en AGT d’origine industrielle diffère, les participants ont eu tendance à opérer le meilleur choix pour leur santé en se fondant sur des informations relative</w:t>
      </w:r>
      <w:r>
        <w:rPr>
          <w:rFonts w:ascii="Times New Roman" w:hAnsi="Times New Roman"/>
          <w:noProof/>
          <w:sz w:val="24"/>
        </w:rPr>
        <w:t>s aux AGT fournies dans le tableau de déclaration nutritionnelle plutôt que sur les informations de la liste des ingrédients uniquement (les huiles partiellement hydrogénées indiquent la présence d’AGT dans un produit). Toutefois, les participants ont renc</w:t>
      </w:r>
      <w:r>
        <w:rPr>
          <w:rFonts w:ascii="Times New Roman" w:hAnsi="Times New Roman"/>
          <w:noProof/>
          <w:sz w:val="24"/>
        </w:rPr>
        <w:t>ontré plus de difficultés dans les situations plus complexes mais également plus vraisemblables, comme au moment de devoir choisir entre deux produits de substitution ayant des teneurs en AGT différentes et dont les teneurs en acides gras saturés, en sel e</w:t>
      </w:r>
      <w:r>
        <w:rPr>
          <w:rFonts w:ascii="Times New Roman" w:hAnsi="Times New Roman"/>
          <w:noProof/>
          <w:sz w:val="24"/>
        </w:rPr>
        <w:t>t en sucre diffèrent également. La mise à disposition d’informations relatives aux AGT influait peu sur la capacité des participants à identifier la solution la meilleure pour leur santé dans des situations aussi complexes. Les participants semblaient ne p</w:t>
      </w:r>
      <w:r>
        <w:rPr>
          <w:rFonts w:ascii="Times New Roman" w:hAnsi="Times New Roman"/>
          <w:noProof/>
          <w:sz w:val="24"/>
        </w:rPr>
        <w:t xml:space="preserve">as tenir compte des informations relatives aux AGT et prenaient davantage en considération les autres nutriments qui leur étaient plus familiers. Ces situations complexes reflètent les choix alimentaires de la vie quotidienne qui reposent sur un compromis </w:t>
      </w:r>
      <w:r>
        <w:rPr>
          <w:rFonts w:ascii="Times New Roman" w:hAnsi="Times New Roman"/>
          <w:noProof/>
          <w:sz w:val="24"/>
        </w:rPr>
        <w:t>difficile entre la teneur en AGT et celle en autres nutriments. Les résultats d’enquêtes menées auprès de consommateurs aux États-Unis et au Canada</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où la teneur en AGT figure sur l’étiquette des denrées alimentaires préemballées, indiquent une connaiss</w:t>
      </w:r>
      <w:r>
        <w:rPr>
          <w:rFonts w:ascii="Times New Roman" w:hAnsi="Times New Roman"/>
          <w:noProof/>
          <w:sz w:val="24"/>
        </w:rPr>
        <w:t>ance autodéclarée plus répandue quant à la notion d’AGT, mais les conséquences d’une telle connaissance sur les choix alimentaires restent peu connues. L’ajout d’informations relatives aux AGT dans la déclaration nutritionnelle risque d’avoir des effets li</w:t>
      </w:r>
      <w:r>
        <w:rPr>
          <w:rFonts w:ascii="Times New Roman" w:hAnsi="Times New Roman"/>
          <w:noProof/>
          <w:sz w:val="24"/>
        </w:rPr>
        <w:t>mités voire même préjudiciables</w:t>
      </w:r>
      <w:r>
        <w:rPr>
          <w:rStyle w:val="FootnoteReference"/>
          <w:rFonts w:ascii="Times New Roman" w:hAnsi="Times New Roman"/>
          <w:noProof/>
          <w:sz w:val="24"/>
        </w:rPr>
        <w:footnoteReference w:id="28"/>
      </w:r>
      <w:r>
        <w:rPr>
          <w:rFonts w:ascii="Times New Roman" w:hAnsi="Times New Roman"/>
          <w:noProof/>
          <w:sz w:val="24"/>
        </w:rPr>
        <w:t xml:space="preserve"> sans la mise en place parallèle de programmes éducatifs appropriés destinés aux consommateurs qui permettraient à ces derniers d’utiliser les informations nutritionnelles dans le cadre d’un régime alimentaire équilibré sur </w:t>
      </w:r>
      <w:r>
        <w:rPr>
          <w:rFonts w:ascii="Times New Roman" w:hAnsi="Times New Roman"/>
          <w:noProof/>
          <w:sz w:val="24"/>
        </w:rPr>
        <w:t>le plan nutritionnel.</w:t>
      </w:r>
    </w:p>
    <w:p w:rsidR="00A018F1" w:rsidRDefault="00A018F1">
      <w:pPr>
        <w:spacing w:after="0"/>
        <w:jc w:val="both"/>
        <w:rPr>
          <w:rFonts w:ascii="Times New Roman" w:hAnsi="Times New Roman"/>
          <w:noProof/>
          <w:sz w:val="24"/>
        </w:rPr>
      </w:pPr>
    </w:p>
    <w:p w:rsidR="00A018F1" w:rsidRDefault="00E73400">
      <w:pPr>
        <w:pStyle w:val="Heading1"/>
        <w:numPr>
          <w:ilvl w:val="0"/>
          <w:numId w:val="6"/>
        </w:numPr>
        <w:spacing w:after="240" w:line="240" w:lineRule="auto"/>
        <w:rPr>
          <w:noProof/>
        </w:rPr>
      </w:pPr>
      <w:bookmarkStart w:id="23" w:name="_Toc436664859"/>
      <w:r>
        <w:rPr>
          <w:noProof/>
        </w:rPr>
        <w:t>SOLUTIONS POSSIBLES POUR DIMINUER LA CONSOMMATION D’AGT DANS L’UE</w:t>
      </w:r>
      <w:bookmarkEnd w:id="23"/>
    </w:p>
    <w:p w:rsidR="00A018F1" w:rsidRDefault="00E73400">
      <w:pPr>
        <w:spacing w:after="0"/>
        <w:jc w:val="both"/>
        <w:rPr>
          <w:rFonts w:ascii="Times New Roman" w:hAnsi="Times New Roman"/>
          <w:noProof/>
          <w:sz w:val="24"/>
        </w:rPr>
      </w:pPr>
      <w:r>
        <w:rPr>
          <w:rFonts w:ascii="Times New Roman" w:hAnsi="Times New Roman"/>
          <w:noProof/>
          <w:sz w:val="24"/>
        </w:rPr>
        <w:t>Les principales solutions envisageables pour réduire la consommation d’AGT dans l’UE pourraient être: la mise en place d’une déclaration obligatoire à l’échelle de l’U</w:t>
      </w:r>
      <w:r>
        <w:rPr>
          <w:rFonts w:ascii="Times New Roman" w:hAnsi="Times New Roman"/>
          <w:noProof/>
          <w:sz w:val="24"/>
        </w:rPr>
        <w:t>E concernant la teneur en AGT</w:t>
      </w:r>
      <w:r>
        <w:rPr>
          <w:rFonts w:ascii="Times New Roman" w:hAnsi="Times New Roman"/>
          <w:noProof/>
          <w:sz w:val="24"/>
          <w:vertAlign w:val="superscript"/>
        </w:rPr>
        <w:footnoteReference w:id="29"/>
      </w:r>
      <w:r>
        <w:rPr>
          <w:rFonts w:ascii="Times New Roman" w:hAnsi="Times New Roman"/>
          <w:noProof/>
          <w:sz w:val="24"/>
        </w:rPr>
        <w:t>, une limite légale à l’échelle de l’UE relative à la teneur en AGT dans les denrées alimentaires</w:t>
      </w:r>
      <w:r>
        <w:rPr>
          <w:rFonts w:ascii="Times New Roman" w:hAnsi="Times New Roman"/>
          <w:noProof/>
          <w:sz w:val="24"/>
          <w:vertAlign w:val="superscript"/>
        </w:rPr>
        <w:footnoteReference w:id="30"/>
      </w:r>
      <w:r>
        <w:rPr>
          <w:rFonts w:ascii="Times New Roman" w:hAnsi="Times New Roman"/>
          <w:noProof/>
          <w:sz w:val="24"/>
        </w:rPr>
        <w:t>, des accords volontaires visant à réduire la teneur en AGT dans les denrées alimentaires et les régimes alimentaires à l’échell</w:t>
      </w:r>
      <w:r>
        <w:rPr>
          <w:rFonts w:ascii="Times New Roman" w:hAnsi="Times New Roman"/>
          <w:noProof/>
          <w:sz w:val="24"/>
        </w:rPr>
        <w:t>e de l’UE ou des orientations de l’UE concernant des limites légales nationales relatives à la teneur en AGT dans les denrées alimentaires. Une autre solution consisterait à laisser les États membres prendre des mesures nationales et/ou mener des efforts d</w:t>
      </w:r>
      <w:r>
        <w:rPr>
          <w:rFonts w:ascii="Times New Roman" w:hAnsi="Times New Roman"/>
          <w:noProof/>
          <w:sz w:val="24"/>
        </w:rPr>
        <w:t>e réduction volontaire</w:t>
      </w:r>
      <w:r>
        <w:rPr>
          <w:rFonts w:ascii="Times New Roman" w:hAnsi="Times New Roman"/>
          <w:noProof/>
          <w:sz w:val="24"/>
          <w:vertAlign w:val="superscript"/>
        </w:rPr>
        <w:footnoteReference w:id="31"/>
      </w:r>
      <w:r>
        <w:rPr>
          <w:rFonts w:ascii="Times New Roman" w:hAnsi="Times New Roman"/>
          <w:noProof/>
          <w:sz w:val="24"/>
        </w:rPr>
        <w:t>.</w:t>
      </w:r>
    </w:p>
    <w:p w:rsidR="00A018F1" w:rsidRDefault="00A018F1">
      <w:pPr>
        <w:spacing w:after="0"/>
        <w:jc w:val="both"/>
        <w:rPr>
          <w:rFonts w:ascii="Times New Roman" w:hAnsi="Times New Roman"/>
          <w:noProof/>
          <w:sz w:val="24"/>
        </w:rPr>
      </w:pPr>
    </w:p>
    <w:bookmarkEnd w:id="21"/>
    <w:p w:rsidR="00A018F1" w:rsidRDefault="00E73400">
      <w:pPr>
        <w:spacing w:after="0"/>
        <w:jc w:val="both"/>
        <w:rPr>
          <w:rFonts w:ascii="Times New Roman" w:hAnsi="Times New Roman"/>
          <w:noProof/>
          <w:sz w:val="24"/>
        </w:rPr>
      </w:pPr>
      <w:r>
        <w:rPr>
          <w:rFonts w:ascii="Times New Roman" w:hAnsi="Times New Roman"/>
          <w:noProof/>
          <w:sz w:val="24"/>
        </w:rPr>
        <w:t xml:space="preserve">Dans le cadre des dispositions légales actuelles, les consommateurs peuvent connaître à partir de l’étiquetage énumérant les ingrédients la présence d’huiles partiellement hydrogénées dans un produit et en déduire la présence </w:t>
      </w:r>
      <w:r>
        <w:rPr>
          <w:rFonts w:ascii="Times New Roman" w:hAnsi="Times New Roman"/>
          <w:noProof/>
          <w:sz w:val="24"/>
        </w:rPr>
        <w:t>éventuelle d’AGT d’origine industrielle. Cette solution ne permet pas cependant d’estimer de façon précise la teneur réelle en AGT et n’est valable que pour les denrées alimentaires préemballées. Par ailleurs, l’influence sur le comportement des consommate</w:t>
      </w:r>
      <w:r>
        <w:rPr>
          <w:rFonts w:ascii="Times New Roman" w:hAnsi="Times New Roman"/>
          <w:noProof/>
          <w:sz w:val="24"/>
        </w:rPr>
        <w:t>urs dépend en définitive des connaissances de ces derniers (faibles à l’heure actuelle) en ce qui concerne les risques liés aux AGT et la différence entre les huiles partiellement et complètement hydrogénées.</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L’adoption de mesures individuelles par les Ét</w:t>
      </w:r>
      <w:r>
        <w:rPr>
          <w:rFonts w:ascii="Times New Roman" w:hAnsi="Times New Roman"/>
          <w:noProof/>
          <w:sz w:val="24"/>
        </w:rPr>
        <w:t>ats membres peut évidemment conduire à une réduction de la consommation d’AGT mais risque de créer une mosaïque de réglementations et d’entraver de ce fait le bon fonctionnement du marché unique.</w:t>
      </w:r>
    </w:p>
    <w:p w:rsidR="00A018F1" w:rsidRDefault="00A018F1">
      <w:pPr>
        <w:pStyle w:val="Heading2"/>
        <w:spacing w:after="240" w:line="240" w:lineRule="auto"/>
        <w:rPr>
          <w:noProof/>
        </w:rPr>
      </w:pPr>
    </w:p>
    <w:p w:rsidR="00A018F1" w:rsidRDefault="00E73400">
      <w:pPr>
        <w:pStyle w:val="Heading1"/>
        <w:numPr>
          <w:ilvl w:val="1"/>
          <w:numId w:val="6"/>
        </w:numPr>
        <w:rPr>
          <w:noProof/>
        </w:rPr>
      </w:pPr>
      <w:bookmarkStart w:id="24" w:name="_Toc436664860"/>
      <w:r>
        <w:rPr>
          <w:noProof/>
        </w:rPr>
        <w:t>Considérations générales</w:t>
      </w:r>
      <w:bookmarkEnd w:id="24"/>
    </w:p>
    <w:p w:rsidR="00A018F1" w:rsidRDefault="00A018F1">
      <w:pPr>
        <w:spacing w:after="0"/>
        <w:rPr>
          <w:noProof/>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Avant de présenter les solutions </w:t>
      </w:r>
      <w:r>
        <w:rPr>
          <w:rFonts w:ascii="Times New Roman" w:hAnsi="Times New Roman"/>
          <w:noProof/>
          <w:sz w:val="24"/>
        </w:rPr>
        <w:t xml:space="preserve">envisageables pour diminuer la consommation d’AGT dans l’UE, il convient de noter que les données disponibles indiquent que toutes les stratégies de réduction des AGT semblent être associées à des réductions importantes des teneurs en AGT dans les denrées </w:t>
      </w:r>
      <w:r>
        <w:rPr>
          <w:rFonts w:ascii="Times New Roman" w:hAnsi="Times New Roman"/>
          <w:noProof/>
          <w:sz w:val="24"/>
        </w:rPr>
        <w:t>alimentaires.</w:t>
      </w:r>
      <w:bookmarkStart w:id="25" w:name="_Ref401650420"/>
      <w:r>
        <w:rPr>
          <w:rStyle w:val="FootnoteReference"/>
          <w:rFonts w:ascii="Times New Roman" w:hAnsi="Times New Roman"/>
          <w:noProof/>
          <w:sz w:val="24"/>
        </w:rPr>
        <w:footnoteReference w:id="32"/>
      </w:r>
      <w:bookmarkEnd w:id="25"/>
      <w:r>
        <w:rPr>
          <w:rFonts w:ascii="Times New Roman" w:hAnsi="Times New Roman"/>
          <w:noProof/>
          <w:sz w:val="24"/>
        </w:rPr>
        <w:t xml:space="preserve"> Il a été constaté en particulier que «</w:t>
      </w:r>
      <w:r>
        <w:rPr>
          <w:rFonts w:ascii="Times New Roman" w:hAnsi="Times New Roman"/>
          <w:i/>
          <w:noProof/>
          <w:sz w:val="24"/>
        </w:rPr>
        <w:t>les interdictions à l’échelle nationale et locale étaient les plus efficaces pour éliminer les AGT de l’approvisionnement alimentaire, alors que l’étiquetage obligatoire relatif aux AGT et les limites fa</w:t>
      </w:r>
      <w:r>
        <w:rPr>
          <w:rFonts w:ascii="Times New Roman" w:hAnsi="Times New Roman"/>
          <w:i/>
          <w:noProof/>
          <w:sz w:val="24"/>
        </w:rPr>
        <w:t>cultatives relatives à la teneur en AGT avaient des incidences plus ou moins positives, dépendant fortement de la catégorie de denrées alimentaires.</w:t>
      </w:r>
      <w:r>
        <w:rPr>
          <w:rFonts w:ascii="Times New Roman" w:hAnsi="Times New Roman"/>
          <w:noProof/>
          <w:sz w:val="24"/>
        </w:rPr>
        <w:t>»</w:t>
      </w:r>
      <w:r>
        <w:rPr>
          <w:rFonts w:ascii="Times New Roman" w:hAnsi="Times New Roman"/>
          <w:noProof/>
          <w:sz w:val="24"/>
          <w:vertAlign w:val="superscript"/>
        </w:rPr>
        <w:t xml:space="preserve"> 31</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L’Autriche et le Danemark ont surveillé le respect de leur législation nationale qui </w:t>
      </w:r>
      <w:r>
        <w:rPr>
          <w:rFonts w:ascii="Times New Roman" w:hAnsi="Times New Roman"/>
          <w:b/>
          <w:noProof/>
          <w:sz w:val="24"/>
        </w:rPr>
        <w:t xml:space="preserve">limite la teneur </w:t>
      </w:r>
      <w:r>
        <w:rPr>
          <w:rFonts w:ascii="Times New Roman" w:hAnsi="Times New Roman"/>
          <w:b/>
          <w:noProof/>
          <w:sz w:val="24"/>
        </w:rPr>
        <w:t>en AGT</w:t>
      </w:r>
      <w:r>
        <w:rPr>
          <w:rFonts w:ascii="Times New Roman" w:hAnsi="Times New Roman"/>
          <w:noProof/>
          <w:sz w:val="24"/>
        </w:rPr>
        <w:t xml:space="preserve"> dans les denrées alimentaires. L’Autriche a signalé qu’en 2011 et en 2013 la limite légale fixée en 2009 n’avait été dépassée pour aucun produit. Le Danemark a indiqué que le règlement avait été respecté peu de temps après son adoption et que seules</w:t>
      </w:r>
      <w:r>
        <w:rPr>
          <w:rFonts w:ascii="Times New Roman" w:hAnsi="Times New Roman"/>
          <w:noProof/>
          <w:sz w:val="24"/>
        </w:rPr>
        <w:t xml:space="preserve"> des violations occasionnelles étaient constatées, la majorité d’entre elles étant liées à des denrées alimentaires produites en dehors du Danemark. La consommation moyenne d’AGT d’origine industrielle est très faible au Danemark; elle a été estimée à 0,01</w:t>
      </w:r>
      <w:r>
        <w:rPr>
          <w:rFonts w:ascii="Times New Roman" w:hAnsi="Times New Roman"/>
          <w:noProof/>
          <w:sz w:val="24"/>
        </w:rPr>
        <w:t>-0,03 g/jour</w:t>
      </w:r>
      <w:r>
        <w:rPr>
          <w:rFonts w:ascii="Times New Roman" w:hAnsi="Times New Roman"/>
          <w:noProof/>
          <w:sz w:val="24"/>
          <w:vertAlign w:val="superscript"/>
        </w:rPr>
        <w:t>2</w:t>
      </w:r>
      <w:r>
        <w:rPr>
          <w:rFonts w:ascii="Times New Roman" w:hAnsi="Times New Roman"/>
          <w:noProof/>
          <w:sz w:val="24"/>
        </w:rPr>
        <w:t xml:space="preserve"> après l’adoption de la législation.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Toutefois, il existe à ce stade peu de données empiriques démontrant l’incidence sur la santé des stratégies mises en œuvre à l’échelle mondiale pour réduire les teneurs en AGT dans les denrées alimentair</w:t>
      </w:r>
      <w:r>
        <w:rPr>
          <w:rFonts w:ascii="Times New Roman" w:hAnsi="Times New Roman"/>
          <w:noProof/>
          <w:sz w:val="24"/>
        </w:rPr>
        <w:t>es. Certaines études nord-américaines ont établi un lien entre la mise en œuvre de l’étiquetage obligatoire relatif aux AGT et une diminution de la teneur en AGT dans le plasma (ainsi qu’une baisse du cholestérol à lipoprotéines de faible densité et d’autr</w:t>
      </w:r>
      <w:r>
        <w:rPr>
          <w:rFonts w:ascii="Times New Roman" w:hAnsi="Times New Roman"/>
          <w:noProof/>
          <w:sz w:val="24"/>
        </w:rPr>
        <w:t>es marqueurs sanguins) ou de la teneur en AGT dans le lait maternel</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xml:space="preserve"> . Des études de modélisation ont évalué l’effet de la diminution de la consommation d’AGT sur la morbidité et la mortalité dues aux maladies cardiaques, indépendamment des mesures prise</w:t>
      </w:r>
      <w:r>
        <w:rPr>
          <w:rFonts w:ascii="Times New Roman" w:hAnsi="Times New Roman"/>
          <w:noProof/>
          <w:sz w:val="24"/>
        </w:rPr>
        <w:t>s. Une étude menée au Royaume-Uni a estimé les effets d’une baisse de consommation d’AGT dans la population, en se basant sur des réductions de 0,5 % et de 0,8 % de l’apport énergétique journalier des AGT: cette baisse pourrait conduire à une diminution du</w:t>
      </w:r>
      <w:r>
        <w:rPr>
          <w:rFonts w:ascii="Times New Roman" w:hAnsi="Times New Roman"/>
          <w:noProof/>
          <w:sz w:val="24"/>
        </w:rPr>
        <w:t xml:space="preserve"> nombre de décès causés par des maladies cardiaques d’environ 3 500 et 4 700 par an, respectivement.</w:t>
      </w:r>
      <w:r>
        <w:rPr>
          <w:rFonts w:ascii="Times New Roman" w:hAnsi="Times New Roman"/>
          <w:noProof/>
          <w:sz w:val="24"/>
          <w:vertAlign w:val="superscript"/>
        </w:rPr>
        <w:footnoteReference w:id="35"/>
      </w:r>
      <w:r>
        <w:rPr>
          <w:rFonts w:ascii="Times New Roman" w:hAnsi="Times New Roman"/>
          <w:noProof/>
          <w:sz w:val="24"/>
        </w:rPr>
        <w:t xml:space="preserve"> Aux États-Unis, une étude a estimé les coûts et les effets potentiels sur la santé d’une baisse de la consommation d’AGT selon deux scénarios différents e</w:t>
      </w:r>
      <w:r>
        <w:rPr>
          <w:rFonts w:ascii="Times New Roman" w:hAnsi="Times New Roman"/>
          <w:noProof/>
          <w:sz w:val="24"/>
        </w:rPr>
        <w:t>t en se basant sur une réduction de 0,64 % de l’apport énergétique journalier des AGT: cette baisse permettrait d’éviter 15 000 et 58 000 cas de maladies cardiaques en moyenne, soit environ 1,2 % et 4,5 % de la totalité des cas de maladies cardiaques aux É</w:t>
      </w:r>
      <w:r>
        <w:rPr>
          <w:rFonts w:ascii="Times New Roman" w:hAnsi="Times New Roman"/>
          <w:noProof/>
          <w:sz w:val="24"/>
        </w:rPr>
        <w:t>tats-Unis, et empêcherait 5 000 et 15 000 décès à la suite de maladies cardiaques, soit environ 1,5 % et 4,4 % de l’ensemble des décès liés aux maladies cardiaques aux États-Unis, chaque année.</w:t>
      </w:r>
      <w:r>
        <w:rPr>
          <w:rFonts w:ascii="Times New Roman" w:hAnsi="Times New Roman"/>
          <w:noProof/>
          <w:sz w:val="24"/>
          <w:vertAlign w:val="superscript"/>
        </w:rPr>
        <w:footnoteReference w:id="36"/>
      </w:r>
      <w:r>
        <w:rPr>
          <w:rFonts w:ascii="Times New Roman" w:hAnsi="Times New Roman"/>
          <w:noProof/>
          <w:sz w:val="24"/>
        </w:rPr>
        <w:t xml:space="preserve">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En outre, il convient de comprendre que les conséquences fi</w:t>
      </w:r>
      <w:r>
        <w:rPr>
          <w:rFonts w:ascii="Times New Roman" w:hAnsi="Times New Roman"/>
          <w:noProof/>
          <w:sz w:val="24"/>
        </w:rPr>
        <w:t>nales sur la consommation d’AGT (et sur la santé) dépendent également de certains facteurs sous-jacents, dont les suivants:</w:t>
      </w:r>
    </w:p>
    <w:p w:rsidR="00A018F1" w:rsidRDefault="00A018F1">
      <w:pPr>
        <w:spacing w:after="0"/>
        <w:jc w:val="both"/>
        <w:rPr>
          <w:rFonts w:ascii="Times New Roman" w:hAnsi="Times New Roman"/>
          <w:noProof/>
          <w:sz w:val="24"/>
        </w:rPr>
      </w:pPr>
    </w:p>
    <w:p w:rsidR="00A018F1" w:rsidRDefault="00E73400">
      <w:pPr>
        <w:numPr>
          <w:ilvl w:val="0"/>
          <w:numId w:val="18"/>
        </w:numPr>
        <w:spacing w:after="0"/>
        <w:jc w:val="both"/>
        <w:rPr>
          <w:rFonts w:ascii="Times New Roman" w:hAnsi="Times New Roman"/>
          <w:noProof/>
          <w:sz w:val="24"/>
        </w:rPr>
      </w:pPr>
      <w:r>
        <w:rPr>
          <w:rFonts w:ascii="Times New Roman" w:hAnsi="Times New Roman"/>
          <w:noProof/>
          <w:sz w:val="24"/>
        </w:rPr>
        <w:t>l’éducation de la population dans le domaine nutritionnel;</w:t>
      </w:r>
    </w:p>
    <w:p w:rsidR="00A018F1" w:rsidRDefault="00E73400">
      <w:pPr>
        <w:numPr>
          <w:ilvl w:val="0"/>
          <w:numId w:val="18"/>
        </w:numPr>
        <w:spacing w:after="0"/>
        <w:jc w:val="both"/>
        <w:rPr>
          <w:rFonts w:ascii="Times New Roman" w:hAnsi="Times New Roman"/>
          <w:noProof/>
          <w:sz w:val="24"/>
        </w:rPr>
      </w:pPr>
      <w:r>
        <w:rPr>
          <w:rFonts w:ascii="Times New Roman" w:hAnsi="Times New Roman"/>
          <w:noProof/>
          <w:sz w:val="24"/>
        </w:rPr>
        <w:t>les habitudes alimentaires des différentes catégories de la population d</w:t>
      </w:r>
      <w:r>
        <w:rPr>
          <w:rFonts w:ascii="Times New Roman" w:hAnsi="Times New Roman"/>
          <w:noProof/>
          <w:sz w:val="24"/>
        </w:rPr>
        <w:t>ans toute l’Europe (différentes traditions, différentes sensibilités en ce qui concerne les différences de prix, etc.);</w:t>
      </w:r>
    </w:p>
    <w:p w:rsidR="00A018F1" w:rsidRDefault="00E73400">
      <w:pPr>
        <w:numPr>
          <w:ilvl w:val="0"/>
          <w:numId w:val="18"/>
        </w:numPr>
        <w:spacing w:after="0"/>
        <w:jc w:val="both"/>
        <w:rPr>
          <w:rFonts w:ascii="Times New Roman" w:hAnsi="Times New Roman"/>
          <w:noProof/>
          <w:sz w:val="24"/>
        </w:rPr>
      </w:pPr>
      <w:r>
        <w:rPr>
          <w:rFonts w:ascii="Times New Roman" w:hAnsi="Times New Roman"/>
          <w:noProof/>
          <w:sz w:val="24"/>
        </w:rPr>
        <w:t>les niveaux de consommation d’AGT provenant de ruminants (produits laitiers et autres produits tirés de ruminants, qui font partie d’une</w:t>
      </w:r>
      <w:r>
        <w:rPr>
          <w:rFonts w:ascii="Times New Roman" w:hAnsi="Times New Roman"/>
          <w:noProof/>
          <w:sz w:val="24"/>
        </w:rPr>
        <w:t xml:space="preserve"> alimentation équilibrée);</w:t>
      </w:r>
    </w:p>
    <w:p w:rsidR="00A018F1" w:rsidRDefault="00E73400">
      <w:pPr>
        <w:numPr>
          <w:ilvl w:val="0"/>
          <w:numId w:val="18"/>
        </w:numPr>
        <w:spacing w:after="0"/>
        <w:jc w:val="both"/>
        <w:rPr>
          <w:rFonts w:ascii="Times New Roman" w:hAnsi="Times New Roman"/>
          <w:noProof/>
          <w:sz w:val="24"/>
        </w:rPr>
      </w:pPr>
      <w:r>
        <w:rPr>
          <w:rFonts w:ascii="Times New Roman" w:hAnsi="Times New Roman"/>
          <w:noProof/>
          <w:sz w:val="24"/>
        </w:rPr>
        <w:t xml:space="preserve">la manière dont les denrées alimentaires sont susceptibles d’être reformulées pour réduire la teneur en AGT d’origine industrielle. Il convient de prendre en considération le profil complet du produit reformulé pour garantir que </w:t>
      </w:r>
      <w:r>
        <w:rPr>
          <w:rFonts w:ascii="Times New Roman" w:hAnsi="Times New Roman"/>
          <w:noProof/>
          <w:sz w:val="24"/>
        </w:rPr>
        <w:t>ce dernier constitue une option alimentaire plus saine. En effet, certaines personnes craignent que la reformulation visant à réduire la teneur en AGT entraîne une augmentation de la teneur en acides gras saturés. S’il est préférable, du point de vue de la</w:t>
      </w:r>
      <w:r>
        <w:rPr>
          <w:rFonts w:ascii="Times New Roman" w:hAnsi="Times New Roman"/>
          <w:noProof/>
          <w:sz w:val="24"/>
        </w:rPr>
        <w:t xml:space="preserve"> santé publique, de remplacer les AGT par des matières grasses insaturées cis (conduisant à une réduction des risques de maladies cardiaques de 21 à 24 % dans le cas d’un remplacement de 2 % de l’apport énergétique journalier des AGT par des acides gras in</w:t>
      </w:r>
      <w:r>
        <w:rPr>
          <w:rFonts w:ascii="Times New Roman" w:hAnsi="Times New Roman"/>
          <w:noProof/>
          <w:sz w:val="24"/>
        </w:rPr>
        <w:t>saturés ou polyinsaturés), un remplacement par des acides gras saturés dans le pire des cas se traduit quand même par un bénéfice considérable en matière de santé publique (entraînant une réduction des risques de maladies cardiaques de 17 %; d’après une es</w:t>
      </w:r>
      <w:r>
        <w:rPr>
          <w:rFonts w:ascii="Times New Roman" w:hAnsi="Times New Roman"/>
          <w:noProof/>
          <w:sz w:val="24"/>
        </w:rPr>
        <w:t>timation des réductions des risques).</w:t>
      </w:r>
      <w:r>
        <w:rPr>
          <w:rFonts w:ascii="Times New Roman" w:hAnsi="Times New Roman"/>
          <w:noProof/>
          <w:sz w:val="24"/>
          <w:vertAlign w:val="superscript"/>
        </w:rPr>
        <w:t>5</w:t>
      </w:r>
      <w:r>
        <w:rPr>
          <w:rFonts w:ascii="Times New Roman" w:hAnsi="Times New Roman"/>
          <w:noProof/>
          <w:sz w:val="24"/>
        </w:rPr>
        <w:t xml:space="preserve"> Plusieurs études s’appuyant sur les résultats de pays de l’UE tirent les conclusions suivantes: malgré le remplacement effectif dans certains produits des AGT par des acides gras saturés, la teneur en acides gras satu</w:t>
      </w:r>
      <w:r>
        <w:rPr>
          <w:rFonts w:ascii="Times New Roman" w:hAnsi="Times New Roman"/>
          <w:noProof/>
          <w:sz w:val="24"/>
        </w:rPr>
        <w:t>rés a très peu changé dans la majorité des cas; la somme des teneurs en AGT et en acides gras saturés a diminué dans la plupart des cas; la teneur en matières grasses insaturées cis dans les produits reformulés a augmenté et ces derniers présentent dans l’</w:t>
      </w:r>
      <w:r>
        <w:rPr>
          <w:rFonts w:ascii="Times New Roman" w:hAnsi="Times New Roman"/>
          <w:noProof/>
          <w:sz w:val="24"/>
        </w:rPr>
        <w:t>ensemble un profil plus sain</w:t>
      </w:r>
      <w:r>
        <w:rPr>
          <w:rFonts w:ascii="Times New Roman" w:hAnsi="Times New Roman"/>
          <w:noProof/>
          <w:sz w:val="24"/>
          <w:vertAlign w:val="superscript"/>
        </w:rPr>
        <w:footnoteReference w:id="37"/>
      </w:r>
      <w:r>
        <w:rPr>
          <w:rFonts w:ascii="Times New Roman" w:hAnsi="Times New Roman"/>
          <w:noProof/>
          <w:sz w:val="24"/>
        </w:rPr>
        <w:t>.</w:t>
      </w:r>
    </w:p>
    <w:p w:rsidR="00A018F1" w:rsidRDefault="00A018F1">
      <w:pPr>
        <w:spacing w:after="0"/>
        <w:jc w:val="both"/>
        <w:rPr>
          <w:rFonts w:ascii="Times New Roman" w:hAnsi="Times New Roman"/>
          <w:b/>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À la lumière de ce qui précède, la synthèse suivante offre une première analyse de l’efficacité des principales mesures envisageables à l’échelle de l’UE.</w:t>
      </w:r>
    </w:p>
    <w:p w:rsidR="00A018F1" w:rsidRDefault="00A018F1">
      <w:pPr>
        <w:spacing w:after="0"/>
        <w:jc w:val="both"/>
        <w:rPr>
          <w:rFonts w:ascii="Times New Roman" w:hAnsi="Times New Roman"/>
          <w:noProof/>
          <w:sz w:val="24"/>
        </w:rPr>
      </w:pPr>
    </w:p>
    <w:p w:rsidR="00A018F1" w:rsidRDefault="00E73400">
      <w:pPr>
        <w:pStyle w:val="Heading1"/>
        <w:numPr>
          <w:ilvl w:val="1"/>
          <w:numId w:val="6"/>
        </w:numPr>
        <w:rPr>
          <w:noProof/>
        </w:rPr>
      </w:pPr>
      <w:bookmarkStart w:id="26" w:name="_Toc436664861"/>
      <w:r>
        <w:rPr>
          <w:noProof/>
        </w:rPr>
        <w:t>Déclaration obligatoire concernant la teneur en AGT</w:t>
      </w:r>
      <w:bookmarkEnd w:id="26"/>
    </w:p>
    <w:p w:rsidR="00A018F1" w:rsidRDefault="00A018F1">
      <w:pPr>
        <w:spacing w:after="0"/>
        <w:jc w:val="both"/>
        <w:rPr>
          <w:rFonts w:ascii="Times New Roman" w:hAnsi="Times New Roman"/>
          <w:b/>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Un étiquetage o</w:t>
      </w:r>
      <w:r>
        <w:rPr>
          <w:rFonts w:ascii="Times New Roman" w:hAnsi="Times New Roman"/>
          <w:noProof/>
          <w:sz w:val="24"/>
        </w:rPr>
        <w:t xml:space="preserve">bligatoire relatif aux AGT permettrait: d’une part, d’inciter les acteurs du secteur industriel à réduire la teneur en AGT des produits alimentaires et, d’autre part, de permettre aux consommateurs de faire des choix alimentaires en connaissance de cause. </w:t>
      </w:r>
      <w:r>
        <w:rPr>
          <w:rFonts w:ascii="Times New Roman" w:hAnsi="Times New Roman"/>
          <w:noProof/>
          <w:sz w:val="24"/>
        </w:rPr>
        <w:t>Si la sensibilisation des consommateurs est faible, les effets attendus de l’étiquetage obligatoire relatif aux AGT risquent d’être limités. Il est également possible que les fabricants ressentent peu de pression quant à la nécessité de reformuler leurs pr</w:t>
      </w:r>
      <w:r>
        <w:rPr>
          <w:rFonts w:ascii="Times New Roman" w:hAnsi="Times New Roman"/>
          <w:noProof/>
          <w:sz w:val="24"/>
        </w:rPr>
        <w:t>oduits. En outre, il a été montré que les consommateurs comprenaient difficilement l’étiquetage relatif aux AGT, et l’étiquetage obligatoire relatif aux AGT risquerait donc d’augmenter la complexité d’un processus décisionnel qui tient compte notamment d’u</w:t>
      </w:r>
      <w:r>
        <w:rPr>
          <w:rFonts w:ascii="Times New Roman" w:hAnsi="Times New Roman"/>
          <w:noProof/>
          <w:sz w:val="24"/>
        </w:rPr>
        <w:t>n certain nombre d’éléments nutritionnels. Cela pourrait entraver la capacité des consommateurs à opérer le meilleur choix alimentaire</w:t>
      </w:r>
      <w:r>
        <w:rPr>
          <w:rFonts w:ascii="Times New Roman" w:hAnsi="Times New Roman"/>
          <w:noProof/>
          <w:sz w:val="24"/>
          <w:vertAlign w:val="superscript"/>
        </w:rPr>
        <w:t>24</w:t>
      </w:r>
      <w:r>
        <w:rPr>
          <w:rFonts w:ascii="Times New Roman" w:hAnsi="Times New Roman"/>
          <w:noProof/>
          <w:sz w:val="24"/>
        </w:rPr>
        <w:t xml:space="preserve">.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Par ailleurs, l’étiquetage obligatoire relatif aux AGT ne s’appliquerait probablement pas aux denrées alimentaires </w:t>
      </w:r>
      <w:r>
        <w:rPr>
          <w:rFonts w:ascii="Times New Roman" w:hAnsi="Times New Roman"/>
          <w:noProof/>
          <w:sz w:val="24"/>
        </w:rPr>
        <w:t xml:space="preserve">non préemballées, vendues en vrac et consommées en dehors du domicile, susceptibles de contenir des teneurs élevées en AGT d’origine industrielle et ainsi de contribuer (en fonction des habitudes alimentaires) de façon importante à la consommation globale </w:t>
      </w:r>
      <w:r>
        <w:rPr>
          <w:rFonts w:ascii="Times New Roman" w:hAnsi="Times New Roman"/>
          <w:noProof/>
          <w:sz w:val="24"/>
        </w:rPr>
        <w:t>d’AGT.</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L’étiquetage relatif aux AGT n’indiquerait probablement pas l’origine des AGT (industrielle ou provenant de ruminants), compte tenu de l’évaluation effectuée par </w:t>
      </w:r>
      <w:r>
        <w:rPr>
          <w:rStyle w:val="A7"/>
          <w:rFonts w:ascii="Times New Roman" w:hAnsi="Times New Roman"/>
          <w:noProof/>
          <w:color w:val="auto"/>
          <w:sz w:val="24"/>
        </w:rPr>
        <w:t>l’</w:t>
      </w:r>
      <w:r>
        <w:rPr>
          <w:rFonts w:ascii="Times New Roman" w:hAnsi="Times New Roman"/>
          <w:noProof/>
          <w:sz w:val="24"/>
        </w:rPr>
        <w:t xml:space="preserve">Autorité européenne de sécurité des aliments concluant qu’il n’existe pas suffisamment d’éléments probants permettant de déterminer </w:t>
      </w:r>
      <w:r>
        <w:rPr>
          <w:rStyle w:val="A7"/>
          <w:rFonts w:ascii="Times New Roman" w:hAnsi="Times New Roman"/>
          <w:noProof/>
          <w:color w:val="auto"/>
          <w:sz w:val="24"/>
        </w:rPr>
        <w:t>si les</w:t>
      </w:r>
      <w:r>
        <w:rPr>
          <w:rStyle w:val="A7"/>
          <w:rFonts w:ascii="Times New Roman" w:hAnsi="Times New Roman"/>
          <w:noProof/>
          <w:sz w:val="24"/>
        </w:rPr>
        <w:t xml:space="preserve"> AGT d’origine industrielle ou ceux provenant de ruminants ont une incidence différente sur les risques de maladies ca</w:t>
      </w:r>
      <w:r>
        <w:rPr>
          <w:rStyle w:val="A7"/>
          <w:rFonts w:ascii="Times New Roman" w:hAnsi="Times New Roman"/>
          <w:noProof/>
          <w:sz w:val="24"/>
        </w:rPr>
        <w:t>rdiaques, lorsqu’ils sont consommés dans les mêmes quantités</w:t>
      </w:r>
      <w:r>
        <w:rPr>
          <w:rStyle w:val="FootnoteReference"/>
          <w:rFonts w:ascii="Times New Roman" w:hAnsi="Times New Roman"/>
          <w:noProof/>
          <w:color w:val="19161A"/>
          <w:sz w:val="24"/>
        </w:rPr>
        <w:footnoteReference w:id="38"/>
      </w:r>
      <w:r>
        <w:rPr>
          <w:noProof/>
        </w:rPr>
        <w:t>.</w:t>
      </w:r>
      <w:r>
        <w:rPr>
          <w:rStyle w:val="A7"/>
          <w:rFonts w:ascii="Times New Roman" w:hAnsi="Times New Roman"/>
          <w:noProof/>
          <w:sz w:val="24"/>
        </w:rPr>
        <w:t xml:space="preserve"> Toutefois, avant qu’une décision finale ne soit prise à ce sujet, l’Autorité européenne de sécurité des aliments devrait être invitée à réexaminer son avis et à le mettre à jour, s’il y a lieu,</w:t>
      </w:r>
      <w:r>
        <w:rPr>
          <w:rStyle w:val="A7"/>
          <w:rFonts w:ascii="Times New Roman" w:hAnsi="Times New Roman"/>
          <w:noProof/>
          <w:sz w:val="24"/>
        </w:rPr>
        <w:t xml:space="preserve"> afin de prendre en considération les données scientifiques les plus récentes.</w:t>
      </w:r>
      <w:r>
        <w:rPr>
          <w:rFonts w:ascii="Times New Roman" w:hAnsi="Times New Roman"/>
          <w:noProof/>
          <w:sz w:val="24"/>
        </w:rPr>
        <w:t xml:space="preserve"> En fonction de la manière dont l’étiquetage relatif aux AGT pourrait être conçu sur la base de l’avis reçu, cette mesure pourrait également influer sur la consommation de produi</w:t>
      </w:r>
      <w:r>
        <w:rPr>
          <w:rFonts w:ascii="Times New Roman" w:hAnsi="Times New Roman"/>
          <w:noProof/>
          <w:sz w:val="24"/>
        </w:rPr>
        <w:t xml:space="preserve">ts laitiers et d’autres produits tirés de ruminants.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Il convient également de noter que l’étiquetage permettrait de commercialiser des produits à teneurs différentes en AGT sur le même marché. Pour opérer un choix, le consommateur tiendrait compte non se</w:t>
      </w:r>
      <w:r>
        <w:rPr>
          <w:rFonts w:ascii="Times New Roman" w:hAnsi="Times New Roman"/>
          <w:noProof/>
          <w:sz w:val="24"/>
        </w:rPr>
        <w:t>ulement des informations mentionnées sur l’étiquette, mais aussi des éventuelles différences de prix entre les produits reformulés et les produits de substitution moins chers. Les personnes à faibles revenus seraient plus susceptibles de consommer des prod</w:t>
      </w:r>
      <w:r>
        <w:rPr>
          <w:rFonts w:ascii="Times New Roman" w:hAnsi="Times New Roman"/>
          <w:noProof/>
          <w:sz w:val="24"/>
        </w:rPr>
        <w:t>uits meilleur marché (à forte teneur en AGT); cette solution pourrait accentuer les inégalités en matière de santé (mais les effets sur la santé des personnes les plus vulnérables resteraient identiques à ceux existant à l’heure actuelle, c’est-à-dire sans</w:t>
      </w:r>
      <w:r>
        <w:rPr>
          <w:rFonts w:ascii="Times New Roman" w:hAnsi="Times New Roman"/>
          <w:noProof/>
          <w:sz w:val="24"/>
        </w:rPr>
        <w:t xml:space="preserve"> l’adoption de nouvelles mesures).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Enfin, au cas où les États membres continueraient à pouvoir et vouloir fixer des limites légales nationales, le risque d’une fragmentation accrue du marché unique persisterait. </w:t>
      </w:r>
    </w:p>
    <w:p w:rsidR="00A018F1" w:rsidRDefault="00A018F1">
      <w:pPr>
        <w:spacing w:after="0"/>
        <w:jc w:val="both"/>
        <w:rPr>
          <w:rFonts w:ascii="Times New Roman" w:hAnsi="Times New Roman"/>
          <w:noProof/>
          <w:sz w:val="24"/>
        </w:rPr>
      </w:pPr>
    </w:p>
    <w:p w:rsidR="00A018F1" w:rsidRDefault="00E73400">
      <w:pPr>
        <w:pStyle w:val="Heading1"/>
        <w:numPr>
          <w:ilvl w:val="1"/>
          <w:numId w:val="6"/>
        </w:numPr>
        <w:rPr>
          <w:noProof/>
        </w:rPr>
      </w:pPr>
      <w:bookmarkStart w:id="27" w:name="_Toc436664862"/>
      <w:r>
        <w:rPr>
          <w:noProof/>
        </w:rPr>
        <w:t>Limite légale à l’échelle de l’UE relati</w:t>
      </w:r>
      <w:r>
        <w:rPr>
          <w:noProof/>
        </w:rPr>
        <w:t>ve à la teneur en AGT d’origine industrielle dans les denrées alimentaires</w:t>
      </w:r>
      <w:bookmarkEnd w:id="27"/>
      <w:r>
        <w:rPr>
          <w:noProof/>
        </w:rPr>
        <w:t xml:space="preserve">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La fixation d’une limite légale devrait permettre de parvenir aux diminutions les plus importantes de la consommation d’AGT d’origine industrielle grâce à une élimination progress</w:t>
      </w:r>
      <w:r>
        <w:rPr>
          <w:rFonts w:ascii="Times New Roman" w:hAnsi="Times New Roman"/>
          <w:noProof/>
          <w:sz w:val="24"/>
        </w:rPr>
        <w:t>ive et quasi complète du marché des produits à forte teneur en AGT d’origine industrielle, puisqu’elle s’appliquerait à tous les produits, aussi bien préemballés que ceux non emballés. En principe, les AGT provenant de ruminants ne peuvent pas être couvert</w:t>
      </w:r>
      <w:r>
        <w:rPr>
          <w:rFonts w:ascii="Times New Roman" w:hAnsi="Times New Roman"/>
          <w:noProof/>
          <w:sz w:val="24"/>
        </w:rPr>
        <w:t>s par cette mesure car ces AGT sont créés naturellement en quantités relativement constantes dans les graisses de ruminants et leur présence dans les produits tirés de ruminants est inévitable, ces derniers contribuant à l’apport de nutriments essentiels a</w:t>
      </w:r>
      <w:r>
        <w:rPr>
          <w:rFonts w:ascii="Times New Roman" w:hAnsi="Times New Roman"/>
          <w:noProof/>
          <w:sz w:val="24"/>
        </w:rPr>
        <w:t>u régime alimentaire de l’UE. Combinée à des habitudes alimentaires adéquates, cette mesure pourrait ainsi constituer le moyen le plus efficace de se conformer à la recommandation de l’Autorité européenne de sécurité des aliments préconisant une consommati</w:t>
      </w:r>
      <w:r>
        <w:rPr>
          <w:rFonts w:ascii="Times New Roman" w:hAnsi="Times New Roman"/>
          <w:noProof/>
          <w:sz w:val="24"/>
        </w:rPr>
        <w:t xml:space="preserve">on d’AGT «aussi faible que possible dans le cadre d’un régime alimentaire approprié sur le plan nutritionnel», comme en témoigne la consommation moyenne d’AGT d’origine industrielle de la population danoise comprise entre 0,01 g et 0,03 g par jour.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Les c</w:t>
      </w:r>
      <w:r>
        <w:rPr>
          <w:rFonts w:ascii="Times New Roman" w:hAnsi="Times New Roman"/>
          <w:noProof/>
          <w:sz w:val="24"/>
        </w:rPr>
        <w:t xml:space="preserve">onsommateurs se verraient systématiquement proposés des options alimentaires plus saines sans devoir rechercher les produits ayant des teneurs en AGT les plus faibles. Cette mesure permettrait d’obtenir les bénéfices éventuels en matière de santé publique </w:t>
      </w:r>
      <w:r>
        <w:rPr>
          <w:rFonts w:ascii="Times New Roman" w:hAnsi="Times New Roman"/>
          <w:noProof/>
          <w:sz w:val="24"/>
        </w:rPr>
        <w:t>les plus importants, étant donné qu’elle s’appliquerait à l’ensemble des produits et que toutes les catégories de la population pourraient tirer avantage des réductions des teneurs en AGT, y compris les catégories les plus vulnérables.</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En fixant une limit</w:t>
      </w:r>
      <w:r>
        <w:rPr>
          <w:rFonts w:ascii="Times New Roman" w:hAnsi="Times New Roman"/>
          <w:noProof/>
          <w:sz w:val="24"/>
        </w:rPr>
        <w:t xml:space="preserve">e légale harmonisée à l’échelle de l’UE, cette mesure permettrait aussi de réduire au minimum, voire de supprimer, le risque d’adoption de règles nationales qui contribueraient à une fragmentation supplémentaire du marché unique.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L’approche adoptée dans </w:t>
      </w:r>
      <w:r>
        <w:rPr>
          <w:rFonts w:ascii="Times New Roman" w:hAnsi="Times New Roman"/>
          <w:noProof/>
          <w:sz w:val="24"/>
        </w:rPr>
        <w:t>le cadre de la décision prise par les États-Unis concernant la sécurité des huiles partiellement hydrogénées n’est pas a priori incompatible avec la fixation d’une limite légale relative à la teneur en AGT à l’échelle de l’UE, étant donné que l’objectif po</w:t>
      </w:r>
      <w:r>
        <w:rPr>
          <w:rFonts w:ascii="Times New Roman" w:hAnsi="Times New Roman"/>
          <w:noProof/>
          <w:sz w:val="24"/>
        </w:rPr>
        <w:t>ursuivi est similaire et qu’elle s’inscrit dans un cadre réglementaire différent. Lors du processus de définition d’une limite légale pour l’UE, toute divergence éventuelle avec les normes en vigueur aux États-Unis devrait également être traitée afin d’évi</w:t>
      </w:r>
      <w:r>
        <w:rPr>
          <w:rFonts w:ascii="Times New Roman" w:hAnsi="Times New Roman"/>
          <w:noProof/>
          <w:sz w:val="24"/>
        </w:rPr>
        <w:t xml:space="preserve">ter l’apparition d’obstacles réglementaires inutiles dans le cadre des échanges bilatéraux.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Il convient toutefois de noter que l’évaluation complète de l’efficacité d’une telle mesure devrait également tenir compte de sa proportionnalité globale, compte </w:t>
      </w:r>
      <w:r>
        <w:rPr>
          <w:rFonts w:ascii="Times New Roman" w:hAnsi="Times New Roman"/>
          <w:noProof/>
          <w:sz w:val="24"/>
        </w:rPr>
        <w:t xml:space="preserve">tenu des éléments de preuve existants relatifs à l’ampleur (et à l’évolution) du problème posé par les AGT. Les coûts éventuels engendrés par une telle mesure à l’égard des consommateurs, des producteurs et des fournisseurs des différents types de denrées </w:t>
      </w:r>
      <w:r>
        <w:rPr>
          <w:rFonts w:ascii="Times New Roman" w:hAnsi="Times New Roman"/>
          <w:noProof/>
          <w:sz w:val="24"/>
        </w:rPr>
        <w:t>alimentaires devraient aussi être pris en considération. Bien qu’il existe une grande variété de produits de substitution aux huiles partiellement hydrogénées, il conviendrait également d’examiner soigneusement les effets imprévus éventuels liés à la fonct</w:t>
      </w:r>
      <w:r>
        <w:rPr>
          <w:rFonts w:ascii="Times New Roman" w:hAnsi="Times New Roman"/>
          <w:noProof/>
          <w:sz w:val="24"/>
        </w:rPr>
        <w:t xml:space="preserve">ion technologique des AGT dans différents types de denrées alimentaires. Enfin, les méthodes disponibles visant à contrôler et à faire appliquer une limite pour certains produits devraient également être dûment prises en considération, notamment en ce qui </w:t>
      </w:r>
      <w:r>
        <w:rPr>
          <w:rFonts w:ascii="Times New Roman" w:hAnsi="Times New Roman"/>
          <w:noProof/>
          <w:sz w:val="24"/>
        </w:rPr>
        <w:t xml:space="preserve">concerne l’analyse des AGT d’origine industrielle et des AGT provenant de ruminants dans un produit donné.   </w:t>
      </w:r>
    </w:p>
    <w:p w:rsidR="00A018F1" w:rsidRDefault="00A018F1">
      <w:pPr>
        <w:spacing w:after="0"/>
        <w:jc w:val="both"/>
        <w:rPr>
          <w:rFonts w:ascii="Times New Roman" w:hAnsi="Times New Roman"/>
          <w:noProof/>
          <w:sz w:val="24"/>
        </w:rPr>
      </w:pPr>
    </w:p>
    <w:p w:rsidR="00A018F1" w:rsidRDefault="00A018F1">
      <w:pPr>
        <w:spacing w:after="0"/>
        <w:jc w:val="both"/>
        <w:rPr>
          <w:rFonts w:ascii="Times New Roman" w:hAnsi="Times New Roman"/>
          <w:noProof/>
          <w:sz w:val="24"/>
          <w:u w:val="single"/>
        </w:rPr>
      </w:pPr>
    </w:p>
    <w:p w:rsidR="00A018F1" w:rsidRDefault="00E73400">
      <w:pPr>
        <w:pStyle w:val="Heading1"/>
        <w:numPr>
          <w:ilvl w:val="1"/>
          <w:numId w:val="6"/>
        </w:numPr>
        <w:rPr>
          <w:noProof/>
        </w:rPr>
      </w:pPr>
      <w:bookmarkStart w:id="28" w:name="_Toc436664863"/>
      <w:r>
        <w:rPr>
          <w:noProof/>
        </w:rPr>
        <w:t>Accords volontaires visant à réduire la teneur en AGT dans les denrées alimentaires et les régimes alimentaires à l’échelle de l’UE</w:t>
      </w:r>
      <w:bookmarkEnd w:id="28"/>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Il existe p</w:t>
      </w:r>
      <w:r>
        <w:rPr>
          <w:rFonts w:ascii="Times New Roman" w:hAnsi="Times New Roman"/>
          <w:noProof/>
          <w:sz w:val="24"/>
        </w:rPr>
        <w:t>lusieurs exemples de reformulation volontaire efficace par des exploitants du secteur alimentaire, réalisée parfois dans le cadre d’un partenariat public-privé. Le cas des Pays-Bas est régulièrement cité comme un exemple de réussite en matière de réduction</w:t>
      </w:r>
      <w:r>
        <w:rPr>
          <w:rFonts w:ascii="Times New Roman" w:hAnsi="Times New Roman"/>
          <w:noProof/>
          <w:sz w:val="24"/>
        </w:rPr>
        <w:t xml:space="preserve"> volontaire et autoréglementée des teneurs en AGT par les exploitants du secteur alimentaire.</w:t>
      </w:r>
      <w:r>
        <w:rPr>
          <w:rFonts w:ascii="Times New Roman" w:hAnsi="Times New Roman"/>
          <w:noProof/>
          <w:sz w:val="24"/>
          <w:vertAlign w:val="superscript"/>
        </w:rPr>
        <w:t>13</w:t>
      </w:r>
      <w:r>
        <w:rPr>
          <w:rFonts w:ascii="Times New Roman" w:hAnsi="Times New Roman"/>
          <w:noProof/>
          <w:sz w:val="24"/>
        </w:rPr>
        <w:t xml:space="preserve"> Le succès de cette mesure semble dépendre du pays et du degré de participation du public, ainsi que de la responsabilité sociale collective des exploitants du s</w:t>
      </w:r>
      <w:r>
        <w:rPr>
          <w:rFonts w:ascii="Times New Roman" w:hAnsi="Times New Roman"/>
          <w:noProof/>
          <w:sz w:val="24"/>
        </w:rPr>
        <w:t>ecteur alimentaire.</w:t>
      </w:r>
      <w:r>
        <w:rPr>
          <w:rFonts w:ascii="Times New Roman" w:hAnsi="Times New Roman"/>
          <w:noProof/>
          <w:sz w:val="24"/>
          <w:vertAlign w:val="superscript"/>
        </w:rPr>
        <w:t>2,20</w:t>
      </w:r>
      <w:r>
        <w:rPr>
          <w:rFonts w:ascii="Times New Roman" w:hAnsi="Times New Roman"/>
          <w:noProof/>
          <w:sz w:val="24"/>
        </w:rPr>
        <w:t xml:space="preserve"> Toutefois, les exploitants du secteur alimentaire peuvent éprouver des réticences à se conformer aux politiques nationales de réduction des teneurs en AGT, en raison de la concurrence qu’ils peuvent rencontrer dans d’autres parties </w:t>
      </w:r>
      <w:r>
        <w:rPr>
          <w:rFonts w:ascii="Times New Roman" w:hAnsi="Times New Roman"/>
          <w:noProof/>
          <w:sz w:val="24"/>
        </w:rPr>
        <w:t xml:space="preserve">du marché de l’UE face à des exploitants qui proposent des produits à forte teneur en AGT à un prix légèrement inférieur.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D’un point de vue plus général, les conséquences seraient semblables à celles qui résulteraient de l’adoption d’une limite obligatoi</w:t>
      </w:r>
      <w:r>
        <w:rPr>
          <w:rFonts w:ascii="Times New Roman" w:hAnsi="Times New Roman"/>
          <w:noProof/>
          <w:sz w:val="24"/>
        </w:rPr>
        <w:t xml:space="preserve">re mais leur ampleur (en ce qui concerne tous les types d’avantages et de coûts) dépendrait clairement de l’étendue de la participation du secteur industriel et de la couverture des produits alimentaires sur le marché. </w:t>
      </w:r>
    </w:p>
    <w:p w:rsidR="00A018F1" w:rsidRDefault="00A018F1">
      <w:pPr>
        <w:spacing w:after="0"/>
        <w:jc w:val="both"/>
        <w:rPr>
          <w:rFonts w:ascii="Times New Roman" w:hAnsi="Times New Roman"/>
          <w:noProof/>
          <w:sz w:val="24"/>
          <w:u w:val="single"/>
        </w:rPr>
      </w:pPr>
    </w:p>
    <w:p w:rsidR="00A018F1" w:rsidRDefault="00E73400">
      <w:pPr>
        <w:pStyle w:val="Heading1"/>
        <w:numPr>
          <w:ilvl w:val="1"/>
          <w:numId w:val="6"/>
        </w:numPr>
        <w:rPr>
          <w:noProof/>
        </w:rPr>
      </w:pPr>
      <w:bookmarkStart w:id="29" w:name="_Toc436664864"/>
      <w:r>
        <w:rPr>
          <w:noProof/>
        </w:rPr>
        <w:t xml:space="preserve">Élaboration d’orientations de l’UE </w:t>
      </w:r>
      <w:r>
        <w:rPr>
          <w:noProof/>
        </w:rPr>
        <w:t>concernant des limites légales nationales relatives à la teneur en AGT dans les denrées alimentaires</w:t>
      </w:r>
      <w:bookmarkEnd w:id="29"/>
      <w:r>
        <w:rPr>
          <w:noProof/>
        </w:rPr>
        <w:t xml:space="preserve">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 xml:space="preserve">Il est probable que les conséquences soient similaires à celles existant à l’heure actuelle (à savoir en l’absence de mesure supplémentaire à l’échelle </w:t>
      </w:r>
      <w:r>
        <w:rPr>
          <w:rFonts w:ascii="Times New Roman" w:hAnsi="Times New Roman"/>
          <w:noProof/>
          <w:sz w:val="24"/>
        </w:rPr>
        <w:t>de l’UE), sauf en ce qui concerne le risque d’un marché intérieur toujours plus fragmenté, qui pourrait dans ce cas de figure être atténué.</w:t>
      </w:r>
    </w:p>
    <w:p w:rsidR="00A018F1" w:rsidRDefault="00A018F1">
      <w:pPr>
        <w:spacing w:after="0"/>
        <w:jc w:val="both"/>
        <w:rPr>
          <w:rFonts w:ascii="Times New Roman" w:hAnsi="Times New Roman"/>
          <w:noProof/>
          <w:sz w:val="24"/>
        </w:rPr>
      </w:pPr>
    </w:p>
    <w:p w:rsidR="00A018F1" w:rsidRDefault="00A018F1">
      <w:pPr>
        <w:spacing w:after="0"/>
        <w:jc w:val="both"/>
        <w:rPr>
          <w:rFonts w:ascii="Times New Roman" w:hAnsi="Times New Roman"/>
          <w:noProof/>
          <w:sz w:val="24"/>
        </w:rPr>
      </w:pPr>
    </w:p>
    <w:p w:rsidR="00A018F1" w:rsidRDefault="00E73400">
      <w:pPr>
        <w:pStyle w:val="Heading1"/>
        <w:numPr>
          <w:ilvl w:val="0"/>
          <w:numId w:val="6"/>
        </w:numPr>
        <w:spacing w:after="240" w:line="240" w:lineRule="auto"/>
        <w:rPr>
          <w:noProof/>
        </w:rPr>
      </w:pPr>
      <w:bookmarkStart w:id="30" w:name="_Toc436664865"/>
      <w:r>
        <w:rPr>
          <w:noProof/>
        </w:rPr>
        <w:t>CONCLUSIONS</w:t>
      </w:r>
      <w:bookmarkEnd w:id="30"/>
    </w:p>
    <w:p w:rsidR="00A018F1" w:rsidRDefault="00E73400">
      <w:pPr>
        <w:spacing w:after="0"/>
        <w:jc w:val="both"/>
        <w:rPr>
          <w:rFonts w:ascii="Times New Roman" w:hAnsi="Times New Roman"/>
          <w:noProof/>
          <w:sz w:val="24"/>
        </w:rPr>
      </w:pPr>
      <w:r>
        <w:rPr>
          <w:rFonts w:ascii="Times New Roman" w:hAnsi="Times New Roman"/>
          <w:noProof/>
          <w:sz w:val="24"/>
        </w:rPr>
        <w:t>Les maladies cardiaques constituent la principale cause de décès dans l’Union et une consommation élev</w:t>
      </w:r>
      <w:r>
        <w:rPr>
          <w:rFonts w:ascii="Times New Roman" w:hAnsi="Times New Roman"/>
          <w:noProof/>
          <w:sz w:val="24"/>
        </w:rPr>
        <w:t xml:space="preserve">ée d’AGT augmente considérablement le risque de ce type de maladies plus que tout autre nutriment, sur la base du nombre de calories. Bien que la consommation moyenne dans l’UE se situe, d’après les données disponibles, en dessous des teneurs recommandées </w:t>
      </w:r>
      <w:r>
        <w:rPr>
          <w:rFonts w:ascii="Times New Roman" w:hAnsi="Times New Roman"/>
          <w:noProof/>
          <w:sz w:val="24"/>
        </w:rPr>
        <w:t xml:space="preserve">aux niveaux national et international, une consommation plus élevée a été constatée pour certaines catégories de la population. Des produits alimentaires à forte teneur en AGT d’origine industrielle sont disponibles sur le marché et des progrès en matière </w:t>
      </w:r>
      <w:r>
        <w:rPr>
          <w:rFonts w:ascii="Times New Roman" w:hAnsi="Times New Roman"/>
          <w:noProof/>
          <w:sz w:val="24"/>
        </w:rPr>
        <w:t>de santé publique peuvent être réalisés en réduisant la consommation de ces substances. Par ailleurs, quatre États membres ont déjà mis en place des limites légales nationales et plusieurs autres ont indiqué leur préférence pour une décision prise à l’éche</w:t>
      </w:r>
      <w:r>
        <w:rPr>
          <w:rFonts w:ascii="Times New Roman" w:hAnsi="Times New Roman"/>
          <w:noProof/>
          <w:sz w:val="24"/>
        </w:rPr>
        <w:t>lle de l’UE, tout en soulignant leur volonté d’adopter des mesures nationales relatives aux AGT visant à protéger la population en l’absence d’une décision à l’échelle de l’UE. Une fragmentation supplémentaire du marché pourrait en résulter. En l’absence d</w:t>
      </w:r>
      <w:r>
        <w:rPr>
          <w:rFonts w:ascii="Times New Roman" w:hAnsi="Times New Roman"/>
          <w:noProof/>
          <w:sz w:val="24"/>
        </w:rPr>
        <w:t xml:space="preserve">e mesures prises à l’échelle de l’UE, des difficultés pourraient également survenir pour les producteurs de l’UE intéressés par l’accès au marché des États-Unis.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Dans le cadre du présent rapport, une première analyse de l’efficacité potentielle de mesure</w:t>
      </w:r>
      <w:r>
        <w:rPr>
          <w:rFonts w:ascii="Times New Roman" w:hAnsi="Times New Roman"/>
          <w:noProof/>
          <w:sz w:val="24"/>
        </w:rPr>
        <w:t>s susceptibles d’être adoptées à l’échelle de l’UE a été effectuée; chacune de ces mesures présente des avantages éventuels en matière de santé, mais peut aussi engendrer diverses charges pour les producteurs. Pour ce qui est de l’étiquetage, il semblerait</w:t>
      </w:r>
      <w:r>
        <w:rPr>
          <w:rFonts w:ascii="Times New Roman" w:hAnsi="Times New Roman"/>
          <w:noProof/>
          <w:sz w:val="24"/>
        </w:rPr>
        <w:t xml:space="preserve"> que son efficacité dépende de trois facteurs essentiels: la contribution à la consommation moyenne d’AGT des produits pour lesquels une étiquette serait nécessaire, la capacité des consommateurs à utiliser correctement les informations mentionnées sur l’é</w:t>
      </w:r>
      <w:r>
        <w:rPr>
          <w:rFonts w:ascii="Times New Roman" w:hAnsi="Times New Roman"/>
          <w:noProof/>
          <w:sz w:val="24"/>
        </w:rPr>
        <w:t>tiquette et leur propension à payer plus cher pour une alimentation plus saine. Une évaluation préliminaire de ces facteurs fait apparaître des inconvénients majeurs. L’évaluation suggère également qu’une limite légale relative à la teneur en AGT d’origine</w:t>
      </w:r>
      <w:r>
        <w:rPr>
          <w:rFonts w:ascii="Times New Roman" w:hAnsi="Times New Roman"/>
          <w:noProof/>
          <w:sz w:val="24"/>
        </w:rPr>
        <w:t xml:space="preserve"> industrielle serait la mesure la plus efficace en matière de santé publique, de protection des consommateurs et de compatibilité avec le marché intérieur. Son application pratique devrait faire l’objet d’un examen plus approfondi. Lors de la définition d’</w:t>
      </w:r>
      <w:r>
        <w:rPr>
          <w:rFonts w:ascii="Times New Roman" w:hAnsi="Times New Roman"/>
          <w:noProof/>
          <w:sz w:val="24"/>
        </w:rPr>
        <w:t xml:space="preserve">une telle limite, il conviendrait également de prendre en considération les risques de conséquences imprévues et les incidences sur les producteurs et produits spécifiques afin de tenter de les réduire au minimum. </w:t>
      </w:r>
    </w:p>
    <w:p w:rsidR="00A018F1" w:rsidRDefault="00A018F1">
      <w:pPr>
        <w:spacing w:after="0"/>
        <w:jc w:val="both"/>
        <w:rPr>
          <w:rFonts w:ascii="Times New Roman" w:hAnsi="Times New Roman"/>
          <w:noProof/>
          <w:sz w:val="24"/>
        </w:rPr>
      </w:pPr>
    </w:p>
    <w:p w:rsidR="00A018F1" w:rsidRDefault="00E73400">
      <w:pPr>
        <w:spacing w:after="0"/>
        <w:jc w:val="both"/>
        <w:rPr>
          <w:rFonts w:ascii="Times New Roman" w:hAnsi="Times New Roman"/>
          <w:noProof/>
          <w:sz w:val="24"/>
        </w:rPr>
      </w:pPr>
      <w:r>
        <w:rPr>
          <w:rFonts w:ascii="Times New Roman" w:hAnsi="Times New Roman"/>
          <w:noProof/>
          <w:sz w:val="24"/>
        </w:rPr>
        <w:t>Il ressort de l’ensemble des points susm</w:t>
      </w:r>
      <w:r>
        <w:rPr>
          <w:rFonts w:ascii="Times New Roman" w:hAnsi="Times New Roman"/>
          <w:noProof/>
          <w:sz w:val="24"/>
        </w:rPr>
        <w:t>entionnés le besoin évident de poursuivre et d’accélérer les travaux dans ce domaine en recueillant davantage d’informations et en analysant de façon plus complète l’ampleur du problème à traiter ainsi que les différentes solutions possibles, en particulie</w:t>
      </w:r>
      <w:r>
        <w:rPr>
          <w:rFonts w:ascii="Times New Roman" w:hAnsi="Times New Roman"/>
          <w:noProof/>
          <w:sz w:val="24"/>
        </w:rPr>
        <w:t>r l’option de limites légales pour les AGT d’origine industrielle. En conséquence, conformément à ses principes de meilleure réglementation, la Commission a l’intention de lancer rapidement une consultation publique et de procéder à une analyse d’impact co</w:t>
      </w:r>
      <w:r>
        <w:rPr>
          <w:rFonts w:ascii="Times New Roman" w:hAnsi="Times New Roman"/>
          <w:noProof/>
          <w:sz w:val="24"/>
        </w:rPr>
        <w:t xml:space="preserve">mplète. Cela lui permettra de prendre une décision sur la politique à mener en connaissance de cause dans un proche avenir.  </w:t>
      </w:r>
    </w:p>
    <w:sectPr w:rsidR="00A018F1">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F1" w:rsidRDefault="00E73400">
      <w:pPr>
        <w:spacing w:after="0" w:line="240" w:lineRule="auto"/>
      </w:pPr>
      <w:r>
        <w:separator/>
      </w:r>
    </w:p>
  </w:endnote>
  <w:endnote w:type="continuationSeparator" w:id="0">
    <w:p w:rsidR="00A018F1" w:rsidRDefault="00E73400">
      <w:pPr>
        <w:spacing w:after="0" w:line="240" w:lineRule="auto"/>
      </w:pPr>
      <w:r>
        <w:continuationSeparator/>
      </w:r>
    </w:p>
  </w:endnote>
  <w:endnote w:type="continuationNotice" w:id="1">
    <w:p w:rsidR="00A018F1" w:rsidRDefault="00A0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E73400">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rsidR="00A018F1" w:rsidRDefault="00E73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18F1" w:rsidRDefault="00A018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rsidR="00A018F1" w:rsidRDefault="00E73400">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18</w:t>
        </w:r>
        <w:r>
          <w:rPr>
            <w:noProof/>
            <w:sz w:val="24"/>
            <w:szCs w:val="24"/>
          </w:rPr>
          <w:fldChar w:fldCharType="end"/>
        </w:r>
      </w:p>
    </w:sdtContent>
  </w:sdt>
  <w:p w:rsidR="00A018F1" w:rsidRDefault="00A018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F1" w:rsidRDefault="00E73400">
      <w:pPr>
        <w:spacing w:after="0" w:line="240" w:lineRule="auto"/>
      </w:pPr>
      <w:r>
        <w:separator/>
      </w:r>
    </w:p>
  </w:footnote>
  <w:footnote w:type="continuationSeparator" w:id="0">
    <w:p w:rsidR="00A018F1" w:rsidRDefault="00E73400">
      <w:pPr>
        <w:spacing w:after="0" w:line="240" w:lineRule="auto"/>
      </w:pPr>
      <w:r>
        <w:continuationSeparator/>
      </w:r>
    </w:p>
  </w:footnote>
  <w:footnote w:type="continuationNotice" w:id="1">
    <w:p w:rsidR="00A018F1" w:rsidRDefault="00A018F1">
      <w:pPr>
        <w:spacing w:after="0" w:line="240" w:lineRule="auto"/>
      </w:pPr>
    </w:p>
  </w:footnote>
  <w:footnote w:id="2">
    <w:p w:rsidR="00A018F1" w:rsidRDefault="00E73400">
      <w:pPr>
        <w:pStyle w:val="FootnoteText"/>
        <w:jc w:val="both"/>
      </w:pPr>
      <w:r>
        <w:rPr>
          <w:rStyle w:val="FootnoteReference"/>
        </w:rPr>
        <w:footnoteRef/>
      </w:r>
      <w:r>
        <w:t xml:space="preserve"> </w:t>
      </w:r>
      <w:hyperlink r:id="rId1">
        <w:r>
          <w:rPr>
            <w:rStyle w:val="Hyperlink"/>
          </w:rPr>
          <w:t>Règlement (UE) nº 1169/2011</w:t>
        </w:r>
      </w:hyperlink>
      <w:r>
        <w:rPr>
          <w:rStyle w:val="Hyperlink"/>
          <w:u w:val="none"/>
        </w:rPr>
        <w:t xml:space="preserve"> du Parlement européen et du Conseil du 25 octobre 2011 concernant l’information des consommateurs sur les denrées alimentaires</w:t>
      </w:r>
      <w:r>
        <w:rPr>
          <w:rStyle w:val="Strong"/>
          <w:rFonts w:ascii="Lucida Sans Unicode" w:hAnsi="Lucida Sans Unicode"/>
          <w:color w:val="444444"/>
          <w:sz w:val="19"/>
        </w:rPr>
        <w:t xml:space="preserve"> </w:t>
      </w:r>
      <w:r>
        <w:rPr>
          <w:rStyle w:val="Hyperlink"/>
          <w:u w:val="none"/>
        </w:rPr>
        <w:t>(JO L 304 du 22.11.2011, p. 18)</w:t>
      </w:r>
      <w:r>
        <w:t>.</w:t>
      </w:r>
    </w:p>
  </w:footnote>
  <w:footnote w:id="3">
    <w:p w:rsidR="00A018F1" w:rsidRDefault="00E73400">
      <w:pPr>
        <w:pStyle w:val="FootnoteText"/>
      </w:pPr>
      <w:r>
        <w:rPr>
          <w:rStyle w:val="FootnoteReference"/>
        </w:rPr>
        <w:footnoteRef/>
      </w:r>
      <w:r>
        <w:t xml:space="preserve"> Document de travail des services de la Commission intitulé «</w:t>
      </w:r>
      <w:proofErr w:type="spellStart"/>
      <w:r>
        <w:t>Results</w:t>
      </w:r>
      <w:proofErr w:type="spellEnd"/>
      <w:r>
        <w:t xml:space="preserve"> of the </w:t>
      </w:r>
      <w:proofErr w:type="spellStart"/>
      <w:r>
        <w:t>Commission’s</w:t>
      </w:r>
      <w:proofErr w:type="spellEnd"/>
      <w:r>
        <w:t xml:space="preserve"> consultations on TFA in </w:t>
      </w:r>
      <w:proofErr w:type="spellStart"/>
      <w:r>
        <w:t>foodstuffs</w:t>
      </w:r>
      <w:proofErr w:type="spellEnd"/>
      <w:r>
        <w:t xml:space="preserve"> in Europe» (résultats des consultations menées par la Commission sur les acides gras </w:t>
      </w:r>
      <w:proofErr w:type="spellStart"/>
      <w:r>
        <w:t>trans</w:t>
      </w:r>
      <w:proofErr w:type="spellEnd"/>
      <w:r>
        <w:t xml:space="preserve"> dans l</w:t>
      </w:r>
      <w:r>
        <w:t xml:space="preserve">es denrées alimentaires en Europe). </w:t>
      </w:r>
    </w:p>
  </w:footnote>
  <w:footnote w:id="4">
    <w:p w:rsidR="00A018F1" w:rsidRDefault="00E73400">
      <w:pPr>
        <w:pStyle w:val="FootnoteText"/>
      </w:pPr>
      <w:r>
        <w:rPr>
          <w:rStyle w:val="FootnoteReference"/>
        </w:rPr>
        <w:footnoteRef/>
      </w:r>
      <w:r>
        <w:t xml:space="preserve"> Annexe I, point 4, du </w:t>
      </w:r>
      <w:hyperlink r:id="rId2">
        <w:r>
          <w:rPr>
            <w:rStyle w:val="Hyperlink"/>
          </w:rPr>
          <w:t>règlement (UE) nº 1169/2011</w:t>
        </w:r>
      </w:hyperlink>
      <w:r>
        <w:rPr>
          <w:rStyle w:val="Hyperlink"/>
        </w:rPr>
        <w:t>.</w:t>
      </w:r>
    </w:p>
  </w:footnote>
  <w:footnote w:id="5">
    <w:p w:rsidR="00A018F1" w:rsidRDefault="00E73400">
      <w:pPr>
        <w:pStyle w:val="FootnoteText"/>
        <w:rPr>
          <w:rFonts w:ascii="Times" w:hAnsi="Times"/>
        </w:rPr>
      </w:pPr>
      <w:r>
        <w:rPr>
          <w:rStyle w:val="FootnoteReference"/>
          <w:rFonts w:ascii="Times" w:hAnsi="Times"/>
        </w:rPr>
        <w:footnoteRef/>
      </w:r>
      <w:r>
        <w:rPr>
          <w:rFonts w:ascii="Times" w:hAnsi="Times"/>
        </w:rPr>
        <w:t xml:space="preserve"> </w:t>
      </w:r>
      <w:proofErr w:type="spellStart"/>
      <w:r>
        <w:rPr>
          <w:rFonts w:ascii="Times" w:hAnsi="Times"/>
        </w:rPr>
        <w:t>Hulshof</w:t>
      </w:r>
      <w:proofErr w:type="spellEnd"/>
      <w:r>
        <w:rPr>
          <w:rFonts w:ascii="Times" w:hAnsi="Times"/>
        </w:rPr>
        <w:t xml:space="preserve"> KF </w:t>
      </w:r>
      <w:r>
        <w:rPr>
          <w:rFonts w:ascii="Times" w:hAnsi="Times"/>
          <w:i/>
        </w:rPr>
        <w:t xml:space="preserve">et </w:t>
      </w:r>
      <w:proofErr w:type="gramStart"/>
      <w:r>
        <w:rPr>
          <w:rFonts w:ascii="Times" w:hAnsi="Times"/>
          <w:i/>
        </w:rPr>
        <w:t>al</w:t>
      </w:r>
      <w:r>
        <w:rPr>
          <w:rFonts w:ascii="Times" w:hAnsi="Times"/>
        </w:rPr>
        <w:t>.,</w:t>
      </w:r>
      <w:proofErr w:type="gramEnd"/>
      <w:r>
        <w:rPr>
          <w:rFonts w:ascii="Times" w:hAnsi="Times"/>
        </w:rPr>
        <w:t xml:space="preserve"> </w:t>
      </w:r>
      <w:proofErr w:type="spellStart"/>
      <w:r>
        <w:rPr>
          <w:rFonts w:ascii="Times" w:hAnsi="Times"/>
          <w:i/>
        </w:rPr>
        <w:t>Eur</w:t>
      </w:r>
      <w:proofErr w:type="spellEnd"/>
      <w:r>
        <w:rPr>
          <w:rFonts w:ascii="Times" w:hAnsi="Times"/>
          <w:i/>
        </w:rPr>
        <w:t xml:space="preserve"> J Clin </w:t>
      </w:r>
      <w:proofErr w:type="spellStart"/>
      <w:r>
        <w:rPr>
          <w:rFonts w:ascii="Times" w:hAnsi="Times"/>
          <w:i/>
        </w:rPr>
        <w:t>Nutr</w:t>
      </w:r>
      <w:proofErr w:type="spellEnd"/>
      <w:r>
        <w:rPr>
          <w:rFonts w:ascii="Times" w:hAnsi="Times"/>
          <w:i/>
        </w:rPr>
        <w:t>.</w:t>
      </w:r>
      <w:r>
        <w:rPr>
          <w:rFonts w:ascii="Times" w:hAnsi="Times"/>
        </w:rPr>
        <w:t>, 1999;53(2):143-57.</w:t>
      </w:r>
    </w:p>
  </w:footnote>
  <w:footnote w:id="6">
    <w:p w:rsidR="00A018F1" w:rsidRDefault="00E73400">
      <w:pPr>
        <w:pStyle w:val="FootnoteText"/>
      </w:pPr>
      <w:r>
        <w:rPr>
          <w:rStyle w:val="FootnoteReference"/>
        </w:rPr>
        <w:footnoteRef/>
      </w:r>
      <w:r>
        <w:t xml:space="preserve"> </w:t>
      </w:r>
      <w:hyperlink r:id="rId3">
        <w:proofErr w:type="spellStart"/>
        <w:r>
          <w:rPr>
            <w:rStyle w:val="Hyperlink"/>
          </w:rPr>
          <w:t>Mozaffarian</w:t>
        </w:r>
        <w:proofErr w:type="spellEnd"/>
        <w:r>
          <w:rPr>
            <w:rStyle w:val="Hyperlink"/>
          </w:rPr>
          <w:t xml:space="preserve"> D </w:t>
        </w:r>
        <w:r>
          <w:rPr>
            <w:rStyle w:val="Hyperlink"/>
            <w:i/>
          </w:rPr>
          <w:t>et al</w:t>
        </w:r>
        <w:r>
          <w:rPr>
            <w:rStyle w:val="Hyperlink"/>
          </w:rPr>
          <w:t xml:space="preserve">., </w:t>
        </w:r>
        <w:proofErr w:type="spellStart"/>
        <w:r>
          <w:rPr>
            <w:rStyle w:val="Hyperlink"/>
            <w:i/>
          </w:rPr>
          <w:t>Eur</w:t>
        </w:r>
        <w:proofErr w:type="spellEnd"/>
        <w:r>
          <w:rPr>
            <w:rStyle w:val="Hyperlink"/>
            <w:i/>
          </w:rPr>
          <w:t xml:space="preserve"> J Clin </w:t>
        </w:r>
        <w:proofErr w:type="spellStart"/>
        <w:r>
          <w:rPr>
            <w:rStyle w:val="Hyperlink"/>
            <w:i/>
          </w:rPr>
          <w:t>Nutr</w:t>
        </w:r>
        <w:proofErr w:type="spellEnd"/>
        <w:r>
          <w:rPr>
            <w:rStyle w:val="Hyperlink"/>
            <w:i/>
          </w:rPr>
          <w:t>.</w:t>
        </w:r>
        <w:r>
          <w:rPr>
            <w:rStyle w:val="Hyperlink"/>
          </w:rPr>
          <w:t>, 2009;63(S2):S5-S21</w:t>
        </w:r>
      </w:hyperlink>
      <w:r>
        <w:rPr>
          <w:rStyle w:val="Hyperlink"/>
        </w:rPr>
        <w:t xml:space="preserve">: </w:t>
      </w:r>
      <w:r>
        <w:rPr>
          <w:rStyle w:val="Hyperlink"/>
          <w:color w:val="auto"/>
          <w:u w:val="none"/>
        </w:rPr>
        <w:t xml:space="preserve">si 2 % de l’apport énergétique journalier provient des AGT en lieu et place de glucides, d’acides gras saturés, d’acides gras </w:t>
      </w:r>
      <w:proofErr w:type="spellStart"/>
      <w:r>
        <w:rPr>
          <w:rStyle w:val="Hyperlink"/>
          <w:color w:val="auto"/>
          <w:u w:val="none"/>
        </w:rPr>
        <w:t>monoinsatur</w:t>
      </w:r>
      <w:r>
        <w:rPr>
          <w:rStyle w:val="Hyperlink"/>
          <w:color w:val="auto"/>
          <w:u w:val="none"/>
        </w:rPr>
        <w:t>és</w:t>
      </w:r>
      <w:proofErr w:type="spellEnd"/>
      <w:r>
        <w:rPr>
          <w:rStyle w:val="Hyperlink"/>
          <w:color w:val="auto"/>
          <w:u w:val="none"/>
        </w:rPr>
        <w:t xml:space="preserve"> cis et d’acides gras polyinsaturés cis, le risque de mourir de maladie cardiaque est respectivement 24 % plus élevé, 20 % plus élevé, 27 % plus élevé et 32 % plus élevé.</w:t>
      </w:r>
    </w:p>
  </w:footnote>
  <w:footnote w:id="7">
    <w:p w:rsidR="00A018F1" w:rsidRDefault="00E73400">
      <w:pPr>
        <w:pStyle w:val="FootnoteText"/>
      </w:pPr>
      <w:r>
        <w:rPr>
          <w:rStyle w:val="FootnoteReference"/>
        </w:rPr>
        <w:footnoteRef/>
      </w:r>
      <w:r>
        <w:t xml:space="preserve"> ESTAT 2011, données relatives aux causes des décès.</w:t>
      </w:r>
    </w:p>
  </w:footnote>
  <w:footnote w:id="8">
    <w:p w:rsidR="00A018F1" w:rsidRDefault="00E73400">
      <w:pPr>
        <w:pStyle w:val="FootnoteText"/>
      </w:pPr>
      <w:r>
        <w:rPr>
          <w:rStyle w:val="FootnoteReference"/>
        </w:rPr>
        <w:footnoteRef/>
      </w:r>
      <w:r>
        <w:t xml:space="preserve"> </w:t>
      </w:r>
      <w:proofErr w:type="spellStart"/>
      <w:r>
        <w:t>Leal</w:t>
      </w:r>
      <w:proofErr w:type="spellEnd"/>
      <w:r>
        <w:t xml:space="preserve"> </w:t>
      </w:r>
      <w:r>
        <w:rPr>
          <w:i/>
        </w:rPr>
        <w:t xml:space="preserve">et </w:t>
      </w:r>
      <w:proofErr w:type="gramStart"/>
      <w:r>
        <w:rPr>
          <w:i/>
        </w:rPr>
        <w:t>al</w:t>
      </w:r>
      <w:r>
        <w:t>.,</w:t>
      </w:r>
      <w:proofErr w:type="gramEnd"/>
      <w:r>
        <w:t xml:space="preserve"> </w:t>
      </w:r>
      <w:proofErr w:type="spellStart"/>
      <w:r>
        <w:rPr>
          <w:i/>
        </w:rPr>
        <w:t>Eur</w:t>
      </w:r>
      <w:proofErr w:type="spellEnd"/>
      <w:r>
        <w:rPr>
          <w:i/>
        </w:rPr>
        <w:t xml:space="preserve"> </w:t>
      </w:r>
      <w:proofErr w:type="spellStart"/>
      <w:r>
        <w:rPr>
          <w:i/>
        </w:rPr>
        <w:t>Heart</w:t>
      </w:r>
      <w:proofErr w:type="spellEnd"/>
      <w:r>
        <w:rPr>
          <w:i/>
        </w:rPr>
        <w:t xml:space="preserve"> J.</w:t>
      </w:r>
      <w:r>
        <w:t xml:space="preserve">, </w:t>
      </w:r>
      <w:r>
        <w:t>2006 Jul;27(13):1610-9 «</w:t>
      </w:r>
      <w:proofErr w:type="spellStart"/>
      <w:r>
        <w:t>Economic</w:t>
      </w:r>
      <w:proofErr w:type="spellEnd"/>
      <w:r>
        <w:t xml:space="preserve"> </w:t>
      </w:r>
      <w:proofErr w:type="spellStart"/>
      <w:r>
        <w:t>burden</w:t>
      </w:r>
      <w:proofErr w:type="spellEnd"/>
      <w:r>
        <w:t xml:space="preserve"> of </w:t>
      </w:r>
      <w:proofErr w:type="spellStart"/>
      <w:r>
        <w:t>cardiovascular</w:t>
      </w:r>
      <w:proofErr w:type="spellEnd"/>
      <w:r>
        <w:t xml:space="preserve"> </w:t>
      </w:r>
      <w:proofErr w:type="spellStart"/>
      <w:r>
        <w:t>diseases</w:t>
      </w:r>
      <w:proofErr w:type="spellEnd"/>
      <w:r>
        <w:t xml:space="preserve"> in the </w:t>
      </w:r>
      <w:proofErr w:type="spellStart"/>
      <w:r>
        <w:t>enlarged</w:t>
      </w:r>
      <w:proofErr w:type="spellEnd"/>
      <w:r>
        <w:t xml:space="preserve"> European Union» (charge économique des maladies cardiovasculaires dans l’Union européenne élargie), données ESTAT relatives au PIB.</w:t>
      </w:r>
    </w:p>
  </w:footnote>
  <w:footnote w:id="9">
    <w:p w:rsidR="00A018F1" w:rsidRDefault="00E73400">
      <w:pPr>
        <w:pStyle w:val="FootnoteText"/>
      </w:pPr>
      <w:r>
        <w:rPr>
          <w:rStyle w:val="FootnoteReference"/>
        </w:rPr>
        <w:footnoteRef/>
      </w:r>
      <w:r>
        <w:t xml:space="preserve"> Extrapolation pour l’UE-28 en 2012 en s</w:t>
      </w:r>
      <w:r>
        <w:t xml:space="preserve">upposant un % du PIB resté constant depuis l’UE-25 en 2003 et en se basant sur: 1) </w:t>
      </w:r>
      <w:proofErr w:type="spellStart"/>
      <w:r>
        <w:t>Leal</w:t>
      </w:r>
      <w:proofErr w:type="spellEnd"/>
      <w:r>
        <w:t xml:space="preserve"> </w:t>
      </w:r>
      <w:r>
        <w:rPr>
          <w:i/>
        </w:rPr>
        <w:t xml:space="preserve">et </w:t>
      </w:r>
      <w:proofErr w:type="gramStart"/>
      <w:r>
        <w:rPr>
          <w:i/>
        </w:rPr>
        <w:t>al</w:t>
      </w:r>
      <w:r>
        <w:t>.,</w:t>
      </w:r>
      <w:proofErr w:type="gramEnd"/>
      <w:r>
        <w:t xml:space="preserve"> </w:t>
      </w:r>
      <w:proofErr w:type="spellStart"/>
      <w:r>
        <w:rPr>
          <w:i/>
        </w:rPr>
        <w:t>Eur</w:t>
      </w:r>
      <w:proofErr w:type="spellEnd"/>
      <w:r>
        <w:rPr>
          <w:i/>
        </w:rPr>
        <w:t xml:space="preserve"> </w:t>
      </w:r>
      <w:proofErr w:type="spellStart"/>
      <w:r>
        <w:rPr>
          <w:i/>
        </w:rPr>
        <w:t>Heart</w:t>
      </w:r>
      <w:proofErr w:type="spellEnd"/>
      <w:r>
        <w:rPr>
          <w:i/>
        </w:rPr>
        <w:t xml:space="preserve"> J.</w:t>
      </w:r>
      <w:r>
        <w:t>, 2006 Jul;27(13):1610-9 «</w:t>
      </w:r>
      <w:proofErr w:type="spellStart"/>
      <w:r>
        <w:t>Economic</w:t>
      </w:r>
      <w:proofErr w:type="spellEnd"/>
      <w:r>
        <w:t xml:space="preserve"> </w:t>
      </w:r>
      <w:proofErr w:type="spellStart"/>
      <w:r>
        <w:t>burden</w:t>
      </w:r>
      <w:proofErr w:type="spellEnd"/>
      <w:r>
        <w:t xml:space="preserve"> of </w:t>
      </w:r>
      <w:proofErr w:type="spellStart"/>
      <w:r>
        <w:t>cardiovascular</w:t>
      </w:r>
      <w:proofErr w:type="spellEnd"/>
      <w:r>
        <w:t xml:space="preserve"> </w:t>
      </w:r>
      <w:proofErr w:type="spellStart"/>
      <w:r>
        <w:t>diseases</w:t>
      </w:r>
      <w:proofErr w:type="spellEnd"/>
      <w:r>
        <w:t xml:space="preserve"> in the </w:t>
      </w:r>
      <w:proofErr w:type="spellStart"/>
      <w:r>
        <w:t>enlarged</w:t>
      </w:r>
      <w:proofErr w:type="spellEnd"/>
      <w:r>
        <w:t xml:space="preserve"> European Union» (charge économique des maladies cardiovasculair</w:t>
      </w:r>
      <w:r>
        <w:t>es dans l’Union européenne élargie), 2) les données ESTAT relatives au PIB. Parts des coûts des soins de santé calculées d’après les estimations de l’OMS pour 2012.</w:t>
      </w:r>
    </w:p>
  </w:footnote>
  <w:footnote w:id="10">
    <w:p w:rsidR="00A018F1" w:rsidRDefault="00E73400">
      <w:pPr>
        <w:pStyle w:val="FootnoteText"/>
      </w:pPr>
      <w:r>
        <w:rPr>
          <w:rStyle w:val="FootnoteReference"/>
        </w:rPr>
        <w:footnoteRef/>
      </w:r>
      <w:r>
        <w:t xml:space="preserve"> De type ischémique; ICD-10 codes I20-I25.</w:t>
      </w:r>
    </w:p>
  </w:footnote>
  <w:footnote w:id="11">
    <w:p w:rsidR="00A018F1" w:rsidRDefault="00E73400">
      <w:pPr>
        <w:pStyle w:val="FootnoteText"/>
      </w:pPr>
      <w:r>
        <w:rPr>
          <w:rStyle w:val="FootnoteReference"/>
        </w:rPr>
        <w:footnoteRef/>
      </w:r>
      <w:r>
        <w:t xml:space="preserve"> Brandon J. </w:t>
      </w:r>
      <w:r>
        <w:rPr>
          <w:i/>
        </w:rPr>
        <w:t>et al.</w:t>
      </w:r>
      <w:r>
        <w:t xml:space="preserve"> «</w:t>
      </w:r>
      <w:proofErr w:type="spellStart"/>
      <w:r>
        <w:t>Denmark’s</w:t>
      </w:r>
      <w:proofErr w:type="spellEnd"/>
      <w:r>
        <w:t xml:space="preserve"> </w:t>
      </w:r>
      <w:proofErr w:type="spellStart"/>
      <w:r>
        <w:t>policy</w:t>
      </w:r>
      <w:proofErr w:type="spellEnd"/>
      <w:r>
        <w:t xml:space="preserve"> on </w:t>
      </w:r>
      <w:proofErr w:type="spellStart"/>
      <w:r>
        <w:t>artifi</w:t>
      </w:r>
      <w:r>
        <w:t>cial</w:t>
      </w:r>
      <w:proofErr w:type="spellEnd"/>
      <w:r>
        <w:t xml:space="preserve"> </w:t>
      </w:r>
      <w:proofErr w:type="spellStart"/>
      <w:r>
        <w:t>trans</w:t>
      </w:r>
      <w:proofErr w:type="spellEnd"/>
      <w:r>
        <w:t xml:space="preserve"> fat and </w:t>
      </w:r>
      <w:proofErr w:type="spellStart"/>
      <w:r>
        <w:t>cardiovascular</w:t>
      </w:r>
      <w:proofErr w:type="spellEnd"/>
      <w:r>
        <w:t xml:space="preserve"> </w:t>
      </w:r>
      <w:proofErr w:type="spellStart"/>
      <w:r>
        <w:t>disease</w:t>
      </w:r>
      <w:proofErr w:type="spellEnd"/>
      <w:r>
        <w:t xml:space="preserve">» (politique du Danemark concernant les acides gras </w:t>
      </w:r>
      <w:proofErr w:type="spellStart"/>
      <w:r>
        <w:t>trans</w:t>
      </w:r>
      <w:proofErr w:type="spellEnd"/>
      <w:r>
        <w:t xml:space="preserve"> artificiels et les maladies cardiovasculaires), </w:t>
      </w:r>
      <w:r>
        <w:rPr>
          <w:i/>
        </w:rPr>
        <w:t xml:space="preserve">Am J </w:t>
      </w:r>
      <w:proofErr w:type="spellStart"/>
      <w:r>
        <w:rPr>
          <w:i/>
        </w:rPr>
        <w:t>Prev</w:t>
      </w:r>
      <w:proofErr w:type="spellEnd"/>
      <w:r>
        <w:rPr>
          <w:i/>
        </w:rPr>
        <w:t xml:space="preserve"> Med</w:t>
      </w:r>
      <w:r>
        <w:t>, 2015 (en version imprimée).</w:t>
      </w:r>
    </w:p>
  </w:footnote>
  <w:footnote w:id="12">
    <w:p w:rsidR="00A018F1" w:rsidRDefault="00E73400">
      <w:pPr>
        <w:pStyle w:val="FootnoteText"/>
      </w:pPr>
      <w:r>
        <w:rPr>
          <w:rStyle w:val="FootnoteReference"/>
        </w:rPr>
        <w:footnoteRef/>
      </w:r>
      <w:r>
        <w:t xml:space="preserve"> </w:t>
      </w:r>
      <w:hyperlink r:id="rId4">
        <w:r>
          <w:rPr>
            <w:rStyle w:val="Hyperlink"/>
          </w:rPr>
          <w:t>Journal de l’EFSA, 2010;8(3):1461.</w:t>
        </w:r>
      </w:hyperlink>
    </w:p>
  </w:footnote>
  <w:footnote w:id="13">
    <w:p w:rsidR="00A018F1" w:rsidRDefault="00E73400">
      <w:pPr>
        <w:pStyle w:val="FootnoteText"/>
      </w:pPr>
      <w:r>
        <w:rPr>
          <w:rStyle w:val="FootnoteReference"/>
        </w:rPr>
        <w:footnoteRef/>
      </w:r>
      <w:r>
        <w:t xml:space="preserve"> Les AGT dans l’alimentation proviennent de différentes graisses et huiles qui constituent également d’importantes sources d’acides gras essentiels et d’autres nutriments. Ainsi, la consommation d’AGT ne peut être diminu</w:t>
      </w:r>
      <w:r>
        <w:t>ée que jusqu’à une certaine limite pour garantir un apport adéquat de nutriments essentiels. C’est pourquoi le groupe scientifique de l’EFSA a conclu que la consommation d’AGT devait être aussi faible que possible dans le cadre d’un régime alimentaire appr</w:t>
      </w:r>
      <w:r>
        <w:t>oprié sur le plan nutritionnel</w:t>
      </w:r>
      <w:r>
        <w:rPr>
          <w:i/>
        </w:rPr>
        <w:t>.</w:t>
      </w:r>
    </w:p>
  </w:footnote>
  <w:footnote w:id="14">
    <w:p w:rsidR="00A018F1" w:rsidRDefault="00E73400">
      <w:pPr>
        <w:pStyle w:val="FootnoteText"/>
        <w:jc w:val="both"/>
      </w:pPr>
      <w:r>
        <w:rPr>
          <w:rStyle w:val="FootnoteReference"/>
        </w:rPr>
        <w:footnoteRef/>
      </w:r>
      <w:r>
        <w:rPr>
          <w:lang w:val="en-US"/>
        </w:rPr>
        <w:t xml:space="preserve"> </w:t>
      </w:r>
      <w:hyperlink r:id="rId5">
        <w:proofErr w:type="spellStart"/>
        <w:r>
          <w:rPr>
            <w:rStyle w:val="Hyperlink"/>
            <w:lang w:val="en-US"/>
          </w:rPr>
          <w:t>Mouratidou</w:t>
        </w:r>
        <w:proofErr w:type="spellEnd"/>
        <w:r>
          <w:rPr>
            <w:rStyle w:val="Hyperlink"/>
            <w:lang w:val="en-US"/>
          </w:rPr>
          <w:t xml:space="preserve"> </w:t>
        </w:r>
        <w:r>
          <w:rPr>
            <w:rStyle w:val="Hyperlink"/>
            <w:i/>
            <w:lang w:val="en-US"/>
          </w:rPr>
          <w:t>et al</w:t>
        </w:r>
        <w:r>
          <w:rPr>
            <w:rStyle w:val="Hyperlink"/>
            <w:lang w:val="en-US"/>
          </w:rPr>
          <w:t>. «Trans Fatty acids in Europe: where do we stand</w:t>
        </w:r>
        <w:proofErr w:type="gramStart"/>
        <w:r>
          <w:rPr>
            <w:rStyle w:val="Hyperlink"/>
            <w:lang w:val="en-US"/>
          </w:rPr>
          <w:t>?»</w:t>
        </w:r>
        <w:proofErr w:type="gramEnd"/>
        <w:r>
          <w:rPr>
            <w:rStyle w:val="Hyperlink"/>
            <w:lang w:val="en-US"/>
          </w:rPr>
          <w:t xml:space="preserve"> </w:t>
        </w:r>
        <w:r>
          <w:rPr>
            <w:rStyle w:val="Hyperlink"/>
          </w:rPr>
          <w:t>(</w:t>
        </w:r>
        <w:proofErr w:type="gramStart"/>
        <w:r>
          <w:rPr>
            <w:rStyle w:val="Hyperlink"/>
          </w:rPr>
          <w:t>les</w:t>
        </w:r>
        <w:proofErr w:type="gramEnd"/>
        <w:r>
          <w:rPr>
            <w:rStyle w:val="Hyperlink"/>
          </w:rPr>
          <w:t xml:space="preserve"> acides gras </w:t>
        </w:r>
        <w:proofErr w:type="spellStart"/>
        <w:r>
          <w:rPr>
            <w:rStyle w:val="Hyperlink"/>
          </w:rPr>
          <w:t>trans</w:t>
        </w:r>
        <w:proofErr w:type="spellEnd"/>
        <w:r>
          <w:rPr>
            <w:rStyle w:val="Hyperlink"/>
          </w:rPr>
          <w:t xml:space="preserve"> en Europe: état des lieux), JRC Science and Policy Reports, 2014, doi:10.2788/107</w:t>
        </w:r>
        <w:r>
          <w:rPr>
            <w:rStyle w:val="Hyperlink"/>
          </w:rPr>
          <w:t>0.</w:t>
        </w:r>
      </w:hyperlink>
    </w:p>
  </w:footnote>
  <w:footnote w:id="15">
    <w:p w:rsidR="00A018F1" w:rsidRDefault="00E73400">
      <w:pPr>
        <w:pStyle w:val="FootnoteText"/>
        <w:jc w:val="both"/>
      </w:pPr>
      <w:r>
        <w:rPr>
          <w:rStyle w:val="FootnoteReference"/>
        </w:rPr>
        <w:footnoteRef/>
      </w:r>
      <w:r>
        <w:t xml:space="preserve"> Le règlement nº 1169/2011 a harmonisé le contenu de la déclaration nutritionnelle: obligatoire (article 30, paragraphe 1) et facultatif (article 30, paragraphe 2). Les AGT ne figurent pas parmi les nutriments énumérés à l’article 30, paragraphe 1, ni </w:t>
      </w:r>
      <w:r>
        <w:t>à l’article 30, paragraphe 2. Par conséquent, il n’est pas juridiquement possible d’indiquer la teneur en AGT.</w:t>
      </w:r>
    </w:p>
  </w:footnote>
  <w:footnote w:id="16">
    <w:p w:rsidR="00A018F1" w:rsidRDefault="00E73400">
      <w:pPr>
        <w:pStyle w:val="FootnoteText"/>
        <w:jc w:val="both"/>
      </w:pPr>
      <w:r>
        <w:rPr>
          <w:rStyle w:val="FootnoteReference"/>
        </w:rPr>
        <w:footnoteRef/>
      </w:r>
      <w:r>
        <w:t xml:space="preserve"> </w:t>
      </w:r>
      <w:hyperlink r:id="rId6">
        <w:r>
          <w:rPr>
            <w:rStyle w:val="Hyperlink"/>
          </w:rPr>
          <w:t>Directive 2006/141/CE de la Commission</w:t>
        </w:r>
      </w:hyperlink>
      <w:r>
        <w:rPr>
          <w:rStyle w:val="Hyperlink"/>
        </w:rPr>
        <w:t xml:space="preserve"> </w:t>
      </w:r>
      <w:r>
        <w:t>du 22 décembre 2006 concernant les préparations pour nourrissons et les préparations de suite et modifiant la directive 1999/21/CE (JO L 401 du 30.12.2006, p. 1).</w:t>
      </w:r>
    </w:p>
  </w:footnote>
  <w:footnote w:id="17">
    <w:p w:rsidR="00A018F1" w:rsidRDefault="00E73400">
      <w:pPr>
        <w:pStyle w:val="FootnoteText"/>
      </w:pPr>
      <w:r>
        <w:rPr>
          <w:rStyle w:val="FootnoteReference"/>
        </w:rPr>
        <w:footnoteRef/>
      </w:r>
      <w:r>
        <w:t xml:space="preserve"> La Lettonie a notifié une mesure nationale le 2 septembre 2015; cette mesure fait actuellem</w:t>
      </w:r>
      <w:r>
        <w:t>ent l’objet d’un examen par la Commission.</w:t>
      </w:r>
    </w:p>
  </w:footnote>
  <w:footnote w:id="18">
    <w:p w:rsidR="00A018F1" w:rsidRDefault="00E73400">
      <w:pPr>
        <w:pStyle w:val="FootnoteText"/>
      </w:pPr>
      <w:r>
        <w:rPr>
          <w:rStyle w:val="FootnoteReference"/>
        </w:rPr>
        <w:footnoteRef/>
      </w:r>
      <w:r>
        <w:t xml:space="preserve"> </w:t>
      </w:r>
      <w:hyperlink r:id="rId7">
        <w:r>
          <w:rPr>
            <w:rStyle w:val="Hyperlink"/>
          </w:rPr>
          <w:t>Règlement (CE) nº 178/2002</w:t>
        </w:r>
      </w:hyperlink>
      <w:r>
        <w:rPr>
          <w:rStyle w:val="Hyperlink"/>
        </w:rPr>
        <w:t xml:space="preserve"> </w:t>
      </w:r>
      <w:r>
        <w:t>du Parlement européen et du Conseil du 28 janvier 2002 établissant les principes</w:t>
      </w:r>
      <w:r>
        <w:t xml:space="preserve"> généraux et les prescriptions générales de la législation alimentaire, instituant l’Autorité européenne de sécurité des aliments et fixant des procédures relatives à la sécurité des denrées alimentaires (JO L 31 du 1.2.2002, p. 1).</w:t>
      </w:r>
    </w:p>
  </w:footnote>
  <w:footnote w:id="19">
    <w:p w:rsidR="00A018F1" w:rsidRDefault="00E73400">
      <w:pPr>
        <w:pStyle w:val="FootnoteText"/>
      </w:pPr>
      <w:r>
        <w:rPr>
          <w:rStyle w:val="FootnoteReference"/>
        </w:rPr>
        <w:footnoteRef/>
      </w:r>
      <w:r>
        <w:t xml:space="preserve"> Communication du Bure</w:t>
      </w:r>
      <w:r>
        <w:t xml:space="preserve">au régional de l’OMS pour l’Europe, 6 mars 2015. </w:t>
      </w:r>
    </w:p>
  </w:footnote>
  <w:footnote w:id="20">
    <w:p w:rsidR="00A018F1" w:rsidRDefault="00E73400">
      <w:pPr>
        <w:pStyle w:val="FootnoteText"/>
        <w:rPr>
          <w:lang w:val="en-US"/>
        </w:rPr>
      </w:pPr>
      <w:r>
        <w:rPr>
          <w:rStyle w:val="FootnoteReference"/>
        </w:rPr>
        <w:footnoteRef/>
      </w:r>
      <w:r>
        <w:rPr>
          <w:lang w:val="en-US"/>
        </w:rPr>
        <w:t xml:space="preserve"> </w:t>
      </w:r>
      <w:hyperlink r:id="rId8">
        <w:r>
          <w:rPr>
            <w:rStyle w:val="Hyperlink"/>
            <w:lang w:val="en-US"/>
          </w:rPr>
          <w:t xml:space="preserve">Department of Health and Human Services, Fed </w:t>
        </w:r>
        <w:proofErr w:type="spellStart"/>
        <w:r>
          <w:rPr>
            <w:rStyle w:val="Hyperlink"/>
            <w:lang w:val="en-US"/>
          </w:rPr>
          <w:t>Regist</w:t>
        </w:r>
        <w:proofErr w:type="spellEnd"/>
        <w:r>
          <w:rPr>
            <w:rStyle w:val="Hyperlink"/>
            <w:lang w:val="en-US"/>
          </w:rPr>
          <w:t>, 2015</w:t>
        </w:r>
        <w:proofErr w:type="gramStart"/>
        <w:r>
          <w:rPr>
            <w:rStyle w:val="Hyperlink"/>
            <w:lang w:val="en-US"/>
          </w:rPr>
          <w:t>;148832013</w:t>
        </w:r>
        <w:proofErr w:type="gramEnd"/>
        <w:r>
          <w:rPr>
            <w:rStyle w:val="Hyperlink"/>
            <w:lang w:val="en-US"/>
          </w:rPr>
          <w:t>: 34650-7</w:t>
        </w:r>
      </w:hyperlink>
      <w:r>
        <w:rPr>
          <w:rStyle w:val="Hyperlink"/>
          <w:lang w:val="en-US"/>
        </w:rPr>
        <w:t>0</w:t>
      </w:r>
      <w:r>
        <w:rPr>
          <w:lang w:val="en-US"/>
        </w:rPr>
        <w:t>.</w:t>
      </w:r>
    </w:p>
  </w:footnote>
  <w:footnote w:id="21">
    <w:p w:rsidR="00A018F1" w:rsidRDefault="00E73400">
      <w:pPr>
        <w:pStyle w:val="FootnoteText"/>
      </w:pPr>
      <w:r>
        <w:rPr>
          <w:rStyle w:val="FootnoteReference"/>
        </w:rPr>
        <w:footnoteRef/>
      </w:r>
      <w:r>
        <w:t xml:space="preserve"> </w:t>
      </w:r>
      <w:hyperlink r:id="rId9">
        <w:r>
          <w:rPr>
            <w:rStyle w:val="Hyperlink"/>
          </w:rPr>
          <w:t xml:space="preserve">Stender </w:t>
        </w:r>
        <w:r>
          <w:rPr>
            <w:rStyle w:val="Hyperlink"/>
            <w:i/>
          </w:rPr>
          <w:t>et al</w:t>
        </w:r>
        <w:r>
          <w:rPr>
            <w:rStyle w:val="Hyperlink"/>
          </w:rPr>
          <w:t xml:space="preserve">., </w:t>
        </w:r>
        <w:r>
          <w:rPr>
            <w:rStyle w:val="Hyperlink"/>
            <w:i/>
          </w:rPr>
          <w:t>BMJ Open.</w:t>
        </w:r>
        <w:r>
          <w:rPr>
            <w:rStyle w:val="Hyperlink"/>
          </w:rPr>
          <w:t>, 2014;20;4(5):e005218.</w:t>
        </w:r>
      </w:hyperlink>
    </w:p>
  </w:footnote>
  <w:footnote w:id="22">
    <w:p w:rsidR="00A018F1" w:rsidRDefault="00E73400">
      <w:pPr>
        <w:pStyle w:val="FootnoteText"/>
      </w:pPr>
      <w:r>
        <w:rPr>
          <w:rStyle w:val="FootnoteReference"/>
        </w:rPr>
        <w:footnoteRef/>
      </w:r>
      <w:r>
        <w:t xml:space="preserve"> </w:t>
      </w:r>
      <w:hyperlink r:id="rId10">
        <w:r>
          <w:rPr>
            <w:rStyle w:val="Hyperlink"/>
          </w:rPr>
          <w:t>Journal de l’EFSA, 2004;81:1-49.</w:t>
        </w:r>
      </w:hyperlink>
    </w:p>
  </w:footnote>
  <w:footnote w:id="23">
    <w:p w:rsidR="00A018F1" w:rsidRDefault="00E73400">
      <w:pPr>
        <w:pStyle w:val="FootnoteText"/>
      </w:pPr>
      <w:r>
        <w:rPr>
          <w:rStyle w:val="FootnoteReference"/>
        </w:rPr>
        <w:footnoteRef/>
      </w:r>
      <w:r>
        <w:t xml:space="preserve"> </w:t>
      </w:r>
      <w:hyperlink r:id="rId11">
        <w:proofErr w:type="spellStart"/>
        <w:r>
          <w:rPr>
            <w:rStyle w:val="Hyperlink"/>
          </w:rPr>
          <w:t>Krettek</w:t>
        </w:r>
        <w:proofErr w:type="spellEnd"/>
        <w:r>
          <w:rPr>
            <w:rStyle w:val="Hyperlink"/>
          </w:rPr>
          <w:t xml:space="preserve"> A </w:t>
        </w:r>
        <w:r>
          <w:rPr>
            <w:rStyle w:val="Hyperlink"/>
            <w:i/>
          </w:rPr>
          <w:t>et al</w:t>
        </w:r>
        <w:r>
          <w:rPr>
            <w:rStyle w:val="Hyperlink"/>
          </w:rPr>
          <w:t>. «</w:t>
        </w:r>
        <w:proofErr w:type="spellStart"/>
        <w:r>
          <w:rPr>
            <w:rStyle w:val="Hyperlink"/>
          </w:rPr>
          <w:t>Trans</w:t>
        </w:r>
        <w:proofErr w:type="spellEnd"/>
        <w:r>
          <w:rPr>
            <w:rStyle w:val="Hyperlink"/>
          </w:rPr>
          <w:t xml:space="preserve"> </w:t>
        </w:r>
        <w:proofErr w:type="spellStart"/>
        <w:r>
          <w:rPr>
            <w:rStyle w:val="Hyperlink"/>
          </w:rPr>
          <w:t>Fatty</w:t>
        </w:r>
        <w:proofErr w:type="spellEnd"/>
        <w:r>
          <w:rPr>
            <w:rStyle w:val="Hyperlink"/>
          </w:rPr>
          <w:t xml:space="preserve"> </w:t>
        </w:r>
        <w:proofErr w:type="spellStart"/>
        <w:r>
          <w:rPr>
            <w:rStyle w:val="Hyperlink"/>
          </w:rPr>
          <w:t>Acids</w:t>
        </w:r>
        <w:proofErr w:type="spellEnd"/>
        <w:r>
          <w:rPr>
            <w:rStyle w:val="Hyperlink"/>
          </w:rPr>
          <w:t xml:space="preserve"> and </w:t>
        </w:r>
        <w:proofErr w:type="spellStart"/>
        <w:r>
          <w:rPr>
            <w:rStyle w:val="Hyperlink"/>
          </w:rPr>
          <w:t>Health</w:t>
        </w:r>
        <w:proofErr w:type="spellEnd"/>
        <w:r>
          <w:rPr>
            <w:rStyle w:val="Hyperlink"/>
          </w:rPr>
          <w:t xml:space="preserve">: A </w:t>
        </w:r>
        <w:proofErr w:type="spellStart"/>
        <w:r>
          <w:rPr>
            <w:rStyle w:val="Hyperlink"/>
          </w:rPr>
          <w:t>Review</w:t>
        </w:r>
        <w:proofErr w:type="spellEnd"/>
        <w:r>
          <w:rPr>
            <w:rStyle w:val="Hyperlink"/>
          </w:rPr>
          <w:t xml:space="preserve"> of </w:t>
        </w:r>
        <w:proofErr w:type="spellStart"/>
        <w:r>
          <w:rPr>
            <w:rStyle w:val="Hyperlink"/>
          </w:rPr>
          <w:t>Health</w:t>
        </w:r>
        <w:proofErr w:type="spellEnd"/>
        <w:r>
          <w:rPr>
            <w:rStyle w:val="Hyperlink"/>
          </w:rPr>
          <w:t xml:space="preserve"> </w:t>
        </w:r>
        <w:proofErr w:type="spellStart"/>
        <w:r>
          <w:rPr>
            <w:rStyle w:val="Hyperlink"/>
          </w:rPr>
          <w:t>Hazards</w:t>
        </w:r>
        <w:proofErr w:type="spellEnd"/>
        <w:r>
          <w:rPr>
            <w:rStyle w:val="Hyperlink"/>
          </w:rPr>
          <w:t xml:space="preserve"> and </w:t>
        </w:r>
        <w:proofErr w:type="spellStart"/>
        <w:r>
          <w:rPr>
            <w:rStyle w:val="Hyperlink"/>
          </w:rPr>
          <w:t>Existing</w:t>
        </w:r>
        <w:proofErr w:type="spellEnd"/>
        <w:r>
          <w:rPr>
            <w:rStyle w:val="Hyperlink"/>
          </w:rPr>
          <w:t xml:space="preserve"> </w:t>
        </w:r>
        <w:proofErr w:type="spellStart"/>
        <w:r>
          <w:rPr>
            <w:rStyle w:val="Hyperlink"/>
          </w:rPr>
          <w:t>Legislation</w:t>
        </w:r>
        <w:proofErr w:type="spellEnd"/>
        <w:r>
          <w:rPr>
            <w:rStyle w:val="Hyperlink"/>
          </w:rPr>
          <w:t xml:space="preserve">» (acides gras </w:t>
        </w:r>
        <w:proofErr w:type="spellStart"/>
        <w:r>
          <w:rPr>
            <w:rStyle w:val="Hyperlink"/>
          </w:rPr>
          <w:t>trans</w:t>
        </w:r>
        <w:proofErr w:type="spellEnd"/>
        <w:r>
          <w:rPr>
            <w:rStyle w:val="Hyperlink"/>
          </w:rPr>
          <w:t xml:space="preserve"> et santé: étude des dangers en matière de santé et de la législation existante), 2008, Parl</w:t>
        </w:r>
        <w:r>
          <w:rPr>
            <w:rStyle w:val="Hyperlink"/>
          </w:rPr>
          <w:t>ement européen - Département thématique, politiques économiques et scientifiques.</w:t>
        </w:r>
      </w:hyperlink>
    </w:p>
  </w:footnote>
  <w:footnote w:id="24">
    <w:p w:rsidR="00A018F1" w:rsidRDefault="00E73400">
      <w:pPr>
        <w:pStyle w:val="FootnoteText"/>
        <w:rPr>
          <w:sz w:val="22"/>
          <w:szCs w:val="22"/>
        </w:rPr>
      </w:pPr>
      <w:r>
        <w:rPr>
          <w:rStyle w:val="FootnoteReference"/>
        </w:rPr>
        <w:footnoteRef/>
      </w:r>
      <w:r>
        <w:t xml:space="preserve"> </w:t>
      </w:r>
      <w:r>
        <w:rPr>
          <w:color w:val="000000"/>
        </w:rPr>
        <w:t>L’article 18, en liaison avec l’annexe VII du règlement (UE) nº 1169/2011.</w:t>
      </w:r>
    </w:p>
  </w:footnote>
  <w:footnote w:id="25">
    <w:p w:rsidR="00A018F1" w:rsidRDefault="00E73400">
      <w:pPr>
        <w:pStyle w:val="FootnoteText"/>
        <w:jc w:val="both"/>
      </w:pPr>
      <w:r>
        <w:rPr>
          <w:rStyle w:val="FootnoteReference"/>
        </w:rPr>
        <w:footnoteRef/>
      </w:r>
      <w:r>
        <w:t xml:space="preserve"> «</w:t>
      </w:r>
      <w:proofErr w:type="spellStart"/>
      <w:r>
        <w:t>Study</w:t>
      </w:r>
      <w:proofErr w:type="spellEnd"/>
      <w:r>
        <w:t xml:space="preserve"> on the impact of </w:t>
      </w:r>
      <w:proofErr w:type="spellStart"/>
      <w:r>
        <w:t>food</w:t>
      </w:r>
      <w:proofErr w:type="spellEnd"/>
      <w:r>
        <w:t xml:space="preserve"> information to </w:t>
      </w:r>
      <w:proofErr w:type="spellStart"/>
      <w:r>
        <w:t>consumers</w:t>
      </w:r>
      <w:proofErr w:type="spellEnd"/>
      <w:r>
        <w:t xml:space="preserve"> </w:t>
      </w:r>
      <w:proofErr w:type="spellStart"/>
      <w:r>
        <w:t>decision</w:t>
      </w:r>
      <w:proofErr w:type="spellEnd"/>
      <w:r>
        <w:t xml:space="preserve"> </w:t>
      </w:r>
      <w:proofErr w:type="spellStart"/>
      <w:r>
        <w:t>making</w:t>
      </w:r>
      <w:proofErr w:type="spellEnd"/>
      <w:r>
        <w:t>» (étude concernant l’infl</w:t>
      </w:r>
      <w:r>
        <w:t>uence des informations relatives aux denrées alimentaires sur la prise de décision des consommateurs), non encore publiée, réalisée par TNS et commandée par la DG SANTE.</w:t>
      </w:r>
    </w:p>
  </w:footnote>
  <w:footnote w:id="26">
    <w:p w:rsidR="00A018F1" w:rsidRDefault="00E73400">
      <w:pPr>
        <w:pStyle w:val="FootnoteText"/>
      </w:pPr>
      <w:r>
        <w:rPr>
          <w:rStyle w:val="FootnoteReference"/>
        </w:rPr>
        <w:footnoteRef/>
      </w:r>
      <w:r>
        <w:t xml:space="preserve"> </w:t>
      </w:r>
      <w:hyperlink r:id="rId12">
        <w:proofErr w:type="spellStart"/>
        <w:r>
          <w:rPr>
            <w:rStyle w:val="Hyperlink"/>
          </w:rPr>
          <w:t>Eckel</w:t>
        </w:r>
        <w:proofErr w:type="spellEnd"/>
        <w:r>
          <w:rPr>
            <w:rStyle w:val="Hyperlink"/>
          </w:rPr>
          <w:t xml:space="preserve"> R </w:t>
        </w:r>
        <w:r>
          <w:rPr>
            <w:rStyle w:val="Hyperlink"/>
            <w:i/>
          </w:rPr>
          <w:t>et</w:t>
        </w:r>
        <w:r>
          <w:rPr>
            <w:rStyle w:val="Hyperlink"/>
            <w:i/>
          </w:rPr>
          <w:t xml:space="preserve"> al</w:t>
        </w:r>
        <w:r>
          <w:rPr>
            <w:rStyle w:val="Hyperlink"/>
          </w:rPr>
          <w:t xml:space="preserve">., </w:t>
        </w:r>
        <w:r>
          <w:rPr>
            <w:rStyle w:val="Hyperlink"/>
            <w:i/>
          </w:rPr>
          <w:t>Circulation</w:t>
        </w:r>
        <w:r>
          <w:rPr>
            <w:rStyle w:val="Hyperlink"/>
          </w:rPr>
          <w:t>, 2007;115:2231-46.</w:t>
        </w:r>
      </w:hyperlink>
    </w:p>
  </w:footnote>
  <w:footnote w:id="27">
    <w:p w:rsidR="00A018F1" w:rsidRDefault="00E73400">
      <w:pPr>
        <w:pStyle w:val="FootnoteText"/>
      </w:pPr>
      <w:r>
        <w:rPr>
          <w:rStyle w:val="FootnoteReference"/>
        </w:rPr>
        <w:footnoteRef/>
      </w:r>
      <w:r>
        <w:t xml:space="preserve"> </w:t>
      </w:r>
      <w:hyperlink r:id="rId13">
        <w:r>
          <w:rPr>
            <w:rStyle w:val="Hyperlink"/>
          </w:rPr>
          <w:t xml:space="preserve">Ellis S. «Consumer use and </w:t>
        </w:r>
        <w:proofErr w:type="spellStart"/>
        <w:r>
          <w:rPr>
            <w:rStyle w:val="Hyperlink"/>
          </w:rPr>
          <w:t>interpretation</w:t>
        </w:r>
        <w:proofErr w:type="spellEnd"/>
        <w:r>
          <w:rPr>
            <w:rStyle w:val="Hyperlink"/>
          </w:rPr>
          <w:t xml:space="preserve"> of </w:t>
        </w:r>
        <w:proofErr w:type="spellStart"/>
        <w:r>
          <w:rPr>
            <w:rStyle w:val="Hyperlink"/>
          </w:rPr>
          <w:t>trans</w:t>
        </w:r>
        <w:proofErr w:type="spellEnd"/>
        <w:r>
          <w:rPr>
            <w:rStyle w:val="Hyperlink"/>
          </w:rPr>
          <w:t xml:space="preserve"> fat information on </w:t>
        </w:r>
        <w:proofErr w:type="spellStart"/>
        <w:r>
          <w:rPr>
            <w:rStyle w:val="Hyperlink"/>
          </w:rPr>
          <w:t>food</w:t>
        </w:r>
        <w:proofErr w:type="spellEnd"/>
        <w:r>
          <w:rPr>
            <w:rStyle w:val="Hyperlink"/>
          </w:rPr>
          <w:t xml:space="preserve"> labels» (utilisat</w:t>
        </w:r>
        <w:r>
          <w:rPr>
            <w:rStyle w:val="Hyperlink"/>
          </w:rPr>
          <w:t xml:space="preserve">ion et interprétation des informations relatives aux acides gras </w:t>
        </w:r>
        <w:proofErr w:type="spellStart"/>
        <w:r>
          <w:rPr>
            <w:rStyle w:val="Hyperlink"/>
          </w:rPr>
          <w:t>trans</w:t>
        </w:r>
        <w:proofErr w:type="spellEnd"/>
        <w:r>
          <w:rPr>
            <w:rStyle w:val="Hyperlink"/>
          </w:rPr>
          <w:t xml:space="preserve"> figurant sur les étiquettes des denrées alimentaires par les consommateurs), </w:t>
        </w:r>
        <w:proofErr w:type="spellStart"/>
        <w:r>
          <w:rPr>
            <w:rStyle w:val="Hyperlink"/>
          </w:rPr>
          <w:t>MSc</w:t>
        </w:r>
        <w:proofErr w:type="spellEnd"/>
        <w:r>
          <w:rPr>
            <w:rStyle w:val="Hyperlink"/>
          </w:rPr>
          <w:t xml:space="preserve"> </w:t>
        </w:r>
        <w:proofErr w:type="spellStart"/>
        <w:r>
          <w:rPr>
            <w:rStyle w:val="Hyperlink"/>
          </w:rPr>
          <w:t>Thesis</w:t>
        </w:r>
        <w:proofErr w:type="spellEnd"/>
        <w:r>
          <w:rPr>
            <w:rStyle w:val="Hyperlink"/>
          </w:rPr>
          <w:t>, 2007.</w:t>
        </w:r>
      </w:hyperlink>
    </w:p>
  </w:footnote>
  <w:footnote w:id="28">
    <w:p w:rsidR="00A018F1" w:rsidRDefault="00E73400">
      <w:pPr>
        <w:pStyle w:val="FootnoteText"/>
        <w:rPr>
          <w:lang w:val="en-US"/>
        </w:rPr>
      </w:pPr>
      <w:r>
        <w:rPr>
          <w:rStyle w:val="FootnoteReference"/>
        </w:rPr>
        <w:footnoteRef/>
      </w:r>
      <w:r>
        <w:rPr>
          <w:lang w:val="en-US"/>
        </w:rPr>
        <w:t xml:space="preserve"> </w:t>
      </w:r>
      <w:hyperlink r:id="rId14">
        <w:proofErr w:type="spellStart"/>
        <w:r>
          <w:rPr>
            <w:rStyle w:val="Hyperlink"/>
            <w:lang w:val="en-US"/>
          </w:rPr>
          <w:t>Howlett</w:t>
        </w:r>
        <w:proofErr w:type="spellEnd"/>
        <w:r>
          <w:rPr>
            <w:rStyle w:val="Hyperlink"/>
            <w:lang w:val="en-US"/>
          </w:rPr>
          <w:t xml:space="preserve"> </w:t>
        </w:r>
        <w:r>
          <w:rPr>
            <w:rStyle w:val="Hyperlink"/>
            <w:i/>
            <w:lang w:val="en-US"/>
          </w:rPr>
          <w:t>et al</w:t>
        </w:r>
        <w:r>
          <w:rPr>
            <w:rStyle w:val="Hyperlink"/>
            <w:lang w:val="en-US"/>
          </w:rPr>
          <w:t xml:space="preserve">., </w:t>
        </w:r>
        <w:r>
          <w:rPr>
            <w:rStyle w:val="Hyperlink"/>
            <w:i/>
            <w:lang w:val="en-US"/>
          </w:rPr>
          <w:t xml:space="preserve">Journal of </w:t>
        </w:r>
        <w:r>
          <w:rPr>
            <w:rStyle w:val="Hyperlink"/>
            <w:i/>
            <w:lang w:val="en-US"/>
          </w:rPr>
          <w:t>Public Policy &amp; Marketing</w:t>
        </w:r>
        <w:r>
          <w:rPr>
            <w:rStyle w:val="Hyperlink"/>
            <w:lang w:val="en-US"/>
          </w:rPr>
          <w:t>, 2008</w:t>
        </w:r>
        <w:proofErr w:type="gramStart"/>
        <w:r>
          <w:rPr>
            <w:rStyle w:val="Hyperlink"/>
            <w:lang w:val="en-US"/>
          </w:rPr>
          <w:t>;27</w:t>
        </w:r>
        <w:proofErr w:type="gramEnd"/>
        <w:r>
          <w:rPr>
            <w:rStyle w:val="Hyperlink"/>
            <w:lang w:val="en-US"/>
          </w:rPr>
          <w:t>(1):83-97.</w:t>
        </w:r>
      </w:hyperlink>
    </w:p>
  </w:footnote>
  <w:footnote w:id="29">
    <w:p w:rsidR="00A018F1" w:rsidRDefault="00E73400">
      <w:pPr>
        <w:pStyle w:val="FootnoteText"/>
        <w:jc w:val="both"/>
      </w:pPr>
      <w:r>
        <w:rPr>
          <w:rStyle w:val="FootnoteReference"/>
        </w:rPr>
        <w:footnoteRef/>
      </w:r>
      <w:r>
        <w:t xml:space="preserve"> Par ajout des AGT aux nutriments visés à l’article 30, paragraphe 1, point b), du règlement (UE) nº 1169/2011, pour lesquels la déclaration serait obligatoire.</w:t>
      </w:r>
    </w:p>
  </w:footnote>
  <w:footnote w:id="30">
    <w:p w:rsidR="00A018F1" w:rsidRDefault="00E73400">
      <w:pPr>
        <w:pStyle w:val="FootnoteText"/>
        <w:jc w:val="both"/>
      </w:pPr>
      <w:r>
        <w:rPr>
          <w:rStyle w:val="FootnoteReference"/>
        </w:rPr>
        <w:footnoteRef/>
      </w:r>
      <w:r>
        <w:rPr>
          <w:rStyle w:val="FootnoteReference1"/>
          <w:vertAlign w:val="baseline"/>
        </w:rPr>
        <w:t xml:space="preserve"> </w:t>
      </w:r>
      <w:r>
        <w:t xml:space="preserve">Dans l’hypothèse de l’application de la limite </w:t>
      </w:r>
      <w:r>
        <w:t>aux AGT d’origine industrielle dans les matières premières utilisées pour la production de denrées alimentaires et/ou les produits finaux.</w:t>
      </w:r>
    </w:p>
  </w:footnote>
  <w:footnote w:id="31">
    <w:p w:rsidR="00A018F1" w:rsidRDefault="00E73400">
      <w:pPr>
        <w:pStyle w:val="FootnoteText"/>
        <w:jc w:val="both"/>
      </w:pPr>
      <w:r>
        <w:rPr>
          <w:rStyle w:val="FootnoteReference"/>
        </w:rPr>
        <w:footnoteRef/>
      </w:r>
      <w:r>
        <w:rPr>
          <w:rStyle w:val="FootnoteReference1"/>
          <w:vertAlign w:val="baseline"/>
        </w:rPr>
        <w:t xml:space="preserve"> </w:t>
      </w:r>
      <w:r>
        <w:t>Dans l’hypothèse d’une absence de mesure relative aux AGT à l’échelle de l’UE; les mesures se limitent à de l’autor</w:t>
      </w:r>
      <w:r>
        <w:t>églementation et à des mesures prises à l’échelle nationale ou régionale, y compris des accords de reformulation avec les exploitants du secteur alimentaire.</w:t>
      </w:r>
    </w:p>
  </w:footnote>
  <w:footnote w:id="32">
    <w:p w:rsidR="00A018F1" w:rsidRDefault="00E73400">
      <w:pPr>
        <w:pStyle w:val="FootnoteText"/>
        <w:rPr>
          <w:lang w:val="en-US"/>
        </w:rPr>
      </w:pPr>
      <w:r>
        <w:rPr>
          <w:rStyle w:val="FootnoteReference"/>
        </w:rPr>
        <w:footnoteRef/>
      </w:r>
      <w:r>
        <w:rPr>
          <w:lang w:val="en-US"/>
        </w:rPr>
        <w:t xml:space="preserve"> </w:t>
      </w:r>
      <w:hyperlink r:id="rId15">
        <w:proofErr w:type="gramStart"/>
        <w:r>
          <w:rPr>
            <w:rStyle w:val="Hyperlink"/>
            <w:noProof/>
            <w:kern w:val="28"/>
            <w:lang w:val="en-US"/>
          </w:rPr>
          <w:t xml:space="preserve">Downs S </w:t>
        </w:r>
        <w:r>
          <w:rPr>
            <w:rStyle w:val="Hyperlink"/>
            <w:i/>
            <w:lang w:val="en-US"/>
          </w:rPr>
          <w:t>et al</w:t>
        </w:r>
        <w:r>
          <w:rPr>
            <w:rStyle w:val="Hyperlink"/>
            <w:noProof/>
            <w:kern w:val="28"/>
            <w:lang w:val="en-US"/>
          </w:rPr>
          <w:t xml:space="preserve">., </w:t>
        </w:r>
        <w:r>
          <w:rPr>
            <w:rStyle w:val="Hyperlink"/>
            <w:i/>
            <w:noProof/>
            <w:kern w:val="28"/>
            <w:lang w:val="en-US"/>
          </w:rPr>
          <w:t>Bull W</w:t>
        </w:r>
        <w:r>
          <w:rPr>
            <w:rStyle w:val="Hyperlink"/>
            <w:i/>
            <w:noProof/>
            <w:kern w:val="28"/>
            <w:lang w:val="en-US"/>
          </w:rPr>
          <w:t>orld Health Organ.</w:t>
        </w:r>
        <w:r>
          <w:rPr>
            <w:rStyle w:val="Hyperlink"/>
            <w:noProof/>
            <w:kern w:val="28"/>
            <w:lang w:val="en-US"/>
          </w:rPr>
          <w:t>, 2013;91:262-9.</w:t>
        </w:r>
        <w:proofErr w:type="gramEnd"/>
      </w:hyperlink>
    </w:p>
  </w:footnote>
  <w:footnote w:id="33">
    <w:p w:rsidR="00A018F1" w:rsidRDefault="00E73400">
      <w:pPr>
        <w:pStyle w:val="FootnoteText"/>
        <w:jc w:val="both"/>
        <w:rPr>
          <w:lang w:val="en-US"/>
        </w:rPr>
      </w:pPr>
      <w:r>
        <w:rPr>
          <w:rStyle w:val="FootnoteReference"/>
        </w:rPr>
        <w:footnoteRef/>
      </w:r>
      <w:r>
        <w:rPr>
          <w:lang w:val="en-US"/>
        </w:rPr>
        <w:t xml:space="preserve"> </w:t>
      </w:r>
      <w:r>
        <w:fldChar w:fldCharType="begin"/>
      </w:r>
      <w:r w:rsidRPr="00E73400">
        <w:rPr>
          <w:lang w:val="en-US"/>
        </w:rPr>
        <w:instrText xml:space="preserve"> HYPERLINK "http://dx.doi.org/%2010.1001/jama.2012.112" \h </w:instrText>
      </w:r>
      <w:r>
        <w:fldChar w:fldCharType="separate"/>
      </w:r>
      <w:r>
        <w:rPr>
          <w:rStyle w:val="Hyperlink"/>
          <w:lang w:val="en-US"/>
        </w:rPr>
        <w:t xml:space="preserve">Vesper </w:t>
      </w:r>
      <w:r>
        <w:rPr>
          <w:rStyle w:val="Hyperlink"/>
          <w:i/>
          <w:lang w:val="en-US"/>
        </w:rPr>
        <w:t>et al</w:t>
      </w:r>
      <w:r>
        <w:rPr>
          <w:rStyle w:val="Hyperlink"/>
          <w:lang w:val="en-US"/>
        </w:rPr>
        <w:t xml:space="preserve">., </w:t>
      </w:r>
      <w:proofErr w:type="gramStart"/>
      <w:r>
        <w:rPr>
          <w:rStyle w:val="Hyperlink"/>
          <w:i/>
          <w:lang w:val="en-US"/>
        </w:rPr>
        <w:t>JAMA.</w:t>
      </w:r>
      <w:r>
        <w:rPr>
          <w:rStyle w:val="Hyperlink"/>
          <w:lang w:val="en-US"/>
        </w:rPr>
        <w:t>,</w:t>
      </w:r>
      <w:proofErr w:type="gramEnd"/>
      <w:r>
        <w:rPr>
          <w:rStyle w:val="Hyperlink"/>
          <w:lang w:val="en-US"/>
        </w:rPr>
        <w:t xml:space="preserve"> 2012;307(6):562-3.</w:t>
      </w:r>
      <w:r>
        <w:rPr>
          <w:rStyle w:val="Hyperlink"/>
          <w:lang w:val="en-US"/>
        </w:rPr>
        <w:fldChar w:fldCharType="end"/>
      </w:r>
    </w:p>
  </w:footnote>
  <w:footnote w:id="34">
    <w:p w:rsidR="00A018F1" w:rsidRDefault="00E73400">
      <w:pPr>
        <w:pStyle w:val="FootnoteText"/>
        <w:jc w:val="both"/>
        <w:rPr>
          <w:lang w:val="en-US"/>
        </w:rPr>
      </w:pPr>
      <w:r>
        <w:fldChar w:fldCharType="begin"/>
      </w:r>
      <w:r w:rsidRPr="00E73400">
        <w:rPr>
          <w:lang w:val="en-US"/>
        </w:rPr>
        <w:instrText xml:space="preserve"> HYPERLINK "http://dx.doi.org/%2010.3945/ajcn.113.078352" \h </w:instrText>
      </w:r>
      <w:r>
        <w:fldChar w:fldCharType="separate"/>
      </w:r>
      <w:r>
        <w:rPr>
          <w:rStyle w:val="Hyperlink"/>
          <w:vertAlign w:val="superscript"/>
        </w:rPr>
        <w:footnoteRef/>
      </w:r>
      <w:r>
        <w:rPr>
          <w:rStyle w:val="Hyperlink"/>
          <w:lang w:val="en-US"/>
        </w:rPr>
        <w:t xml:space="preserve"> </w:t>
      </w:r>
      <w:proofErr w:type="spellStart"/>
      <w:r>
        <w:rPr>
          <w:rStyle w:val="Hyperlink"/>
          <w:lang w:val="en-US"/>
        </w:rPr>
        <w:t>Ratnayake</w:t>
      </w:r>
      <w:proofErr w:type="spellEnd"/>
      <w:r>
        <w:rPr>
          <w:rStyle w:val="Hyperlink"/>
          <w:lang w:val="en-US"/>
        </w:rPr>
        <w:t xml:space="preserve"> </w:t>
      </w:r>
      <w:r>
        <w:rPr>
          <w:rStyle w:val="Hyperlink"/>
          <w:i/>
          <w:lang w:val="en-US"/>
        </w:rPr>
        <w:t>et al.</w:t>
      </w:r>
      <w:r>
        <w:rPr>
          <w:rStyle w:val="Hyperlink"/>
          <w:lang w:val="en-US"/>
        </w:rPr>
        <w:t xml:space="preserve">, </w:t>
      </w:r>
      <w:r>
        <w:rPr>
          <w:rStyle w:val="Hyperlink"/>
          <w:i/>
          <w:lang w:val="en-US"/>
        </w:rPr>
        <w:t xml:space="preserve">Am J </w:t>
      </w:r>
      <w:proofErr w:type="spellStart"/>
      <w:r>
        <w:rPr>
          <w:rStyle w:val="Hyperlink"/>
          <w:i/>
          <w:lang w:val="en-US"/>
        </w:rPr>
        <w:t>Clin</w:t>
      </w:r>
      <w:proofErr w:type="spellEnd"/>
      <w:r>
        <w:rPr>
          <w:rStyle w:val="Hyperlink"/>
          <w:i/>
          <w:lang w:val="en-US"/>
        </w:rPr>
        <w:t xml:space="preserve"> </w:t>
      </w:r>
      <w:proofErr w:type="spellStart"/>
      <w:r>
        <w:rPr>
          <w:rStyle w:val="Hyperlink"/>
          <w:i/>
          <w:lang w:val="en-US"/>
        </w:rPr>
        <w:t>Nutr</w:t>
      </w:r>
      <w:proofErr w:type="spellEnd"/>
      <w:r>
        <w:rPr>
          <w:rStyle w:val="Hyperlink"/>
          <w:i/>
          <w:lang w:val="en-US"/>
        </w:rPr>
        <w:t>.</w:t>
      </w:r>
      <w:r>
        <w:rPr>
          <w:rStyle w:val="Hyperlink"/>
          <w:lang w:val="en-US"/>
        </w:rPr>
        <w:t>, 2014</w:t>
      </w:r>
      <w:proofErr w:type="gramStart"/>
      <w:r>
        <w:rPr>
          <w:rStyle w:val="Hyperlink"/>
          <w:lang w:val="en-US"/>
        </w:rPr>
        <w:t>;100</w:t>
      </w:r>
      <w:proofErr w:type="gramEnd"/>
      <w:r>
        <w:rPr>
          <w:rStyle w:val="Hyperlink"/>
          <w:lang w:val="en-US"/>
        </w:rPr>
        <w:t>(4):103</w:t>
      </w:r>
      <w:r>
        <w:rPr>
          <w:rStyle w:val="Hyperlink"/>
          <w:lang w:val="en-US"/>
        </w:rPr>
        <w:t>6-40.</w:t>
      </w:r>
      <w:r>
        <w:rPr>
          <w:rStyle w:val="Hyperlink"/>
          <w:lang w:val="en-US"/>
        </w:rPr>
        <w:fldChar w:fldCharType="end"/>
      </w:r>
    </w:p>
  </w:footnote>
  <w:footnote w:id="35">
    <w:p w:rsidR="00A018F1" w:rsidRDefault="00E73400">
      <w:pPr>
        <w:pStyle w:val="FootnoteText"/>
        <w:rPr>
          <w:lang w:val="en-US"/>
        </w:rPr>
      </w:pPr>
      <w:r>
        <w:rPr>
          <w:rStyle w:val="FootnoteReference"/>
        </w:rPr>
        <w:footnoteRef/>
      </w:r>
      <w:r>
        <w:rPr>
          <w:lang w:val="en-US"/>
        </w:rPr>
        <w:t xml:space="preserve"> </w:t>
      </w:r>
      <w:hyperlink r:id="rId16">
        <w:r>
          <w:rPr>
            <w:rStyle w:val="Hyperlink"/>
            <w:lang w:val="en-US"/>
          </w:rPr>
          <w:t xml:space="preserve">O’Flaherty </w:t>
        </w:r>
        <w:r>
          <w:rPr>
            <w:rStyle w:val="Hyperlink"/>
            <w:i/>
            <w:lang w:val="en-US"/>
          </w:rPr>
          <w:t>et al</w:t>
        </w:r>
        <w:r>
          <w:rPr>
            <w:rStyle w:val="Hyperlink"/>
            <w:lang w:val="en-US"/>
          </w:rPr>
          <w:t xml:space="preserve">., </w:t>
        </w:r>
        <w:r>
          <w:rPr>
            <w:rStyle w:val="Hyperlink"/>
            <w:i/>
            <w:lang w:val="en-US"/>
          </w:rPr>
          <w:t xml:space="preserve">Bull World Health </w:t>
        </w:r>
        <w:proofErr w:type="gramStart"/>
        <w:r>
          <w:rPr>
            <w:rStyle w:val="Hyperlink"/>
            <w:i/>
            <w:lang w:val="en-US"/>
          </w:rPr>
          <w:t>Organ.</w:t>
        </w:r>
        <w:r>
          <w:rPr>
            <w:rStyle w:val="Hyperlink"/>
            <w:lang w:val="en-US"/>
          </w:rPr>
          <w:t>,</w:t>
        </w:r>
        <w:proofErr w:type="gramEnd"/>
        <w:r>
          <w:rPr>
            <w:rStyle w:val="Hyperlink"/>
            <w:lang w:val="en-US"/>
          </w:rPr>
          <w:t xml:space="preserve"> 2012;90:522-31.</w:t>
        </w:r>
      </w:hyperlink>
    </w:p>
  </w:footnote>
  <w:footnote w:id="36">
    <w:p w:rsidR="00A018F1" w:rsidRDefault="00E73400">
      <w:pPr>
        <w:pStyle w:val="FootnoteText"/>
      </w:pPr>
      <w:r>
        <w:rPr>
          <w:rStyle w:val="FootnoteReference"/>
        </w:rPr>
        <w:footnoteRef/>
      </w:r>
      <w:r>
        <w:t xml:space="preserve"> </w:t>
      </w:r>
      <w:hyperlink r:id="rId17">
        <w:r>
          <w:rPr>
            <w:rStyle w:val="Hyperlink"/>
          </w:rPr>
          <w:t>Bruns R. «</w:t>
        </w:r>
        <w:proofErr w:type="spellStart"/>
        <w:r>
          <w:rPr>
            <w:rStyle w:val="Hyperlink"/>
          </w:rPr>
          <w:t>Estimate</w:t>
        </w:r>
        <w:proofErr w:type="spellEnd"/>
        <w:r>
          <w:rPr>
            <w:rStyle w:val="Hyperlink"/>
          </w:rPr>
          <w:t xml:space="preserve"> of </w:t>
        </w:r>
        <w:proofErr w:type="spellStart"/>
        <w:r>
          <w:rPr>
            <w:rStyle w:val="Hyperlink"/>
          </w:rPr>
          <w:t>Cost</w:t>
        </w:r>
        <w:proofErr w:type="spellEnd"/>
        <w:r>
          <w:rPr>
            <w:rStyle w:val="Hyperlink"/>
          </w:rPr>
          <w:t xml:space="preserve"> and </w:t>
        </w:r>
        <w:proofErr w:type="spellStart"/>
        <w:r>
          <w:rPr>
            <w:rStyle w:val="Hyperlink"/>
          </w:rPr>
          <w:t>Benefits</w:t>
        </w:r>
        <w:proofErr w:type="spellEnd"/>
        <w:r>
          <w:rPr>
            <w:rStyle w:val="Hyperlink"/>
          </w:rPr>
          <w:t xml:space="preserve"> </w:t>
        </w:r>
        <w:proofErr w:type="spellStart"/>
        <w:r>
          <w:rPr>
            <w:rStyle w:val="Hyperlink"/>
          </w:rPr>
          <w:t>Partially</w:t>
        </w:r>
        <w:proofErr w:type="spellEnd"/>
        <w:r>
          <w:rPr>
            <w:rStyle w:val="Hyperlink"/>
          </w:rPr>
          <w:t xml:space="preserve"> </w:t>
        </w:r>
        <w:proofErr w:type="spellStart"/>
        <w:r>
          <w:rPr>
            <w:rStyle w:val="Hyperlink"/>
          </w:rPr>
          <w:t>Hydrogenated</w:t>
        </w:r>
        <w:proofErr w:type="spellEnd"/>
        <w:r>
          <w:rPr>
            <w:rStyle w:val="Hyperlink"/>
          </w:rPr>
          <w:t xml:space="preserve"> </w:t>
        </w:r>
        <w:proofErr w:type="spellStart"/>
        <w:r>
          <w:rPr>
            <w:rStyle w:val="Hyperlink"/>
          </w:rPr>
          <w:t>Oils</w:t>
        </w:r>
        <w:proofErr w:type="spellEnd"/>
        <w:r>
          <w:rPr>
            <w:rStyle w:val="Hyperlink"/>
          </w:rPr>
          <w:t>» (estimations des coûts et des bénéfices concernant les huiles partiellement hydrogénées), mémorandum, 5 novembre 2013.</w:t>
        </w:r>
      </w:hyperlink>
    </w:p>
  </w:footnote>
  <w:footnote w:id="37">
    <w:p w:rsidR="00A018F1" w:rsidRDefault="00E73400">
      <w:pPr>
        <w:pStyle w:val="FootnoteText"/>
        <w:jc w:val="both"/>
      </w:pPr>
      <w:r>
        <w:rPr>
          <w:rStyle w:val="FootnoteReference"/>
        </w:rPr>
        <w:footnoteRef/>
      </w:r>
      <w:r>
        <w:t xml:space="preserve"> </w:t>
      </w:r>
      <w:hyperlink r:id="rId18">
        <w:proofErr w:type="spellStart"/>
        <w:r>
          <w:rPr>
            <w:rStyle w:val="Hyperlink"/>
          </w:rPr>
          <w:t>Mozaffarian</w:t>
        </w:r>
        <w:proofErr w:type="spellEnd"/>
        <w:r>
          <w:rPr>
            <w:rStyle w:val="Hyperlink"/>
          </w:rPr>
          <w:t xml:space="preserve"> </w:t>
        </w:r>
        <w:r>
          <w:rPr>
            <w:rStyle w:val="Hyperlink"/>
            <w:i/>
          </w:rPr>
          <w:t>et al</w:t>
        </w:r>
        <w:r>
          <w:rPr>
            <w:rStyle w:val="Hyperlink"/>
          </w:rPr>
          <w:t xml:space="preserve">., </w:t>
        </w:r>
        <w:r>
          <w:rPr>
            <w:rStyle w:val="Hyperlink"/>
            <w:i/>
          </w:rPr>
          <w:t xml:space="preserve">N </w:t>
        </w:r>
        <w:proofErr w:type="spellStart"/>
        <w:r>
          <w:rPr>
            <w:rStyle w:val="Hyperlink"/>
            <w:i/>
          </w:rPr>
          <w:t>Engl</w:t>
        </w:r>
        <w:proofErr w:type="spellEnd"/>
        <w:r>
          <w:rPr>
            <w:rStyle w:val="Hyperlink"/>
            <w:i/>
          </w:rPr>
          <w:t xml:space="preserve"> J Med.</w:t>
        </w:r>
        <w:r>
          <w:rPr>
            <w:rStyle w:val="Hyperlink"/>
          </w:rPr>
          <w:t>, 2010;362:2037-9</w:t>
        </w:r>
      </w:hyperlink>
      <w:r>
        <w:rPr>
          <w:rStyle w:val="Hyperlink"/>
        </w:rPr>
        <w:t xml:space="preserve"> (et références citées)</w:t>
      </w:r>
      <w:r>
        <w:t>.</w:t>
      </w:r>
    </w:p>
  </w:footnote>
  <w:footnote w:id="38">
    <w:p w:rsidR="00A018F1" w:rsidRDefault="00E73400">
      <w:pPr>
        <w:pStyle w:val="FootnoteText"/>
      </w:pPr>
      <w:r>
        <w:rPr>
          <w:rStyle w:val="FootnoteReference"/>
        </w:rPr>
        <w:footnoteRef/>
      </w:r>
      <w:r>
        <w:t xml:space="preserve"> </w:t>
      </w:r>
      <w:hyperlink r:id="rId19">
        <w:r>
          <w:rPr>
            <w:rStyle w:val="Hyperlink"/>
          </w:rPr>
          <w:t>Journal de l’EFSA, 2010;8(3):1461.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F1" w:rsidRDefault="00A018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rsidR="00A018F1">
      <w:tc>
        <w:tcPr>
          <w:tcW w:w="212" w:type="pct"/>
          <w:tcBorders>
            <w:bottom w:val="nil"/>
            <w:right w:val="single" w:sz="4" w:space="0" w:color="BFBFBF"/>
          </w:tcBorders>
        </w:tcPr>
        <w:p w:rsidR="00A018F1" w:rsidRDefault="00A018F1">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rsidR="00A018F1" w:rsidRDefault="00A018F1">
          <w:pPr>
            <w:spacing w:after="0" w:line="240" w:lineRule="auto"/>
            <w:rPr>
              <w:rFonts w:ascii="Calibri" w:eastAsia="Cambria" w:hAnsi="Calibri"/>
              <w:color w:val="595959" w:themeColor="text1" w:themeTint="A6"/>
              <w:sz w:val="24"/>
              <w:szCs w:val="24"/>
            </w:rPr>
          </w:pPr>
        </w:p>
      </w:tc>
    </w:tr>
  </w:tbl>
  <w:p w:rsidR="00A018F1" w:rsidRDefault="00A0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F3A83998"/>
    <w:lvl w:ilvl="0" w:tplc="41B087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FigNum" w:val="1"/>
    <w:docVar w:name="LW_CONFIDENCE" w:val=" "/>
    <w:docVar w:name="LW_CONST_RESTREINT_UE" w:val="RESTREINT UE"/>
    <w:docVar w:name="LW_CORRIGENDUM" w:val="&lt;UNUSED&gt;"/>
    <w:docVar w:name="LW_COVERPAGE_GUID" w:val="DCD92644D8A5460B8906EE11F97F5EAF"/>
    <w:docVar w:name="LW_CROSSREFERENCE" w:val="{SWD(2015) 268 final}"/>
    <w:docVar w:name="LW_DocType" w:val="NORMAL"/>
    <w:docVar w:name="LW_EMISSION" w:val="3.12.2015"/>
    <w:docVar w:name="LW_EMISSION_ISODATE" w:val="2015-12-03"/>
    <w:docVar w:name="LW_EMISSION_LOCATION" w:val="BRX"/>
    <w:docVar w:name="LW_EMISSION_PREFIX" w:val="Bruxelles, le "/>
    <w:docVar w:name="LW_EMISSION_SUFFIX" w:val=" "/>
    <w:docVar w:name="LW_ID_DOCTYPE_NONLW" w:val="CP-006"/>
    <w:docVar w:name="LW_LANGUE" w:val="FR"/>
    <w:docVar w:name="LW_MARKING" w:val="&lt;UNUSED&g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en ce qui concerne les acides gras trans dans les denrées alimentaires et, de manière générale, dans le régime alimentaire de la population de l\u8217?Union"/>
    <w:docVar w:name="LW_TYPE.DOC.CP" w:val="RAPPORT DE LA COMMISSION AU PARLEMENT EUROPÉEN ET AU CONSEIL"/>
  </w:docVars>
  <w:rsids>
    <w:rsidRoot w:val="00A018F1"/>
    <w:rsid w:val="00A018F1"/>
    <w:rsid w:val="00E73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fr-FR"/>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fr-FR"/>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fr-FR"/>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fr-FR"/>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fr-FR"/>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fr-FR"/>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1056/NEJMc1001841" TargetMode="External"/><Relationship Id="rId3" Type="http://schemas.openxmlformats.org/officeDocument/2006/relationships/hyperlink" Target="http://dx.doi.org/10.1038/sj.ejcn.1602973" TargetMode="External"/><Relationship Id="rId7" Type="http://schemas.openxmlformats.org/officeDocument/2006/relationships/hyperlink" Target="http://eur-lex.europa.eu/LexUriServ/LexUriServ.do?uri=OJ:L:2002:031:0001:0024:FR:PDF"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www.regulations.gov/contentStreamer?objectId=0900006481474a7e&amp;disposition=attachment&amp;contentType=pdf" TargetMode="External"/><Relationship Id="rId2" Type="http://schemas.openxmlformats.org/officeDocument/2006/relationships/hyperlink" Target="http://eur-lex.europa.eu/LexUriServ/LexUriServ.do?uri=OJ:L:2011:304:0018:0063:FR:PDF" TargetMode="External"/><Relationship Id="rId16" Type="http://schemas.openxmlformats.org/officeDocument/2006/relationships/hyperlink" Target="http://dx.doi.org/%2010.2471/BLT.11.092643" TargetMode="External"/><Relationship Id="rId1" Type="http://schemas.openxmlformats.org/officeDocument/2006/relationships/hyperlink" Target="http://eur-lex.europa.eu/LexUriServ/LexUriServ.do?uri=OJ:L:2011:304:0018:0063:FR:PDF" TargetMode="External"/><Relationship Id="rId6" Type="http://schemas.openxmlformats.org/officeDocument/2006/relationships/hyperlink" Target="http://eur-lex.europa.eu/LexUriServ/LexUriServ.do?uri=OJ:L:2006:401:0001:0033:FR: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dx.doi.org/10.2903/j.efsa.2010.1461"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32C2-8CB3-47CD-B85C-45F9A266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6717</Words>
  <Characters>36072</Characters>
  <Application>Microsoft Office Word</Application>
  <DocSecurity>0</DocSecurity>
  <Lines>680</Lines>
  <Paragraphs>336</Paragraphs>
  <ScaleCrop>false</ScaleCrop>
  <HeadingPairs>
    <vt:vector size="2" baseType="variant">
      <vt:variant>
        <vt:lpstr>Title</vt:lpstr>
      </vt:variant>
      <vt:variant>
        <vt:i4>1</vt:i4>
      </vt:variant>
    </vt:vector>
  </HeadingPairs>
  <TitlesOfParts>
    <vt:vector size="1" baseType="lpstr">
      <vt:lpstr>SANTE/11129/2015-EN Rev. 1</vt:lpstr>
    </vt:vector>
  </TitlesOfParts>
  <Manager/>
  <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1</dc:title>
  <dc:subject>REPORT</dc:subject>
  <dc:creator/>
  <cp:keywords>11129</cp:keywords>
  <dc:description>Outlook 16.11.2015</dc:description>
  <cp:lastModifiedBy>JANSEN Colette (SG)</cp:lastModifiedBy>
  <cp:revision>52</cp:revision>
  <cp:lastPrinted>2015-12-01T17:01:00Z</cp:lastPrinted>
  <dcterms:created xsi:type="dcterms:W3CDTF">2015-11-18T08:21:00Z</dcterms:created>
  <dcterms:modified xsi:type="dcterms:W3CDTF">2015-12-01T17:12:00Z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