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AB972A9BF874EF7BEB002745B3D7275" style="width:450.4pt;height:425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jc w:val="center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lastRenderedPageBreak/>
        <w:t>PŘÍLOHA I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POŽADAVKY NA PŘÍSTUPNOST UVEDENÉ V ČLÁNKU 3 PRO VÝROBKY A SLUŽBY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150"/>
      </w:tblGrid>
      <w:tr>
        <w:trPr>
          <w:trHeight w:val="454"/>
        </w:trP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VÝROBKY A SLUŽBY</w:t>
            </w:r>
          </w:p>
        </w:tc>
        <w:tc>
          <w:tcPr>
            <w:tcW w:w="7150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POŽADAVKY NA PŘÍSTUPNOST</w:t>
            </w:r>
          </w:p>
        </w:tc>
      </w:tr>
      <w:tr>
        <w:trPr>
          <w:trHeight w:val="454"/>
        </w:trP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ODDÍL I</w:t>
            </w:r>
          </w:p>
          <w:p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Technické vybavení počítačů a operační systémy pro všeobecné účely</w:t>
            </w:r>
          </w:p>
        </w:tc>
        <w:tc>
          <w:tcPr>
            <w:tcW w:w="7150" w:type="dxa"/>
            <w:shd w:val="clear" w:color="auto" w:fill="auto"/>
          </w:tcPr>
          <w:p>
            <w:pPr>
              <w:ind w:left="600" w:hanging="600"/>
              <w:rPr>
                <w:noProof/>
              </w:rPr>
            </w:pPr>
            <w:r>
              <w:rPr>
                <w:b/>
                <w:noProof/>
              </w:rPr>
              <w:t>1. Návrh a výroba:</w:t>
            </w:r>
            <w:r>
              <w:rPr>
                <w:noProof/>
              </w:rPr>
              <w:t xml:space="preserve">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výrobků pro osoby s funkčním omezením, včetně osob se zdravotním postižením a osob s omezením souvisejícím s věkem, musí být výrobky navrhovány a vyráběny tak, aby zpřístupňovaly tyto prvky: </w:t>
            </w:r>
          </w:p>
          <w:p>
            <w:pPr>
              <w:numPr>
                <w:ilvl w:val="0"/>
                <w:numId w:val="11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informace o použití výrobku na samotném výrobku (označení na obalu, návod, varování), které:</w:t>
            </w:r>
          </w:p>
          <w:p>
            <w:pPr>
              <w:numPr>
                <w:ilvl w:val="3"/>
                <w:numId w:val="12"/>
              </w:numPr>
              <w:ind w:left="2160" w:hanging="480"/>
              <w:rPr>
                <w:noProof/>
              </w:rPr>
            </w:pPr>
            <w:r>
              <w:rPr>
                <w:noProof/>
              </w:rPr>
              <w:t>musí být dostupné prostřednictvím více než jednoho senzorického kanálu,</w:t>
            </w:r>
          </w:p>
          <w:p>
            <w:pPr>
              <w:numPr>
                <w:ilvl w:val="3"/>
                <w:numId w:val="12"/>
              </w:numPr>
              <w:ind w:left="2160" w:hanging="480"/>
              <w:rPr>
                <w:noProof/>
              </w:rPr>
            </w:pPr>
            <w:r>
              <w:rPr>
                <w:noProof/>
              </w:rPr>
              <w:t>musí být srozumitelné,</w:t>
            </w:r>
          </w:p>
          <w:p>
            <w:pPr>
              <w:numPr>
                <w:ilvl w:val="3"/>
                <w:numId w:val="12"/>
              </w:numPr>
              <w:ind w:left="2160" w:hanging="480"/>
              <w:rPr>
                <w:noProof/>
              </w:rPr>
            </w:pPr>
            <w:r>
              <w:rPr>
                <w:noProof/>
              </w:rPr>
              <w:t xml:space="preserve">musí být vnímatelné, </w:t>
            </w:r>
          </w:p>
          <w:p>
            <w:pPr>
              <w:numPr>
                <w:ilvl w:val="3"/>
                <w:numId w:val="12"/>
              </w:numPr>
              <w:ind w:left="2160" w:hanging="480"/>
              <w:rPr>
                <w:noProof/>
              </w:rPr>
            </w:pPr>
            <w:r>
              <w:rPr>
                <w:noProof/>
              </w:rPr>
              <w:t xml:space="preserve">musí mít odpovídající velikost písma za předvídatelných podmínek použití; </w:t>
            </w:r>
          </w:p>
          <w:p>
            <w:pPr>
              <w:numPr>
                <w:ilvl w:val="0"/>
                <w:numId w:val="11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obal výrobku včetně informací zde uvedených (otevření, uzavření, použití, likvidace);</w:t>
            </w:r>
          </w:p>
          <w:p>
            <w:pPr>
              <w:numPr>
                <w:ilvl w:val="0"/>
                <w:numId w:val="11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návod k použití výrobku, k jeho instalaci a údržbě, skladování a likvidaci, který musí splňovat tyto podmínky: </w:t>
            </w:r>
          </w:p>
          <w:p>
            <w:pPr>
              <w:numPr>
                <w:ilvl w:val="3"/>
                <w:numId w:val="13"/>
              </w:numPr>
              <w:ind w:left="2160" w:hanging="480"/>
              <w:rPr>
                <w:noProof/>
              </w:rPr>
            </w:pPr>
            <w:r>
              <w:rPr>
                <w:noProof/>
              </w:rPr>
              <w:t>obsah návodu musí být dostupný v textových formátech, které lze použít k vytvoření alternativních asistivních formátů použitelných různými způsoby a prostřednictvím více než jednoho senzorického kanálu, a</w:t>
            </w:r>
          </w:p>
          <w:p>
            <w:pPr>
              <w:numPr>
                <w:ilvl w:val="3"/>
                <w:numId w:val="13"/>
              </w:numPr>
              <w:ind w:left="2160" w:hanging="480"/>
              <w:rPr>
                <w:noProof/>
              </w:rPr>
            </w:pPr>
            <w:r>
              <w:rPr>
                <w:noProof/>
              </w:rPr>
              <w:t xml:space="preserve">návod musí obsahovat alternativy k netextovému obsahu; </w:t>
            </w:r>
          </w:p>
          <w:p>
            <w:pPr>
              <w:numPr>
                <w:ilvl w:val="0"/>
                <w:numId w:val="11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uživatelské rozhraní výrobku (manipulace, kontroly a zpětné vazby, vstupy a výstupy) v souladu s bodem 2;</w:t>
            </w:r>
          </w:p>
          <w:p>
            <w:pPr>
              <w:numPr>
                <w:ilvl w:val="0"/>
                <w:numId w:val="11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funkčnost výrobku odpovídající potřebám osob s funkčním omezením v souladu s odstavcem 2; </w:t>
            </w:r>
          </w:p>
          <w:p>
            <w:pPr>
              <w:numPr>
                <w:ilvl w:val="0"/>
                <w:numId w:val="11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propojení výrobku s kompenzačními pomůckami.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>
            <w:pPr>
              <w:ind w:left="567" w:hanging="567"/>
              <w:rPr>
                <w:b/>
                <w:noProof/>
              </w:rPr>
            </w:pPr>
            <w:r>
              <w:rPr>
                <w:b/>
                <w:noProof/>
              </w:rPr>
              <w:t xml:space="preserve">2. Návrh uživatelského rozhraní a funkčnosti: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Za účelem zajištění přístupnosti musí návrh funkčnosti a uživatelského rozhraní výrobků podle bodu 1 písm. d) a e), pokud je to třeba, splňovat tyto požadavky: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hanging="720"/>
              <w:rPr>
                <w:noProof/>
              </w:rPr>
            </w:pPr>
            <w:r>
              <w:rPr>
                <w:noProof/>
              </w:rPr>
              <w:lastRenderedPageBreak/>
              <w:t>komunikace a orientace prostřednictvím více než jednoho senzorického kanálu;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hanging="720"/>
              <w:rPr>
                <w:noProof/>
              </w:rPr>
            </w:pPr>
            <w:r>
              <w:rPr>
                <w:noProof/>
              </w:rPr>
              <w:t xml:space="preserve">alternativy k řečové komunikaci a orientaci; 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hanging="720"/>
              <w:rPr>
                <w:noProof/>
              </w:rPr>
            </w:pPr>
            <w:r>
              <w:rPr>
                <w:noProof/>
              </w:rPr>
              <w:t>variabilní nastavení velikosti a kontrastu;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hanging="720"/>
              <w:rPr>
                <w:noProof/>
              </w:rPr>
            </w:pPr>
            <w:r>
              <w:rPr>
                <w:noProof/>
              </w:rPr>
              <w:t>použití alternativní barvy u sdělovaných informací;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flexibilní způsoby umožňující rozlišit a oddělit zvuky v popředí od zvuků na pozadí, včetně možnosti snížit hluk na pozadí a zlepšit srozumitelnost; 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hanging="720"/>
              <w:rPr>
                <w:noProof/>
              </w:rPr>
            </w:pPr>
            <w:r>
              <w:rPr>
                <w:noProof/>
              </w:rPr>
              <w:t>možnost ovládat hlasitost;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hanging="720"/>
              <w:rPr>
                <w:noProof/>
              </w:rPr>
            </w:pPr>
            <w:r>
              <w:rPr>
                <w:noProof/>
              </w:rPr>
              <w:t>postupné ovládání a alternativy k ovládání využívajícímu jemnou motoriku;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hanging="720"/>
              <w:rPr>
                <w:noProof/>
              </w:rPr>
            </w:pPr>
            <w:r>
              <w:rPr>
                <w:noProof/>
              </w:rPr>
              <w:t>funkční režimy s omezeným dosahem a silou;</w:t>
            </w:r>
          </w:p>
          <w:p>
            <w:pPr>
              <w:numPr>
                <w:ilvl w:val="0"/>
                <w:numId w:val="10"/>
              </w:numPr>
              <w:tabs>
                <w:tab w:val="left" w:pos="1200"/>
              </w:tabs>
              <w:ind w:hanging="720"/>
              <w:rPr>
                <w:noProof/>
              </w:rPr>
            </w:pPr>
            <w:r>
              <w:rPr>
                <w:noProof/>
              </w:rPr>
              <w:t xml:space="preserve">možnost zabránit spuštění fotosenzitivních reakcí. </w:t>
            </w:r>
          </w:p>
          <w:p>
            <w:pPr>
              <w:spacing w:after="60"/>
              <w:rPr>
                <w:b/>
                <w:noProof/>
              </w:rPr>
            </w:pPr>
          </w:p>
        </w:tc>
      </w:tr>
      <w:t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ODDÍL II</w:t>
            </w:r>
          </w:p>
          <w:p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Samoobslužné terminály: automatické bankovní stroje (bankomaty), stroje pro výdej lístků a jízdenek a odbavovací kiosky</w:t>
            </w:r>
          </w:p>
        </w:tc>
        <w:tc>
          <w:tcPr>
            <w:tcW w:w="7150" w:type="dxa"/>
            <w:shd w:val="clear" w:color="auto" w:fill="auto"/>
          </w:tcPr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 xml:space="preserve">1. Návrh a výroba: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výrobků pro osoby s funkčním omezením, včetně osob se zdravotním postižením a osob s omezením souvisejícím s věkem, musí být výrobky navrhovány a vyráběny tak, aby zpřístupňovaly tyto prvky: </w:t>
            </w:r>
          </w:p>
          <w:p>
            <w:pPr>
              <w:numPr>
                <w:ilvl w:val="0"/>
                <w:numId w:val="14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>informace o použití výrobku na samotném výrobku (označení na obalu, návod, varování), které:</w:t>
            </w:r>
          </w:p>
          <w:p>
            <w:pPr>
              <w:numPr>
                <w:ilvl w:val="0"/>
                <w:numId w:val="15"/>
              </w:numPr>
              <w:tabs>
                <w:tab w:val="left" w:pos="736"/>
              </w:tabs>
              <w:ind w:left="2169" w:hanging="425"/>
              <w:rPr>
                <w:noProof/>
              </w:rPr>
            </w:pPr>
            <w:r>
              <w:rPr>
                <w:noProof/>
              </w:rPr>
              <w:t>musí být dostupné prostřednictvím více než jednoho senzorického kanálu,</w:t>
            </w:r>
          </w:p>
          <w:p>
            <w:pPr>
              <w:numPr>
                <w:ilvl w:val="0"/>
                <w:numId w:val="1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srozumitelné,</w:t>
            </w:r>
          </w:p>
          <w:p>
            <w:pPr>
              <w:numPr>
                <w:ilvl w:val="0"/>
                <w:numId w:val="1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být vnímatelné, </w:t>
            </w:r>
          </w:p>
          <w:p>
            <w:pPr>
              <w:numPr>
                <w:ilvl w:val="0"/>
                <w:numId w:val="1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mít odpovídající velikost písma za předvídatelných podmínek použití; </w:t>
            </w:r>
          </w:p>
          <w:p>
            <w:pPr>
              <w:numPr>
                <w:ilvl w:val="0"/>
                <w:numId w:val="14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>uživatelské rozhraní výrobku (manipulace, kontroly a zpětné vazby, vstupy a výstupy) v souladu s bodem 2;</w:t>
            </w:r>
          </w:p>
          <w:p>
            <w:pPr>
              <w:numPr>
                <w:ilvl w:val="0"/>
                <w:numId w:val="14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 xml:space="preserve">funkčnost výrobku odpovídající potřebám osob s funkčním omezením v souladu s odstavcem 2; </w:t>
            </w:r>
          </w:p>
          <w:p>
            <w:pPr>
              <w:numPr>
                <w:ilvl w:val="0"/>
                <w:numId w:val="14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>propojení výrobku s kompenzačními pomůckami.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2. Návrh uživatelského rozhraní a funkčnosti: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Za účelem zajištění přístupnosti musí návrh funkčnosti a uživatelského rozhraní výrobků podle bodu 1 písm. b) a c), pokud je to třeba, splňovat tyto požadavky: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 xml:space="preserve">komunikace a orientace prostřednictvím více než jednoho </w:t>
            </w:r>
            <w:r>
              <w:rPr>
                <w:noProof/>
              </w:rPr>
              <w:lastRenderedPageBreak/>
              <w:t>senzorického kanálu;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 xml:space="preserve">alternativy k řečové komunikaci a orientaci; 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>variabilní nastavení velikosti a kontrastu;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>použití alternativní barvy u sdělovaných informací;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 xml:space="preserve">flexibilní způsoby umožňující rozlišit a oddělit zvuky v popředí od zvuků na pozadí, včetně možnosti snížit hluk na pozadí a zlepšit srozumitelnost; 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>možnost ovládat hlasitost;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>postupné ovládání a alternativy k ovládání využívajícímu jemnou motoriku;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>funkční režimy s omezeným dosahem a silou;</w:t>
            </w:r>
          </w:p>
          <w:p>
            <w:pPr>
              <w:numPr>
                <w:ilvl w:val="0"/>
                <w:numId w:val="17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 xml:space="preserve">možnost zabránit spuštění fotosenzitivních reakcí. </w:t>
            </w:r>
          </w:p>
          <w:p>
            <w:pPr>
              <w:spacing w:after="60"/>
              <w:rPr>
                <w:noProof/>
              </w:rPr>
            </w:pPr>
          </w:p>
        </w:tc>
      </w:tr>
      <w:t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ODDÍL III</w:t>
            </w:r>
          </w:p>
          <w:p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Telefonní služby včetně služeb tísňového volání, a související koncová zařízení pro spotřebitele s pokročilým informačním potenciálem </w:t>
            </w:r>
          </w:p>
        </w:tc>
        <w:tc>
          <w:tcPr>
            <w:tcW w:w="7150" w:type="dxa"/>
            <w:shd w:val="clear" w:color="auto" w:fill="auto"/>
          </w:tcPr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>A. Služby:</w:t>
            </w:r>
          </w:p>
          <w:p>
            <w:pPr>
              <w:pStyle w:val="ListParagraph"/>
              <w:numPr>
                <w:ilvl w:val="0"/>
                <w:numId w:val="51"/>
              </w:numPr>
              <w:ind w:left="326" w:hanging="283"/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pro osoby s funkčním omezením, včetně osob se zdravotním postižením, musí být služby poskytovány tak, aby: </w:t>
            </w:r>
          </w:p>
          <w:p>
            <w:pPr>
              <w:numPr>
                <w:ilvl w:val="0"/>
                <w:numId w:val="49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>byla zajištěna přístupnost výrobků, které využívají při poskytování služby, v souladu s pravidly stanovenými v bodě B „Související koncová zařízení s pokročilým informačním potenciálem používaná spotřebiteli“;</w:t>
            </w:r>
          </w:p>
          <w:p>
            <w:pPr>
              <w:numPr>
                <w:ilvl w:val="0"/>
                <w:numId w:val="49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>byly poskytovány informace o fungování služby a o charakteristikách její přístupnosti a možnostech takto:</w:t>
            </w:r>
          </w:p>
          <w:p>
            <w:pPr>
              <w:numPr>
                <w:ilvl w:val="0"/>
                <w:numId w:val="36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informace musí být dostupné v textových formátech, které lze použít k vytvoření alternativních asistivních formátů použitelných různými způsoby a prostřednictvím více než jednoho senzorického kanálu,</w:t>
            </w:r>
          </w:p>
          <w:p>
            <w:pPr>
              <w:numPr>
                <w:ilvl w:val="0"/>
                <w:numId w:val="36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obsahovat alternativy k netextovému obsahu, </w:t>
            </w:r>
          </w:p>
          <w:p>
            <w:pPr>
              <w:numPr>
                <w:ilvl w:val="0"/>
                <w:numId w:val="36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elektronické informace, včetně příslušných online aplikací, které jsou při poskytování služby nezbytné, musí být poskytovány v souladu s písm. c); </w:t>
            </w:r>
          </w:p>
          <w:p>
            <w:pPr>
              <w:ind w:left="1200" w:hanging="480"/>
              <w:rPr>
                <w:noProof/>
              </w:rPr>
            </w:pPr>
            <w:r>
              <w:rPr>
                <w:noProof/>
              </w:rPr>
              <w:t>(c)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</w:t>
            </w:r>
            <w:r>
              <w:rPr>
                <w:noProof/>
              </w:rPr>
              <w:lastRenderedPageBreak/>
              <w:t>uživatelskými aplikacemi a dostupnými kompenzačními pomůckami a technickými prostředky na úrovni Unie a v mezinárodním měřítku;</w:t>
            </w:r>
          </w:p>
          <w:p>
            <w:pPr>
              <w:numPr>
                <w:ilvl w:val="0"/>
                <w:numId w:val="52"/>
              </w:numPr>
              <w:jc w:val="left"/>
              <w:rPr>
                <w:noProof/>
              </w:rPr>
            </w:pPr>
            <w:r>
              <w:rPr>
                <w:noProof/>
              </w:rPr>
              <w:t>byly poskytovány přístupné informace, které umožní propojení s asistivními službami;</w:t>
            </w:r>
          </w:p>
          <w:p>
            <w:pPr>
              <w:numPr>
                <w:ilvl w:val="0"/>
                <w:numId w:val="52"/>
              </w:numPr>
              <w:ind w:left="1177" w:hanging="457"/>
              <w:jc w:val="left"/>
              <w:rPr>
                <w:noProof/>
              </w:rPr>
            </w:pPr>
            <w:r>
              <w:rPr>
                <w:noProof/>
              </w:rPr>
              <w:t xml:space="preserve">byly zahrnuty funkce, praktiky, politiky a postupy a změny ve fungování služeb, jejichž cílem je reagovat na potřeby osob s funkčním omezením. </w:t>
            </w:r>
          </w:p>
          <w:p>
            <w:pPr>
              <w:ind w:left="600" w:hanging="600"/>
              <w:rPr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B. Související koncová zařízení s pokročilým informačním potenciálem používaná spotřebiteli:</w:t>
            </w:r>
          </w:p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 xml:space="preserve">1. Návrh a výroba: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výrobků pro osoby s funkčním omezením, včetně osob se zdravotním postižením a osob s omezením souvisejícím s věkem, musí být výrobky navrhovány a vyráběny tak, aby zpřístupňovaly tyto prvky: </w:t>
            </w:r>
          </w:p>
          <w:p>
            <w:pPr>
              <w:numPr>
                <w:ilvl w:val="0"/>
                <w:numId w:val="18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>informace o použití výrobku na samotném výrobku (označení na obalu, návod, varování), které:</w:t>
            </w:r>
          </w:p>
          <w:p>
            <w:pPr>
              <w:numPr>
                <w:ilvl w:val="0"/>
                <w:numId w:val="53"/>
              </w:numPr>
              <w:ind w:hanging="56"/>
              <w:rPr>
                <w:noProof/>
              </w:rPr>
            </w:pPr>
            <w:r>
              <w:rPr>
                <w:noProof/>
              </w:rPr>
              <w:t>musí být dostupné prostřednictvím více než jednoho senzorického kanálu,</w:t>
            </w:r>
          </w:p>
          <w:p>
            <w:pPr>
              <w:numPr>
                <w:ilvl w:val="0"/>
                <w:numId w:val="53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srozumitelné,</w:t>
            </w:r>
          </w:p>
          <w:p>
            <w:pPr>
              <w:numPr>
                <w:ilvl w:val="0"/>
                <w:numId w:val="53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být vnímatelné, </w:t>
            </w:r>
          </w:p>
          <w:p>
            <w:pPr>
              <w:numPr>
                <w:ilvl w:val="0"/>
                <w:numId w:val="53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mít odpovídající velikost písma za předvídatelných podmínek použití; </w:t>
            </w:r>
          </w:p>
          <w:p>
            <w:pPr>
              <w:numPr>
                <w:ilvl w:val="0"/>
                <w:numId w:val="18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obal výrobku včetně informací zde uvedených (otevření, uzavření, použití, likvidace);</w:t>
            </w:r>
          </w:p>
          <w:p>
            <w:pPr>
              <w:numPr>
                <w:ilvl w:val="0"/>
                <w:numId w:val="18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návod k použití výrobku, k jeho instalaci a údržbě, skladování a likvidaci, který musí splňovat tyto podmínky: </w:t>
            </w:r>
          </w:p>
          <w:p>
            <w:pPr>
              <w:numPr>
                <w:ilvl w:val="0"/>
                <w:numId w:val="16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obsah návodu musí být dostupný v textových formátech, které lze použít k vytvoření alternativních asistivních formátů použitelných různými způsoby a prostřednictvím více než jednoho senzorického kanálu, a</w:t>
            </w:r>
          </w:p>
          <w:p>
            <w:pPr>
              <w:numPr>
                <w:ilvl w:val="0"/>
                <w:numId w:val="16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návod musí obsahovat alternativy k netextovému obsahu; </w:t>
            </w:r>
          </w:p>
          <w:p>
            <w:pPr>
              <w:numPr>
                <w:ilvl w:val="0"/>
                <w:numId w:val="18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uživatelské rozhraní výrobku (manipulace, kontroly a zpětné vazby, vstupy a výstupy) v souladu s bodem 2;</w:t>
            </w:r>
          </w:p>
          <w:p>
            <w:pPr>
              <w:numPr>
                <w:ilvl w:val="0"/>
                <w:numId w:val="18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funkčnost výrobku odpovídající potřebám osob s funkčním omezením v souladu s odstavcem 2; </w:t>
            </w:r>
          </w:p>
          <w:p>
            <w:pPr>
              <w:numPr>
                <w:ilvl w:val="0"/>
                <w:numId w:val="18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propojení výrobku s kompenzačními pomůckami.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>
            <w:pPr>
              <w:ind w:left="567" w:hanging="567"/>
              <w:rPr>
                <w:b/>
                <w:noProof/>
              </w:rPr>
            </w:pPr>
            <w:r>
              <w:rPr>
                <w:b/>
                <w:noProof/>
              </w:rPr>
              <w:t>2. Návrh uživatelského rozhraní a funkčnosti: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Za účelem zajištění přístupnosti musí návrh funkčnosti a uživatelského rozhraní výrobků podle bodu 1 písm. d) a e), pokud je to třeba, splňovat tyto požadavky: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komunikace a orientace prostřednictvím více než jednoho senzorického kanálu;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alternativy k řečové komunikaci a orientaci; 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variabilní nastavení velikosti a kontrastu;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použití alternativní barvy u sdělovaných informací;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flexibilní způsoby umožňující rozlišit a oddělit zvuky v popředí od zvuků na pozadí, včetně možnosti snížit hluk na pozadí a zlepšit srozumitelnost; 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možnost ovládat hlasitost;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postupné ovládání a alternativy k ovládání využívajícímu jemnou motoriku;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funkční režimy s omezeným dosahem a silou;</w:t>
            </w:r>
          </w:p>
          <w:p>
            <w:pPr>
              <w:numPr>
                <w:ilvl w:val="0"/>
                <w:numId w:val="37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možnost zabránit spuštění fotosenzitivních reakcí. </w:t>
            </w:r>
          </w:p>
          <w:p>
            <w:pPr>
              <w:ind w:left="600" w:hanging="600"/>
              <w:rPr>
                <w:noProof/>
              </w:rPr>
            </w:pPr>
          </w:p>
        </w:tc>
      </w:tr>
      <w:t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ODDÍL IV</w:t>
            </w:r>
          </w:p>
          <w:p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Audiovizuální mediální služby a související koncová zařízení pro spotřebitele s pokročilým informačním potenciálem</w:t>
            </w:r>
          </w:p>
        </w:tc>
        <w:tc>
          <w:tcPr>
            <w:tcW w:w="7150" w:type="dxa"/>
            <w:shd w:val="clear" w:color="auto" w:fill="auto"/>
          </w:tcPr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>A. Služby:</w:t>
            </w:r>
          </w:p>
          <w:p>
            <w:pPr>
              <w:ind w:left="360" w:hanging="360"/>
              <w:rPr>
                <w:noProof/>
              </w:rPr>
            </w:pPr>
            <w:r>
              <w:rPr>
                <w:noProof/>
              </w:rPr>
              <w:t xml:space="preserve">1. Aby se zajistilo optimální předvídatelné použití pro osoby s funkčním omezením, včetně osob se zdravotním postižením, musí být služby poskytovány tak, aby: </w:t>
            </w:r>
          </w:p>
          <w:p>
            <w:pPr>
              <w:ind w:left="1156" w:hanging="436"/>
              <w:rPr>
                <w:b/>
                <w:noProof/>
              </w:rPr>
            </w:pPr>
            <w:r>
              <w:rPr>
                <w:noProof/>
              </w:rPr>
              <w:t>(a)</w:t>
            </w:r>
            <w:r>
              <w:rPr>
                <w:noProof/>
              </w:rPr>
              <w:tab/>
              <w:t xml:space="preserve">byla zajištěna přístupnost výrobků, které využívají při poskytování služby, v souladu s pravidly stanovenými v bodě B </w:t>
            </w:r>
            <w:r>
              <w:rPr>
                <w:b/>
                <w:noProof/>
              </w:rPr>
              <w:t>„Související zařízení pro spotřebitele s pokročilým informačním potenciálem“</w:t>
            </w:r>
            <w:r>
              <w:rPr>
                <w:noProof/>
              </w:rPr>
              <w:t>;</w:t>
            </w:r>
          </w:p>
          <w:p>
            <w:pPr>
              <w:ind w:left="1134" w:hanging="414"/>
              <w:rPr>
                <w:noProof/>
              </w:rPr>
            </w:pPr>
            <w:r>
              <w:rPr>
                <w:noProof/>
              </w:rPr>
              <w:t>(b)</w:t>
            </w:r>
            <w:r>
              <w:rPr>
                <w:noProof/>
              </w:rPr>
              <w:tab/>
              <w:t>byly poskytovány informace o fungování služby a o charakteristikách její přístupnosti a možnostech takto:</w:t>
            </w:r>
          </w:p>
          <w:p>
            <w:pPr>
              <w:numPr>
                <w:ilvl w:val="0"/>
                <w:numId w:val="19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být dostupné v textových formátech, které lze použít k vytvoření alternativních asistivních formátů použitelných různými způsoby a prostřednictvím více než jednoho senzorického kanálu, </w:t>
            </w:r>
          </w:p>
          <w:p>
            <w:pPr>
              <w:numPr>
                <w:ilvl w:val="0"/>
                <w:numId w:val="19"/>
              </w:numPr>
              <w:ind w:left="2169" w:hanging="489"/>
              <w:rPr>
                <w:noProof/>
              </w:rPr>
            </w:pPr>
            <w:r>
              <w:rPr>
                <w:noProof/>
              </w:rPr>
              <w:t>informace musí obsahovat alternativy k netextovému obsahu,</w:t>
            </w:r>
          </w:p>
          <w:p>
            <w:pPr>
              <w:numPr>
                <w:ilvl w:val="0"/>
                <w:numId w:val="19"/>
              </w:numPr>
              <w:ind w:left="2169" w:hanging="489"/>
              <w:rPr>
                <w:noProof/>
              </w:rPr>
            </w:pPr>
            <w:r>
              <w:rPr>
                <w:noProof/>
              </w:rPr>
              <w:t xml:space="preserve">elektronické informace, včetně příslušných online aplikací, které jsou při poskytování služby nezbytné, musí být poskytovány v souladu s písm. c); </w:t>
            </w:r>
          </w:p>
          <w:p>
            <w:pPr>
              <w:ind w:left="1200" w:hanging="480"/>
              <w:rPr>
                <w:noProof/>
              </w:rPr>
            </w:pPr>
            <w:r>
              <w:rPr>
                <w:noProof/>
              </w:rPr>
              <w:t>(c)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měřítku; </w:t>
            </w:r>
          </w:p>
          <w:p>
            <w:pPr>
              <w:ind w:left="1134" w:hanging="480"/>
              <w:rPr>
                <w:noProof/>
              </w:rPr>
            </w:pPr>
            <w:r>
              <w:rPr>
                <w:noProof/>
              </w:rPr>
              <w:t>(d)</w:t>
            </w:r>
            <w:r>
              <w:rPr>
                <w:noProof/>
              </w:rPr>
              <w:tab/>
              <w:t xml:space="preserve">byly poskytovány přístupné informace, které umožní propojení s asistivními službami; </w:t>
            </w:r>
          </w:p>
          <w:p>
            <w:pPr>
              <w:ind w:left="1134" w:hanging="480"/>
              <w:rPr>
                <w:noProof/>
              </w:rPr>
            </w:pPr>
            <w:r>
              <w:rPr>
                <w:noProof/>
              </w:rPr>
              <w:t>(e)</w:t>
            </w:r>
            <w:r>
              <w:rPr>
                <w:noProof/>
              </w:rPr>
              <w:tab/>
              <w:t xml:space="preserve">byly zahrnuty funkce, praktiky, politiky a postupy a změny ve fungování služeb, jejichž cílem je reagovat na potřeby osob s funkčním omezením. </w:t>
            </w:r>
          </w:p>
          <w:p>
            <w:pPr>
              <w:ind w:left="600" w:hanging="600"/>
              <w:rPr>
                <w:b/>
                <w:noProof/>
              </w:rPr>
            </w:pPr>
          </w:p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>B. Související zařízení pro spotřebitele s pokročilým informačním potenciálem:</w:t>
            </w:r>
          </w:p>
          <w:p>
            <w:pPr>
              <w:ind w:left="610" w:hanging="610"/>
              <w:rPr>
                <w:b/>
                <w:noProof/>
              </w:rPr>
            </w:pPr>
            <w:r>
              <w:rPr>
                <w:b/>
                <w:noProof/>
              </w:rPr>
              <w:t xml:space="preserve">1. Návrh a výroba: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výrobků pro osoby s funkčním omezením, včetně osob se zdravotním postižením a osob s omezením souvisejícím s věkem, musí být výrobky navrhovány a vyráběny tak, aby zpřístupňovaly tyto prvky: </w:t>
            </w:r>
          </w:p>
          <w:p>
            <w:pPr>
              <w:numPr>
                <w:ilvl w:val="0"/>
                <w:numId w:val="20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>informace o použití výrobku na samotném výrobku (označení na obalu, návod, varování), které:</w:t>
            </w:r>
          </w:p>
          <w:p>
            <w:pPr>
              <w:numPr>
                <w:ilvl w:val="0"/>
                <w:numId w:val="2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dostupné prostřednictvím více než jednoho senzorického kanálu,</w:t>
            </w:r>
          </w:p>
          <w:p>
            <w:pPr>
              <w:numPr>
                <w:ilvl w:val="0"/>
                <w:numId w:val="2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srozumitelné,</w:t>
            </w:r>
          </w:p>
          <w:p>
            <w:pPr>
              <w:numPr>
                <w:ilvl w:val="0"/>
                <w:numId w:val="2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být vnímatelné, </w:t>
            </w:r>
          </w:p>
          <w:p>
            <w:pPr>
              <w:numPr>
                <w:ilvl w:val="0"/>
                <w:numId w:val="2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mít odpovídající velikost písma za předvídatelných podmínek použití; </w:t>
            </w:r>
          </w:p>
          <w:p>
            <w:pPr>
              <w:numPr>
                <w:ilvl w:val="0"/>
                <w:numId w:val="20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obal výrobku včetně informací zde uvedených (otevření, uzavření, použití, likvidace);</w:t>
            </w:r>
          </w:p>
          <w:p>
            <w:pPr>
              <w:numPr>
                <w:ilvl w:val="0"/>
                <w:numId w:val="20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návod k použití výrobku, k jeho instalaci a údržbě, skladování a likvidaci, který musí splňovat tyto podmínky: </w:t>
            </w:r>
          </w:p>
          <w:p>
            <w:pPr>
              <w:numPr>
                <w:ilvl w:val="0"/>
                <w:numId w:val="38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obsah návodu musí být dostupný v textových formátech, které lze použít k vytvoření alternativních asistivních formátů použitelných různými způsoby a prostřednictvím více než jednoho senzorického kanálu, a</w:t>
            </w:r>
          </w:p>
          <w:p>
            <w:pPr>
              <w:numPr>
                <w:ilvl w:val="0"/>
                <w:numId w:val="38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návod musí obsahovat alternativy k netextovému obsahu; </w:t>
            </w:r>
          </w:p>
          <w:p>
            <w:pPr>
              <w:numPr>
                <w:ilvl w:val="0"/>
                <w:numId w:val="20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uživatelské rozhraní výrobku (manipulace, kontroly a zpětné vazby, vstupy a výstupy) v souladu s bodem 2;</w:t>
            </w:r>
          </w:p>
          <w:p>
            <w:pPr>
              <w:numPr>
                <w:ilvl w:val="0"/>
                <w:numId w:val="20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funkčnost výrobku odpovídající potřebám osob s funkčním omezením v souladu s odstavcem 2; </w:t>
            </w:r>
          </w:p>
          <w:p>
            <w:pPr>
              <w:numPr>
                <w:ilvl w:val="0"/>
                <w:numId w:val="20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propojení výrobku s kompenzačními pomůckami.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>
            <w:pPr>
              <w:ind w:left="567" w:hanging="567"/>
              <w:rPr>
                <w:b/>
                <w:noProof/>
              </w:rPr>
            </w:pPr>
            <w:r>
              <w:rPr>
                <w:b/>
                <w:noProof/>
              </w:rPr>
              <w:t xml:space="preserve">2. Návrh uživatelského rozhraní a funkčnosti: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Za účelem zajištění přístupnosti musí návrh funkčnosti a uživatelského rozhraní výrobků podle bodu 1 písm. d) a e), pokud je to třeba, splňovat tyto požadavky: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komunikace a orientace prostřednictvím více než jednoho senzorického kanálu;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alternativy k řečové komunikaci a orientaci; 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variabilní nastavení velikosti a kontrastu;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použití alternativní barvy u sdělovaných informací;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flexibilní způsoby umožňující rozlišit a oddělit zvuky v popředí od zvuků na pozadí, včetně možnosti snížit hluk na pozadí a zlepšit srozumitelnost; 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možnost ovládat hlasitost;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postupné ovládání a alternativy k ovládání využívajícímu jemnou motoriku;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funkční režimy s omezeným dosahem a silou;</w:t>
            </w:r>
          </w:p>
          <w:p>
            <w:pPr>
              <w:numPr>
                <w:ilvl w:val="0"/>
                <w:numId w:val="22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možnost zabránit spuštění fotosenzitivních reakcí. </w:t>
            </w:r>
          </w:p>
          <w:p>
            <w:pPr>
              <w:ind w:left="600" w:hanging="600"/>
              <w:rPr>
                <w:b/>
                <w:noProof/>
              </w:rPr>
            </w:pPr>
          </w:p>
        </w:tc>
      </w:tr>
      <w:t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ODDÍL V</w:t>
            </w:r>
          </w:p>
          <w:p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Služby letecké, autobusové, železniční a vodní přepravy cestujících; internetové stránky používané pro účely poskytování služeb přepravy cestujících; služby poskytované na mobilních zařízeních, terminály pro inteligentní prodej jízdenek a poskytování informací o provozu v reálném čase; samoobslužné terminály, stroje pro výdej lístků a jízdenek a odbavovací kiosky používané pro poskytování služeb přepravy cestujících </w:t>
            </w:r>
          </w:p>
        </w:tc>
        <w:tc>
          <w:tcPr>
            <w:tcW w:w="7150" w:type="dxa"/>
            <w:shd w:val="clear" w:color="auto" w:fill="auto"/>
          </w:tcPr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>A. Služby:</w:t>
            </w:r>
          </w:p>
          <w:p>
            <w:pPr>
              <w:ind w:left="360" w:hanging="360"/>
              <w:rPr>
                <w:noProof/>
              </w:rPr>
            </w:pPr>
            <w:r>
              <w:rPr>
                <w:noProof/>
              </w:rPr>
              <w:t xml:space="preserve">1. Aby se zajistilo optimální předvídatelné použití pro osoby s funkčním omezením, včetně osob se zdravotním postižením, musí být služby poskytovány tak, aby: </w:t>
            </w:r>
          </w:p>
          <w:p>
            <w:pPr>
              <w:ind w:left="1177" w:hanging="457"/>
              <w:rPr>
                <w:noProof/>
              </w:rPr>
            </w:pPr>
            <w:r>
              <w:rPr>
                <w:noProof/>
              </w:rPr>
              <w:t>(a)</w:t>
            </w:r>
            <w:r>
              <w:rPr>
                <w:noProof/>
              </w:rPr>
              <w:tab/>
              <w:t>byly poskytovány informace o fungování služby a o charakteristikách její přístupnosti a možnostech takto:</w:t>
            </w:r>
          </w:p>
          <w:p>
            <w:pPr>
              <w:numPr>
                <w:ilvl w:val="0"/>
                <w:numId w:val="27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být dostupné v textových formátech, které lze použít k vytvoření alternativních asistivních formátů použitelných různými způsoby a prostřednictvím více než jednoho senzorického kanálu, </w:t>
            </w:r>
          </w:p>
          <w:p>
            <w:pPr>
              <w:numPr>
                <w:ilvl w:val="0"/>
                <w:numId w:val="27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obsahovat alternativy k netextovému obsahu, </w:t>
            </w:r>
          </w:p>
          <w:p>
            <w:pPr>
              <w:numPr>
                <w:ilvl w:val="0"/>
                <w:numId w:val="27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elektronické informace, včetně příslušných online aplikací, které jsou při poskytování služby nezbytné, musí být poskytovány v souladu s písm. b); </w:t>
            </w:r>
          </w:p>
          <w:p>
            <w:pPr>
              <w:ind w:left="1200" w:hanging="480"/>
              <w:rPr>
                <w:noProof/>
              </w:rPr>
            </w:pPr>
            <w:r>
              <w:rPr>
                <w:noProof/>
              </w:rPr>
              <w:t>(b)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měřítku; </w:t>
            </w:r>
          </w:p>
          <w:p>
            <w:pPr>
              <w:ind w:left="1134" w:hanging="480"/>
              <w:rPr>
                <w:noProof/>
              </w:rPr>
            </w:pPr>
            <w:r>
              <w:rPr>
                <w:noProof/>
              </w:rPr>
              <w:t>(c)</w:t>
            </w:r>
            <w:r>
              <w:rPr>
                <w:noProof/>
              </w:rPr>
              <w:tab/>
              <w:t xml:space="preserve">byly zahrnuty funkce, praktiky, politiky a postupy a změny ve fungování služeb, jejichž cílem je reagovat na potřeby osob s funkčním omezením. </w:t>
            </w:r>
          </w:p>
          <w:p>
            <w:pPr>
              <w:ind w:left="600" w:hanging="600"/>
              <w:rPr>
                <w:b/>
                <w:noProof/>
              </w:rPr>
            </w:pPr>
          </w:p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>B. Internetové stránky používané pro účely poskytování služeb přepravy cestujících:</w:t>
            </w:r>
          </w:p>
          <w:p>
            <w:pPr>
              <w:pStyle w:val="Point1letter"/>
              <w:numPr>
                <w:ilvl w:val="3"/>
                <w:numId w:val="54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 xml:space="preserve">Zpřístupňování internetových stránek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měřítku. </w:t>
            </w:r>
          </w:p>
          <w:p>
            <w:pPr>
              <w:ind w:left="600" w:hanging="600"/>
              <w:rPr>
                <w:b/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C. Služby poskytované na mobilních zařízeních, terminály pro inteligentní prodej jízdenek a poskytování informací o provozu v reálném čase:</w:t>
            </w:r>
          </w:p>
          <w:p>
            <w:pPr>
              <w:ind w:left="360" w:hanging="360"/>
              <w:rPr>
                <w:noProof/>
              </w:rPr>
            </w:pPr>
            <w:r>
              <w:rPr>
                <w:noProof/>
              </w:rPr>
              <w:t xml:space="preserve">1. Aby se zajistilo optimální předvídatelné použití pro osoby s funkčním omezením, včetně osob se zdravotním postižením, musí být služby poskytovány tak, aby: </w:t>
            </w:r>
          </w:p>
          <w:p>
            <w:pPr>
              <w:ind w:left="1177" w:hanging="457"/>
              <w:rPr>
                <w:noProof/>
              </w:rPr>
            </w:pPr>
            <w:r>
              <w:rPr>
                <w:noProof/>
              </w:rPr>
              <w:t>(a)</w:t>
            </w:r>
            <w:r>
              <w:rPr>
                <w:noProof/>
              </w:rPr>
              <w:tab/>
              <w:t>byly poskytovány informace o fungování služby a o charakteristikách její přístupnosti a možnostech takto:</w:t>
            </w:r>
          </w:p>
          <w:p>
            <w:pPr>
              <w:numPr>
                <w:ilvl w:val="0"/>
                <w:numId w:val="28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být dostupné v textových formátech, které lze použít k vytvoření alternativních asistivních formátů použitelných různými způsoby a prostřednictvím více než jednoho senzorického kanálu, </w:t>
            </w:r>
          </w:p>
          <w:p>
            <w:pPr>
              <w:numPr>
                <w:ilvl w:val="0"/>
                <w:numId w:val="28"/>
              </w:numPr>
              <w:ind w:left="2169" w:hanging="489"/>
              <w:rPr>
                <w:noProof/>
              </w:rPr>
            </w:pPr>
            <w:r>
              <w:rPr>
                <w:noProof/>
              </w:rPr>
              <w:t xml:space="preserve">informace musí obsahovat alternativy k netextovému obsahu, </w:t>
            </w:r>
          </w:p>
          <w:p>
            <w:pPr>
              <w:numPr>
                <w:ilvl w:val="0"/>
                <w:numId w:val="28"/>
              </w:numPr>
              <w:ind w:left="2169" w:hanging="489"/>
              <w:rPr>
                <w:noProof/>
              </w:rPr>
            </w:pPr>
            <w:r>
              <w:rPr>
                <w:noProof/>
              </w:rPr>
              <w:t xml:space="preserve">elektronické informace, včetně příslušných online aplikací, které jsou při poskytování služby nezbytné, musí být poskytovány v souladu s písm. b); </w:t>
            </w:r>
          </w:p>
          <w:p>
            <w:pPr>
              <w:ind w:left="1200" w:hanging="480"/>
              <w:rPr>
                <w:noProof/>
              </w:rPr>
            </w:pPr>
            <w:r>
              <w:rPr>
                <w:noProof/>
              </w:rPr>
              <w:t>(b)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měřítku. </w:t>
            </w:r>
          </w:p>
          <w:p>
            <w:pPr>
              <w:ind w:left="600" w:hanging="600"/>
              <w:rPr>
                <w:b/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D. Samoobslužné terminály, stroje pro výdej lístků a jízdenek a odbavovací kiosky používané pro poskytování služeb přepravy cestujících: </w:t>
            </w:r>
          </w:p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 xml:space="preserve">1. 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Návrh a výroba: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výrobků pro osoby s funkčním omezením, včetně osob se zdravotním postižením a osob s omezením souvisejícím s věkem, musí být výrobky navrhovány a vyráběny tak, aby zpřístupňovaly tyto prvky: </w:t>
            </w:r>
          </w:p>
          <w:p>
            <w:pPr>
              <w:numPr>
                <w:ilvl w:val="0"/>
                <w:numId w:val="23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>informace o použití výrobku na samotném výrobku (označení na obalu, návod, varování), které:</w:t>
            </w:r>
          </w:p>
          <w:p>
            <w:pPr>
              <w:numPr>
                <w:ilvl w:val="0"/>
                <w:numId w:val="24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dostupné prostřednictvím více než jednoho senzorického kanálu,</w:t>
            </w:r>
          </w:p>
          <w:p>
            <w:pPr>
              <w:numPr>
                <w:ilvl w:val="0"/>
                <w:numId w:val="24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srozumitelné,</w:t>
            </w:r>
          </w:p>
          <w:p>
            <w:pPr>
              <w:numPr>
                <w:ilvl w:val="0"/>
                <w:numId w:val="24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být vnímatelné, </w:t>
            </w:r>
          </w:p>
          <w:p>
            <w:pPr>
              <w:numPr>
                <w:ilvl w:val="0"/>
                <w:numId w:val="24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mít odpovídající velikost písma za předvídatelných podmínek použití; </w:t>
            </w:r>
          </w:p>
          <w:p>
            <w:pPr>
              <w:numPr>
                <w:ilvl w:val="0"/>
                <w:numId w:val="23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uživatelské rozhraní výrobku (manipulace, kontroly a zpětné vazby, vstupy a výstupy) v souladu s bodem 2;</w:t>
            </w:r>
          </w:p>
          <w:p>
            <w:pPr>
              <w:numPr>
                <w:ilvl w:val="0"/>
                <w:numId w:val="23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funkčnost výrobku odpovídající potřebám osob s funkčním omezením v souladu s odstavcem 2; </w:t>
            </w:r>
          </w:p>
          <w:p>
            <w:pPr>
              <w:numPr>
                <w:ilvl w:val="0"/>
                <w:numId w:val="23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propojení výrobku s kompenzačními pomůckami.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>
            <w:pPr>
              <w:ind w:left="567" w:hanging="567"/>
              <w:rPr>
                <w:b/>
                <w:noProof/>
              </w:rPr>
            </w:pPr>
            <w:r>
              <w:rPr>
                <w:b/>
                <w:noProof/>
              </w:rPr>
              <w:t xml:space="preserve">2. Návrh uživatelského rozhraní a funkčnosti: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Za účelem zajištění přístupnosti musí návrh funkčnosti a uživatelského rozhraní výrobků podle bodu 1 písm. b) a c), pokud je to třeba, splňovat tyto požadavky: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komunikace a orientace prostřednictvím více než jednoho senzorického kanálu;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alternativy k řečové komunikaci a orientaci; 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variabilní nastavení velikosti a kontrastu;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použití alternativní barvy u sdělovaných informací;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flexibilní způsoby umožňující rozlišit a oddělit zvuky v popředí od zvuků na pozadí, včetně možnosti snížit hluk na pozadí a zlepšit srozumitelnost; 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možnost ovládat hlasitost; 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postupné ovládání a alternativy k ovládání využívajícímu jemnou motoriku;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funkční režimy s omezeným dosahem a silou;</w:t>
            </w:r>
          </w:p>
          <w:p>
            <w:pPr>
              <w:numPr>
                <w:ilvl w:val="0"/>
                <w:numId w:val="26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možnost zabránit spuštění fotosenzitivních reakcí.</w:t>
            </w:r>
          </w:p>
          <w:p>
            <w:pPr>
              <w:ind w:left="1177" w:hanging="426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ODDÍL VI</w:t>
            </w:r>
          </w:p>
          <w:p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Bankovní služby; internetové stránky bankovních služeb; bankovní služby poskytované na mobilních zařízeních; samoobslužné terminály, včetně automatických bankovních strojů (bankomatů), používané pro poskytování bankovních služeb </w:t>
            </w:r>
          </w:p>
        </w:tc>
        <w:tc>
          <w:tcPr>
            <w:tcW w:w="7150" w:type="dxa"/>
            <w:shd w:val="clear" w:color="auto" w:fill="auto"/>
          </w:tcPr>
          <w:p>
            <w:pPr>
              <w:pStyle w:val="NumPar1"/>
              <w:numPr>
                <w:ilvl w:val="0"/>
                <w:numId w:val="0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A. Služby obecně:</w:t>
            </w:r>
          </w:p>
          <w:p>
            <w:pPr>
              <w:ind w:left="360" w:hanging="360"/>
              <w:rPr>
                <w:noProof/>
              </w:rPr>
            </w:pPr>
            <w:r>
              <w:rPr>
                <w:noProof/>
              </w:rPr>
              <w:t xml:space="preserve"> 1. Aby se zajistilo optimální předvídatelné použití pro osoby s funkčním omezením, včetně osob se zdravotním postižením, musí být služby poskytovány tak, aby: </w:t>
            </w:r>
          </w:p>
          <w:p>
            <w:pPr>
              <w:ind w:left="1156" w:hanging="436"/>
              <w:rPr>
                <w:b/>
                <w:noProof/>
              </w:rPr>
            </w:pPr>
            <w:r>
              <w:rPr>
                <w:noProof/>
              </w:rPr>
              <w:t>(a)</w:t>
            </w:r>
            <w:r>
              <w:rPr>
                <w:noProof/>
              </w:rPr>
              <w:tab/>
              <w:t>byla zajištěna přístupnost výrobků, které využívají při poskytování služby, v souladu s pravidly stanovenými v bodě D;</w:t>
            </w:r>
          </w:p>
          <w:p>
            <w:pPr>
              <w:ind w:left="1134" w:hanging="414"/>
              <w:rPr>
                <w:noProof/>
              </w:rPr>
            </w:pPr>
            <w:r>
              <w:rPr>
                <w:noProof/>
              </w:rPr>
              <w:t>(b)</w:t>
            </w:r>
            <w:r>
              <w:rPr>
                <w:noProof/>
              </w:rPr>
              <w:tab/>
              <w:t>byly poskytovány informace o fungování služby a o charakteristikách její přístupnosti a možnostech takto:</w:t>
            </w:r>
          </w:p>
          <w:p>
            <w:pPr>
              <w:numPr>
                <w:ilvl w:val="0"/>
                <w:numId w:val="29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být dostupné v textových formátech, které lze použít k vytvoření alternativních asistivních formátů použitelných různými způsoby a prostřednictvím více než jednoho senzorického kanálu, </w:t>
            </w:r>
          </w:p>
          <w:p>
            <w:pPr>
              <w:numPr>
                <w:ilvl w:val="0"/>
                <w:numId w:val="29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obsahovat alternativy k netextovému obsahu, </w:t>
            </w:r>
          </w:p>
          <w:p>
            <w:pPr>
              <w:numPr>
                <w:ilvl w:val="0"/>
                <w:numId w:val="29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elektronické informace, včetně příslušných online aplikací, které jsou při poskytování služby nezbytné, musí být poskytovány v souladu s písm. c); </w:t>
            </w:r>
          </w:p>
          <w:p>
            <w:pPr>
              <w:ind w:left="1200" w:hanging="480"/>
              <w:rPr>
                <w:noProof/>
              </w:rPr>
            </w:pPr>
            <w:r>
              <w:rPr>
                <w:noProof/>
              </w:rPr>
              <w:t>(c)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měřítku; </w:t>
            </w:r>
          </w:p>
          <w:p>
            <w:pPr>
              <w:ind w:left="1134" w:hanging="383"/>
              <w:rPr>
                <w:noProof/>
              </w:rPr>
            </w:pPr>
            <w:r>
              <w:rPr>
                <w:noProof/>
              </w:rPr>
              <w:t>(d)</w:t>
            </w:r>
            <w:r>
              <w:rPr>
                <w:noProof/>
              </w:rPr>
              <w:tab/>
              <w:t xml:space="preserve">byly zahrnuty funkce, praktiky, politiky a postupy a změny ve fungování služeb, jejichž cílem je reagovat na potřeby osob s funkčním omezením. </w:t>
            </w:r>
          </w:p>
          <w:p>
            <w:pPr>
              <w:pStyle w:val="NumPar1"/>
              <w:numPr>
                <w:ilvl w:val="0"/>
                <w:numId w:val="0"/>
              </w:numPr>
              <w:rPr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B. Internetové stránky bankovních služeb:</w:t>
            </w:r>
          </w:p>
          <w:p>
            <w:pPr>
              <w:rPr>
                <w:b/>
                <w:noProof/>
              </w:rPr>
            </w:pPr>
            <w:r>
              <w:rPr>
                <w:noProof/>
              </w:rPr>
              <w:t>Aby se zajistilo optimální předvídatelné použití pro osoby s funkčním omezením, včetně osob se zdravotním postižením, musí být služby poskytovány tak, aby:</w:t>
            </w:r>
          </w:p>
          <w:p>
            <w:pPr>
              <w:ind w:left="1177" w:hanging="457"/>
              <w:rPr>
                <w:b/>
                <w:noProof/>
              </w:rPr>
            </w:pPr>
            <w:r>
              <w:rPr>
                <w:noProof/>
              </w:rPr>
              <w:t>(a)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měřítku. </w:t>
            </w: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C. Bankovní služby poskytované na mobilních zařízeních:</w:t>
            </w:r>
          </w:p>
          <w:p>
            <w:pPr>
              <w:pStyle w:val="NumPar1"/>
              <w:numPr>
                <w:ilvl w:val="0"/>
                <w:numId w:val="55"/>
              </w:numPr>
              <w:tabs>
                <w:tab w:val="clear" w:pos="850"/>
                <w:tab w:val="num" w:pos="326"/>
              </w:tabs>
              <w:ind w:left="326" w:hanging="326"/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pro osoby s funkčním omezením, včetně osob se zdravotním postižením, musí být služby poskytovány tak, aby: </w:t>
            </w:r>
          </w:p>
          <w:p>
            <w:pPr>
              <w:ind w:left="1177" w:hanging="457"/>
              <w:rPr>
                <w:noProof/>
              </w:rPr>
            </w:pPr>
            <w:r>
              <w:rPr>
                <w:noProof/>
              </w:rPr>
              <w:t>(a)</w:t>
            </w:r>
            <w:r>
              <w:rPr>
                <w:noProof/>
              </w:rPr>
              <w:tab/>
              <w:t>byly poskytovány informace o fungování služby a o charakteristikách její přístupnosti a možnostech takto:</w:t>
            </w:r>
          </w:p>
          <w:p>
            <w:pPr>
              <w:numPr>
                <w:ilvl w:val="0"/>
                <w:numId w:val="30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být dostupné v textových formátech, které lze použít k vytvoření alternativních asistivních formátů použitelných různými způsoby a prostřednictvím více než jednoho senzorického kanálu, </w:t>
            </w:r>
          </w:p>
          <w:p>
            <w:pPr>
              <w:numPr>
                <w:ilvl w:val="0"/>
                <w:numId w:val="30"/>
              </w:numPr>
              <w:ind w:left="2169" w:hanging="489"/>
              <w:rPr>
                <w:noProof/>
              </w:rPr>
            </w:pPr>
            <w:r>
              <w:rPr>
                <w:noProof/>
              </w:rPr>
              <w:t xml:space="preserve">informace musí obsahovat alternativy k netextovému obsahu, </w:t>
            </w:r>
          </w:p>
          <w:p>
            <w:pPr>
              <w:numPr>
                <w:ilvl w:val="0"/>
                <w:numId w:val="30"/>
              </w:numPr>
              <w:ind w:left="2169" w:hanging="489"/>
              <w:rPr>
                <w:noProof/>
              </w:rPr>
            </w:pPr>
            <w:r>
              <w:rPr>
                <w:noProof/>
              </w:rPr>
              <w:t xml:space="preserve">elektronické informace, včetně příslušných online aplikací, které jsou při poskytování služby nezbytné, musí být poskytovány v souladu s písm. b); </w:t>
            </w:r>
          </w:p>
          <w:p>
            <w:pPr>
              <w:ind w:left="1200" w:hanging="480"/>
              <w:rPr>
                <w:noProof/>
              </w:rPr>
            </w:pPr>
            <w:r>
              <w:rPr>
                <w:noProof/>
              </w:rPr>
              <w:t>(b)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měřítku.  </w:t>
            </w:r>
          </w:p>
          <w:p>
            <w:pPr>
              <w:rPr>
                <w:b/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D. Samoobslužné terminály, včetně automatických bankovních strojů (bankomatů), používané pro poskytování bankovních služeb: </w:t>
            </w:r>
          </w:p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>1. Návrh a výroba: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výrobků pro osoby s funkčním omezením, včetně osob se zdravotním postižením a osob s omezením souvisejícím s věkem, musí být výrobky navrhovány a vyráběny tak, aby zpřístupňovaly tyto prvky: </w:t>
            </w:r>
          </w:p>
          <w:p>
            <w:pPr>
              <w:numPr>
                <w:ilvl w:val="0"/>
                <w:numId w:val="34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>informace o použití výrobku na samotném výrobku (označení na obalu, návod, varování), které:</w:t>
            </w:r>
          </w:p>
          <w:p>
            <w:pPr>
              <w:numPr>
                <w:ilvl w:val="0"/>
                <w:numId w:val="3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dostupné prostřednictvím více než jednoho senzorického kanálu,</w:t>
            </w:r>
          </w:p>
          <w:p>
            <w:pPr>
              <w:numPr>
                <w:ilvl w:val="0"/>
                <w:numId w:val="3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srozumitelné,</w:t>
            </w:r>
          </w:p>
          <w:p>
            <w:pPr>
              <w:numPr>
                <w:ilvl w:val="0"/>
                <w:numId w:val="3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být vnímatelné, </w:t>
            </w:r>
          </w:p>
          <w:p>
            <w:pPr>
              <w:numPr>
                <w:ilvl w:val="0"/>
                <w:numId w:val="3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mít odpovídající velikost písma za předvídatelných podmínek použití; </w:t>
            </w:r>
          </w:p>
          <w:p>
            <w:pPr>
              <w:numPr>
                <w:ilvl w:val="0"/>
                <w:numId w:val="34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uživatelské rozhraní výrobku (manipulace, kontroly a zpětné vazby, vstupy a výstupy) v souladu s bodem 2;</w:t>
            </w:r>
          </w:p>
          <w:p>
            <w:pPr>
              <w:numPr>
                <w:ilvl w:val="0"/>
                <w:numId w:val="34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funkčnost výrobku odpovídající potřebám osob s funkčním omezením v souladu s odstavcem 2; </w:t>
            </w:r>
          </w:p>
          <w:p>
            <w:pPr>
              <w:numPr>
                <w:ilvl w:val="0"/>
                <w:numId w:val="34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propojení výrobku s kompenzačními pomůckami.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>
            <w:pPr>
              <w:ind w:left="567" w:hanging="567"/>
              <w:rPr>
                <w:noProof/>
              </w:rPr>
            </w:pPr>
            <w:r>
              <w:rPr>
                <w:b/>
                <w:noProof/>
              </w:rPr>
              <w:t>2. Návrh uživatelského rozhraní a funkčnosti:</w:t>
            </w:r>
            <w:r>
              <w:rPr>
                <w:noProof/>
              </w:rPr>
              <w:t xml:space="preserve">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Za účelem zajištění přístupnosti musí návrh funkčnosti a uživatelského rozhraní výrobků podle bodu 1 písm. b) a c), pokud je to třeba, splňovat tyto požadavky: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komunikace a orientace prostřednictvím více než jednoho senzorického kanálu;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alternativy k řečové komunikaci a orientaci; 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variabilní nastavení velikosti a kontrastu;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použití alternativní barvy u sdělovaných informací;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flexibilní způsoby umožňující rozlišit a oddělit zvuky v popředí od zvuků na pozadí, včetně možnosti snížit hluk na pozadí a zlepšit srozumitelnost; 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možnost ovládat hlasitost;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postupné ovládání a alternativy k ovládání využívajícímu jemnou motoriku;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funkční režimy s omezeným dosahem a silou;</w:t>
            </w:r>
          </w:p>
          <w:p>
            <w:pPr>
              <w:numPr>
                <w:ilvl w:val="0"/>
                <w:numId w:val="39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možnost zabránit spuštění fotosenzitivních reakcí. </w:t>
            </w:r>
          </w:p>
          <w:p>
            <w:pPr>
              <w:ind w:left="1800"/>
              <w:rPr>
                <w:noProof/>
              </w:rPr>
            </w:pPr>
          </w:p>
        </w:tc>
      </w:tr>
      <w:t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ODDÍL VII</w:t>
            </w:r>
          </w:p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Elektronické knihy</w:t>
            </w:r>
          </w:p>
        </w:tc>
        <w:tc>
          <w:tcPr>
            <w:tcW w:w="7150" w:type="dxa"/>
            <w:shd w:val="clear" w:color="auto" w:fill="auto"/>
          </w:tcPr>
          <w:p>
            <w:pPr>
              <w:ind w:left="360" w:hanging="360"/>
              <w:rPr>
                <w:b/>
                <w:noProof/>
              </w:rPr>
            </w:pPr>
            <w:r>
              <w:rPr>
                <w:b/>
                <w:noProof/>
              </w:rPr>
              <w:t>A. Služby:</w:t>
            </w:r>
          </w:p>
          <w:p>
            <w:pPr>
              <w:pStyle w:val="NumPar1"/>
              <w:numPr>
                <w:ilvl w:val="0"/>
                <w:numId w:val="56"/>
              </w:numPr>
              <w:tabs>
                <w:tab w:val="clear" w:pos="850"/>
                <w:tab w:val="num" w:pos="326"/>
              </w:tabs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pro osoby s funkčním omezením, včetně osob se zdravotním postižením, musí být služby poskytovány tak, aby: </w:t>
            </w:r>
          </w:p>
          <w:p>
            <w:pPr>
              <w:ind w:left="1177" w:hanging="426"/>
              <w:rPr>
                <w:noProof/>
              </w:rPr>
            </w:pPr>
            <w:r>
              <w:rPr>
                <w:noProof/>
              </w:rPr>
              <w:t>(a)</w:t>
            </w:r>
            <w:r>
              <w:rPr>
                <w:noProof/>
              </w:rPr>
              <w:tab/>
              <w:t>byla zajištěna přístupnost výrobků, které využívají při poskytování služby, v souladu s pravidly stanovenými v bodě B „Výrobky“;</w:t>
            </w:r>
          </w:p>
          <w:p>
            <w:pPr>
              <w:pBdr>
                <w:bottom w:val="single" w:sz="4" w:space="1" w:color="auto"/>
              </w:pBdr>
              <w:ind w:left="1177" w:hanging="426"/>
              <w:rPr>
                <w:noProof/>
              </w:rPr>
            </w:pPr>
            <w:r>
              <w:rPr>
                <w:noProof/>
              </w:rPr>
              <w:t>(b)</w:t>
            </w:r>
            <w:r>
              <w:rPr>
                <w:noProof/>
              </w:rPr>
              <w:tab/>
              <w:t>byly poskytovány informace o fungování služby a o charakteristikách její přístupnosti a možnostech takto:</w:t>
            </w:r>
          </w:p>
          <w:p>
            <w:pPr>
              <w:numPr>
                <w:ilvl w:val="0"/>
                <w:numId w:val="40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být dostupné v textových formátech, které lze použít k vytvoření alternativních asistivních formátů použitelných různými způsoby a prostřednictvím více než jednoho senzorického kanálu, </w:t>
            </w:r>
          </w:p>
          <w:p>
            <w:pPr>
              <w:numPr>
                <w:ilvl w:val="0"/>
                <w:numId w:val="40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obsahovat alternativy k netextovému obsahu, </w:t>
            </w:r>
          </w:p>
          <w:p>
            <w:pPr>
              <w:numPr>
                <w:ilvl w:val="0"/>
                <w:numId w:val="40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 elektronické informace, včetně příslušných online aplikací, které jsou při poskytování služby nezbytné, musí být poskytovány v souladu s písm. c); </w:t>
            </w:r>
          </w:p>
          <w:p>
            <w:pPr>
              <w:ind w:left="1200" w:hanging="480"/>
              <w:rPr>
                <w:noProof/>
              </w:rPr>
            </w:pPr>
            <w:r>
              <w:rPr>
                <w:noProof/>
              </w:rPr>
              <w:t>(c)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měřítku; </w:t>
            </w:r>
          </w:p>
          <w:p>
            <w:pPr>
              <w:ind w:left="1134" w:hanging="480"/>
              <w:rPr>
                <w:noProof/>
              </w:rPr>
            </w:pPr>
            <w:r>
              <w:rPr>
                <w:noProof/>
              </w:rPr>
              <w:t>(d)</w:t>
            </w:r>
            <w:r>
              <w:rPr>
                <w:noProof/>
              </w:rPr>
              <w:tab/>
              <w:t xml:space="preserve">byly poskytovány přístupné informace, které umožní propojení s asistivními službami; </w:t>
            </w:r>
          </w:p>
          <w:p>
            <w:pPr>
              <w:ind w:left="1134" w:hanging="480"/>
              <w:rPr>
                <w:noProof/>
              </w:rPr>
            </w:pPr>
            <w:r>
              <w:rPr>
                <w:noProof/>
              </w:rPr>
              <w:t>(e)</w:t>
            </w:r>
            <w:r>
              <w:rPr>
                <w:noProof/>
              </w:rPr>
              <w:tab/>
              <w:t xml:space="preserve">byly zahrnuty funkce, praktiky, politiky a postupy a změny ve fungování služeb, jejichž cílem je reagovat na potřeby osob s funkčním omezením. </w:t>
            </w:r>
          </w:p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>B. „Výrobky“:</w:t>
            </w:r>
          </w:p>
          <w:p>
            <w:pPr>
              <w:ind w:left="600" w:hanging="600"/>
              <w:rPr>
                <w:b/>
                <w:noProof/>
              </w:rPr>
            </w:pPr>
            <w:r>
              <w:rPr>
                <w:b/>
                <w:noProof/>
              </w:rPr>
              <w:t>1. Návrh a výroba: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výrobků pro osoby s funkčním omezením, včetně osob se zdravotním postižením a osob s omezením souvisejícím s věkem, musí být výrobky navrhovány a vyráběny tak, aby zpřístupňovaly tyto prvky: </w:t>
            </w:r>
          </w:p>
          <w:p>
            <w:pPr>
              <w:numPr>
                <w:ilvl w:val="0"/>
                <w:numId w:val="32"/>
              </w:numPr>
              <w:ind w:left="1177" w:hanging="426"/>
              <w:rPr>
                <w:noProof/>
              </w:rPr>
            </w:pPr>
            <w:r>
              <w:rPr>
                <w:noProof/>
              </w:rPr>
              <w:t>informace o použití výrobku na samotném výrobku (označení na obalu, návod, varování), které:</w:t>
            </w:r>
          </w:p>
          <w:p>
            <w:pPr>
              <w:numPr>
                <w:ilvl w:val="0"/>
                <w:numId w:val="3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dostupné prostřednictvím více než jednoho senzorického kanálu,</w:t>
            </w:r>
          </w:p>
          <w:p>
            <w:pPr>
              <w:numPr>
                <w:ilvl w:val="0"/>
                <w:numId w:val="3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musí být srozumitelné,</w:t>
            </w:r>
          </w:p>
          <w:p>
            <w:pPr>
              <w:numPr>
                <w:ilvl w:val="0"/>
                <w:numId w:val="3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být vnímatelné, </w:t>
            </w:r>
          </w:p>
          <w:p>
            <w:pPr>
              <w:numPr>
                <w:ilvl w:val="0"/>
                <w:numId w:val="3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musí mít odpovídající velikost písma za předvídatelných podmínek použití; </w:t>
            </w:r>
          </w:p>
          <w:p>
            <w:pPr>
              <w:numPr>
                <w:ilvl w:val="0"/>
                <w:numId w:val="32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obal výrobku včetně informací zde uvedených (otevření, uzavření, použití, likvidace);</w:t>
            </w:r>
          </w:p>
          <w:p>
            <w:pPr>
              <w:numPr>
                <w:ilvl w:val="0"/>
                <w:numId w:val="32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návod k použití výrobku, k jeho instalaci a údržbě, skladování a likvidaci, který musí splňovat tyto podmínky: </w:t>
            </w:r>
          </w:p>
          <w:p>
            <w:pPr>
              <w:numPr>
                <w:ilvl w:val="0"/>
                <w:numId w:val="2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>obsah návodu musí být dostupný v textových formátech, které lze použít k vytvoření alternativních asistivních formátů použitelných různými způsoby a prostřednictvím více než jednoho senzorického kanálu, a</w:t>
            </w:r>
          </w:p>
          <w:p>
            <w:pPr>
              <w:numPr>
                <w:ilvl w:val="0"/>
                <w:numId w:val="25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návod musí obsahovat alternativy k netextovému obsahu; </w:t>
            </w:r>
          </w:p>
          <w:p>
            <w:pPr>
              <w:numPr>
                <w:ilvl w:val="0"/>
                <w:numId w:val="32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uživatelské rozhraní výrobku (manipulace, kontroly a zpětné vazby, vstupy a výstupy) v souladu s bodem 2;</w:t>
            </w:r>
          </w:p>
          <w:p>
            <w:pPr>
              <w:numPr>
                <w:ilvl w:val="0"/>
                <w:numId w:val="32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 xml:space="preserve">funkčnost výrobku odpovídající potřebám osob s funkčním omezením v souladu s odstavcem 2; </w:t>
            </w:r>
          </w:p>
          <w:p>
            <w:pPr>
              <w:numPr>
                <w:ilvl w:val="0"/>
                <w:numId w:val="32"/>
              </w:numPr>
              <w:ind w:left="1200" w:hanging="480"/>
              <w:rPr>
                <w:noProof/>
              </w:rPr>
            </w:pPr>
            <w:r>
              <w:rPr>
                <w:noProof/>
              </w:rPr>
              <w:t>propojení výrobku s kompenzačními pomůckami.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2. Návrh uživatelského rozhraní a funkčnosti:</w:t>
            </w:r>
            <w:r>
              <w:rPr>
                <w:noProof/>
              </w:rPr>
              <w:t xml:space="preserve">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Za účelem zajištění přístupnosti musí návrh funkčnosti a uživatelského rozhraní výrobků podle bodu 1 písm. d) a e), pokud je to třeba, splňovat tyto požadavky: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komunikace a orientace prostřednictvím více než jednoho senzorického kanálu;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alternativy k řečové komunikaci a orientaci; 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variabilní nastavení velikosti a kontrastu;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použití alternativní barvy u sdělovaných informací;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flexibilní způsoby umožňující rozlišit a oddělit zvuky v popředí od zvuků na pozadí, včetně možnosti snížit hluk na pozadí a zlepšit srozumitelnost; 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možnost ovládat hlasitost;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postupné ovládání a alternativy k ovládání využívajícímu jemnou motoriku;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>funkční režimy s omezeným dosahem a silou;</w:t>
            </w:r>
          </w:p>
          <w:p>
            <w:pPr>
              <w:numPr>
                <w:ilvl w:val="0"/>
                <w:numId w:val="33"/>
              </w:numPr>
              <w:tabs>
                <w:tab w:val="left" w:pos="1200"/>
              </w:tabs>
              <w:ind w:left="1177" w:hanging="457"/>
              <w:rPr>
                <w:noProof/>
              </w:rPr>
            </w:pPr>
            <w:r>
              <w:rPr>
                <w:noProof/>
              </w:rPr>
              <w:t xml:space="preserve">možnost zabránit spuštění fotosenzitivních reakcí. </w:t>
            </w:r>
          </w:p>
          <w:p>
            <w:pPr>
              <w:ind w:left="600" w:hanging="600"/>
              <w:rPr>
                <w:b/>
                <w:noProof/>
              </w:rPr>
            </w:pPr>
          </w:p>
        </w:tc>
      </w:tr>
      <w:tr>
        <w:tc>
          <w:tcPr>
            <w:tcW w:w="2084" w:type="dxa"/>
            <w:shd w:val="clear" w:color="auto" w:fill="auto"/>
          </w:tcPr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ODDÍL VIII</w:t>
            </w:r>
          </w:p>
          <w:p>
            <w:pPr>
              <w:spacing w:after="60"/>
              <w:rPr>
                <w:b/>
                <w:noProof/>
              </w:rPr>
            </w:pPr>
            <w:r>
              <w:rPr>
                <w:b/>
                <w:noProof/>
              </w:rPr>
              <w:t>Elektronické obchodování</w:t>
            </w:r>
          </w:p>
        </w:tc>
        <w:tc>
          <w:tcPr>
            <w:tcW w:w="7150" w:type="dxa"/>
            <w:shd w:val="clear" w:color="auto" w:fill="auto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A. Služby:</w:t>
            </w:r>
          </w:p>
          <w:p>
            <w:pPr>
              <w:pStyle w:val="NumPar1"/>
              <w:numPr>
                <w:ilvl w:val="0"/>
                <w:numId w:val="57"/>
              </w:numPr>
              <w:tabs>
                <w:tab w:val="clear" w:pos="850"/>
                <w:tab w:val="num" w:pos="326"/>
              </w:tabs>
              <w:ind w:left="326" w:hanging="326"/>
              <w:rPr>
                <w:noProof/>
              </w:rPr>
            </w:pPr>
            <w:r>
              <w:rPr>
                <w:noProof/>
              </w:rPr>
              <w:t xml:space="preserve">Aby se zajistilo optimální předvídatelné použití pro osoby s funkčním omezením, včetně osob se zdravotním postižením, musí být služby poskytovány tak, aby: </w:t>
            </w:r>
          </w:p>
          <w:p>
            <w:pPr>
              <w:ind w:left="1177" w:hanging="457"/>
              <w:rPr>
                <w:noProof/>
              </w:rPr>
            </w:pPr>
            <w:r>
              <w:rPr>
                <w:noProof/>
              </w:rPr>
              <w:t>(a)</w:t>
            </w:r>
            <w:r>
              <w:rPr>
                <w:noProof/>
              </w:rPr>
              <w:tab/>
              <w:t>byly poskytovány informace o fungování služby a o charakteristikách její přístupnosti a možnostech takto:</w:t>
            </w:r>
          </w:p>
          <w:p>
            <w:pPr>
              <w:numPr>
                <w:ilvl w:val="0"/>
                <w:numId w:val="4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být dostupné v textových formátech, které lze použít k vytvoření alternativních asistivních formátů použitelných různými způsoby a prostřednictvím více než jednoho senzorického kanálu, </w:t>
            </w:r>
          </w:p>
          <w:p>
            <w:pPr>
              <w:numPr>
                <w:ilvl w:val="0"/>
                <w:numId w:val="4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informace musí obsahovat alternativy k netextovému obsahu, </w:t>
            </w:r>
          </w:p>
          <w:p>
            <w:pPr>
              <w:numPr>
                <w:ilvl w:val="0"/>
                <w:numId w:val="41"/>
              </w:numPr>
              <w:ind w:left="2169" w:hanging="425"/>
              <w:rPr>
                <w:noProof/>
              </w:rPr>
            </w:pPr>
            <w:r>
              <w:rPr>
                <w:noProof/>
              </w:rPr>
              <w:t xml:space="preserve"> elektronické informace, včetně příslušných online aplikací, které jsou při poskytování služby nezbytné, musí být poskytovány v souladu s písm. b); </w:t>
            </w:r>
          </w:p>
          <w:p>
            <w:pPr>
              <w:ind w:left="1200" w:hanging="480"/>
              <w:rPr>
                <w:noProof/>
              </w:rPr>
            </w:pPr>
            <w:r>
              <w:rPr>
                <w:noProof/>
              </w:rPr>
              <w:t>(b)</w:t>
            </w:r>
            <w:r>
              <w:rPr>
                <w:noProof/>
              </w:rPr>
              <w:tab/>
      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měřítku. </w:t>
            </w:r>
          </w:p>
          <w:p>
            <w:pPr>
              <w:ind w:left="1134" w:hanging="480"/>
              <w:rPr>
                <w:b/>
                <w:noProof/>
              </w:rPr>
            </w:pPr>
          </w:p>
        </w:tc>
      </w:tr>
    </w:tbl>
    <w:p>
      <w:pPr>
        <w:spacing w:before="360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ODDÍL IX – POŽADAVKY NA PŘÍSTUPNOST V JINÝCH AKTECH UNIE V KAPITOLE VI</w:t>
      </w:r>
    </w:p>
    <w:p>
      <w:pPr>
        <w:spacing w:before="360" w:after="240"/>
        <w:rPr>
          <w:b/>
          <w:noProof/>
        </w:rPr>
      </w:pPr>
      <w:r>
        <w:rPr>
          <w:b/>
          <w:noProof/>
        </w:rPr>
        <w:t xml:space="preserve">Část A – Výrobky </w:t>
      </w:r>
    </w:p>
    <w:p>
      <w:pPr>
        <w:pStyle w:val="NumPar1"/>
        <w:numPr>
          <w:ilvl w:val="0"/>
          <w:numId w:val="47"/>
        </w:numPr>
        <w:tabs>
          <w:tab w:val="clear" w:pos="850"/>
          <w:tab w:val="num" w:pos="567"/>
        </w:tabs>
        <w:spacing w:after="240"/>
        <w:ind w:left="567" w:hanging="567"/>
        <w:rPr>
          <w:b/>
          <w:noProof/>
        </w:rPr>
      </w:pPr>
      <w:r>
        <w:rPr>
          <w:b/>
          <w:noProof/>
        </w:rPr>
        <w:t xml:space="preserve">Návrh a výroba </w:t>
      </w:r>
    </w:p>
    <w:p>
      <w:pPr>
        <w:rPr>
          <w:noProof/>
        </w:rPr>
      </w:pPr>
      <w:r>
        <w:rPr>
          <w:noProof/>
        </w:rPr>
        <w:t xml:space="preserve">Aby se zajistilo optimální předvídatelné použití výrobků pro osoby s funkčním omezením, včetně osob se zdravotním postižením a osob s omezením souvisejícím s věkem, musí být výrobky navrhovány a vyráběny tak, aby zpřístupňovaly tyto prvky: </w:t>
      </w:r>
    </w:p>
    <w:p>
      <w:pPr>
        <w:pStyle w:val="Point1letter"/>
        <w:numPr>
          <w:ilvl w:val="3"/>
          <w:numId w:val="48"/>
        </w:numPr>
        <w:rPr>
          <w:noProof/>
        </w:rPr>
      </w:pPr>
      <w:r>
        <w:rPr>
          <w:noProof/>
        </w:rPr>
        <w:t>informace o použití výrobku na samotném výrobku (označení na obalu, návod, varování), které:</w:t>
      </w:r>
    </w:p>
    <w:p>
      <w:pPr>
        <w:pStyle w:val="Point2"/>
        <w:rPr>
          <w:noProof/>
        </w:rPr>
      </w:pPr>
      <w:r>
        <w:rPr>
          <w:noProof/>
        </w:rPr>
        <w:t>i)</w:t>
      </w:r>
      <w:r>
        <w:rPr>
          <w:noProof/>
        </w:rPr>
        <w:tab/>
        <w:t>musí být dostupné prostřednictvím více než jednoho senzorického kanálu,</w:t>
      </w:r>
    </w:p>
    <w:p>
      <w:pPr>
        <w:pStyle w:val="Point2"/>
        <w:rPr>
          <w:noProof/>
        </w:rPr>
      </w:pPr>
      <w:r>
        <w:rPr>
          <w:noProof/>
        </w:rPr>
        <w:t>ii)</w:t>
      </w:r>
      <w:r>
        <w:rPr>
          <w:noProof/>
        </w:rPr>
        <w:tab/>
        <w:t>musí být srozumitelné,</w:t>
      </w:r>
    </w:p>
    <w:p>
      <w:pPr>
        <w:pStyle w:val="Point2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musí být vnímatelné, </w:t>
      </w:r>
    </w:p>
    <w:p>
      <w:pPr>
        <w:pStyle w:val="Point2"/>
        <w:rPr>
          <w:noProof/>
        </w:rPr>
      </w:pPr>
      <w:r>
        <w:rPr>
          <w:noProof/>
        </w:rPr>
        <w:t>iv)</w:t>
      </w:r>
      <w:r>
        <w:rPr>
          <w:noProof/>
        </w:rPr>
        <w:tab/>
        <w:t xml:space="preserve">musí mít odpovídající velikost písma za předvídatelných podmínek použití; </w:t>
      </w:r>
    </w:p>
    <w:p>
      <w:pPr>
        <w:pStyle w:val="Point1letter"/>
        <w:rPr>
          <w:noProof/>
        </w:rPr>
      </w:pPr>
      <w:r>
        <w:rPr>
          <w:noProof/>
        </w:rPr>
        <w:t>obal výrobku včetně informací zde uvedených (otevření, uzavření, použití, likvidace);</w:t>
      </w:r>
    </w:p>
    <w:p>
      <w:pPr>
        <w:pStyle w:val="Point1letter"/>
        <w:rPr>
          <w:noProof/>
        </w:rPr>
      </w:pPr>
      <w:r>
        <w:rPr>
          <w:noProof/>
        </w:rPr>
        <w:t xml:space="preserve">návod k použití výrobku, k jeho instalaci a údržbě, skladování a likvidaci, který musí splňovat tyto podmínky: </w:t>
      </w:r>
    </w:p>
    <w:p>
      <w:pPr>
        <w:pStyle w:val="Point2"/>
        <w:rPr>
          <w:noProof/>
        </w:rPr>
      </w:pPr>
      <w:r>
        <w:rPr>
          <w:noProof/>
        </w:rPr>
        <w:t>i)</w:t>
      </w:r>
      <w:r>
        <w:rPr>
          <w:noProof/>
        </w:rPr>
        <w:tab/>
        <w:t>obsah návodu musí být dostupný v textových formátech, které lze použít k vytvoření alternativních asistivních formátů použitelných různými způsoby a prostřednictvím více než jednoho senzorického kanálu, a</w:t>
      </w:r>
    </w:p>
    <w:p>
      <w:pPr>
        <w:pStyle w:val="Point2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návod musí obsahovat alternativy k netextovému obsahu; </w:t>
      </w:r>
    </w:p>
    <w:p>
      <w:pPr>
        <w:pStyle w:val="Point1letter"/>
        <w:rPr>
          <w:noProof/>
        </w:rPr>
      </w:pPr>
      <w:r>
        <w:rPr>
          <w:noProof/>
        </w:rPr>
        <w:t>uživatelské rozhraní výrobku (manipulace, kontroly a zpětné vazby, vstupy a výstupy) v souladu s bodem 2;</w:t>
      </w:r>
    </w:p>
    <w:p>
      <w:pPr>
        <w:pStyle w:val="Point1letter"/>
        <w:rPr>
          <w:noProof/>
        </w:rPr>
      </w:pPr>
      <w:r>
        <w:rPr>
          <w:noProof/>
        </w:rPr>
        <w:t xml:space="preserve">funkčnost výrobku odpovídající potřebám osob s funkčním omezením v souladu s odstavcem 2; </w:t>
      </w:r>
    </w:p>
    <w:p>
      <w:pPr>
        <w:pStyle w:val="Point1letter"/>
        <w:spacing w:after="360"/>
        <w:rPr>
          <w:noProof/>
        </w:rPr>
      </w:pPr>
      <w:r>
        <w:rPr>
          <w:noProof/>
        </w:rPr>
        <w:t>propojení výrobku s kompenzačními pomůckami.</w:t>
      </w:r>
    </w:p>
    <w:p>
      <w:pPr>
        <w:spacing w:after="240"/>
        <w:rPr>
          <w:b/>
          <w:noProof/>
        </w:rPr>
      </w:pPr>
      <w:r>
        <w:rPr>
          <w:b/>
          <w:noProof/>
        </w:rPr>
        <w:t xml:space="preserve"> 2. </w:t>
      </w:r>
      <w:r>
        <w:rPr>
          <w:noProof/>
        </w:rPr>
        <w:tab/>
      </w:r>
      <w:r>
        <w:rPr>
          <w:b/>
          <w:noProof/>
        </w:rPr>
        <w:t xml:space="preserve">Návrh uživatelského rozhraní a funkčnosti </w:t>
      </w:r>
    </w:p>
    <w:p>
      <w:pPr>
        <w:rPr>
          <w:noProof/>
        </w:rPr>
      </w:pPr>
      <w:r>
        <w:rPr>
          <w:noProof/>
        </w:rPr>
        <w:t>Za účelem zajištění přístupnosti musí návrh funkčnosti a uživatelského rozhraní výrobků podle bodu 1 písm. d) a e), pokud je to třeba, splňovat tyto požadavky: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>komunikace a orientace prostřednictvím více než jednoho senzorického kanálu;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 xml:space="preserve">alternativy k řečové komunikaci a orientaci; 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>variabilní nastavení velikosti a kontrastu;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>použití alternativní barvy u sdělovaných informací;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 xml:space="preserve">flexibilní způsoby umožňující rozlišit a oddělit zvuky v popředí od zvuků na pozadí, včetně možnosti snížit hluk na pozadí a zlepšit srozumitelnost; 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>možnost ovládat hlasitost;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>postupné ovládání a alternativy k ovládání využívajícímu jemnou motoriku;</w:t>
      </w:r>
    </w:p>
    <w:p>
      <w:pPr>
        <w:pStyle w:val="Point1letter"/>
        <w:numPr>
          <w:ilvl w:val="3"/>
          <w:numId w:val="42"/>
        </w:numPr>
        <w:rPr>
          <w:noProof/>
        </w:rPr>
      </w:pPr>
      <w:r>
        <w:rPr>
          <w:noProof/>
        </w:rPr>
        <w:t>funkční režimy s omezeným dosahem a silou;</w:t>
      </w:r>
    </w:p>
    <w:p>
      <w:pPr>
        <w:pStyle w:val="Point1letter"/>
        <w:numPr>
          <w:ilvl w:val="3"/>
          <w:numId w:val="42"/>
        </w:numPr>
        <w:spacing w:after="240"/>
        <w:rPr>
          <w:noProof/>
        </w:rPr>
      </w:pPr>
      <w:r>
        <w:rPr>
          <w:noProof/>
        </w:rPr>
        <w:t xml:space="preserve">možnost zabránit spuštění fotosenzitivních reakcí. </w:t>
      </w:r>
    </w:p>
    <w:p>
      <w:pPr>
        <w:spacing w:before="360" w:after="240"/>
        <w:rPr>
          <w:b/>
          <w:noProof/>
        </w:rPr>
      </w:pPr>
      <w:r>
        <w:rPr>
          <w:b/>
          <w:noProof/>
        </w:rPr>
        <w:t xml:space="preserve">Část B – Služby </w:t>
      </w:r>
    </w:p>
    <w:p>
      <w:pPr>
        <w:pStyle w:val="NumPar1"/>
        <w:numPr>
          <w:ilvl w:val="0"/>
          <w:numId w:val="43"/>
        </w:numPr>
        <w:tabs>
          <w:tab w:val="clear" w:pos="850"/>
        </w:tabs>
        <w:rPr>
          <w:noProof/>
        </w:rPr>
      </w:pPr>
      <w:r>
        <w:rPr>
          <w:noProof/>
        </w:rPr>
        <w:t xml:space="preserve">Aby se zajistilo optimální předvídatelné použití pro osoby s funkčním omezením, včetně osob se zdravotním postižením, musí být služby poskytovány tak, aby: </w:t>
      </w:r>
    </w:p>
    <w:p>
      <w:pPr>
        <w:pStyle w:val="Point1letter"/>
        <w:numPr>
          <w:ilvl w:val="3"/>
          <w:numId w:val="44"/>
        </w:numPr>
        <w:rPr>
          <w:noProof/>
        </w:rPr>
      </w:pPr>
      <w:r>
        <w:rPr>
          <w:noProof/>
        </w:rPr>
        <w:t>bylo zpřístupňováno zastavěné prostředí v místě, kde je služba poskytována, včetně dopravní infrastruktury v souladu s částí C, aniž jsou dotčeny vnitrostátní právní předpisy a právní předpisy Unie na ochranu národního kulturního pokladu, jenž má uměleckou, historickou nebo archeologickou hodnotu;</w:t>
      </w:r>
    </w:p>
    <w:p>
      <w:pPr>
        <w:pStyle w:val="Point1letter"/>
        <w:numPr>
          <w:ilvl w:val="3"/>
          <w:numId w:val="44"/>
        </w:numPr>
        <w:rPr>
          <w:noProof/>
        </w:rPr>
      </w:pPr>
      <w:r>
        <w:rPr>
          <w:noProof/>
        </w:rPr>
        <w:t xml:space="preserve">bylo zpřístupňováno příslušenství, včetně vozidel, plavidel a vybavení, potřebné pro dodávání služby takto: </w:t>
      </w:r>
    </w:p>
    <w:p>
      <w:pPr>
        <w:pStyle w:val="Point2"/>
        <w:rPr>
          <w:noProof/>
        </w:rPr>
      </w:pPr>
      <w:r>
        <w:rPr>
          <w:noProof/>
        </w:rPr>
        <w:t>i)</w:t>
      </w:r>
      <w:r>
        <w:rPr>
          <w:noProof/>
        </w:rPr>
        <w:tab/>
        <w:t>návrh zastavěného prostoru musí splňovat požadavky podle části C, pokud jde o nastoupení, vystoupení, provoz a využívání;</w:t>
      </w:r>
    </w:p>
    <w:p>
      <w:pPr>
        <w:pStyle w:val="Point2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informace musí být dostupné různými způsoby a prostřednictvím více než jednoho senzorického kanálu, </w:t>
      </w:r>
    </w:p>
    <w:p>
      <w:pPr>
        <w:pStyle w:val="Point2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 informace musí poskytovat alternativy k netextovému vizuálnímu obsahu,</w:t>
      </w:r>
    </w:p>
    <w:p>
      <w:pPr>
        <w:pStyle w:val="Point1letter"/>
        <w:rPr>
          <w:noProof/>
        </w:rPr>
      </w:pPr>
      <w:r>
        <w:rPr>
          <w:noProof/>
        </w:rPr>
        <w:t>byly zpřístupňovány výrobky používané při poskytování služby v souladu s pravidly stanovenými v části A;</w:t>
      </w:r>
    </w:p>
    <w:p>
      <w:pPr>
        <w:pStyle w:val="Point1letter"/>
        <w:rPr>
          <w:noProof/>
        </w:rPr>
      </w:pPr>
      <w:r>
        <w:rPr>
          <w:noProof/>
        </w:rPr>
        <w:t>byly poskytovány informace o fungování služby a o charakteristikách její přístupnosti a možnostech takto:</w:t>
      </w:r>
    </w:p>
    <w:p>
      <w:pPr>
        <w:pStyle w:val="Point2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informace musí být dostupné v textových formátech, které lze použít k vytvoření alternativních asistivních formátů použitelných různými způsoby a prostřednictvím více než jednoho senzorického kanálu, </w:t>
      </w:r>
    </w:p>
    <w:p>
      <w:pPr>
        <w:pStyle w:val="Point2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informace musí obsahovat alternativy k netextovému obsahu; </w:t>
      </w:r>
    </w:p>
    <w:p>
      <w:pPr>
        <w:pStyle w:val="Point2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 elektronické informace, včetně příslušných online aplikací, které jsou při poskytování služby nezbytné, musí být poskytovány v souladu s písm. e); </w:t>
      </w:r>
    </w:p>
    <w:p>
      <w:pPr>
        <w:pStyle w:val="Point1letter"/>
        <w:rPr>
          <w:noProof/>
        </w:rPr>
      </w:pPr>
      <w:r>
        <w:rPr>
          <w:noProof/>
        </w:rPr>
        <w:t xml:space="preserve">byly zpřístupňovány internetové stránky jednotným a přiměřeným způsobem, aby je uživatel mohl vnímat, zacházet s nimi a porozumět jim, aby si u nich mohl přizpůsobit prezentaci obsahu a interakci a aby v případě nutnosti byly poskytnuty dostupné elektronické alternativy; a způsobem, který usnadňuje interoperabilitu s různými uživatelskými aplikacemi a dostupnými kompenzačními pomůckami a technickými prostředky na úrovni Unie a v mezinárodním měřítku; </w:t>
      </w:r>
    </w:p>
    <w:p>
      <w:pPr>
        <w:pStyle w:val="Point1letter"/>
        <w:rPr>
          <w:noProof/>
        </w:rPr>
      </w:pPr>
      <w:r>
        <w:rPr>
          <w:noProof/>
        </w:rPr>
        <w:t xml:space="preserve">byly poskytovány přístupné informace, které umožní propojení s asistivními službami; </w:t>
      </w:r>
    </w:p>
    <w:p>
      <w:pPr>
        <w:pStyle w:val="Point1letter"/>
        <w:rPr>
          <w:noProof/>
        </w:rPr>
      </w:pPr>
      <w:r>
        <w:rPr>
          <w:noProof/>
        </w:rPr>
        <w:t xml:space="preserve">byly zahrnuty funkce, praktiky, politiky a postupy a změny ve fungování služeb, jejichž cílem je reagovat na potřeby osob s funkčním omezením. </w:t>
      </w:r>
    </w:p>
    <w:p>
      <w:pPr>
        <w:spacing w:before="360" w:after="240"/>
        <w:rPr>
          <w:b/>
          <w:noProof/>
        </w:rPr>
      </w:pPr>
      <w:r>
        <w:rPr>
          <w:b/>
          <w:noProof/>
        </w:rPr>
        <w:t>Část C – Zastavěné prostředí</w:t>
      </w:r>
    </w:p>
    <w:p>
      <w:pPr>
        <w:pStyle w:val="NumPar1"/>
        <w:numPr>
          <w:ilvl w:val="0"/>
          <w:numId w:val="45"/>
        </w:numPr>
        <w:rPr>
          <w:noProof/>
        </w:rPr>
      </w:pPr>
      <w:r>
        <w:rPr>
          <w:noProof/>
        </w:rPr>
        <w:t xml:space="preserve">Aby se zajistilo předvídatelné použití nezávislým způsobem, musí přístupnost zastavěného prostředí pro osoby s funkčním omezením, včetně osob se zdravotním postižením, zahrnovat tyto aspekty týkající se prostor určených pro přístup veřejnosti: 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příslušných vnějších prostranství a zařízení;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přístup k budovám;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vstupů;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tras ve vodorovném směru;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tras ve svislém směru;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místností veřejností;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vybavení a zařízení;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toalet a hygienických zařízení;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nouzových východů, únikových cest a koncepce plánování pro případ nouze;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komunikace a orientace prostřednictvím více než jednoho senzorického kanálu;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využívání zařízení a staveb pro jejich zamýšlený účel;</w:t>
      </w:r>
    </w:p>
    <w:p>
      <w:pPr>
        <w:pStyle w:val="Point1letter"/>
        <w:numPr>
          <w:ilvl w:val="3"/>
          <w:numId w:val="46"/>
        </w:numPr>
        <w:rPr>
          <w:noProof/>
        </w:rPr>
      </w:pPr>
      <w:r>
        <w:rPr>
          <w:noProof/>
        </w:rPr>
        <w:t>ochrana před riziky v prostředí uvnitř a vně budov.</w:t>
      </w:r>
    </w:p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spacing w:before="360"/>
        <w:rPr>
          <w:noProof/>
        </w:rPr>
      </w:pPr>
      <w:r>
        <w:rPr>
          <w:b/>
          <w:noProof/>
          <w:u w:val="single"/>
        </w:rPr>
        <w:t>ODDÍL X – POŽADAVKY NA PŘÍSTUPNOST PRO ÚČELY ČL. 3 ODST. 10 TÝKAJÍCÍ SE ZASTAVĚNÉHO PROSTŘEDÍ V MÍSTĚ, KDE JE POSKYTOVÁNA SLUŽBA SPADAJÍCÍ DO PŮSOBNOSTI TÉTO SMĚRNICE</w:t>
      </w:r>
    </w:p>
    <w:p>
      <w:pPr>
        <w:spacing w:before="360"/>
        <w:rPr>
          <w:noProof/>
        </w:rPr>
      </w:pPr>
      <w:r>
        <w:rPr>
          <w:noProof/>
        </w:rPr>
        <w:t xml:space="preserve">Aby se zajistilo předvídatelné použití nezávislým způsobem, musí přístupnost zastavěného prostředí uvedeného v čl. 3 odst. 10 v místě, kde je poskytována služba, pro osoby s funkčním omezením, včetně osob se zdravotním postižením, zahrnovat tyto aspekty týkající se prostor určených pro přístup veřejnosti: 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příslušných venkovních prostor a zařízení na odpovědnost poskytovatele služeb;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 xml:space="preserve">přístupy k budovám na odpovědnost poskytovatele služeb; 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vstupů;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tras ve vodorovném směru;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tras ve svislém směru;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místností veřejností;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vybavení a zařízení používaného při poskytování služby;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toalet a hygienických zařízení;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nouzových východů, únikových cest a koncepce plánování pro případ nouze;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komunikace a orientace prostřednictvím více než jednoho senzorického kanálu;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využívání zařízení a staveb pro jejich zamýšlený účel;</w:t>
      </w:r>
    </w:p>
    <w:p>
      <w:pPr>
        <w:pStyle w:val="Point0letter"/>
        <w:numPr>
          <w:ilvl w:val="1"/>
          <w:numId w:val="50"/>
        </w:numPr>
        <w:rPr>
          <w:noProof/>
        </w:rPr>
      </w:pPr>
      <w:r>
        <w:rPr>
          <w:noProof/>
        </w:rPr>
        <w:t>ochrana před riziky v prostředí uvnitř a vně budov.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616E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5BA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DDCFA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980B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A6A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9F6E5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BA2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12A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6D0011"/>
    <w:multiLevelType w:val="hybridMultilevel"/>
    <w:tmpl w:val="173A815E"/>
    <w:lvl w:ilvl="0" w:tplc="AB846824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03131765"/>
    <w:multiLevelType w:val="hybridMultilevel"/>
    <w:tmpl w:val="D1EE3C46"/>
    <w:lvl w:ilvl="0" w:tplc="AB846824">
      <w:start w:val="1"/>
      <w:numFmt w:val="lowerRoman"/>
      <w:lvlText w:val="(%1)"/>
      <w:lvlJc w:val="left"/>
      <w:pPr>
        <w:ind w:left="2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04AB4056"/>
    <w:multiLevelType w:val="hybridMultilevel"/>
    <w:tmpl w:val="D1EE3C46"/>
    <w:lvl w:ilvl="0" w:tplc="AB846824">
      <w:start w:val="1"/>
      <w:numFmt w:val="lowerRoman"/>
      <w:lvlText w:val="(%1)"/>
      <w:lvlJc w:val="left"/>
      <w:pPr>
        <w:ind w:left="2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077A78BF"/>
    <w:multiLevelType w:val="hybridMultilevel"/>
    <w:tmpl w:val="D1EE3C46"/>
    <w:lvl w:ilvl="0" w:tplc="AB846824">
      <w:start w:val="1"/>
      <w:numFmt w:val="lowerRoman"/>
      <w:lvlText w:val="(%1)"/>
      <w:lvlJc w:val="left"/>
      <w:pPr>
        <w:ind w:left="2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0DAA625A"/>
    <w:multiLevelType w:val="hybridMultilevel"/>
    <w:tmpl w:val="A516EF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AB846824">
      <w:start w:val="1"/>
      <w:numFmt w:val="lowerRoman"/>
      <w:lvlText w:val="(%4)"/>
      <w:lvlJc w:val="left"/>
      <w:pPr>
        <w:ind w:left="276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B349F"/>
    <w:multiLevelType w:val="hybridMultilevel"/>
    <w:tmpl w:val="DD08F478"/>
    <w:lvl w:ilvl="0" w:tplc="AB846824">
      <w:start w:val="1"/>
      <w:numFmt w:val="lowerRoman"/>
      <w:lvlText w:val="(%1)"/>
      <w:lvlJc w:val="left"/>
      <w:pPr>
        <w:ind w:left="19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4">
    <w:nsid w:val="0EEA5194"/>
    <w:multiLevelType w:val="hybridMultilevel"/>
    <w:tmpl w:val="288ABF7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412F3D"/>
    <w:multiLevelType w:val="hybridMultilevel"/>
    <w:tmpl w:val="173A815E"/>
    <w:lvl w:ilvl="0" w:tplc="AB846824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6">
    <w:nsid w:val="122410F7"/>
    <w:multiLevelType w:val="hybridMultilevel"/>
    <w:tmpl w:val="173A815E"/>
    <w:lvl w:ilvl="0" w:tplc="AB846824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7">
    <w:nsid w:val="131077CE"/>
    <w:multiLevelType w:val="hybridMultilevel"/>
    <w:tmpl w:val="288ABF7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187C75"/>
    <w:multiLevelType w:val="hybridMultilevel"/>
    <w:tmpl w:val="288ABF7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0">
    <w:nsid w:val="202C67F2"/>
    <w:multiLevelType w:val="hybridMultilevel"/>
    <w:tmpl w:val="D1EE3C46"/>
    <w:lvl w:ilvl="0" w:tplc="AB846824">
      <w:start w:val="1"/>
      <w:numFmt w:val="lowerRoman"/>
      <w:lvlText w:val="(%1)"/>
      <w:lvlJc w:val="left"/>
      <w:pPr>
        <w:ind w:left="2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FF7EC5"/>
    <w:multiLevelType w:val="hybridMultilevel"/>
    <w:tmpl w:val="EFEE27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072FE"/>
    <w:multiLevelType w:val="hybridMultilevel"/>
    <w:tmpl w:val="737CFF06"/>
    <w:lvl w:ilvl="0" w:tplc="1F6E1CE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508CC"/>
    <w:multiLevelType w:val="hybridMultilevel"/>
    <w:tmpl w:val="288ABF7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6160C5"/>
    <w:multiLevelType w:val="hybridMultilevel"/>
    <w:tmpl w:val="288ABF7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7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8">
    <w:nsid w:val="2E0815CE"/>
    <w:multiLevelType w:val="hybridMultilevel"/>
    <w:tmpl w:val="49C09AFE"/>
    <w:lvl w:ilvl="0" w:tplc="AB846824">
      <w:start w:val="1"/>
      <w:numFmt w:val="lowerRoman"/>
      <w:lvlText w:val="(%1)"/>
      <w:lvlJc w:val="left"/>
      <w:pPr>
        <w:ind w:left="19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9">
    <w:nsid w:val="2EF47E16"/>
    <w:multiLevelType w:val="hybridMultilevel"/>
    <w:tmpl w:val="D1EE3C46"/>
    <w:lvl w:ilvl="0" w:tplc="AB846824">
      <w:start w:val="1"/>
      <w:numFmt w:val="lowerRoman"/>
      <w:lvlText w:val="(%1)"/>
      <w:lvlJc w:val="left"/>
      <w:pPr>
        <w:ind w:left="2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>
    <w:nsid w:val="3B283F8F"/>
    <w:multiLevelType w:val="hybridMultilevel"/>
    <w:tmpl w:val="173A815E"/>
    <w:lvl w:ilvl="0" w:tplc="AB846824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1">
    <w:nsid w:val="3F571CE1"/>
    <w:multiLevelType w:val="hybridMultilevel"/>
    <w:tmpl w:val="DA520FB4"/>
    <w:lvl w:ilvl="0" w:tplc="AB846824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2">
    <w:nsid w:val="41C73A2A"/>
    <w:multiLevelType w:val="hybridMultilevel"/>
    <w:tmpl w:val="5134ABC6"/>
    <w:lvl w:ilvl="0" w:tplc="23664E34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6">
    <w:nsid w:val="4A015E45"/>
    <w:multiLevelType w:val="hybridMultilevel"/>
    <w:tmpl w:val="D1EE3C46"/>
    <w:lvl w:ilvl="0" w:tplc="AB846824">
      <w:start w:val="1"/>
      <w:numFmt w:val="lowerRoman"/>
      <w:lvlText w:val="(%1)"/>
      <w:lvlJc w:val="left"/>
      <w:pPr>
        <w:ind w:left="2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>
    <w:nsid w:val="4E084860"/>
    <w:multiLevelType w:val="hybridMultilevel"/>
    <w:tmpl w:val="936E5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9">
    <w:nsid w:val="55AB4FB3"/>
    <w:multiLevelType w:val="hybridMultilevel"/>
    <w:tmpl w:val="EFEE27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C0B81"/>
    <w:multiLevelType w:val="hybridMultilevel"/>
    <w:tmpl w:val="EFEE27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67563"/>
    <w:multiLevelType w:val="hybridMultilevel"/>
    <w:tmpl w:val="60528E0C"/>
    <w:lvl w:ilvl="0" w:tplc="E3026388">
      <w:start w:val="4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017AD"/>
    <w:multiLevelType w:val="hybridMultilevel"/>
    <w:tmpl w:val="EFEE27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D04201A"/>
    <w:multiLevelType w:val="hybridMultilevel"/>
    <w:tmpl w:val="EFEE27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733A1F"/>
    <w:multiLevelType w:val="hybridMultilevel"/>
    <w:tmpl w:val="DA520FB4"/>
    <w:lvl w:ilvl="0" w:tplc="AB846824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48">
    <w:nsid w:val="617347A9"/>
    <w:multiLevelType w:val="hybridMultilevel"/>
    <w:tmpl w:val="9EBC0D0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AB846824">
      <w:start w:val="1"/>
      <w:numFmt w:val="lowerRoman"/>
      <w:lvlText w:val="(%4)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B809A4"/>
    <w:multiLevelType w:val="hybridMultilevel"/>
    <w:tmpl w:val="288ABF7A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3741A9C"/>
    <w:multiLevelType w:val="hybridMultilevel"/>
    <w:tmpl w:val="F57891B4"/>
    <w:lvl w:ilvl="0" w:tplc="AB846824">
      <w:start w:val="1"/>
      <w:numFmt w:val="lowerRoman"/>
      <w:lvlText w:val="(%1)"/>
      <w:lvlJc w:val="left"/>
      <w:pPr>
        <w:ind w:left="19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65360A78"/>
    <w:multiLevelType w:val="multilevel"/>
    <w:tmpl w:val="0809001D"/>
    <w:name w:val="0.671989122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661B623D"/>
    <w:multiLevelType w:val="hybridMultilevel"/>
    <w:tmpl w:val="EFEE27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003C64"/>
    <w:multiLevelType w:val="hybridMultilevel"/>
    <w:tmpl w:val="288ABF7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6">
    <w:nsid w:val="73DE636E"/>
    <w:multiLevelType w:val="hybridMultilevel"/>
    <w:tmpl w:val="EFEE27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8">
    <w:nsid w:val="7D527A18"/>
    <w:multiLevelType w:val="hybridMultilevel"/>
    <w:tmpl w:val="D1EE3C46"/>
    <w:lvl w:ilvl="0" w:tplc="AB846824">
      <w:start w:val="1"/>
      <w:numFmt w:val="lowerRoman"/>
      <w:lvlText w:val="(%1)"/>
      <w:lvlJc w:val="left"/>
      <w:pPr>
        <w:ind w:left="2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2"/>
  </w:num>
  <w:num w:numId="10">
    <w:abstractNumId w:val="49"/>
  </w:num>
  <w:num w:numId="11">
    <w:abstractNumId w:val="53"/>
  </w:num>
  <w:num w:numId="12">
    <w:abstractNumId w:val="12"/>
  </w:num>
  <w:num w:numId="13">
    <w:abstractNumId w:val="48"/>
  </w:num>
  <w:num w:numId="14">
    <w:abstractNumId w:val="39"/>
  </w:num>
  <w:num w:numId="15">
    <w:abstractNumId w:val="47"/>
  </w:num>
  <w:num w:numId="16">
    <w:abstractNumId w:val="13"/>
  </w:num>
  <w:num w:numId="17">
    <w:abstractNumId w:val="14"/>
  </w:num>
  <w:num w:numId="18">
    <w:abstractNumId w:val="56"/>
  </w:num>
  <w:num w:numId="19">
    <w:abstractNumId w:val="29"/>
  </w:num>
  <w:num w:numId="20">
    <w:abstractNumId w:val="42"/>
  </w:num>
  <w:num w:numId="21">
    <w:abstractNumId w:val="16"/>
  </w:num>
  <w:num w:numId="22">
    <w:abstractNumId w:val="18"/>
  </w:num>
  <w:num w:numId="23">
    <w:abstractNumId w:val="46"/>
  </w:num>
  <w:num w:numId="24">
    <w:abstractNumId w:val="8"/>
  </w:num>
  <w:num w:numId="25">
    <w:abstractNumId w:val="50"/>
  </w:num>
  <w:num w:numId="26">
    <w:abstractNumId w:val="25"/>
  </w:num>
  <w:num w:numId="27">
    <w:abstractNumId w:val="58"/>
  </w:num>
  <w:num w:numId="28">
    <w:abstractNumId w:val="9"/>
  </w:num>
  <w:num w:numId="29">
    <w:abstractNumId w:val="36"/>
  </w:num>
  <w:num w:numId="30">
    <w:abstractNumId w:val="20"/>
  </w:num>
  <w:num w:numId="31">
    <w:abstractNumId w:val="15"/>
  </w:num>
  <w:num w:numId="32">
    <w:abstractNumId w:val="40"/>
  </w:num>
  <w:num w:numId="33">
    <w:abstractNumId w:val="17"/>
  </w:num>
  <w:num w:numId="34">
    <w:abstractNumId w:val="22"/>
  </w:num>
  <w:num w:numId="35">
    <w:abstractNumId w:val="30"/>
  </w:num>
  <w:num w:numId="36">
    <w:abstractNumId w:val="31"/>
  </w:num>
  <w:num w:numId="37">
    <w:abstractNumId w:val="54"/>
  </w:num>
  <w:num w:numId="38">
    <w:abstractNumId w:val="28"/>
  </w:num>
  <w:num w:numId="39">
    <w:abstractNumId w:val="24"/>
  </w:num>
  <w:num w:numId="40">
    <w:abstractNumId w:val="11"/>
  </w:num>
  <w:num w:numId="41">
    <w:abstractNumId w:val="1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</w:num>
  <w:num w:numId="52">
    <w:abstractNumId w:val="41"/>
  </w:num>
  <w:num w:numId="53">
    <w:abstractNumId w:val="32"/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</w:num>
  <w:num w:numId="59">
    <w:abstractNumId w:val="33"/>
  </w:num>
  <w:num w:numId="60">
    <w:abstractNumId w:val="55"/>
  </w:num>
  <w:num w:numId="61">
    <w:abstractNumId w:val="27"/>
  </w:num>
  <w:num w:numId="62">
    <w:abstractNumId w:val="34"/>
  </w:num>
  <w:num w:numId="63">
    <w:abstractNumId w:val="21"/>
  </w:num>
  <w:num w:numId="64">
    <w:abstractNumId w:val="51"/>
  </w:num>
  <w:num w:numId="65">
    <w:abstractNumId w:val="19"/>
  </w:num>
  <w:num w:numId="66">
    <w:abstractNumId w:val="35"/>
  </w:num>
  <w:num w:numId="67">
    <w:abstractNumId w:val="43"/>
  </w:num>
  <w:num w:numId="68">
    <w:abstractNumId w:val="44"/>
  </w:num>
  <w:num w:numId="69">
    <w:abstractNumId w:val="26"/>
  </w:num>
  <w:num w:numId="70">
    <w:abstractNumId w:val="38"/>
  </w:num>
  <w:num w:numId="71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3 13:44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3AB972A9BF874EF7BEB002745B3D7275"/>
    <w:docVar w:name="LW_CROSSREFERENCE" w:val="{SWD(2015) 264 final}_x000b_{SWD(2015) 265 final}_x000b_{SWD(2015) 266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o sbli\u382?ování právních p\u345?edpis\u367? \u269?lenských stát\u367? týkajících se po\u382?adavk\u367? na p\u345?ístupnost u výrobk\u367? a slu\u382?eb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5"/>
    <w:docVar w:name="LW_REF.INTERNE" w:val="&lt;UNUSED&gt;"/>
    <w:docVar w:name="LW_SUPERTITRE" w:val="&lt;UNUSED&gt;"/>
    <w:docVar w:name="LW_TITRE.OBJ.CP" w:val="&lt;UNUSED&gt;"/>
    <w:docVar w:name="LW_TYPE.DOC.CP" w:val="P\u344?ÍLOHA"/>
    <w:docVar w:name="LW_TYPEACTEPRINCIPAL.CP" w:val="návrhu sm\u283?rnice Evropské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6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6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6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6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58"/>
      </w:numPr>
    </w:pPr>
  </w:style>
  <w:style w:type="paragraph" w:customStyle="1" w:styleId="Tiret1">
    <w:name w:val="Tiret 1"/>
    <w:basedOn w:val="Point1"/>
    <w:pPr>
      <w:numPr>
        <w:numId w:val="59"/>
      </w:numPr>
    </w:pPr>
  </w:style>
  <w:style w:type="paragraph" w:customStyle="1" w:styleId="Tiret2">
    <w:name w:val="Tiret 2"/>
    <w:basedOn w:val="Point2"/>
    <w:pPr>
      <w:numPr>
        <w:numId w:val="60"/>
      </w:numPr>
    </w:pPr>
  </w:style>
  <w:style w:type="paragraph" w:customStyle="1" w:styleId="Tiret3">
    <w:name w:val="Tiret 3"/>
    <w:basedOn w:val="Point3"/>
    <w:pPr>
      <w:numPr>
        <w:numId w:val="61"/>
      </w:numPr>
    </w:pPr>
  </w:style>
  <w:style w:type="paragraph" w:customStyle="1" w:styleId="Tiret4">
    <w:name w:val="Tiret 4"/>
    <w:basedOn w:val="Point4"/>
    <w:pPr>
      <w:numPr>
        <w:numId w:val="6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6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6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6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6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65"/>
      </w:numPr>
    </w:pPr>
  </w:style>
  <w:style w:type="paragraph" w:customStyle="1" w:styleId="Point1number">
    <w:name w:val="Point 1 (number)"/>
    <w:basedOn w:val="Normal"/>
    <w:pPr>
      <w:numPr>
        <w:ilvl w:val="2"/>
        <w:numId w:val="65"/>
      </w:numPr>
    </w:pPr>
  </w:style>
  <w:style w:type="paragraph" w:customStyle="1" w:styleId="Point2number">
    <w:name w:val="Point 2 (number)"/>
    <w:basedOn w:val="Normal"/>
    <w:pPr>
      <w:numPr>
        <w:ilvl w:val="4"/>
        <w:numId w:val="65"/>
      </w:numPr>
    </w:pPr>
  </w:style>
  <w:style w:type="paragraph" w:customStyle="1" w:styleId="Point3number">
    <w:name w:val="Point 3 (number)"/>
    <w:basedOn w:val="Normal"/>
    <w:pPr>
      <w:numPr>
        <w:ilvl w:val="6"/>
        <w:numId w:val="65"/>
      </w:numPr>
    </w:pPr>
  </w:style>
  <w:style w:type="paragraph" w:customStyle="1" w:styleId="Point0letter">
    <w:name w:val="Point 0 (letter)"/>
    <w:basedOn w:val="Normal"/>
    <w:pPr>
      <w:numPr>
        <w:ilvl w:val="1"/>
        <w:numId w:val="65"/>
      </w:numPr>
    </w:pPr>
  </w:style>
  <w:style w:type="paragraph" w:customStyle="1" w:styleId="Point1letter">
    <w:name w:val="Point 1 (letter)"/>
    <w:basedOn w:val="Normal"/>
    <w:pPr>
      <w:numPr>
        <w:ilvl w:val="3"/>
        <w:numId w:val="65"/>
      </w:numPr>
    </w:pPr>
  </w:style>
  <w:style w:type="paragraph" w:customStyle="1" w:styleId="Point2letter">
    <w:name w:val="Point 2 (letter)"/>
    <w:basedOn w:val="Normal"/>
    <w:pPr>
      <w:numPr>
        <w:ilvl w:val="5"/>
        <w:numId w:val="65"/>
      </w:numPr>
    </w:pPr>
  </w:style>
  <w:style w:type="paragraph" w:customStyle="1" w:styleId="Point3letter">
    <w:name w:val="Point 3 (letter)"/>
    <w:basedOn w:val="Normal"/>
    <w:pPr>
      <w:numPr>
        <w:ilvl w:val="7"/>
        <w:numId w:val="65"/>
      </w:numPr>
    </w:pPr>
  </w:style>
  <w:style w:type="paragraph" w:customStyle="1" w:styleId="Point4letter">
    <w:name w:val="Point 4 (letter)"/>
    <w:basedOn w:val="Normal"/>
    <w:pPr>
      <w:numPr>
        <w:ilvl w:val="8"/>
        <w:numId w:val="65"/>
      </w:numPr>
    </w:pPr>
  </w:style>
  <w:style w:type="paragraph" w:customStyle="1" w:styleId="Bullet0">
    <w:name w:val="Bullet 0"/>
    <w:basedOn w:val="Normal"/>
    <w:pPr>
      <w:numPr>
        <w:numId w:val="66"/>
      </w:numPr>
    </w:pPr>
  </w:style>
  <w:style w:type="paragraph" w:customStyle="1" w:styleId="Bullet1">
    <w:name w:val="Bullet 1"/>
    <w:basedOn w:val="Normal"/>
    <w:pPr>
      <w:numPr>
        <w:numId w:val="67"/>
      </w:numPr>
    </w:pPr>
  </w:style>
  <w:style w:type="paragraph" w:customStyle="1" w:styleId="Bullet2">
    <w:name w:val="Bullet 2"/>
    <w:basedOn w:val="Normal"/>
    <w:pPr>
      <w:numPr>
        <w:numId w:val="68"/>
      </w:numPr>
    </w:pPr>
  </w:style>
  <w:style w:type="paragraph" w:customStyle="1" w:styleId="Bullet3">
    <w:name w:val="Bullet 3"/>
    <w:basedOn w:val="Normal"/>
    <w:pPr>
      <w:numPr>
        <w:numId w:val="69"/>
      </w:numPr>
    </w:pPr>
  </w:style>
  <w:style w:type="paragraph" w:customStyle="1" w:styleId="Bullet4">
    <w:name w:val="Bullet 4"/>
    <w:basedOn w:val="Normal"/>
    <w:pPr>
      <w:numPr>
        <w:numId w:val="7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7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6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6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6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6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58"/>
      </w:numPr>
    </w:pPr>
  </w:style>
  <w:style w:type="paragraph" w:customStyle="1" w:styleId="Tiret1">
    <w:name w:val="Tiret 1"/>
    <w:basedOn w:val="Point1"/>
    <w:pPr>
      <w:numPr>
        <w:numId w:val="59"/>
      </w:numPr>
    </w:pPr>
  </w:style>
  <w:style w:type="paragraph" w:customStyle="1" w:styleId="Tiret2">
    <w:name w:val="Tiret 2"/>
    <w:basedOn w:val="Point2"/>
    <w:pPr>
      <w:numPr>
        <w:numId w:val="60"/>
      </w:numPr>
    </w:pPr>
  </w:style>
  <w:style w:type="paragraph" w:customStyle="1" w:styleId="Tiret3">
    <w:name w:val="Tiret 3"/>
    <w:basedOn w:val="Point3"/>
    <w:pPr>
      <w:numPr>
        <w:numId w:val="61"/>
      </w:numPr>
    </w:pPr>
  </w:style>
  <w:style w:type="paragraph" w:customStyle="1" w:styleId="Tiret4">
    <w:name w:val="Tiret 4"/>
    <w:basedOn w:val="Point4"/>
    <w:pPr>
      <w:numPr>
        <w:numId w:val="6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6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6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6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6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65"/>
      </w:numPr>
    </w:pPr>
  </w:style>
  <w:style w:type="paragraph" w:customStyle="1" w:styleId="Point1number">
    <w:name w:val="Point 1 (number)"/>
    <w:basedOn w:val="Normal"/>
    <w:pPr>
      <w:numPr>
        <w:ilvl w:val="2"/>
        <w:numId w:val="65"/>
      </w:numPr>
    </w:pPr>
  </w:style>
  <w:style w:type="paragraph" w:customStyle="1" w:styleId="Point2number">
    <w:name w:val="Point 2 (number)"/>
    <w:basedOn w:val="Normal"/>
    <w:pPr>
      <w:numPr>
        <w:ilvl w:val="4"/>
        <w:numId w:val="65"/>
      </w:numPr>
    </w:pPr>
  </w:style>
  <w:style w:type="paragraph" w:customStyle="1" w:styleId="Point3number">
    <w:name w:val="Point 3 (number)"/>
    <w:basedOn w:val="Normal"/>
    <w:pPr>
      <w:numPr>
        <w:ilvl w:val="6"/>
        <w:numId w:val="65"/>
      </w:numPr>
    </w:pPr>
  </w:style>
  <w:style w:type="paragraph" w:customStyle="1" w:styleId="Point0letter">
    <w:name w:val="Point 0 (letter)"/>
    <w:basedOn w:val="Normal"/>
    <w:pPr>
      <w:numPr>
        <w:ilvl w:val="1"/>
        <w:numId w:val="65"/>
      </w:numPr>
    </w:pPr>
  </w:style>
  <w:style w:type="paragraph" w:customStyle="1" w:styleId="Point1letter">
    <w:name w:val="Point 1 (letter)"/>
    <w:basedOn w:val="Normal"/>
    <w:pPr>
      <w:numPr>
        <w:ilvl w:val="3"/>
        <w:numId w:val="65"/>
      </w:numPr>
    </w:pPr>
  </w:style>
  <w:style w:type="paragraph" w:customStyle="1" w:styleId="Point2letter">
    <w:name w:val="Point 2 (letter)"/>
    <w:basedOn w:val="Normal"/>
    <w:pPr>
      <w:numPr>
        <w:ilvl w:val="5"/>
        <w:numId w:val="65"/>
      </w:numPr>
    </w:pPr>
  </w:style>
  <w:style w:type="paragraph" w:customStyle="1" w:styleId="Point3letter">
    <w:name w:val="Point 3 (letter)"/>
    <w:basedOn w:val="Normal"/>
    <w:pPr>
      <w:numPr>
        <w:ilvl w:val="7"/>
        <w:numId w:val="65"/>
      </w:numPr>
    </w:pPr>
  </w:style>
  <w:style w:type="paragraph" w:customStyle="1" w:styleId="Point4letter">
    <w:name w:val="Point 4 (letter)"/>
    <w:basedOn w:val="Normal"/>
    <w:pPr>
      <w:numPr>
        <w:ilvl w:val="8"/>
        <w:numId w:val="65"/>
      </w:numPr>
    </w:pPr>
  </w:style>
  <w:style w:type="paragraph" w:customStyle="1" w:styleId="Bullet0">
    <w:name w:val="Bullet 0"/>
    <w:basedOn w:val="Normal"/>
    <w:pPr>
      <w:numPr>
        <w:numId w:val="66"/>
      </w:numPr>
    </w:pPr>
  </w:style>
  <w:style w:type="paragraph" w:customStyle="1" w:styleId="Bullet1">
    <w:name w:val="Bullet 1"/>
    <w:basedOn w:val="Normal"/>
    <w:pPr>
      <w:numPr>
        <w:numId w:val="67"/>
      </w:numPr>
    </w:pPr>
  </w:style>
  <w:style w:type="paragraph" w:customStyle="1" w:styleId="Bullet2">
    <w:name w:val="Bullet 2"/>
    <w:basedOn w:val="Normal"/>
    <w:pPr>
      <w:numPr>
        <w:numId w:val="68"/>
      </w:numPr>
    </w:pPr>
  </w:style>
  <w:style w:type="paragraph" w:customStyle="1" w:styleId="Bullet3">
    <w:name w:val="Bullet 3"/>
    <w:basedOn w:val="Normal"/>
    <w:pPr>
      <w:numPr>
        <w:numId w:val="69"/>
      </w:numPr>
    </w:pPr>
  </w:style>
  <w:style w:type="paragraph" w:customStyle="1" w:styleId="Bullet4">
    <w:name w:val="Bullet 4"/>
    <w:basedOn w:val="Normal"/>
    <w:pPr>
      <w:numPr>
        <w:numId w:val="7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7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893B-8D52-48CA-A215-7D080869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20</Pages>
  <Words>4578</Words>
  <Characters>28480</Characters>
  <Application>Microsoft Office Word</Application>
  <DocSecurity>0</DocSecurity>
  <Lines>813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KOECKX Catherine (JUST)</dc:creator>
  <cp:lastModifiedBy>DIGIT/A3</cp:lastModifiedBy>
  <cp:revision>10</cp:revision>
  <cp:lastPrinted>2015-11-03T16:39:00Z</cp:lastPrinted>
  <dcterms:created xsi:type="dcterms:W3CDTF">2015-12-03T12:43:00Z</dcterms:created>
  <dcterms:modified xsi:type="dcterms:W3CDTF">2015-12-07T10:48:00Z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_NewReviewCycle">
    <vt:lpwstr/>
  </property>
  <property fmtid="{D5CDD505-2E9C-101B-9397-08002B2CF9AE}" pid="13" name="DQCStatus">
    <vt:lpwstr>Yellow (DQC version 03)</vt:lpwstr>
  </property>
</Properties>
</file>