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D6A06BBF8694A3A957B2F6CED3F3F50" style="width:450.8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hd w:val="clear" w:color="auto" w:fill="FFFFFF"/>
        <w:spacing w:line="270" w:lineRule="atLeast"/>
        <w:ind w:left="720" w:hanging="720"/>
        <w:jc w:val="center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lastRenderedPageBreak/>
        <w:t>PŘÍLOHA II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POSTUP POSUZOVÁNÍ SHODY – VÝROBKY </w:t>
      </w:r>
    </w:p>
    <w:p>
      <w:pPr>
        <w:jc w:val="center"/>
        <w:rPr>
          <w:b/>
          <w:noProof/>
        </w:rPr>
      </w:pPr>
      <w:r>
        <w:rPr>
          <w:b/>
          <w:noProof/>
        </w:rPr>
        <w:t>Interní řízení výroby</w:t>
      </w:r>
    </w:p>
    <w:p>
      <w:pPr>
        <w:pStyle w:val="NumPar1"/>
        <w:numPr>
          <w:ilvl w:val="0"/>
          <w:numId w:val="10"/>
        </w:numPr>
        <w:tabs>
          <w:tab w:val="clear" w:pos="850"/>
          <w:tab w:val="num" w:pos="567"/>
        </w:tabs>
        <w:ind w:left="567" w:hanging="567"/>
        <w:rPr>
          <w:noProof/>
        </w:rPr>
      </w:pPr>
      <w:r>
        <w:rPr>
          <w:noProof/>
        </w:rPr>
        <w:t>Interní řízení výroby je postupem posouzení shody, kterým výrobce plní povinnosti stanovené v bodech 2, 3 a 4 a na svou výhradní odpovědnost zaručuje a prohlašuje, že dané výrobky nebo služby splňují příslušné požadavky této směrnice.</w:t>
      </w:r>
    </w:p>
    <w:p>
      <w:pPr>
        <w:pStyle w:val="NumPar1"/>
        <w:tabs>
          <w:tab w:val="clear" w:pos="850"/>
          <w:tab w:val="num" w:pos="567"/>
        </w:tabs>
        <w:rPr>
          <w:noProof/>
        </w:rPr>
      </w:pPr>
      <w:r>
        <w:rPr>
          <w:b/>
          <w:noProof/>
        </w:rPr>
        <w:t>Technická dokumentace</w:t>
      </w:r>
    </w:p>
    <w:p>
      <w:pPr>
        <w:pStyle w:val="Text1"/>
        <w:tabs>
          <w:tab w:val="center" w:pos="-993"/>
          <w:tab w:val="center" w:pos="-709"/>
        </w:tabs>
        <w:ind w:left="567"/>
        <w:rPr>
          <w:noProof/>
        </w:rPr>
      </w:pPr>
      <w:r>
        <w:rPr>
          <w:noProof/>
        </w:rPr>
        <w:t xml:space="preserve">Výrobce vypracuje technickou dokumentaci. Dokumentace musí umožňovat posouzení shody výrobku s příslušnými požadavky na přístupnost uvedenými v článku 3 a v případě, že výrobce využil výjimky uvedené v článku 12, dokazovat, že příslušné požadavky na přístupnost by způsobily zásadní změny nebo nepřiměřenou zátěž. Technická dokumentace musí upřesňovat pouze použitelné požadavky a v míře nutné pro posouzení se musí vztahovat na návrh, výrobu a fungování výrobku. </w:t>
      </w:r>
    </w:p>
    <w:p>
      <w:pPr>
        <w:pStyle w:val="Text1"/>
        <w:tabs>
          <w:tab w:val="center" w:pos="-993"/>
          <w:tab w:val="center" w:pos="-709"/>
        </w:tabs>
        <w:ind w:left="567"/>
        <w:rPr>
          <w:noProof/>
        </w:rPr>
      </w:pPr>
      <w:r>
        <w:rPr>
          <w:noProof/>
        </w:rPr>
        <w:t>Technická dokumentace musí obsahovat, je-li to relevantní, alespoň tyto prvky: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celkový popis výrobku;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seznam harmonizovaných norem nebo jiných odpovídajících technických specifikací, na něž byly zveřejněny odkazy v </w:t>
      </w:r>
      <w:r>
        <w:rPr>
          <w:i/>
          <w:noProof/>
        </w:rPr>
        <w:t>Úředním věstníku Evropské unie</w:t>
      </w:r>
      <w:r>
        <w:rPr>
          <w:noProof/>
        </w:rPr>
        <w:t xml:space="preserve"> a které byly použity v celém rozsahu nebo zčásti, a popis řešení zvolených ke splnění příslušných požadavků na přístupnost uvedených v článku 3, pokud tyto harmonizované normy použity nebyly; v případě částečně použitých harmonizovaných norem se v technické dokumentaci uvedou ty části, jež byly použity.</w:t>
      </w:r>
    </w:p>
    <w:p>
      <w:pPr>
        <w:pStyle w:val="NumPar1"/>
        <w:tabs>
          <w:tab w:val="clear" w:pos="850"/>
          <w:tab w:val="num" w:pos="567"/>
        </w:tabs>
        <w:ind w:left="567" w:hanging="567"/>
        <w:rPr>
          <w:b/>
          <w:noProof/>
        </w:rPr>
      </w:pPr>
      <w:r>
        <w:rPr>
          <w:b/>
          <w:noProof/>
        </w:rPr>
        <w:t>Výroba</w:t>
      </w:r>
    </w:p>
    <w:p>
      <w:pPr>
        <w:ind w:left="567"/>
        <w:rPr>
          <w:noProof/>
        </w:rPr>
      </w:pPr>
      <w:r>
        <w:rPr>
          <w:noProof/>
        </w:rPr>
        <w:t>Výrobce přijme veškerá nezbytná opatření, aby výrobní proces a jeho kontrola zajišťovaly shodu výrobků s technickou dokumentací podle bodu 2 a s požadavky na přístupnost uvedenými v této směrnici.</w:t>
      </w:r>
    </w:p>
    <w:p>
      <w:pPr>
        <w:pStyle w:val="NumPar1"/>
        <w:ind w:left="567" w:hanging="567"/>
        <w:rPr>
          <w:b/>
          <w:noProof/>
        </w:rPr>
      </w:pPr>
      <w:r>
        <w:rPr>
          <w:b/>
          <w:noProof/>
        </w:rPr>
        <w:t>Označení shody a prohlášení o shodě</w:t>
      </w:r>
    </w:p>
    <w:p>
      <w:pPr>
        <w:pStyle w:val="NumPar2"/>
        <w:rPr>
          <w:noProof/>
        </w:rPr>
      </w:pPr>
      <w:r>
        <w:rPr>
          <w:noProof/>
        </w:rPr>
        <w:t>Výrobce umístí označení CE uvedené v této směrnici na každý jednotlivý výrobek, který splňuje příslušné použitelné požadavky této směrnice.</w:t>
      </w:r>
    </w:p>
    <w:p>
      <w:pPr>
        <w:pStyle w:val="NumPar2"/>
        <w:rPr>
          <w:noProof/>
        </w:rPr>
      </w:pPr>
      <w:r>
        <w:rPr>
          <w:noProof/>
        </w:rPr>
        <w:t>Výrobce vypracuje pro daný model výrobku písemné prohlášení o shodě. V prohlášení o shodě je uveden výrobek, pro nějž bylo vypracováno.</w:t>
      </w:r>
    </w:p>
    <w:p>
      <w:pPr>
        <w:rPr>
          <w:noProof/>
        </w:rPr>
      </w:pPr>
      <w:r>
        <w:rPr>
          <w:noProof/>
        </w:rPr>
        <w:t>Kopie prohlášení o shodě se na požádání poskytne příslušným orgánům.</w:t>
      </w:r>
    </w:p>
    <w:p>
      <w:pPr>
        <w:pStyle w:val="NumPar1"/>
        <w:tabs>
          <w:tab w:val="clear" w:pos="850"/>
          <w:tab w:val="num" w:pos="567"/>
        </w:tabs>
        <w:rPr>
          <w:b/>
          <w:noProof/>
        </w:rPr>
      </w:pPr>
      <w:r>
        <w:rPr>
          <w:b/>
          <w:noProof/>
        </w:rPr>
        <w:t>Zplnomocněný zástupce</w:t>
      </w:r>
    </w:p>
    <w:p>
      <w:pPr>
        <w:rPr>
          <w:noProof/>
        </w:rPr>
      </w:pPr>
      <w:r>
        <w:rPr>
          <w:noProof/>
        </w:rPr>
        <w:t>Povinnosti výrobce stanovené v bodě 4 mohou být jeho jménem a na jeho odpovědnost splněny jeho zplnomocněným zástupcem, pokud jsou uvedeny v pověření.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616E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5BA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DDCFA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980B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A6A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9F6E5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BA2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12A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360A78"/>
    <w:multiLevelType w:val="multilevel"/>
    <w:tmpl w:val="0809001D"/>
    <w:name w:val="0.671989122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1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7 11:49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k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3D6A06BBF8694A3A957B2F6CED3F3F50"/>
    <w:docVar w:name="LW_CROSSREFERENCE" w:val="{SWD(2015) 264 final}_x000b_{SWD(2015) 265 final}_x000b_{SWD(2015) 266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o sbli\u382?ování právních a správních p\u345?edpis\u367? \u269?lenských stát\u367? týkajících se po\u382?adavk\u367? na p\u345?ístupnost u výrobk\u367? a slu\u382?eb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5"/>
    <w:docVar w:name="LW_REF.INTERNE" w:val="&lt;UNUSED&gt;"/>
    <w:docVar w:name="LW_SUPERTITRE" w:val="&lt;UNUSED&gt;"/>
    <w:docVar w:name="LW_TITRE.OBJ.CP" w:val="&lt;UNUSED&gt;"/>
    <w:docVar w:name="LW_TYPE.DOC.CP" w:val="P\u344?ÍLOHA"/>
    <w:docVar w:name="LW_TYPEACTEPRINCIPAL.CP" w:val="návrhu sm\u283?rnice Evropské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305</Words>
  <Characters>1803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KOECKX Catherine (JUST)</dc:creator>
  <cp:lastModifiedBy>DIGIT/A3</cp:lastModifiedBy>
  <cp:revision>8</cp:revision>
  <cp:lastPrinted>2015-11-19T15:45:00Z</cp:lastPrinted>
  <dcterms:created xsi:type="dcterms:W3CDTF">2015-12-03T14:36:00Z</dcterms:created>
  <dcterms:modified xsi:type="dcterms:W3CDTF">2015-12-07T10:49:00Z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_NewReviewCycle">
    <vt:lpwstr/>
  </property>
  <property fmtid="{D5CDD505-2E9C-101B-9397-08002B2CF9AE}" pid="13" name="DQCStatus">
    <vt:lpwstr>Green (DQC version 03)</vt:lpwstr>
  </property>
</Properties>
</file>