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EA493CDA80243F59074001139A0BB1C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hd w:val="clear" w:color="auto" w:fill="FFFFFF"/>
        <w:spacing w:line="270" w:lineRule="atLeast"/>
        <w:ind w:left="720" w:hanging="720"/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lastRenderedPageBreak/>
        <w:t>PRILOGA II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POSTOPEK UGOTAVLJANJA SKLADNOSTI – PROIZVODI </w:t>
      </w:r>
    </w:p>
    <w:p>
      <w:pPr>
        <w:jc w:val="center"/>
        <w:rPr>
          <w:b/>
          <w:noProof/>
        </w:rPr>
      </w:pPr>
      <w:r>
        <w:rPr>
          <w:b/>
          <w:noProof/>
        </w:rPr>
        <w:t>Notranji nadzor proizvodnje</w:t>
      </w:r>
    </w:p>
    <w:p>
      <w:pPr>
        <w:pStyle w:val="NumPar1"/>
        <w:numPr>
          <w:ilvl w:val="0"/>
          <w:numId w:val="10"/>
        </w:numPr>
        <w:tabs>
          <w:tab w:val="clear" w:pos="850"/>
          <w:tab w:val="num" w:pos="567"/>
        </w:tabs>
        <w:ind w:left="567" w:hanging="567"/>
        <w:rPr>
          <w:noProof/>
        </w:rPr>
      </w:pPr>
      <w:r>
        <w:rPr>
          <w:noProof/>
        </w:rPr>
        <w:t>Notranji nadzor proizvodnje je postopek ugotavljanja skladnosti, s katerim proizvajalec izpolni obveznosti iz točk 2, 3 in 4 ter zagotovi in na lastno odgovornost izjavi, da zadevni proizvodi ali storitve izpolnjujejo ustrezne zahteve iz te direktive.</w:t>
      </w:r>
    </w:p>
    <w:p>
      <w:pPr>
        <w:pStyle w:val="NumPar1"/>
        <w:tabs>
          <w:tab w:val="clear" w:pos="850"/>
          <w:tab w:val="num" w:pos="567"/>
        </w:tabs>
        <w:rPr>
          <w:noProof/>
        </w:rPr>
      </w:pPr>
      <w:r>
        <w:rPr>
          <w:b/>
          <w:noProof/>
        </w:rPr>
        <w:t>Tehnična dokumentacija</w:t>
      </w:r>
    </w:p>
    <w:p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 xml:space="preserve">Proizvajalec pripravi tehnično dokumentacijo. Dokumentacija omogoča ugotavljanje skladnosti proizvoda z ustreznimi zahtevami glede dostopnosti iz člena 3 ter v primeru, da je proizvajalec uporabil izjemo iz člena 12, izkazuje, da bi ustrezne zahteve glede dostopnosti zahtevale temeljito spremembo ali povzročile nesorazmerno breme. Tehnična dokumentacija opredeljuje samo veljavne zahteve in – v obsegu, ki je relevanten za tako ugotavljanje – zajema oblikovanje, proizvodnjo in delovanje proizvoda. </w:t>
      </w:r>
    </w:p>
    <w:p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>Tehnična dokumentacija mora, kjer je to ustrezno, vsebovati vsaj naslednje elemente: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splošni opis proizvoda,</w:t>
      </w:r>
    </w:p>
    <w:p>
      <w:pPr>
        <w:pStyle w:val="Point1letter"/>
        <w:rPr>
          <w:noProof/>
        </w:rPr>
      </w:pPr>
      <w:r>
        <w:rPr>
          <w:noProof/>
        </w:rPr>
        <w:t xml:space="preserve">seznam harmoniziranih standardov in/ali drugih ustreznih tehničnih specifikacij, katerih sklici so bile objavljeni v </w:t>
      </w:r>
      <w:r>
        <w:rPr>
          <w:i/>
          <w:noProof/>
        </w:rPr>
        <w:t>Uradnem listu Evropske unije</w:t>
      </w:r>
      <w:r>
        <w:rPr>
          <w:noProof/>
        </w:rPr>
        <w:t xml:space="preserve"> in ki so uporabljeni v celoti ali deloma, ter opis rešitev, sprejetih za izpolnitev ustreznih zahtev glede dostopnosti, kakor so navedene v členu 3, kadar ti harmonizirani standardi niso bili uporabljeni; v primeru delno uporabljenih harmoniziranih standardov je treba v tehnični dokumentaciji navesti dele, ki so bili uporabljeni.</w:t>
      </w:r>
    </w:p>
    <w:p>
      <w:pPr>
        <w:pStyle w:val="NumPar1"/>
        <w:tabs>
          <w:tab w:val="clear" w:pos="850"/>
          <w:tab w:val="num" w:pos="567"/>
        </w:tabs>
        <w:ind w:left="567" w:hanging="567"/>
        <w:rPr>
          <w:b/>
          <w:noProof/>
        </w:rPr>
      </w:pPr>
      <w:r>
        <w:rPr>
          <w:b/>
          <w:noProof/>
        </w:rPr>
        <w:t>Proizvodnja</w:t>
      </w:r>
    </w:p>
    <w:p>
      <w:pPr>
        <w:ind w:left="567"/>
        <w:rPr>
          <w:noProof/>
        </w:rPr>
      </w:pPr>
      <w:r>
        <w:rPr>
          <w:noProof/>
        </w:rPr>
        <w:t>Proizvajalec sprejme vse potrebne ukrepe, da se s proizvodnim procesom in njegovim spremljanjem zagotovi skladnost proizvodov s tehnično dokumentacijo iz točke 2 in zahtevami glede dostopnosti iz te direktive.</w:t>
      </w:r>
    </w:p>
    <w:p>
      <w:pPr>
        <w:pStyle w:val="NumPar1"/>
        <w:ind w:left="567" w:hanging="567"/>
        <w:rPr>
          <w:b/>
          <w:noProof/>
        </w:rPr>
      </w:pPr>
      <w:r>
        <w:rPr>
          <w:b/>
          <w:noProof/>
        </w:rPr>
        <w:t>Oznaka skladnosti in izjava o skladnosti</w:t>
      </w:r>
    </w:p>
    <w:p>
      <w:pPr>
        <w:pStyle w:val="NumPar2"/>
        <w:rPr>
          <w:noProof/>
        </w:rPr>
      </w:pPr>
      <w:r>
        <w:rPr>
          <w:noProof/>
        </w:rPr>
        <w:t>Proizvajalec namesti oznako CE, kakor je navedeno v tej direktivi, na vsak proizvod, ki izpolnjuje veljavne zahteve iz te direktive.</w:t>
      </w:r>
    </w:p>
    <w:p>
      <w:pPr>
        <w:pStyle w:val="NumPar2"/>
        <w:rPr>
          <w:noProof/>
        </w:rPr>
      </w:pPr>
      <w:r>
        <w:rPr>
          <w:noProof/>
        </w:rPr>
        <w:t>Proizvajalec za vzorčni proizvod sestavi pisno izjavo o skladnosti. Izjava o skladnosti opredeljuje proizvod, za katerega je bila sestavljena.</w:t>
      </w:r>
    </w:p>
    <w:p>
      <w:pPr>
        <w:rPr>
          <w:noProof/>
        </w:rPr>
      </w:pPr>
      <w:r>
        <w:rPr>
          <w:noProof/>
        </w:rPr>
        <w:t>Pristojnim organom se na zahtevo omogoči dostop do kopije izjave o skladnosti.</w:t>
      </w:r>
    </w:p>
    <w:p>
      <w:pPr>
        <w:pStyle w:val="NumPar1"/>
        <w:tabs>
          <w:tab w:val="clear" w:pos="850"/>
          <w:tab w:val="num" w:pos="567"/>
        </w:tabs>
        <w:rPr>
          <w:b/>
          <w:noProof/>
        </w:rPr>
      </w:pPr>
      <w:r>
        <w:rPr>
          <w:b/>
          <w:noProof/>
        </w:rPr>
        <w:t>Pooblaščeni zastopnik</w:t>
      </w:r>
    </w:p>
    <w:p>
      <w:pPr>
        <w:rPr>
          <w:noProof/>
        </w:rPr>
      </w:pPr>
      <w:r>
        <w:rPr>
          <w:noProof/>
        </w:rPr>
        <w:t>Obveznosti proizvajalca iz točke 4 lahko v njegovem imenu in na njegovo odgovornost izpolni pooblaščeni zastopnik, pod pogojem, da so navedene v pooblastilu.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16E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BA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DCFA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980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A6A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F6E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BA2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12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360A78"/>
    <w:multiLevelType w:val="multilevel"/>
    <w:tmpl w:val="0809001D"/>
    <w:name w:val="0.671989122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3 15:09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k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0EA493CDA80243F59074001139A0BB1C"/>
    <w:docVar w:name="LW_CROSSREFERENCE" w:val="{SWD(2015) 264 final}_x000b_{SWD(2015) 265 final}_x000b_{SWD(2015) 266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 pribli\u382?evanju zakonov in drugih predpisov dr\u382?av \u269?lanic v zvezi z zahtevami glede dostopnosti proizvodov in storitev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5"/>
    <w:docVar w:name="LW_REF.INTERNE" w:val="&lt;UNUSED&gt;"/>
    <w:docVar w:name="LW_SUPERTITRE" w:val="&lt;UNUSED&gt;"/>
    <w:docVar w:name="LW_TITRE.OBJ.CP" w:val="&lt;UNUSED&gt;"/>
    <w:docVar w:name="LW_TYPE.DOC.CP" w:val="PRILOGA"/>
    <w:docVar w:name="LW_TYPEACTEPRINCIPAL.CP" w:val="predlogu Direktive Evropskega parlamenta in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307</Words>
  <Characters>1943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KOECKX Catherine (JUST)</dc:creator>
  <cp:lastModifiedBy>DIGIT/A3</cp:lastModifiedBy>
  <cp:revision>9</cp:revision>
  <cp:lastPrinted>2015-11-19T15:45:00Z</cp:lastPrinted>
  <dcterms:created xsi:type="dcterms:W3CDTF">2015-12-03T14:09:00Z</dcterms:created>
  <dcterms:modified xsi:type="dcterms:W3CDTF">2015-12-07T10:49:00Z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_NewReviewCycle">
    <vt:lpwstr/>
  </property>
  <property fmtid="{D5CDD505-2E9C-101B-9397-08002B2CF9AE}" pid="13" name="DQCStatus">
    <vt:lpwstr>Yellow (DQC version 03)</vt:lpwstr>
  </property>
</Properties>
</file>