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0EAC39A86B12450E9C388C52D97284B9" style="width:449.85pt;height:380.1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i/>
          <w:noProof/>
          <w:sz w:val="24"/>
        </w:rPr>
        <w:lastRenderedPageBreak/>
        <w:t>Środki przedstawione w niniejszym planie działania muszą być realizowane zgodnie z zasadami lepszego stanowienia prawa, w tym, w stosownych przypadkach, z uwzględnieniem oceny wpływu.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7560"/>
        <w:gridCol w:w="1622"/>
      </w:tblGrid>
      <w:tr>
        <w:trPr>
          <w:trHeight w:val="43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Działania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Harmonogram</w:t>
            </w:r>
          </w:p>
        </w:tc>
      </w:tr>
      <w:tr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Produkcja</w:t>
            </w:r>
          </w:p>
        </w:tc>
      </w:tr>
      <w:tr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Nacisk na aspekty związane z gospodarką o obiegu zamkniętym w przyszłych </w:t>
            </w:r>
            <w:r>
              <w:rPr>
                <w:rFonts w:ascii="Times New Roman" w:hAnsi="Times New Roman"/>
                <w:b/>
                <w:noProof/>
              </w:rPr>
              <w:t>wymogach wynikających z dyrektywy w sprawie ekoprojektu</w:t>
            </w:r>
            <w:r>
              <w:rPr>
                <w:rFonts w:ascii="Times New Roman" w:hAnsi="Times New Roman"/>
                <w:noProof/>
              </w:rPr>
              <w:t xml:space="preserve">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Plan działań w dziedzinie ekoprojektu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na lata 2015 – 2017 oraz </w:t>
            </w:r>
            <w:r>
              <w:rPr>
                <w:rFonts w:ascii="Times New Roman" w:hAnsi="Times New Roman"/>
                <w:b/>
                <w:noProof/>
              </w:rPr>
              <w:t>zwrócenie się do europejskich organizacji normalizacyjnych</w:t>
            </w:r>
            <w:r>
              <w:rPr>
                <w:rFonts w:ascii="Times New Roman" w:hAnsi="Times New Roman"/>
                <w:noProof/>
              </w:rPr>
              <w:t xml:space="preserve"> o opracowanie norm dotyczących efektywnego wykorzystania materiałów w celu określenia przyszłych wymogów dotyczących ekoprojektu w zakresie trwałości, możliwości naprawy i recyklingu produktów</w:t>
            </w:r>
            <w:r>
              <w:rPr>
                <w:noProof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Grudzień 2015 r.</w:t>
            </w:r>
          </w:p>
        </w:tc>
      </w:tr>
      <w:tr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Wniosek w sprawie </w:t>
            </w:r>
            <w:r>
              <w:rPr>
                <w:rFonts w:ascii="Times New Roman" w:hAnsi="Times New Roman"/>
                <w:b/>
                <w:noProof/>
              </w:rPr>
              <w:t>rozporządzenia wykonawczego</w:t>
            </w:r>
            <w:r>
              <w:rPr>
                <w:rFonts w:ascii="Times New Roman" w:hAnsi="Times New Roman"/>
                <w:noProof/>
              </w:rPr>
              <w:t xml:space="preserve"> dotyczącego telewizorów i monitorów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Koniec 2015 r. lub początek 2016 r.</w:t>
            </w:r>
          </w:p>
        </w:tc>
      </w:tr>
      <w:tr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Analiza wariantów i działań pod kątem ich wkładu w gospodarkę o obiegu zamkniętym, aby nadać bardziej spójne ramy polityczne różnym obszarom prac w trakcie tworzenia unijnej polityki produktu.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2018 r.</w:t>
            </w:r>
          </w:p>
        </w:tc>
      </w:tr>
      <w:tr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Włączenie wytycznych dotyczących gospodarki o obiegu zamkniętym do dokumentów referencyjnych dotyczących </w:t>
            </w:r>
            <w:r>
              <w:rPr>
                <w:rFonts w:ascii="Times New Roman" w:hAnsi="Times New Roman"/>
                <w:b/>
                <w:noProof/>
              </w:rPr>
              <w:t>najlepszych dostępnych technik (BREF)</w:t>
            </w:r>
            <w:r>
              <w:rPr>
                <w:rFonts w:ascii="Times New Roman" w:hAnsi="Times New Roman"/>
                <w:noProof/>
              </w:rPr>
              <w:t xml:space="preserve"> w różnych sektorach przemysłu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Propagowanie wytycznych i najlepszych praktyk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w zakresie planów gospodarowania odpadami górniczymi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2018 r.</w:t>
            </w:r>
          </w:p>
        </w:tc>
      </w:tr>
      <w:tr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Stworzenie otwartej, </w:t>
            </w:r>
            <w:r>
              <w:rPr>
                <w:rFonts w:ascii="Times New Roman" w:hAnsi="Times New Roman"/>
                <w:b/>
                <w:noProof/>
              </w:rPr>
              <w:t>ogólnoeuropejskiej sieci infrastruktury technologicznej dla MŚP</w:t>
            </w:r>
            <w:r>
              <w:rPr>
                <w:rFonts w:ascii="Times New Roman" w:hAnsi="Times New Roman"/>
                <w:noProof/>
              </w:rPr>
              <w:t>, aby mogły one w swoich procesach produkcyjnych wykorzystywać zaawansowane technologie produkcyjne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Zbadanie, </w:t>
            </w:r>
            <w:r>
              <w:rPr>
                <w:rFonts w:ascii="Times New Roman" w:hAnsi="Times New Roman"/>
                <w:b/>
                <w:noProof/>
              </w:rPr>
              <w:t>w jaki sposób można poprawić skuteczność i stosowanie</w:t>
            </w:r>
            <w:r>
              <w:rPr>
                <w:rFonts w:ascii="Times New Roman" w:hAnsi="Times New Roman"/>
                <w:noProof/>
              </w:rPr>
              <w:t xml:space="preserve"> unijnego systemu ekozarządzania i audytu (EMAS) oraz uruchomienie pilotażowego programu weryfikacji technologii ochrony środowiska (EVT)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 r.</w:t>
            </w:r>
          </w:p>
        </w:tc>
      </w:tr>
      <w:tr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Ulepszenie  </w:t>
            </w:r>
            <w:r>
              <w:rPr>
                <w:rFonts w:ascii="Times New Roman" w:hAnsi="Times New Roman"/>
                <w:b/>
                <w:noProof/>
              </w:rPr>
              <w:t>bazy wiedzy i wsparcia dla MŚP</w:t>
            </w:r>
            <w:r>
              <w:rPr>
                <w:rFonts w:ascii="Times New Roman" w:hAnsi="Times New Roman"/>
                <w:noProof/>
              </w:rPr>
              <w:t xml:space="preserve"> w zakresie zastępowania niebezpiecznych substancji stanowiących bardzo duże zagrożenie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2018 r.</w:t>
            </w:r>
          </w:p>
        </w:tc>
      </w:tr>
      <w:tr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 </w:t>
            </w:r>
          </w:p>
        </w:tc>
      </w:tr>
      <w:tr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Konsumpcja</w:t>
            </w:r>
          </w:p>
        </w:tc>
      </w:tr>
      <w:tr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Lepsze egzekwowanie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istniejących gwarancji dotyczących produktów materialnych i </w:t>
            </w:r>
            <w:r>
              <w:rPr>
                <w:rFonts w:ascii="Times New Roman" w:hAnsi="Times New Roman"/>
                <w:b/>
                <w:noProof/>
              </w:rPr>
              <w:t>analiza możliwych sposobów poprawy</w:t>
            </w:r>
            <w:r>
              <w:rPr>
                <w:rFonts w:ascii="Times New Roman" w:hAnsi="Times New Roman"/>
                <w:noProof/>
              </w:rPr>
              <w:t xml:space="preserve"> sytuacji (przyszły wniosek Komisji w sprawie sprzedaży online towarów i kontroli sprawności przepisów w dziedzinie ochrony konsumentów)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Lata 2015–2017</w:t>
            </w:r>
          </w:p>
        </w:tc>
      </w:tr>
      <w:tr>
        <w:trPr>
          <w:trHeight w:val="6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Działania w odniesieniu do fałszywych twierdzeń dotyczących ekologiczności, w tym </w:t>
            </w:r>
            <w:r>
              <w:rPr>
                <w:rFonts w:ascii="Times New Roman" w:hAnsi="Times New Roman"/>
                <w:b/>
                <w:noProof/>
              </w:rPr>
              <w:t>aktualizacja wytycznych</w:t>
            </w:r>
            <w:r>
              <w:rPr>
                <w:rFonts w:ascii="Times New Roman" w:hAnsi="Times New Roman"/>
                <w:noProof/>
              </w:rPr>
              <w:t xml:space="preserve"> w sprawie nieuczciwych praktyk handlowych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Analiza możliwości opracowania horyzontalnych wymogów w zakresie dostarczania informacji dotyczących naprawy w ramach ekoprojektu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2018 r.</w:t>
            </w:r>
          </w:p>
        </w:tc>
      </w:tr>
      <w:tr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Działania w ramach programu </w:t>
            </w:r>
            <w:r>
              <w:rPr>
                <w:rFonts w:ascii="Times New Roman" w:hAnsi="Times New Roman"/>
                <w:b/>
                <w:noProof/>
              </w:rPr>
              <w:t>REFIT</w:t>
            </w:r>
            <w:r>
              <w:rPr>
                <w:rFonts w:ascii="Times New Roman" w:hAnsi="Times New Roman"/>
                <w:noProof/>
              </w:rPr>
              <w:t xml:space="preserve"> w odniesieniu do oznakowania ekologicznego, a następnie działania zmierzające do poprawy jego skuteczności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Ocena możliwości przeprowadzenia </w:t>
            </w:r>
            <w:r>
              <w:rPr>
                <w:rFonts w:ascii="Times New Roman" w:hAnsi="Times New Roman"/>
                <w:b/>
                <w:noProof/>
              </w:rPr>
              <w:t>niezależnego programu badań</w:t>
            </w:r>
            <w:r>
              <w:rPr>
                <w:rFonts w:ascii="Times New Roman" w:hAnsi="Times New Roman"/>
                <w:noProof/>
              </w:rPr>
              <w:t xml:space="preserve"> dotyczących celowego skracania cyklu życia produktów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2018 r.</w:t>
            </w:r>
          </w:p>
        </w:tc>
      </w:tr>
      <w:tr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Z zastrzeżeniem oceny obecnie trwających projektów pilotażowych – zbadanie możliwości zastosowania metody oznaczania śladu środowiskowego produktów do pomiaru i przekazywania informacji dotyczących środowiska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Działania dotyczące zielonych zamówień publicznych: uwzględnianie w większym stopniu wymogów z zakresu gospodarki o obiegu zamkniętym, wspieranie ich stosowania, w tym za pomocą programów szkoleń oraz szersze ich wykorzystywanie w zamówieniach publicznych Komisji i w finansowaniu 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 </w:t>
            </w:r>
          </w:p>
        </w:tc>
      </w:tr>
      <w:tr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Gospodarowanie odpadami</w:t>
            </w:r>
          </w:p>
        </w:tc>
      </w:tr>
      <w:tr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Zmieniony wniosek ustawodawczy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dotyczący odpadów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Grudzień 2015 r.</w:t>
            </w:r>
          </w:p>
        </w:tc>
      </w:tr>
      <w:tr>
        <w:trPr>
          <w:trHeight w:val="55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Ściślejsza współpraca z państwami członkowskimi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w celu lepszego wdrażania prawodawstwa UE w zakresie odpadów i zwalczania nielegalnego przemieszczania pojazdów wycofanych z eksploatacji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2015 i później</w:t>
            </w:r>
          </w:p>
        </w:tc>
      </w:tr>
      <w:tr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Sprawniejsze </w:t>
            </w:r>
            <w:r>
              <w:rPr>
                <w:rFonts w:ascii="Times New Roman" w:hAnsi="Times New Roman"/>
                <w:b/>
                <w:noProof/>
              </w:rPr>
              <w:t>egzekwowanie przepisów</w:t>
            </w:r>
            <w:r>
              <w:rPr>
                <w:rFonts w:ascii="Times New Roman" w:hAnsi="Times New Roman"/>
                <w:noProof/>
              </w:rPr>
              <w:t xml:space="preserve"> zmienionego rozporządzenia w sprawie przemieszczania odpadów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Rozpowszechnianie wspieranego przez branżę systemu </w:t>
            </w:r>
            <w:r>
              <w:rPr>
                <w:rFonts w:ascii="Times New Roman" w:hAnsi="Times New Roman"/>
                <w:b/>
                <w:noProof/>
              </w:rPr>
              <w:t>dobrowolnej certyfikacji</w:t>
            </w:r>
            <w:r>
              <w:rPr>
                <w:rFonts w:ascii="Times New Roman" w:hAnsi="Times New Roman"/>
                <w:noProof/>
              </w:rPr>
              <w:t xml:space="preserve"> urządzeń do przetwarzania kluczowych strumieni odpadów/recyklatu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2018 i później</w:t>
            </w:r>
          </w:p>
        </w:tc>
      </w:tr>
      <w:tr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Inicjatywa w sprawie energii z odpadów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w ramach unii energetycznej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Identyfikacja i propagowanie dobrych praktyk w zakresie systemów zbierania odpadów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 Rok 2016 i później</w:t>
            </w:r>
          </w:p>
        </w:tc>
      </w:tr>
      <w:tr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</w:tr>
      <w:tr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Rynek surowców wtórnych</w:t>
            </w:r>
          </w:p>
        </w:tc>
      </w:tr>
      <w:tr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Opracowanie </w:t>
            </w:r>
            <w:r>
              <w:rPr>
                <w:rFonts w:ascii="Times New Roman" w:hAnsi="Times New Roman"/>
                <w:b/>
                <w:noProof/>
              </w:rPr>
              <w:t>norm jakości</w:t>
            </w:r>
            <w:r>
              <w:rPr>
                <w:rFonts w:ascii="Times New Roman" w:hAnsi="Times New Roman"/>
                <w:noProof/>
              </w:rPr>
              <w:t xml:space="preserve"> dla surowców wtórnych (zwłaszcza dla tworzyw sztucznych)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Wniosek dotyczący zmienionego rozporządzenia w sprawie nawozów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Początek 2016 r.</w:t>
            </w:r>
          </w:p>
        </w:tc>
      </w:tr>
      <w:tr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Proponowany wniosek ustawodawczy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określający minimalne wymogi w zakresie ponownego wykorzystywania wody do irygacji i zasilania wód podziemnych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 r.</w:t>
            </w:r>
          </w:p>
        </w:tc>
      </w:tr>
      <w:tr>
        <w:trPr>
          <w:trHeight w:val="12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Propagowanie bezpiecznych i efektywnych pod względem kosztów sposobów ponownego wykorzystywania wody, łącznie z </w:t>
            </w:r>
            <w:r>
              <w:rPr>
                <w:rFonts w:ascii="Times New Roman" w:hAnsi="Times New Roman"/>
                <w:b/>
                <w:noProof/>
              </w:rPr>
              <w:t>wytycznymi</w:t>
            </w:r>
            <w:r>
              <w:rPr>
                <w:rFonts w:ascii="Times New Roman" w:hAnsi="Times New Roman"/>
                <w:noProof/>
              </w:rPr>
              <w:t xml:space="preserve"> dotyczącymi integracji systemów ponownego wykorzystania wody w planowaniu i zarządzaniu w gospodarce wodnej, </w:t>
            </w:r>
            <w:r>
              <w:rPr>
                <w:rFonts w:ascii="Times New Roman" w:hAnsi="Times New Roman"/>
                <w:b/>
                <w:noProof/>
              </w:rPr>
              <w:t>z uwzględnieniem najlepszych praktyk w odpowiednich BREF</w:t>
            </w:r>
            <w:r>
              <w:rPr>
                <w:rFonts w:ascii="Times New Roman" w:hAnsi="Times New Roman"/>
                <w:noProof/>
              </w:rPr>
              <w:t xml:space="preserve"> oraz wspieraniem innowacji (za pośrednictwem europejskiego partnerstwa innowacyjnego i programu „Horyzont 2020”) oraz inwestycji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Lata 2016–2017</w:t>
            </w:r>
          </w:p>
        </w:tc>
      </w:tr>
      <w:tr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Analizy i warianty strategiczne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na styku prawodawstwa dotyczącego chemikaliów, produktów i odpadów, w tym sposoby poprawy monitorowania potencjalnie niebezpiecznych chemikaliów znajdujących się w produktach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 r.</w:t>
            </w:r>
          </w:p>
        </w:tc>
      </w:tr>
      <w:tr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Środki ułatwiające przemieszczanie odpadów na terenie całej UE, w tym </w:t>
            </w:r>
            <w:r>
              <w:rPr>
                <w:rFonts w:ascii="Times New Roman" w:hAnsi="Times New Roman"/>
                <w:b/>
                <w:noProof/>
              </w:rPr>
              <w:t>elektroniczna wymiana danych</w:t>
            </w:r>
            <w:r>
              <w:rPr>
                <w:rFonts w:ascii="Times New Roman" w:hAnsi="Times New Roman"/>
                <w:noProof/>
              </w:rPr>
              <w:t xml:space="preserve"> (i ewentualnie inne środki)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Dalszy rozwój unijnego </w:t>
            </w:r>
            <w:r>
              <w:rPr>
                <w:rFonts w:ascii="Times New Roman" w:hAnsi="Times New Roman"/>
                <w:b/>
                <w:noProof/>
              </w:rPr>
              <w:t>systemu informacji dotyczącego surowców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</w:tr>
      <w:tr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Działania sektorowe</w:t>
            </w:r>
          </w:p>
        </w:tc>
      </w:tr>
      <w:tr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Tworzywa sztuczne</w:t>
            </w:r>
          </w:p>
        </w:tc>
      </w:tr>
      <w:tr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Strategia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dotycząca tworzyw sztucznych w gospodarce o obiegu zamkniętym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 r.</w:t>
            </w:r>
          </w:p>
        </w:tc>
      </w:tr>
      <w:tr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Konkretne działania na rzecz zmniejszenia ilości odpadów morskich dzięki realizacji celów zrównoważonego rozwoju na rok 2030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2015 i później</w:t>
            </w:r>
          </w:p>
        </w:tc>
      </w:tr>
      <w:tr>
        <w:trPr>
          <w:trHeight w:val="300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</w:tr>
      <w:tr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Odpady spożywcze</w:t>
            </w:r>
          </w:p>
        </w:tc>
      </w:tr>
      <w:tr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Opracowanie </w:t>
            </w:r>
            <w:r>
              <w:rPr>
                <w:rFonts w:ascii="Times New Roman" w:hAnsi="Times New Roman"/>
                <w:b/>
                <w:noProof/>
              </w:rPr>
              <w:t>wspólnej metodologii i wskaźników</w:t>
            </w:r>
            <w:r>
              <w:rPr>
                <w:rFonts w:ascii="Times New Roman" w:hAnsi="Times New Roman"/>
                <w:noProof/>
              </w:rPr>
              <w:t xml:space="preserve"> umożliwiających pomiar marnotrawienia żywności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Platforma dla zainteresowanych stron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w celu zbadania sposobów osiągnięcia celów zrównoważonego rozwoju w obszarze odpadów spożywczych, dzielenia się najlepszymi praktykami i oceny postępów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Doprecyzowanie odpowiednich przepisów UE dotyczących odpadów, żywności i pasz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tak, by ułatwiać ofiarowanie żywności potrzebującym i wykorzystywanie wycofanych środków spożywczych w paszach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Zbadanie możliwości skuteczniejszego stosowania i lepszego zrozumienia oznaczeń dat na produktach spożywczych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 r.</w:t>
            </w:r>
          </w:p>
        </w:tc>
      </w:tr>
      <w:tr>
        <w:trPr>
          <w:trHeight w:val="300"/>
        </w:trPr>
        <w:tc>
          <w:tcPr>
            <w:tcW w:w="7560" w:type="dxa"/>
            <w:tcBorders>
              <w:top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</w:tr>
      <w:tr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Surowce krytyczne</w:t>
            </w:r>
          </w:p>
        </w:tc>
      </w:tr>
      <w:tr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Sprawozdanie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na temat surowców krytycznych i gospodarki o obiegu zamkniętym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 r.</w:t>
            </w:r>
          </w:p>
        </w:tc>
      </w:tr>
      <w:tr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Usprawnienie </w:t>
            </w:r>
            <w:r>
              <w:rPr>
                <w:rFonts w:ascii="Times New Roman" w:hAnsi="Times New Roman"/>
                <w:b/>
                <w:noProof/>
              </w:rPr>
              <w:t>wymiany informacji</w:t>
            </w:r>
            <w:r>
              <w:rPr>
                <w:rFonts w:ascii="Times New Roman" w:hAnsi="Times New Roman"/>
                <w:noProof/>
              </w:rPr>
              <w:t xml:space="preserve"> między producentami produktów elektronicznych a podmiotami zajmującymi się ich recyklingiem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Europejskie normy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dotyczące materiałooszczędnego recyklingu zużytego sprzętu elektrycznego i elektronicznego, zużytych baterii i innych złożonych produktów wycofanych z eksploatacji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Wymiana najlepszych praktyk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w zakresie odzyskiwania surowców krytycznych z odpadów górniczych i ze składowisk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 r.</w:t>
            </w:r>
          </w:p>
        </w:tc>
      </w:tr>
      <w:tr>
        <w:trPr>
          <w:trHeight w:val="300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</w:tr>
      <w:tr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Odpady z budowy i rozbiórki</w:t>
            </w:r>
          </w:p>
        </w:tc>
      </w:tr>
      <w:tr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Wytyczne</w:t>
            </w:r>
            <w:r>
              <w:rPr>
                <w:rFonts w:ascii="Times New Roman" w:hAnsi="Times New Roman"/>
                <w:noProof/>
              </w:rPr>
              <w:t xml:space="preserve"> dla sektora budowlanego dotyczące oceny przeprowadzanej na etapie przed rozbiórką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 r.</w:t>
            </w:r>
          </w:p>
        </w:tc>
      </w:tr>
      <w:tr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Dobrowolne sektorowe </w:t>
            </w:r>
            <w:r>
              <w:rPr>
                <w:rFonts w:ascii="Times New Roman" w:hAnsi="Times New Roman"/>
                <w:b/>
                <w:noProof/>
              </w:rPr>
              <w:t>protokoły recyklingu</w:t>
            </w:r>
            <w:r>
              <w:rPr>
                <w:rFonts w:ascii="Times New Roman" w:hAnsi="Times New Roman"/>
                <w:noProof/>
              </w:rPr>
              <w:t xml:space="preserve"> dla odpadów z budowy i rozbiórki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Główne wskaźniki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służące do oceny efektywności środowiskowej w całym cyklu życia budynku oraz zachęty do ich stosowania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2017 i później</w:t>
            </w:r>
          </w:p>
        </w:tc>
      </w:tr>
      <w:tr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</w:tr>
      <w:tr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Biomasa i materiały pochodzenia biologicznego</w:t>
            </w:r>
          </w:p>
        </w:tc>
      </w:tr>
      <w:tr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Propagowanie wytycznych i najlepszych praktyk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w sprawie kaskadowego wykorzystania biomasy i wspieranie innowacji w tej dziedzinie za pomocą programu „Horyzont 2020”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Lata 2018–2019</w:t>
            </w:r>
          </w:p>
        </w:tc>
      </w:tr>
      <w:tr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Zapewnianie spójności i synergii z gospodarką o obiegu zamkniętym przy ocenie zrównoważoności bioenergii w ramach unii energetycznej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Ocena wkładu strategii na rzecz biogospodarki z 2012 r. w gospodarkę o obiegu zamkniętym i jej ewentualny przegląd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2016 r. </w:t>
            </w:r>
          </w:p>
        </w:tc>
      </w:tr>
      <w:tr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</w:tr>
      <w:tr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Innowacje i inwestycje</w:t>
            </w:r>
          </w:p>
        </w:tc>
      </w:tr>
      <w:tr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Inicjatywa „Przemysł 2020 w gospodarce o obiegu zamkniętym” w ramach programu </w:t>
            </w:r>
            <w:r>
              <w:rPr>
                <w:rFonts w:ascii="Times New Roman" w:hAnsi="Times New Roman"/>
                <w:b/>
                <w:noProof/>
              </w:rPr>
              <w:t>„Horyzont 2020”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Październik 2015 r.</w:t>
            </w:r>
          </w:p>
        </w:tc>
      </w:tr>
      <w:tr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Projekt pilotażowy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w odniesieniu do „umów dotyczących innowacji” w celu wyeliminowania ewentualnych przeszkód prawnych dla innowatorów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Ukierunkowane działania informacyjne zachęcające do składania wniosków o finansowanie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w ramach EFIS i wspieranie realizacji projektów lub platform inwestycyjnych dotyczących gospodarki o obiegu zamkniętym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Ukierunkowane działania informacyjne i komunikacyjne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wspierające państwa członkowskie i regiony w wykorzystywaniu funduszy polityki spójności na rzecz gospodarki o obiegu zamkniętym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Wsparcie dla państw członkowskich i regionów</w:t>
            </w:r>
            <w:r>
              <w:rPr>
                <w:noProof/>
              </w:rPr>
              <w:t xml:space="preserve">, </w:t>
            </w:r>
            <w:r>
              <w:rPr>
                <w:rFonts w:ascii="Times New Roman" w:hAnsi="Times New Roman"/>
                <w:noProof/>
              </w:rPr>
              <w:t>aby zwiększyć innowacje na rzecz gospodarki o obiegu zamkniętym poprzez inteligentną specjalizację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Ocena możliwości uruchomienia, </w:t>
            </w:r>
            <w:r>
              <w:rPr>
                <w:rFonts w:ascii="Times New Roman" w:hAnsi="Times New Roman"/>
                <w:b/>
                <w:noProof/>
              </w:rPr>
              <w:t>wspólnie z EBI i bankami narodowymi, platformy</w:t>
            </w:r>
            <w:r>
              <w:rPr>
                <w:rFonts w:ascii="Times New Roman" w:hAnsi="Times New Roman"/>
                <w:noProof/>
              </w:rPr>
              <w:t xml:space="preserve"> na rzecz wspierania finansowania gospodarki o obiegu zamkniętym.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Udział zainteresowanych stron we wdrażaniu niniejszego planu działania za pośrednictwem istniejących forów w kluczowych sektorach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Wspieranie zainteresowanych stron za pomocą działań w zakresie partnerstw publiczno-prywatnych, platform współpracy, wspierania dobrowolnych rozwiązań biznesowych oraz wymiany najlepszych praktyk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2015 i później</w:t>
            </w:r>
          </w:p>
        </w:tc>
      </w:tr>
      <w:tr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</w:p>
        </w:tc>
      </w:tr>
      <w:tr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Monitorowanie</w:t>
            </w:r>
          </w:p>
        </w:tc>
      </w:tr>
      <w:tr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Opracowanie </w:t>
            </w:r>
            <w:r>
              <w:rPr>
                <w:rFonts w:ascii="Times New Roman" w:hAnsi="Times New Roman"/>
                <w:b/>
                <w:noProof/>
              </w:rPr>
              <w:t>ram monitorowania</w:t>
            </w:r>
            <w:r>
              <w:rPr>
                <w:rFonts w:ascii="Times New Roman" w:hAnsi="Times New Roman"/>
                <w:noProof/>
              </w:rPr>
              <w:t xml:space="preserve"> gospodarki o obiegu zamkniętym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 r.</w:t>
            </w:r>
          </w:p>
        </w:tc>
      </w:tr>
    </w:tbl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118059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3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9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2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13"/>
  </w:num>
  <w:num w:numId="6">
    <w:abstractNumId w:val="4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  <w:num w:numId="14">
    <w:abstractNumId w:val="3"/>
  </w:num>
  <w:num w:numId="15">
    <w:abstractNumId w:val="14"/>
  </w:num>
  <w:num w:numId="16">
    <w:abstractNumId w:val="7"/>
  </w:num>
  <w:num w:numId="17">
    <w:abstractNumId w:val="2"/>
  </w:num>
  <w:num w:numId="18">
    <w:abstractNumId w:val="6"/>
  </w:num>
  <w:num w:numId="19">
    <w:abstractNumId w:val="12"/>
  </w:num>
  <w:num w:numId="20">
    <w:abstractNumId w:val="13"/>
  </w:num>
  <w:num w:numId="21">
    <w:abstractNumId w:val="4"/>
  </w:num>
  <w:num w:numId="22">
    <w:abstractNumId w:val="11"/>
  </w:num>
  <w:num w:numId="23">
    <w:abstractNumId w:val="10"/>
  </w:num>
  <w:num w:numId="24">
    <w:abstractNumId w:val="8"/>
  </w:num>
  <w:num w:numId="25">
    <w:abstractNumId w:val="9"/>
  </w:num>
  <w:num w:numId="26">
    <w:abstractNumId w:val="1"/>
  </w:num>
  <w:num w:numId="27">
    <w:abstractNumId w:val="5"/>
  </w:num>
  <w:num w:numId="28">
    <w:abstractNumId w:val="0"/>
  </w:num>
  <w:num w:numId="29">
    <w:abstractNumId w:val="3"/>
  </w:num>
  <w:num w:numId="30">
    <w:abstractNumId w:val="14"/>
  </w:num>
  <w:num w:numId="31">
    <w:abstractNumId w:val="1"/>
  </w:num>
  <w:num w:numId="32">
    <w:abstractNumId w:val="5"/>
  </w:num>
  <w:num w:numId="33">
    <w:abstractNumId w:val="0"/>
  </w:num>
  <w:num w:numId="34">
    <w:abstractNumId w:val="3"/>
  </w:num>
  <w:num w:numId="35">
    <w:abstractNumId w:val="14"/>
  </w:num>
  <w:num w:numId="36">
    <w:abstractNumId w:val="1"/>
  </w:num>
  <w:num w:numId="37">
    <w:abstractNumId w:val="5"/>
  </w:num>
  <w:num w:numId="38">
    <w:abstractNumId w:val="0"/>
  </w:num>
  <w:num w:numId="39">
    <w:abstractNumId w:val="3"/>
  </w:num>
  <w:num w:numId="40">
    <w:abstractNumId w:val="14"/>
  </w:num>
  <w:num w:numId="41">
    <w:abstractNumId w:val="1"/>
  </w:num>
  <w:num w:numId="42">
    <w:abstractNumId w:val="5"/>
  </w:num>
  <w:num w:numId="43">
    <w:abstractNumId w:val="0"/>
  </w:num>
  <w:num w:numId="44">
    <w:abstractNumId w:val="3"/>
  </w:num>
  <w:num w:numId="4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do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0EAC39A86B12450E9C388C52D97284B9"/>
    <w:docVar w:name="LW_CROSSREFERENCE" w:val="&lt;UNUSED&gt;"/>
    <w:docVar w:name="LW_DocType" w:val="NORMAL"/>
    <w:docVar w:name="LW_EMISSION" w:val="2.12.2015"/>
    <w:docVar w:name="LW_EMISSION_ISODATE" w:val="2015-12-02"/>
    <w:docVar w:name="LW_EMISSION_LOCATION" w:val="BRX"/>
    <w:docVar w:name="LW_EMISSION_PREFIX" w:val="Bruksela, dnia "/>
    <w:docVar w:name="LW_EMISSION_SUFFIX" w:val=" r."/>
    <w:docVar w:name="LW_ID_DOCTYPE_NONLW" w:val="CP-039"/>
    <w:docVar w:name="LW_LANGUE" w:val="PL"/>
    <w:docVar w:name="LW_MARKING" w:val="&lt;UNUSED&gt;"/>
    <w:docVar w:name="LW_NOM.INST" w:val="KOMISJA EUROPEJSKA"/>
    <w:docVar w:name="LW_NOM.INST_JOINTDOC" w:val="&lt;EMPTY&gt;"/>
    <w:docVar w:name="LW_OBJETACTEPRINCIPAL.CP" w:val="Zamkni\u281?cie obiegu - plan dzia\u322?ania UE dotycz\u261?cy gospodarki o obiegu zamkni\u281?tym"/>
    <w:docVar w:name="LW_PART_NBR" w:val="1"/>
    <w:docVar w:name="LW_PART_NBR_TOTAL" w:val="1"/>
    <w:docVar w:name="LW_REF.INST.NEW" w:val="COM"/>
    <w:docVar w:name="LW_REF.INST.NEW_ADOPTED" w:val="final"/>
    <w:docVar w:name="LW_REF.INST.NEW_TEXT" w:val="(2015) 614"/>
    <w:docVar w:name="LW_REF.INTERNE" w:val="&lt;UNUSED&gt;"/>
    <w:docVar w:name="LW_SUPERTITRE" w:val="&lt;UNUSED&gt;"/>
    <w:docVar w:name="LW_TITRE.OBJ.CP" w:val="&lt;UNUSED&gt;"/>
    <w:docVar w:name="LW_TYPE.DOC.CP" w:val="ZA\u321?\u260?CZNIK_x000b_"/>
    <w:docVar w:name="LW_TYPEACTEPRINCIPAL.CP" w:val="KOMUNIKATU KOMISJI DO PARLAMENTU EUROPEJSKIEGO, RADY, KOMITETU EKONOMICZNO-SPO\u321?ECZNEGO I KOMITETU REGIONÓW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szCs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Normal"/>
    <w:next w:val="Normal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Bullet">
    <w:name w:val="List Bullet"/>
    <w:basedOn w:val="Normal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Bullet1">
    <w:name w:val="List Bullet 1"/>
    <w:basedOn w:val="Normal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Bullet2">
    <w:name w:val="List Bullet 2"/>
    <w:basedOn w:val="Normal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Bullet3">
    <w:name w:val="List Bullet 3"/>
    <w:basedOn w:val="Normal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Bullet4">
    <w:name w:val="List Bullet 4"/>
    <w:basedOn w:val="Normal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">
    <w:name w:val="List Dash"/>
    <w:basedOn w:val="Normal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1">
    <w:name w:val="List Dash 1"/>
    <w:basedOn w:val="Normal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2">
    <w:name w:val="List Dash 2"/>
    <w:basedOn w:val="Normal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3">
    <w:name w:val="List Dash 3"/>
    <w:basedOn w:val="Normal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4">
    <w:name w:val="List Dash 4"/>
    <w:basedOn w:val="Normal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Number">
    <w:name w:val="List Number"/>
    <w:basedOn w:val="Normal"/>
    <w:pPr>
      <w:numPr>
        <w:numId w:val="4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">
    <w:name w:val="List Number 1"/>
    <w:basedOn w:val="Normal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Number2">
    <w:name w:val="List Number 2"/>
    <w:basedOn w:val="Normal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Number3">
    <w:name w:val="List Number 3"/>
    <w:basedOn w:val="Normal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Number4">
    <w:name w:val="List Number 4"/>
    <w:basedOn w:val="Normal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Level2">
    <w:name w:val="List Number (Level 2)"/>
    <w:basedOn w:val="Normal"/>
    <w:pPr>
      <w:numPr>
        <w:ilvl w:val="1"/>
        <w:numId w:val="4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Level2">
    <w:name w:val="List Number 1 (Level 2)"/>
    <w:basedOn w:val="Normal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2Level2">
    <w:name w:val="List Number 2 (Level 2)"/>
    <w:basedOn w:val="Normal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3Level2">
    <w:name w:val="List Number 3 (Level 2)"/>
    <w:basedOn w:val="Normal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4Level2">
    <w:name w:val="List Number 4 (Level 2)"/>
    <w:basedOn w:val="Normal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Level3">
    <w:name w:val="List Number (Level 3)"/>
    <w:basedOn w:val="Normal"/>
    <w:pPr>
      <w:numPr>
        <w:ilvl w:val="2"/>
        <w:numId w:val="4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Level3">
    <w:name w:val="List Number 1 (Level 3)"/>
    <w:basedOn w:val="Normal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2Level3">
    <w:name w:val="List Number 2 (Level 3)"/>
    <w:basedOn w:val="Normal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3Level3">
    <w:name w:val="List Number 3 (Level 3)"/>
    <w:basedOn w:val="Normal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4Level3">
    <w:name w:val="List Number 4 (Level 3)"/>
    <w:basedOn w:val="Normal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Level4">
    <w:name w:val="List Number (Level 4)"/>
    <w:basedOn w:val="Normal"/>
    <w:pPr>
      <w:numPr>
        <w:ilvl w:val="3"/>
        <w:numId w:val="4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Level4">
    <w:name w:val="List Number 1 (Level 4)"/>
    <w:basedOn w:val="Normal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2Level4">
    <w:name w:val="List Number 2 (Level 4)"/>
    <w:basedOn w:val="Normal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3Level4">
    <w:name w:val="List Number 3 (Level 4)"/>
    <w:basedOn w:val="Normal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4Level4">
    <w:name w:val="List Number 4 (Level 4)"/>
    <w:basedOn w:val="Normal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Normal"/>
    <w:next w:val="Normal"/>
    <w:qFormat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szCs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Normal"/>
    <w:next w:val="Normal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Bullet">
    <w:name w:val="List Bullet"/>
    <w:basedOn w:val="Normal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Bullet1">
    <w:name w:val="List Bullet 1"/>
    <w:basedOn w:val="Normal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Bullet2">
    <w:name w:val="List Bullet 2"/>
    <w:basedOn w:val="Normal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Bullet3">
    <w:name w:val="List Bullet 3"/>
    <w:basedOn w:val="Normal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Bullet4">
    <w:name w:val="List Bullet 4"/>
    <w:basedOn w:val="Normal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">
    <w:name w:val="List Dash"/>
    <w:basedOn w:val="Normal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1">
    <w:name w:val="List Dash 1"/>
    <w:basedOn w:val="Normal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2">
    <w:name w:val="List Dash 2"/>
    <w:basedOn w:val="Normal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3">
    <w:name w:val="List Dash 3"/>
    <w:basedOn w:val="Normal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4">
    <w:name w:val="List Dash 4"/>
    <w:basedOn w:val="Normal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Number">
    <w:name w:val="List Number"/>
    <w:basedOn w:val="Normal"/>
    <w:pPr>
      <w:numPr>
        <w:numId w:val="4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">
    <w:name w:val="List Number 1"/>
    <w:basedOn w:val="Normal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Number2">
    <w:name w:val="List Number 2"/>
    <w:basedOn w:val="Normal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Number3">
    <w:name w:val="List Number 3"/>
    <w:basedOn w:val="Normal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Number4">
    <w:name w:val="List Number 4"/>
    <w:basedOn w:val="Normal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Level2">
    <w:name w:val="List Number (Level 2)"/>
    <w:basedOn w:val="Normal"/>
    <w:pPr>
      <w:numPr>
        <w:ilvl w:val="1"/>
        <w:numId w:val="4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Level2">
    <w:name w:val="List Number 1 (Level 2)"/>
    <w:basedOn w:val="Normal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2Level2">
    <w:name w:val="List Number 2 (Level 2)"/>
    <w:basedOn w:val="Normal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3Level2">
    <w:name w:val="List Number 3 (Level 2)"/>
    <w:basedOn w:val="Normal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4Level2">
    <w:name w:val="List Number 4 (Level 2)"/>
    <w:basedOn w:val="Normal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Level3">
    <w:name w:val="List Number (Level 3)"/>
    <w:basedOn w:val="Normal"/>
    <w:pPr>
      <w:numPr>
        <w:ilvl w:val="2"/>
        <w:numId w:val="4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Level3">
    <w:name w:val="List Number 1 (Level 3)"/>
    <w:basedOn w:val="Normal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2Level3">
    <w:name w:val="List Number 2 (Level 3)"/>
    <w:basedOn w:val="Normal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3Level3">
    <w:name w:val="List Number 3 (Level 3)"/>
    <w:basedOn w:val="Normal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4Level3">
    <w:name w:val="List Number 4 (Level 3)"/>
    <w:basedOn w:val="Normal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Level4">
    <w:name w:val="List Number (Level 4)"/>
    <w:basedOn w:val="Normal"/>
    <w:pPr>
      <w:numPr>
        <w:ilvl w:val="3"/>
        <w:numId w:val="4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Level4">
    <w:name w:val="List Number 1 (Level 4)"/>
    <w:basedOn w:val="Normal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2Level4">
    <w:name w:val="List Number 2 (Level 4)"/>
    <w:basedOn w:val="Normal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3Level4">
    <w:name w:val="List Number 3 (Level 4)"/>
    <w:basedOn w:val="Normal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4Level4">
    <w:name w:val="List Number 4 (Level 4)"/>
    <w:basedOn w:val="Normal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Normal"/>
    <w:next w:val="Normal"/>
    <w:qFormat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7</TotalTime>
  <Pages>5</Pages>
  <Words>1155</Words>
  <Characters>7949</Characters>
  <Application>Microsoft Office Word</Application>
  <DocSecurity>0</DocSecurity>
  <Lines>256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DOMINICIS Ariane (SG)</dc:creator>
  <cp:lastModifiedBy>DIGIT/A3</cp:lastModifiedBy>
  <cp:revision>9</cp:revision>
  <cp:lastPrinted>2015-11-24T10:49:00Z</cp:lastPrinted>
  <dcterms:created xsi:type="dcterms:W3CDTF">2015-11-27T12:26:00Z</dcterms:created>
  <dcterms:modified xsi:type="dcterms:W3CDTF">2015-12-08T17:58:00Z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lassification">
    <vt:lpwstr> </vt:lpwstr>
  </property>
  <property fmtid="{D5CDD505-2E9C-101B-9397-08002B2CF9AE}" pid="8" name="ELDocType">
    <vt:lpwstr>REP.DOT</vt:lpwstr>
  </property>
  <property fmtid="{D5CDD505-2E9C-101B-9397-08002B2CF9AE}" pid="9" name="Created using">
    <vt:lpwstr>3.0</vt:lpwstr>
  </property>
  <property fmtid="{D5CDD505-2E9C-101B-9397-08002B2CF9AE}" pid="10" name="Last edited using">
    <vt:lpwstr>EL </vt:lpwstr>
  </property>
</Properties>
</file>