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76" w:rsidRDefault="00C80BE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4B98087621D4190B5D09EC1F8558EED" style="width:451pt;height:438.1pt">
            <v:imagedata r:id="rId8" o:title=""/>
          </v:shape>
        </w:pict>
      </w:r>
      <w:bookmarkStart w:id="0" w:name="_GoBack"/>
      <w:bookmarkEnd w:id="0"/>
    </w:p>
    <w:p w:rsidR="00FC5E76" w:rsidRDefault="00FC5E76">
      <w:pPr>
        <w:rPr>
          <w:noProof/>
        </w:rPr>
        <w:sectPr w:rsidR="00FC5E76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C5E76" w:rsidRDefault="00C80BE9">
      <w:pPr>
        <w:shd w:val="clear" w:color="auto" w:fill="FFFFFF"/>
        <w:spacing w:line="270" w:lineRule="atLeast"/>
        <w:ind w:left="720" w:hanging="72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II. MELLÉKLET</w:t>
      </w:r>
    </w:p>
    <w:p w:rsidR="00FC5E76" w:rsidRDefault="00C80BE9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MEGFELELŐSÉGÉRTÉKELÉSI ELJÁRÁS – TERMÉKEK</w:t>
      </w:r>
    </w:p>
    <w:p w:rsidR="00FC5E76" w:rsidRDefault="00C80BE9">
      <w:pPr>
        <w:jc w:val="center"/>
        <w:rPr>
          <w:b/>
          <w:noProof/>
        </w:rPr>
      </w:pPr>
      <w:r>
        <w:rPr>
          <w:b/>
          <w:noProof/>
        </w:rPr>
        <w:t>Belső gyártásellenőrzés</w:t>
      </w:r>
    </w:p>
    <w:p w:rsidR="00FC5E76" w:rsidRDefault="00C80BE9">
      <w:pPr>
        <w:pStyle w:val="NumPar1"/>
        <w:numPr>
          <w:ilvl w:val="0"/>
          <w:numId w:val="10"/>
        </w:numPr>
        <w:tabs>
          <w:tab w:val="clear" w:pos="850"/>
          <w:tab w:val="num" w:pos="567"/>
        </w:tabs>
        <w:ind w:left="567" w:hanging="567"/>
        <w:rPr>
          <w:noProof/>
        </w:rPr>
      </w:pPr>
      <w:r>
        <w:rPr>
          <w:noProof/>
        </w:rPr>
        <w:t xml:space="preserve">A belső </w:t>
      </w:r>
      <w:r>
        <w:rPr>
          <w:noProof/>
        </w:rPr>
        <w:t>gyártásellenőrzés az a megfelelőségértékelési eljárás, amellyel a gyártó eleget tesz a 2., 3. és 4. pontban megállapított kötelezettségeknek, továbbá biztosítja azt, és saját kizárólagos felelőssége mellett nyilatkozik arról, hogy az érintett termékek vagy</w:t>
      </w:r>
      <w:r>
        <w:rPr>
          <w:noProof/>
        </w:rPr>
        <w:t xml:space="preserve"> szolgáltatások megfelelnek ezen irányelv követelményeinek.</w:t>
      </w:r>
    </w:p>
    <w:p w:rsidR="00FC5E76" w:rsidRDefault="00C80BE9">
      <w:pPr>
        <w:pStyle w:val="NumPar1"/>
        <w:tabs>
          <w:tab w:val="clear" w:pos="850"/>
          <w:tab w:val="num" w:pos="567"/>
        </w:tabs>
        <w:rPr>
          <w:noProof/>
        </w:rPr>
      </w:pPr>
      <w:r>
        <w:rPr>
          <w:b/>
          <w:noProof/>
        </w:rPr>
        <w:t>Műszaki dokumentáció</w:t>
      </w:r>
    </w:p>
    <w:p w:rsidR="00FC5E76" w:rsidRDefault="00C80BE9"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>A gyártó kidolgozza a műszaki dokumentációt. A dokumentációnak lehetővé kell tennie annak ellenőrzését, hogy a termék megfelel a 3. cikkben említett hozzáférhetőségi követelményeknek, és amennyiben a gyártó a 12. cikkben említett kivételt alkalmazza, annak</w:t>
      </w:r>
      <w:r>
        <w:rPr>
          <w:noProof/>
        </w:rPr>
        <w:t xml:space="preserve"> bizonyítását, hogy az érintett hozzáférhetőségi követelmények a termék alapvető megváltoztatását tennék szükségessé, vagy aránytalan terhet jelentenének. A műszaki dokumentáció csak az alkalmazandó követelményeket határozza meg és – az értékelés szempontj</w:t>
      </w:r>
      <w:r>
        <w:rPr>
          <w:noProof/>
        </w:rPr>
        <w:t xml:space="preserve">ából szükséges mértékben – ismerteti a termék tervét, gyártását és működését. </w:t>
      </w:r>
    </w:p>
    <w:p w:rsidR="00FC5E76" w:rsidRDefault="00C80BE9">
      <w:pPr>
        <w:pStyle w:val="Text1"/>
        <w:tabs>
          <w:tab w:val="center" w:pos="-993"/>
          <w:tab w:val="center" w:pos="-709"/>
        </w:tabs>
        <w:ind w:left="567"/>
        <w:rPr>
          <w:noProof/>
        </w:rPr>
      </w:pPr>
      <w:r>
        <w:rPr>
          <w:noProof/>
        </w:rPr>
        <w:t>A műszaki dokumentáció – értelemszerűen –legalább a következőket tartalmazza:</w:t>
      </w:r>
    </w:p>
    <w:p w:rsidR="00FC5E76" w:rsidRDefault="00C80BE9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a termék általános leírása;</w:t>
      </w:r>
    </w:p>
    <w:p w:rsidR="00FC5E76" w:rsidRDefault="00C80BE9">
      <w:pPr>
        <w:pStyle w:val="Point1letter"/>
        <w:rPr>
          <w:noProof/>
        </w:rPr>
      </w:pPr>
      <w:r>
        <w:rPr>
          <w:noProof/>
        </w:rPr>
        <w:t>a részben vagy egészben alkalmazott olyan harmonizált szabványok és/vag</w:t>
      </w:r>
      <w:r>
        <w:rPr>
          <w:noProof/>
        </w:rPr>
        <w:t xml:space="preserve">y egyéb vonatkozó műszaki leírások felsorolása, amelyek hivatkozásait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közzétették, illetve azokban az esetekben, amikor ezeket a harmonizált szabványokat nem alkalmazzák, azon megoldások leírása, amelyeket a 3. cikkben em</w:t>
      </w:r>
      <w:r>
        <w:rPr>
          <w:noProof/>
        </w:rPr>
        <w:t>lített hozzáférhetőségi követelmények teljesítése érdekében alkalmaztak; részlegesen alkalmazott harmonizált szabványok esetén a műszaki dokumentáció feltünteti, hogy mely részeket alkalmazták.</w:t>
      </w:r>
    </w:p>
    <w:p w:rsidR="00FC5E76" w:rsidRDefault="00C80BE9">
      <w:pPr>
        <w:pStyle w:val="NumPar1"/>
        <w:tabs>
          <w:tab w:val="clear" w:pos="850"/>
          <w:tab w:val="num" w:pos="567"/>
        </w:tabs>
        <w:ind w:left="567" w:hanging="567"/>
        <w:rPr>
          <w:b/>
          <w:noProof/>
        </w:rPr>
      </w:pPr>
      <w:r>
        <w:rPr>
          <w:b/>
          <w:noProof/>
        </w:rPr>
        <w:t>Gyártás</w:t>
      </w:r>
    </w:p>
    <w:p w:rsidR="00FC5E76" w:rsidRDefault="00C80BE9">
      <w:pPr>
        <w:ind w:left="567"/>
        <w:rPr>
          <w:noProof/>
        </w:rPr>
      </w:pPr>
      <w:r>
        <w:rPr>
          <w:noProof/>
        </w:rPr>
        <w:t>A gyártó minden szükséges intézkedést meghoz annak érd</w:t>
      </w:r>
      <w:r>
        <w:rPr>
          <w:noProof/>
        </w:rPr>
        <w:t>ekében, hogy a gyártási eljárás és annak ellenőrzése biztosítsa, hogy a termékek megfeleljenek a 2. pontban említett műszaki dokumentációnak és ezen irányelv hozzáférhetőségi követelményeinek.</w:t>
      </w:r>
    </w:p>
    <w:p w:rsidR="00FC5E76" w:rsidRDefault="00C80BE9">
      <w:pPr>
        <w:pStyle w:val="NumPar1"/>
        <w:ind w:left="567" w:hanging="567"/>
        <w:rPr>
          <w:b/>
          <w:noProof/>
        </w:rPr>
      </w:pPr>
      <w:r>
        <w:rPr>
          <w:b/>
          <w:noProof/>
        </w:rPr>
        <w:t>Megfelelőségi jelölés és megfelelőségi nyilatkozat</w:t>
      </w:r>
    </w:p>
    <w:p w:rsidR="00FC5E76" w:rsidRDefault="00C80BE9">
      <w:pPr>
        <w:pStyle w:val="NumPar2"/>
        <w:rPr>
          <w:noProof/>
        </w:rPr>
      </w:pPr>
      <w:r>
        <w:rPr>
          <w:noProof/>
        </w:rPr>
        <w:t>A gyártó fel</w:t>
      </w:r>
      <w:r>
        <w:rPr>
          <w:noProof/>
        </w:rPr>
        <w:t>tünteti az ebben az irányelvben említett CE-jelölést minden olyan terméken, amely eleget tesz ezen irányelv rá alkalmazandó követelményeinek.</w:t>
      </w:r>
    </w:p>
    <w:p w:rsidR="00FC5E76" w:rsidRDefault="00C80BE9">
      <w:pPr>
        <w:pStyle w:val="NumPar2"/>
        <w:rPr>
          <w:noProof/>
        </w:rPr>
      </w:pPr>
      <w:r>
        <w:rPr>
          <w:noProof/>
        </w:rPr>
        <w:t>A gyártó a termék mindegyik modelljére vonatkozóan írásos megfelelőségi nyilatkozatot készít. A megfelelőségi nyil</w:t>
      </w:r>
      <w:r>
        <w:rPr>
          <w:noProof/>
        </w:rPr>
        <w:t>atkozat megnevezi azt a terméket, amelyre vonatkozóan elkészítették.</w:t>
      </w:r>
    </w:p>
    <w:p w:rsidR="00FC5E76" w:rsidRDefault="00C80BE9">
      <w:pPr>
        <w:rPr>
          <w:noProof/>
        </w:rPr>
      </w:pPr>
      <w:r>
        <w:rPr>
          <w:noProof/>
        </w:rPr>
        <w:t>A megfelelőségi nyilatkozat egy példányát az érintett hatóság kérésére hozzáférhetővé kell tenni.</w:t>
      </w:r>
    </w:p>
    <w:p w:rsidR="00FC5E76" w:rsidRDefault="00C80BE9">
      <w:pPr>
        <w:pStyle w:val="NumPar1"/>
        <w:tabs>
          <w:tab w:val="clear" w:pos="850"/>
          <w:tab w:val="num" w:pos="567"/>
        </w:tabs>
        <w:rPr>
          <w:b/>
          <w:noProof/>
        </w:rPr>
      </w:pPr>
      <w:r>
        <w:rPr>
          <w:b/>
          <w:noProof/>
        </w:rPr>
        <w:t>A meghatalmazott képviselő</w:t>
      </w:r>
    </w:p>
    <w:p w:rsidR="00FC5E76" w:rsidRDefault="00C80BE9">
      <w:pPr>
        <w:rPr>
          <w:noProof/>
        </w:rPr>
      </w:pPr>
      <w:r>
        <w:rPr>
          <w:noProof/>
        </w:rPr>
        <w:t>A gyártónak a 4. pontban meghatározott kötelezettségei a gyárt</w:t>
      </w:r>
      <w:r>
        <w:rPr>
          <w:noProof/>
        </w:rPr>
        <w:t>ó nevében és felelősségére eljáró meghatalmazott képviselője révén is teljesíthetőek, amennyiben ez szerepel a megbízásban.</w:t>
      </w:r>
    </w:p>
    <w:sectPr w:rsidR="00FC5E76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76" w:rsidRDefault="00C80BE9">
      <w:pPr>
        <w:spacing w:before="0" w:after="0"/>
      </w:pPr>
      <w:r>
        <w:separator/>
      </w:r>
    </w:p>
  </w:endnote>
  <w:endnote w:type="continuationSeparator" w:id="0">
    <w:p w:rsidR="00FC5E76" w:rsidRDefault="00C80B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76" w:rsidRDefault="00C80BE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76" w:rsidRDefault="00C80BE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B2F89"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76" w:rsidRDefault="00FC5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76" w:rsidRDefault="00C80BE9">
      <w:pPr>
        <w:spacing w:before="0" w:after="0"/>
      </w:pPr>
      <w:r>
        <w:separator/>
      </w:r>
    </w:p>
  </w:footnote>
  <w:footnote w:type="continuationSeparator" w:id="0">
    <w:p w:rsidR="00FC5E76" w:rsidRDefault="00C80B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16E4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BA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DCFA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980B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A6A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F6E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BA27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12A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360A78"/>
    <w:multiLevelType w:val="multilevel"/>
    <w:tmpl w:val="0809001D"/>
    <w:name w:val="0.671989122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10 12:02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a következ\u337?höz: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D4B98087621D4190B5D09EC1F8558EED"/>
    <w:docVar w:name="LW_CROSSREFERENCE" w:val="{SWD(2015) 264 final}_x000b_{SWD(2015) 265 final}_x000b_{SWD(2015) 266 final}"/>
    <w:docVar w:name="LW_DocType" w:val="ANNEX"/>
    <w:docVar w:name="LW_EMISSION" w:val="2015.12.2."/>
    <w:docVar w:name="LW_EMISSION_ISODATE" w:val="2015-12-02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termékekhez és szolgáltatásokhoz való hozzáférés követelményeire vonatkozó tagállami törvényi, rendeleti és közigazgatási rendelkezések közelítésér\u337?l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5"/>
    <w:docVar w:name="LW_REF.INTERNE" w:val="&lt;UNUSED&gt;"/>
    <w:docVar w:name="LW_SUPERTITRE" w:val="&lt;UNUSED&gt;"/>
    <w:docVar w:name="LW_TITRE.OBJ.CP" w:val="&lt;UNUSED&gt;"/>
    <w:docVar w:name="LW_TYPE.DOC.CP" w:val="MELLÉKLET"/>
    <w:docVar w:name="LW_TYPEACTEPRINCIPAL.CP" w:val="Javaslat - Az Európai Parlament és a Tanács irányelve"/>
  </w:docVars>
  <w:rsids>
    <w:rsidRoot w:val="00FC5E76"/>
    <w:rsid w:val="000B2F89"/>
    <w:rsid w:val="00C80BE9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numbering" w:customStyle="1" w:styleId="Style1">
    <w:name w:val="Style1"/>
    <w:basedOn w:val="NoList"/>
    <w:uiPriority w:val="9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317</Words>
  <Characters>2308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KOECKX Catherine (JUST)</dc:creator>
  <cp:lastModifiedBy>Stefanie Heilemann</cp:lastModifiedBy>
  <cp:revision>2</cp:revision>
  <cp:lastPrinted>2015-11-19T15:45:00Z</cp:lastPrinted>
  <dcterms:created xsi:type="dcterms:W3CDTF">2015-12-10T12:24:00Z</dcterms:created>
  <dcterms:modified xsi:type="dcterms:W3CDTF">2015-12-10T12:24:00Z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_NewReviewCycle">
    <vt:lpwstr/>
  </property>
  <property fmtid="{D5CDD505-2E9C-101B-9397-08002B2CF9AE}" pid="13" name="DQCStatus">
    <vt:lpwstr>Yellow (DQC version 03)</vt:lpwstr>
  </property>
</Properties>
</file>