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2BE69354C0F04A58B72D2E1BFB7503EF" style="width:450.75pt;height:351.7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DÔVODOVÁ SPRÁVA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SÚVISLOSTI NÁVRHU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Dôvody a ciele návrhu</w:t>
      </w:r>
    </w:p>
    <w:p>
      <w:pPr>
        <w:rPr>
          <w:noProof/>
        </w:rPr>
      </w:pPr>
      <w:r>
        <w:rPr>
          <w:noProof/>
        </w:rPr>
        <w:t>V článku 97 smernice 2006/112/ES z 28. novembra 2006 o spoločnom systéme dane z pridanej hodnoty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(ďalej len „smernica o DPH“) sa stanovuje, že od 1. januára 2011 do 31. decembra 2015 nesmie byť štandardná sadzba nižšia ako 15 %.</w:t>
      </w:r>
    </w:p>
    <w:p>
      <w:pPr>
        <w:rPr>
          <w:noProof/>
        </w:rPr>
      </w:pPr>
      <w:r>
        <w:rPr>
          <w:noProof/>
        </w:rPr>
        <w:t xml:space="preserve">Toto ustanovenie je založené na článku 93 Zmluvy o založení Európskeho spoločenstva (Zmluva o ES). S účinnosťou od 1. decembra 2009 je článok 93 Zmluvy o ES nahradený článkom 113 Zmluvy o fungovaní Európskej únie (ZFEÚ). V článku 113 ZFEÚ sa stanovuje, že Rada jednomyseľne v súlade s mimoriadnym legislatívnym postupom po porade s Európskym parlamentom a Hospodárskym a sociálnym výborom prijme pravidlá na zosúlaďovanie právnych predpisov týkajúcich sa dane z obratu, a to do tej miery, do akej je takéto zosúladenie potrebné, aby sa zabezpečilo vytvorenie a fungovanie vnútorného trhu a zabránilo narušovaniu hospodárskej súťaže. </w:t>
      </w:r>
    </w:p>
    <w:p>
      <w:pPr>
        <w:rPr>
          <w:noProof/>
        </w:rPr>
      </w:pPr>
      <w:r>
        <w:rPr>
          <w:noProof/>
        </w:rPr>
        <w:t xml:space="preserve">Vzhľadom na vytvorenie vnútorného trhu 1. januára 1993 Komisia predložila návrhy na zavedenie konečného režimu harmonizácie daní. </w:t>
      </w:r>
    </w:p>
    <w:p>
      <w:pPr>
        <w:rPr>
          <w:noProof/>
        </w:rPr>
      </w:pPr>
      <w:r>
        <w:rPr>
          <w:noProof/>
        </w:rPr>
        <w:t>Keď sa však ukázalo, že nebude možné prijať návrhy Komisie pred 1. januárom 1993, Rada sa rozhodla prijať prechodný systém. So zreteľom na sadzby DPH prijala smernicu 92/77/EHS</w:t>
      </w:r>
      <w:r>
        <w:rPr>
          <w:rStyle w:val="FootnoteReference"/>
          <w:noProof/>
        </w:rPr>
        <w:footnoteReference w:id="2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 xml:space="preserve">V uvedenej smernici sa zaviedol systém minimálnych sadzieb. Stanovilo sa v nej, že od 1. januára 1993 do 31. decembra 1996 nesmie byť štandardná sadzba v žiadnom členskom štáte nižšia ako 15 %. Toto ustanovenie bolo päťkrát predĺžené a je platné do 31. decembra 2015. </w:t>
      </w:r>
    </w:p>
    <w:p>
      <w:pPr>
        <w:rPr>
          <w:noProof/>
        </w:rPr>
      </w:pPr>
      <w:r>
        <w:rPr>
          <w:noProof/>
        </w:rPr>
        <w:t>Nedávnymi zmenami smernice o DPH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sa zaviedlo zdaňovanie na mieste určenia, keďže sa tým obmedzujú možnosti cezhraničných transakcií vykonaných s cieľom využiť nižšie sadzby DPH, čo môže viesť k narušeniu hospodárskej súťaže. V oblasti nepriamych daní je však pri spotrebnej dani, ako aj pri DPH bežnou praxou stanoviť minimálne sadzby, a to najmä vzhľadom na skutočnosť, že na cezhraničné nakupovanie a predaj na diaľku sa pod určitou hranicou stále uplatňuje DPH v mieste pôvodu namiesto DPH v mieste určenia. Minimálna štandardná sadzba platná vo všetkých členských štátoch – ako je to v súčasnosti – preto poskytuje vhodnú záruku riadneho fungovania vnútorného trhu.</w:t>
      </w:r>
    </w:p>
    <w:p>
      <w:pPr>
        <w:rPr>
          <w:noProof/>
        </w:rPr>
      </w:pPr>
      <w:r>
        <w:rPr>
          <w:noProof/>
        </w:rPr>
        <w:t>Berúc do úvahy, že všetky členské štáty v súčasnosti vyberajú štandardnú sadzbu nad 15 %, súčasná úprava minimálnej štandardnej sadzby vo výške 15 % zabezpečuje členským štátom aj manévrovací priestor, keďže umožňuje daňové reformy na účely zníženia štandardnej sadzby rozšírením vymeriavacieho základu DPH a obmedzením využívania znížených sadzieb.</w:t>
      </w:r>
    </w:p>
    <w:p>
      <w:pPr>
        <w:rPr>
          <w:noProof/>
        </w:rPr>
      </w:pPr>
      <w:r>
        <w:rPr>
          <w:noProof/>
        </w:rPr>
        <w:t>Komisia prijala 6. decembra 2011 oznámenie o budúcnosti DPH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, v ktorom navrhla, aby sa zrušila zásada krajiny pôvodu, a opísala viacero spôsobov na dosiahnutie zdaňovania na mieste určenia. V roku 2016 uverejní Komisia akčný plán na jednoduchý, efektívny a </w:t>
      </w:r>
      <w:r>
        <w:rPr>
          <w:noProof/>
        </w:rPr>
        <w:lastRenderedPageBreak/>
        <w:t>definitívny systém dane z pridanej hodnoty, ktorý bude prispôsobený jednotnému trhu a odolný voči podvodom. V akčnom pláne sa stanovia smery budúcej práce v nadväznosti na úspechy dosiahnuté od oznámenia v roku 2011. Predovšetkým sa v ňom stanovia hlavné črty konečného režimu DPH pre obchod v rámci EÚ, ktoré chce Komisia navrhnúť, a reformy, ktoré plánuje s cieľom prispôsobiť existujúce pravidlá v oblasti sadzieb DPH konečnému režimu, ktorý sa vyznačuje zásadou miesta určenia. Toto preskúmanie pravidiel týkajúcich sa sadzieb DPH bude zamerané na dve kľúčové otázky: či možno členským štátom udeliť väčšiu autonómiu pri stanovovaní sadzieb („väčšia flexibilita“) a ako riešiť dočasné odchýlky umožňujúce výnimky, nulové sadzby a výrazne znížené sadzby, ktoré by sa mali po zavedení konečného režimu DPH prehodnotiť.</w:t>
      </w:r>
    </w:p>
    <w:p>
      <w:pPr>
        <w:rPr>
          <w:noProof/>
        </w:rPr>
      </w:pPr>
      <w:r>
        <w:rPr>
          <w:noProof/>
        </w:rPr>
        <w:t>Za týchto okolností a do prijatia rozhodnutí o finálnej podobe konečného režimu sa zdá vhodné zachovať zásadu minimálnej štandardnej sadzby DPH vo výške 15 % a navrhnúť, aby sa platnosť súčasných úprav predĺžila o [dva roky do 31. decembra 2017]. Tento časový rámec zabezpečuje zainteresovaným stranám potrebnú právnu istotu a mal by umožniť komplexnejšiu diskusiu o sadzbách DPH v súvislosti s pripravovaným akčným plánom v oblasti DPH.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Súlad s existujúcimi ustanoveniami v danej oblasti politiky</w:t>
      </w:r>
    </w:p>
    <w:p>
      <w:pPr>
        <w:rPr>
          <w:noProof/>
        </w:rPr>
      </w:pPr>
      <w:r>
        <w:rPr>
          <w:noProof/>
        </w:rPr>
        <w:t xml:space="preserve">Návrh predĺžiť existujúce ustanovenie (článok 97 smernice o DPH) je v súlade so súčasnými právnymi predpismi. 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Súlad s ostatnými politikami Únie</w:t>
      </w:r>
    </w:p>
    <w:p>
      <w:pPr>
        <w:rPr>
          <w:rFonts w:eastAsia="Arial Unicode MS"/>
          <w:noProof/>
        </w:rPr>
      </w:pPr>
      <w:r>
        <w:rPr>
          <w:noProof/>
        </w:rPr>
        <w:t>Neuplatňuje sa.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PRÁVNY ZÁKLAD, SUBSIDIARITA A PROPORCIONALITA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Právny základ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Smernicou sa mení smernica o DPH. Právnym základom je článok 113 Zmluvy o fungovaní Európskej únie (ZFEÚ)</w:t>
      </w:r>
      <w:r>
        <w:t>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Subsidiarita (v prípade iných ako výlučných právomocí) </w:t>
      </w:r>
    </w:p>
    <w:p>
      <w:pPr>
        <w:rPr>
          <w:rFonts w:eastAsia="Calibri"/>
          <w:noProof/>
        </w:rPr>
      </w:pPr>
      <w:r>
        <w:rPr>
          <w:noProof/>
        </w:rPr>
        <w:t>Zásada subsidiarity sa uplatňuje, pretože návrh nepatrí do výhradnej právomoci Európskej únie. Ciele návrhu nie je možné uspokojivo dosiahnuť na úrovni členských štátov z týchto dôvodov:</w:t>
      </w:r>
    </w:p>
    <w:p>
      <w:pPr>
        <w:rPr>
          <w:rFonts w:eastAsia="Calibri"/>
          <w:noProof/>
        </w:rPr>
      </w:pPr>
      <w:r>
        <w:rPr>
          <w:noProof/>
        </w:rPr>
        <w:t>Európska únia už stanovila harmonizované ustanovenia o uplatňovaní sadzieb DPH, a to v smernici o DPH. Tieto ustanovenia sa môžu zmeniť alebo predĺžiť iba aktom Európskej únie a právne predpisy členských štátov sa nemôžu odchýliť od harmonizovaných pravidiel.</w:t>
      </w:r>
    </w:p>
    <w:p>
      <w:pPr>
        <w:rPr>
          <w:rFonts w:eastAsia="Calibri"/>
          <w:noProof/>
        </w:rPr>
      </w:pPr>
      <w:r>
        <w:rPr>
          <w:noProof/>
        </w:rPr>
        <w:t>Preto možno ciele návrhu dosiahnuť len opatrením na úrovni Európskej únie, ktoré ako jediné zabezpečí rovnaké zaobchádzanie s občanmi v Európskej únii. Návrh je preto v súlade so zásadou subsidiarity.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Proporcionalita</w:t>
      </w:r>
    </w:p>
    <w:p>
      <w:pPr>
        <w:rPr>
          <w:rFonts w:eastAsia="Calibri"/>
          <w:noProof/>
        </w:rPr>
      </w:pPr>
      <w:r>
        <w:rPr>
          <w:noProof/>
        </w:rPr>
        <w:t>Návrh je v súlade so zásadou proporcionality z týchto dôvodov:</w:t>
      </w:r>
    </w:p>
    <w:p>
      <w:pPr>
        <w:rPr>
          <w:rFonts w:eastAsia="Calibri"/>
          <w:noProof/>
        </w:rPr>
      </w:pPr>
      <w:r>
        <w:rPr>
          <w:noProof/>
        </w:rPr>
        <w:t xml:space="preserve">Týmto návrhom sa zachová súčasná situácia, v ktorej členské štáty uplatňujú štandardnú sadzbu DPH vo výške minimálne 15 %. </w:t>
      </w:r>
    </w:p>
    <w:p>
      <w:pPr>
        <w:rPr>
          <w:rFonts w:eastAsia="Calibri"/>
          <w:noProof/>
        </w:rPr>
      </w:pPr>
      <w:r>
        <w:rPr>
          <w:noProof/>
        </w:rPr>
        <w:lastRenderedPageBreak/>
        <w:t>Vzhľadom na skutočnosť, že týmto návrhom sa len predlžuje obdobie uplatňovania existujúceho ustanovenia, opatrenie je primerané sledovanému cieľu. Návrh nezahŕňa žiadne finančné náklady pre Európsku úniu a podnikom ani spotrebiteľom sa ním neukladá žiadne nové finančné bremeno.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Výber nástrojov</w:t>
      </w:r>
    </w:p>
    <w:p>
      <w:pPr>
        <w:rPr>
          <w:rFonts w:eastAsia="Calibri"/>
          <w:noProof/>
        </w:rPr>
      </w:pPr>
      <w:r>
        <w:rPr>
          <w:noProof/>
        </w:rPr>
        <w:t>Navrhovaným nástrojom je smernica. Žiadny iný prostriedok by nebol primeraný, pretože týmto návrhom sa pozmeňujú ustanovenia o sadzbe DPH, ktoré sú v smernici už stanovené.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VÝSLEDKY HODNOTENÍ EX POST, KONZULTÁCIÍ SO ZAINTERESOVANÝMI STRANAMI A POSÚDENÍ VPLYVU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Hodnotenia ex post/kontroly vhodnosti existujúcich právnych predpisov</w:t>
      </w:r>
    </w:p>
    <w:p>
      <w:pPr>
        <w:rPr>
          <w:noProof/>
        </w:rPr>
      </w:pPr>
      <w:r>
        <w:rPr>
          <w:noProof/>
        </w:rPr>
        <w:t>Súčasná minimálna štandardná sadzba DPH bola predĺžená päťkrát. Týmto šiestym predĺžením sa zachováva súčasná uspokojivá situácia a poskytuje sa ním zainteresovaným stranám právna istota, pričom umožňuje, aby konečný režim DPH pre obchod v rámci EÚ nadobudol účinnosť na základe preskúmaného súboru pravidiel pre štandardné a znížené sadzby DPH.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Konzultácie so zainteresovanými stranami</w:t>
      </w:r>
    </w:p>
    <w:p>
      <w:pPr>
        <w:rPr>
          <w:rFonts w:eastAsia="Calibri"/>
          <w:noProof/>
        </w:rPr>
      </w:pPr>
      <w:r>
        <w:rPr>
          <w:noProof/>
        </w:rPr>
        <w:t xml:space="preserve">Vzhľadom na to, že návrhom sa len predlžuje súčasná situácia na obmedzený čas, že Komisii neboli oznámené žiadne konkrétne sťažnosti ani žiadosti týkajúce sa pravidiel uplatňovania štandardnej sadzby DPH a že v súvislosti s akčným plánom v oblasti DPH sa plánuje širšie vyhodnotenie systému sadzieb, nie je v tomto čase potrebná konzultácia so zainteresovanými stranami.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Získavanie a využívanie expertízy</w:t>
      </w:r>
    </w:p>
    <w:p>
      <w:pPr>
        <w:rPr>
          <w:rFonts w:eastAsia="Calibri"/>
          <w:noProof/>
        </w:rPr>
      </w:pPr>
      <w:r>
        <w:rPr>
          <w:noProof/>
        </w:rPr>
        <w:t xml:space="preserve">Vzhľadom na to, že Komisia nezaznamenala v súvislosti s pravidlami uplatňovania štandardnej sadzby DPH žiadne konkrétne sťažnosti, neboli potrebné konzultácie ani externá expertíza.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Posúdenie vplyvu</w:t>
      </w:r>
    </w:p>
    <w:p>
      <w:pPr>
        <w:rPr>
          <w:noProof/>
        </w:rPr>
      </w:pPr>
      <w:r>
        <w:rPr>
          <w:noProof/>
        </w:rPr>
        <w:t xml:space="preserve">Jediným cieľom opatrenia je predĺžiť dočasné ustanovenie, pokiaľ ide o dĺžku obdobia, počas ktorého sa má uplatňovať súčasná minimálna štandardná sadzba DPH. Takýmto predĺžením sa jednoducho zachová súčasný stav štandardnej sadzby DPH. </w:t>
      </w:r>
    </w:p>
    <w:p>
      <w:pPr>
        <w:rPr>
          <w:noProof/>
        </w:rPr>
      </w:pPr>
      <w:r>
        <w:rPr>
          <w:noProof/>
        </w:rPr>
        <w:t xml:space="preserve">V žiadnom prípade by sa od navrhovaného opatrenia nemali očakávať žiadne hospodárske, sociálne, regionálne ani environmentálne vplyvy, a to vzhľadom na to, že v porovnaní so </w:t>
      </w:r>
      <w:r>
        <w:rPr>
          <w:i/>
          <w:noProof/>
        </w:rPr>
        <w:t>status quo</w:t>
      </w:r>
      <w:r>
        <w:rPr>
          <w:noProof/>
        </w:rPr>
        <w:t xml:space="preserve"> nie sú potrebné žiadne zmeny.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Vhodnosť právnych predpisov a ich zjednodušenie</w:t>
      </w:r>
    </w:p>
    <w:p>
      <w:pPr>
        <w:pStyle w:val="ManualHeading2"/>
        <w:ind w:left="0" w:firstLine="0"/>
        <w:rPr>
          <w:rFonts w:eastAsia="Arial Unicode MS"/>
          <w:noProof/>
        </w:rPr>
      </w:pPr>
      <w:r>
        <w:rPr>
          <w:b w:val="0"/>
          <w:noProof/>
        </w:rPr>
        <w:t xml:space="preserve">Návrh nesúvisí s Programom regulačnej vhodnosti a efektívnosti (REFIT) a nezahŕňa žiadne regulačné zaťaženie.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Základné práva</w:t>
      </w:r>
    </w:p>
    <w:p>
      <w:pPr>
        <w:rPr>
          <w:noProof/>
        </w:rPr>
      </w:pPr>
      <w:r>
        <w:rPr>
          <w:noProof/>
        </w:rPr>
        <w:t>Neuplatňuje sa.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VPLYV NA ROZPOČET</w:t>
      </w:r>
    </w:p>
    <w:p>
      <w:pPr>
        <w:rPr>
          <w:rFonts w:eastAsia="Calibri"/>
          <w:noProof/>
        </w:rPr>
      </w:pPr>
      <w:r>
        <w:rPr>
          <w:noProof/>
        </w:rPr>
        <w:t xml:space="preserve">Návrh nemá žiadny vplyv na rozpočet Európskej únie. </w:t>
      </w:r>
    </w:p>
    <w:p>
      <w:pPr>
        <w:pStyle w:val="ManualHeading1"/>
        <w:rPr>
          <w:noProof/>
        </w:rPr>
      </w:pPr>
      <w:r>
        <w:rPr>
          <w:noProof/>
        </w:rPr>
        <w:lastRenderedPageBreak/>
        <w:t>5.</w:t>
      </w:r>
      <w:r>
        <w:rPr>
          <w:noProof/>
        </w:rPr>
        <w:tab/>
        <w:t>OSTATNÉ PRVKY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Plány vykonávania a monitorovanie, hodnotenie a predkladanie správ</w:t>
      </w:r>
    </w:p>
    <w:p>
      <w:pPr>
        <w:pStyle w:val="Text1"/>
        <w:ind w:left="0"/>
        <w:rPr>
          <w:noProof/>
        </w:rPr>
      </w:pPr>
      <w:r>
        <w:rPr>
          <w:noProof/>
        </w:rPr>
        <w:t xml:space="preserve">Vzhľadom na to, že Komisia preskúma všetky pravidlá v oblasti sadzieb DPH v roku 2016, nie je potrebné osobitne hodnotiť predĺženie platnosti minimálnej štandardnej sadzby.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Vysvetľujúce dokumenty (v prípade smerníc)</w:t>
      </w:r>
    </w:p>
    <w:p>
      <w:pPr>
        <w:pStyle w:val="Text1"/>
        <w:ind w:left="0"/>
        <w:rPr>
          <w:noProof/>
        </w:rPr>
      </w:pPr>
      <w:r>
        <w:rPr>
          <w:noProof/>
        </w:rPr>
        <w:t xml:space="preserve">Všetky členské štáty v súčasnosti dodržiavajú minimálnu sadzbu DPH vo výške 15 %. Nie sú potrebné vysvetľujúce dokumenty o transpozícii.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Podrobné vysvetlenie konkrétnych ustanovení návrhu</w:t>
      </w:r>
    </w:p>
    <w:p>
      <w:pPr>
        <w:rPr>
          <w:rFonts w:eastAsia="Calibri"/>
          <w:noProof/>
          <w:u w:val="single"/>
        </w:rPr>
      </w:pPr>
      <w:r>
        <w:rPr>
          <w:noProof/>
          <w:u w:val="single"/>
        </w:rPr>
        <w:t>Článok 1</w:t>
      </w:r>
    </w:p>
    <w:p>
      <w:pPr>
        <w:rPr>
          <w:rFonts w:eastAsia="Calibri"/>
          <w:noProof/>
        </w:rPr>
      </w:pPr>
      <w:r>
        <w:rPr>
          <w:noProof/>
        </w:rPr>
        <w:t>V článku 1 sa navrhuje, aby súčasná minimálna štandardná sadzba DPH v členských štátoch, ktorá je stanovená na 15 %, bola predĺžená na obdobie od 1. januára 2016 do 31. decembra 2017.</w:t>
      </w:r>
    </w:p>
    <w:p>
      <w:pPr>
        <w:rPr>
          <w:rFonts w:eastAsia="Calibri"/>
          <w:noProof/>
          <w:u w:val="single"/>
        </w:rPr>
      </w:pPr>
      <w:r>
        <w:rPr>
          <w:noProof/>
          <w:u w:val="single"/>
        </w:rPr>
        <w:t xml:space="preserve">Článok 2 </w:t>
      </w:r>
    </w:p>
    <w:p>
      <w:pPr>
        <w:rPr>
          <w:rFonts w:eastAsia="Calibri"/>
          <w:noProof/>
        </w:rPr>
      </w:pPr>
      <w:r>
        <w:rPr>
          <w:noProof/>
        </w:rPr>
        <w:t>V článku 2 sa stanovuje transpozícia smernice.</w:t>
      </w:r>
    </w:p>
    <w:p>
      <w:pPr>
        <w:rPr>
          <w:rFonts w:eastAsia="Calibri"/>
          <w:noProof/>
          <w:u w:val="single"/>
        </w:rPr>
      </w:pPr>
      <w:r>
        <w:rPr>
          <w:noProof/>
          <w:u w:val="single"/>
        </w:rPr>
        <w:t xml:space="preserve">Článok 3 </w:t>
      </w:r>
    </w:p>
    <w:p>
      <w:pPr>
        <w:rPr>
          <w:rFonts w:eastAsia="Calibri"/>
          <w:noProof/>
        </w:rPr>
      </w:pPr>
      <w:r>
        <w:rPr>
          <w:noProof/>
        </w:rPr>
        <w:t>V článku 3 sa stanovuje nadobudnutie účinnosti smernice.</w:t>
      </w:r>
    </w:p>
    <w:p>
      <w:pPr>
        <w:spacing w:before="0" w:after="0"/>
        <w:jc w:val="left"/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2015/0296 (CNS)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SMERNICA RADY,</w:t>
      </w:r>
    </w:p>
    <w:p>
      <w:pPr>
        <w:pStyle w:val="Titreobjet"/>
        <w:rPr>
          <w:noProof/>
        </w:rPr>
      </w:pPr>
      <w:r>
        <w:rPr>
          <w:noProof/>
        </w:rPr>
        <w:t>ktorou sa mení smernica 2006/112/ES o spoločnom systéme dane z pridanej hodnoty, pokiaľ ide o trvanie povinnosti uplatňovať minimálnu štandardnú sadzbu</w:t>
      </w:r>
    </w:p>
    <w:p>
      <w:pPr>
        <w:pStyle w:val="Institutionquiagit"/>
        <w:rPr>
          <w:noProof/>
        </w:rPr>
      </w:pPr>
      <w:r>
        <w:rPr>
          <w:noProof/>
        </w:rPr>
        <w:t>RADA EURÓPSKEJ ÚNIE,</w:t>
      </w:r>
    </w:p>
    <w:p>
      <w:pPr>
        <w:rPr>
          <w:noProof/>
        </w:rPr>
      </w:pPr>
      <w:r>
        <w:rPr>
          <w:noProof/>
        </w:rPr>
        <w:t>so zreteľom na Zmluvu o fungovaní Európskej únie, a najmä jej článok 113,</w:t>
      </w:r>
    </w:p>
    <w:p>
      <w:pPr>
        <w:rPr>
          <w:noProof/>
        </w:rPr>
      </w:pPr>
      <w:r>
        <w:rPr>
          <w:noProof/>
        </w:rPr>
        <w:t>so zreteľom na návrh Európskej komisie,</w:t>
      </w:r>
    </w:p>
    <w:p>
      <w:pPr>
        <w:rPr>
          <w:noProof/>
        </w:rPr>
      </w:pPr>
      <w:r>
        <w:rPr>
          <w:noProof/>
        </w:rPr>
        <w:t>po postúpení návrhu legislatívneho aktu národným parlamentom,</w:t>
      </w:r>
    </w:p>
    <w:p>
      <w:pPr>
        <w:rPr>
          <w:noProof/>
        </w:rPr>
      </w:pPr>
      <w:r>
        <w:rPr>
          <w:noProof/>
        </w:rPr>
        <w:t>so zreteľom na stanovisko Európskeho parlamentu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so zreteľom na stanovisko Európskeho hospodárskeho a sociálneho výboru</w:t>
      </w:r>
      <w:r>
        <w:rPr>
          <w:rStyle w:val="FootnoteReference"/>
          <w:noProof/>
        </w:rPr>
        <w:footnoteReference w:id="6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konajúc v súlade s mimoriadnym legislatívnym postupom,</w:t>
      </w:r>
    </w:p>
    <w:p>
      <w:pPr>
        <w:rPr>
          <w:noProof/>
        </w:rPr>
      </w:pPr>
      <w:r>
        <w:rPr>
          <w:noProof/>
        </w:rPr>
        <w:t>keďže: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V článku 97 smernice Rady 2006/112/ES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sa stanovuje, že od 1. januára 2011 do 31. decembra 2015 nesmie byť štandardná sadzba nižšia ako 15 %.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 xml:space="preserve">Štandardná sadzba dane z pridanej hodnoty (DPH), ktorá je v súčasnosti platná v členských štátoch, spolu s mechanizmom prechodného systému zabezpečuje prijateľné fungovanie tohto systému. Vďaka novým pravidlám o mieste poskytovania služieb, ktoré zvýhodňujú zdaňovanie na mieste spotreby, sa ďalej obmedzili možnosti využívať rozdiely v sadzbách DPH prostredníctvom premiestňovania a znížili potenciálne narušenia hospodárskej súťaže. 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S cieľom zabrániť tomu, aby narastajúce rozpätie štandardných sadzieb DPH uplatňovaných členskými štátmi malo za následok štrukturálne nevyváženosti v Európskej únii a narušenia hospodárskej súťaže v určitých sektoroch činností, je v oblasti nepriameho zdaňovania bežnou praxou stanoviť minimálne sadzby. Ešte je to potrebné urobiť v prípade DPH.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Bolo by predčasné stanoviť stálu výšku štandardnej sadzby alebo zvažovať zmenu výšky minimálnej sadzby pred tým, ako dôjde ku konečnej úprave konečného režimu DPH pre obchod v rámci Únie.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Z tohto dôvodu je vhodné zachovať súčasnú minimálnu štandardnú sadzbu vo výške 15 % na ďalšie obdobie, ktoré bude dostatočne dlhé na to, aby sa zabezpečila právna istota a zároveň umožnilo ďalšie preskúmanie.</w:t>
      </w:r>
    </w:p>
    <w:p>
      <w:pPr>
        <w:pStyle w:val="ManualConsidrant"/>
        <w:rPr>
          <w:noProof/>
        </w:rPr>
      </w:pPr>
      <w:r>
        <w:lastRenderedPageBreak/>
        <w:t>(6)</w:t>
      </w:r>
      <w:r>
        <w:tab/>
      </w:r>
      <w:r>
        <w:rPr>
          <w:noProof/>
        </w:rPr>
        <w:t>Nevylučuje sa tým ďalšia revízia právnych predpisov o DPH pred 31. decembrom 2017 s cieľom zamerať sa na záverečnú úpravu konečného režimu DPH pre obchod v rámci Únie.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Smernica 2006/112/ES by sa preto mala zodpovedajúcim spôsobom zmeniť,</w:t>
      </w:r>
    </w:p>
    <w:p>
      <w:pPr>
        <w:pStyle w:val="Formuledadoption"/>
        <w:rPr>
          <w:noProof/>
        </w:rPr>
      </w:pPr>
      <w:r>
        <w:rPr>
          <w:noProof/>
        </w:rPr>
        <w:t>PRIJALA TÚTO SMERNICU:</w:t>
      </w:r>
    </w:p>
    <w:p>
      <w:pPr>
        <w:pStyle w:val="Titrearticle"/>
        <w:rPr>
          <w:noProof/>
        </w:rPr>
      </w:pPr>
      <w:r>
        <w:rPr>
          <w:noProof/>
        </w:rPr>
        <w:t>Článok 1</w:t>
      </w:r>
      <w:r>
        <w:rPr>
          <w:noProof/>
        </w:rPr>
        <w:br/>
      </w:r>
    </w:p>
    <w:p>
      <w:pPr>
        <w:rPr>
          <w:rFonts w:eastAsia="Calibri"/>
          <w:noProof/>
        </w:rPr>
      </w:pPr>
      <w:r>
        <w:rPr>
          <w:noProof/>
        </w:rPr>
        <w:t>Článok 97 smernice 2006/112/ES sa nahrádza takto:</w:t>
      </w:r>
    </w:p>
    <w:p>
      <w:pPr>
        <w:keepNext/>
        <w:spacing w:before="360"/>
        <w:jc w:val="center"/>
        <w:rPr>
          <w:rFonts w:eastAsia="Calibri"/>
          <w:i/>
          <w:noProof/>
        </w:rPr>
      </w:pPr>
      <w:r>
        <w:rPr>
          <w:i/>
          <w:noProof/>
        </w:rPr>
        <w:t>„Článok 97</w:t>
      </w:r>
    </w:p>
    <w:p>
      <w:pPr>
        <w:ind w:left="850"/>
        <w:rPr>
          <w:rFonts w:eastAsia="Calibri"/>
          <w:noProof/>
        </w:rPr>
      </w:pPr>
      <w:r>
        <w:rPr>
          <w:noProof/>
        </w:rPr>
        <w:t>Od 1. januára 2016 do 31. decembra 2017 nesmie byť štandardná sadzba nižšia ako 15 %.“</w:t>
      </w:r>
    </w:p>
    <w:p>
      <w:pPr>
        <w:pStyle w:val="Titrearticle"/>
        <w:rPr>
          <w:noProof/>
        </w:rPr>
      </w:pPr>
      <w:r>
        <w:rPr>
          <w:noProof/>
        </w:rPr>
        <w:t>Článok 2</w:t>
      </w:r>
      <w:r>
        <w:rPr>
          <w:noProof/>
        </w:rPr>
        <w:br/>
      </w:r>
    </w:p>
    <w:p>
      <w:pPr>
        <w:ind w:left="850" w:hanging="850"/>
        <w:rPr>
          <w:rFonts w:eastAsia="Calibri"/>
          <w:noProof/>
        </w:rPr>
      </w:pPr>
      <w:r>
        <w:rPr>
          <w:noProof/>
        </w:rPr>
        <w:t>1.</w:t>
      </w:r>
      <w:r>
        <w:rPr>
          <w:noProof/>
        </w:rPr>
        <w:tab/>
        <w:t>Členské štáty uvedú do účinnosti zákony, iné právne predpisy a správne opatrenia potrebné na dosiahnutie súladu s touto smernicou najneskôr do 1. januára 2016. Komisii bezodkladne oznámia znenie týchto ustanovení.</w:t>
      </w:r>
    </w:p>
    <w:p>
      <w:pPr>
        <w:ind w:left="850"/>
        <w:rPr>
          <w:rFonts w:eastAsia="Calibri"/>
          <w:noProof/>
        </w:rPr>
      </w:pPr>
      <w:r>
        <w:rPr>
          <w:noProof/>
        </w:rPr>
        <w:t>Členské štáty uvedú priamo v prijatých opatreniach alebo pri ich úradnom uverejnení odkaz na túto smernicu. Podrobnosti o odkaze upravia členské štáty.</w:t>
      </w:r>
    </w:p>
    <w:p>
      <w:pPr>
        <w:ind w:left="850" w:hanging="850"/>
        <w:rPr>
          <w:rFonts w:eastAsia="Calibri"/>
          <w:noProof/>
        </w:rPr>
      </w:pPr>
      <w:r>
        <w:rPr>
          <w:noProof/>
        </w:rPr>
        <w:t>2.</w:t>
      </w:r>
      <w:r>
        <w:rPr>
          <w:noProof/>
        </w:rPr>
        <w:tab/>
        <w:t>Členské štáty oznámia Komisii znenie hlavných ustanovení vnútroštátnych právnych predpisov, ktoré prijmú v oblasti pôsobnosti tejto smernice.</w:t>
      </w:r>
    </w:p>
    <w:p>
      <w:pPr>
        <w:pStyle w:val="Titrearticle"/>
        <w:rPr>
          <w:noProof/>
        </w:rPr>
      </w:pPr>
      <w:r>
        <w:rPr>
          <w:noProof/>
        </w:rPr>
        <w:t>Článok 3</w:t>
      </w:r>
      <w:r>
        <w:rPr>
          <w:noProof/>
        </w:rPr>
        <w:br/>
      </w:r>
    </w:p>
    <w:p>
      <w:pPr>
        <w:rPr>
          <w:rFonts w:eastAsia="Calibri"/>
          <w:noProof/>
        </w:rPr>
      </w:pPr>
      <w:r>
        <w:rPr>
          <w:noProof/>
        </w:rPr>
        <w:t xml:space="preserve">Táto smernica nadobúda účinnosť dňom nasledujúcim po jej uverejnení v </w:t>
      </w:r>
      <w:r>
        <w:rPr>
          <w:i/>
          <w:noProof/>
        </w:rPr>
        <w:t>Úradnom vestníku Európskej únie</w:t>
      </w:r>
      <w:r>
        <w:rPr>
          <w:noProof/>
        </w:rPr>
        <w:t>.</w:t>
      </w:r>
    </w:p>
    <w:p>
      <w:pPr>
        <w:pStyle w:val="Titrearticle"/>
        <w:rPr>
          <w:noProof/>
        </w:rPr>
      </w:pPr>
      <w:r>
        <w:rPr>
          <w:noProof/>
        </w:rPr>
        <w:t>Článok 4</w:t>
      </w:r>
      <w:r>
        <w:rPr>
          <w:noProof/>
        </w:rPr>
        <w:br/>
      </w:r>
    </w:p>
    <w:p>
      <w:pPr>
        <w:keepNext/>
        <w:keepLines/>
        <w:rPr>
          <w:rFonts w:eastAsia="Calibri"/>
          <w:noProof/>
        </w:rPr>
      </w:pPr>
      <w:r>
        <w:rPr>
          <w:noProof/>
        </w:rPr>
        <w:t>Táto smernica je určená členským štátom.</w:t>
      </w:r>
    </w:p>
    <w:p>
      <w:pPr>
        <w:pStyle w:val="Fait"/>
        <w:rPr>
          <w:noProof/>
        </w:rPr>
      </w:pPr>
      <w:r>
        <w:rPr>
          <w:noProof/>
        </w:rPr>
        <w:t>V Bruseli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predseda</w:t>
      </w:r>
      <w:bookmarkStart w:id="1" w:name="_CopyToNewDocument_"/>
      <w:bookmarkEnd w:id="1"/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rPr>
          <w:lang w:val="es-ES"/>
        </w:rPr>
        <w:tab/>
      </w:r>
      <w:r>
        <w:t>Ú. v. EÚ L 347, 11.12.2006, s. 1.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Ú. v. ES L 316, 19.10.1992, s. 1.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Smernica Rady 2008/8/ES z 12. februára 2008, ktorou sa mení a dopĺňa smernica 2006/112/ES, pokiaľ ide o miesto poskytovania služieb (Ú. v. EÚ L 44, 20.2.2008, s. 11).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COM (2011) 851.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rStyle w:val="FootnoteReference"/>
        </w:rPr>
        <w:footnoteRef/>
      </w:r>
      <w:r>
        <w:t>Ú. v. EÚ C , , p. 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rStyle w:val="FootnoteReference"/>
        </w:rPr>
        <w:footnoteRef/>
      </w:r>
      <w:r>
        <w:t>Ú. v. EÚ C , , p. 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Smernica Rady 2006/112/ES z 28. novembra 2006 o spoločnom systéme dane z pridanej hodnoty (Ú. v. EÚ L 347, 11.12.2006, s.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C9866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AB06D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B42A3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DA2E20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BD2D9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FDE28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C36BA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C6AD0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1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12-11 15:58:39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7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2BE69354C0F04A58B72D2E1BFB7503EF"/>
    <w:docVar w:name="LW_CROSSREFERENCE" w:val="&lt;UNUSED&gt;"/>
    <w:docVar w:name="LW_DocType" w:val="COM"/>
    <w:docVar w:name="LW_EMISSION" w:val="14. 12. 2015"/>
    <w:docVar w:name="LW_EMISSION_ISODATE" w:val="2015-12-14"/>
    <w:docVar w:name="LW_EMISSION_LOCATION" w:val="BRX"/>
    <w:docVar w:name="LW_EMISSION_PREFIX" w:val="V Bruseli"/>
    <w:docVar w:name="LW_EMISSION_SUFFIX" w:val=" "/>
    <w:docVar w:name="LW_ID_DOCMODEL" w:val="SJ-017"/>
    <w:docVar w:name="LW_ID_DOCSIGNATURE" w:val="SJ-017"/>
    <w:docVar w:name="LW_ID_DOCSTRUCTURE" w:val="COM/PL/ORG"/>
    <w:docVar w:name="LW_ID_DOCTYPE" w:val="SJ-017"/>
    <w:docVar w:name="LW_ID_STATUT" w:val="SJ-017"/>
    <w:docVar w:name="LW_INTERETEEE.CP" w:val="&lt;UNUSED&gt;"/>
    <w:docVar w:name="LW_LANGUE" w:val="SK"/>
    <w:docVar w:name="LW_MARKING" w:val="&lt;UNUSED&gt;"/>
    <w:docVar w:name="LW_NOM.INST" w:val="EURÓPSKA KOMISIA"/>
    <w:docVar w:name="LW_NOM.INST_JOINTDOC" w:val="&lt;EMPTY&gt;"/>
    <w:docVar w:name="LW_PART_NBR" w:val="1"/>
    <w:docVar w:name="LW_PART_NBR_TOTAL" w:val="1"/>
    <w:docVar w:name="LW_REF.II.NEW.CP" w:val="CNS"/>
    <w:docVar w:name="LW_REF.II.NEW.CP_NUMBER" w:val="0296"/>
    <w:docVar w:name="LW_REF.II.NEW.CP_YEAR" w:val="2015"/>
    <w:docVar w:name="LW_REF.INST.NEW" w:val="COM"/>
    <w:docVar w:name="LW_REF.INST.NEW_ADOPTED" w:val="final"/>
    <w:docVar w:name="LW_REF.INST.NEW_TEXT" w:val="(2015) 646"/>
    <w:docVar w:name="LW_REF.INTERNE" w:val="&lt;UNUSED&gt;"/>
    <w:docVar w:name="LW_SOUS.TITRE.OBJ.CP" w:val="&lt;UNUSED&gt;"/>
    <w:docVar w:name="LW_STATUT.CP" w:val="Návrh"/>
    <w:docVar w:name="LW_SUPERTITRE" w:val="&lt;UNUSED&gt;"/>
    <w:docVar w:name="LW_TITRE.OBJ.CP" w:val="ktorou sa mení smernica 2006/112/ES o spolo\u269?nom systéme dane z pridanej hodnoty, pokia\u318? ide o trvanie povinnosti uplat\u328?ova\u357? minimálnu \u353?tandardnú sadzbu"/>
    <w:docVar w:name="LW_TYPE.DOC.CP" w:val="SMERNICA RADY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3F520-DEE8-4212-BC4E-4CDAB17E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7</Pages>
  <Words>1689</Words>
  <Characters>9886</Characters>
  <Application>Microsoft Office Word</Application>
  <DocSecurity>0</DocSecurity>
  <Lines>197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cp:lastPrinted>2015-11-25T09:06:00Z</cp:lastPrinted>
  <dcterms:created xsi:type="dcterms:W3CDTF">2015-12-10T15:54:00Z</dcterms:created>
  <dcterms:modified xsi:type="dcterms:W3CDTF">2015-12-11T14:58:00Z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SJ-017</vt:lpwstr>
  </property>
  <property fmtid="{D5CDD505-2E9C-101B-9397-08002B2CF9AE}" pid="10" name="DQCStatus">
    <vt:lpwstr>Green (DQC version 03)</vt:lpwstr>
  </property>
</Properties>
</file>