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EAA432636D74F45ABB3F5BA46CF0C08" style="width:450.75pt;height:389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 xml:space="preserve">Správa o dodatočnej lehote na splnenie záväzkov podľa Kjótskeho protokolu </w:t>
      </w:r>
    </w:p>
    <w:p>
      <w:pPr>
        <w:rPr>
          <w:noProof/>
        </w:rPr>
      </w:pPr>
      <w:r>
        <w:rPr>
          <w:noProof/>
        </w:rPr>
        <w:t>Táto správa a sprievodné pracovné dokumenty útvarov Komisie tvoria správu Únie o dodatočnej lehote na splnenie záväzkov podľa článku 3 ods. 1 Kjótskeho protokolu na prvé záväzné obdobie Kjótskeho protokolu, ako sa vyžaduje podľa článku 22 nariadenia (EÚ) č. 525/2013</w:t>
      </w:r>
      <w:r>
        <w:rPr>
          <w:rStyle w:val="FootnoteReference"/>
          <w:noProof/>
        </w:rPr>
        <w:footnoteReference w:id="1"/>
      </w:r>
      <w:r>
        <w:rPr>
          <w:noProof/>
        </w:rPr>
        <w:t>, v súlade s rozhodnutím 13/CMP.1 Konferencie zmluvných strán, ktorá slúži ako zasadnutie zmluvných strán Kjótskeho protokolu. Správa a sprievodné dokumenty sa predložia Rámcovému dohovoru Organizácie Spojených národov o zmene klímy (UNFCCC).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Informácie obsiahnuté v správe uľahčia hodnotenie toho, či Únia plní svoje záväzky podľa článku 3 ods. 1 Kjótskeho protokolu na prvé záväzné obdobie. Toto hodnotenie bude vychádzať z porovnania množstva jednotiek platných pre prvé záväzné obdobie vyradených do konca dodatočného obdobia na splnenie záväzkov so súhrnným množstvom emisií pre prvé záväzné obdobie.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Vyraďovanie kjótskych jednotiek</w:t>
      </w:r>
    </w:p>
    <w:p>
      <w:pPr>
        <w:rPr>
          <w:noProof/>
        </w:rPr>
      </w:pPr>
      <w:r>
        <w:rPr>
          <w:noProof/>
        </w:rPr>
        <w:t xml:space="preserve">Kjótsky protokol ratifikovala Európska únia, v tom čase Európske spoločenstvo, a jej členské štáty 31. mája 2002. EÚ a jej členské štáty plnia svoje záväzky vyplývajúce z článku 3 ods. 1 protokolu spoločne, v súlade s ustanoveniami jeho článku 4. V čase ratifikácie bolo členskými štátmi týchto 15 krajín: Belgicko, Dánsko, Fínsko, Francúzsko, Grécko, Holandsko, Írsko, Luxembursko, Nemecko, Portugalsko, Rakúsko, Spojené kráľovstvo, Švédsko, Španielsko a Taliansko. Tieto krajiny boli 15 členskými štátmi aj v čase, keď bol Kjótsky protokol v decembri 1997 prijatý. V súlade s článkom 4 ods. 4 Kjótskeho protokolu nemá pristúpenie 13 členských štátov po prijatí protokolu vplyv na záväzky v rámci prvého záväzného obdobia. </w:t>
      </w:r>
    </w:p>
    <w:p>
      <w:pPr>
        <w:spacing w:before="0" w:after="0"/>
        <w:rPr>
          <w:noProof/>
        </w:rPr>
      </w:pPr>
      <w:r>
        <w:rPr>
          <w:noProof/>
        </w:rPr>
        <w:t xml:space="preserve">Množstvo jednotiek vyradených pre EÚ sa vypočíta ako súčet množstva jednotiek na vyraďovacích účtoch v registroch 15 členských štátov. Celkové množstvo jednotiek vyradených pre EÚ na konci dodatočného obdobia na splnenie záväzkov podľa článku 3 ods. 1 za prvé záväzné obdobie Kjótskeho protokolu dosahuje hodnotu 18 843 518 768. V nasledujúcej tabuľke sa uvádzajú osobitné informácie pre každý z 15 členských štátov. </w:t>
      </w:r>
    </w:p>
    <w:p>
      <w:pPr>
        <w:spacing w:before="0" w:after="0"/>
        <w:rPr>
          <w:noProof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394"/>
      </w:tblGrid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Celkové množstvo jednotiek na vyraďovacom účte 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Rakúsko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414 658 054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Belgicko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626 316 229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Dánsko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297 984 143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Fínsko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338 353 531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Francúzsko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2 538 856 531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Nemecko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4 706 574 671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Grécko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598 504 091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Írsko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308 508 846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Taliansko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2 479 638 840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Luxembursko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60 116 132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Holandsko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997 119 267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362 098 075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Španielsko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1 791 980 049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Švédsko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305 573 749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Spojené kráľovstvo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3 017 236 560</w:t>
            </w:r>
          </w:p>
        </w:tc>
      </w:tr>
    </w:tbl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Prenos kjótskych jednotiek</w:t>
      </w:r>
    </w:p>
    <w:p>
      <w:pPr>
        <w:rPr>
          <w:noProof/>
        </w:rPr>
      </w:pPr>
      <w:r>
        <w:rPr>
          <w:noProof/>
        </w:rPr>
        <w:t>Celkové množstvo jednotiek prideleného množstva na holdingových účtoch v registri EÚ, ktoré má EÚ preniesť z prvého do druhého záväzného obdobia Kjótskeho protokolu, dosahuje hodnotu 2 124 109 368.</w:t>
      </w:r>
    </w:p>
    <w:p>
      <w:pPr>
        <w:rPr>
          <w:noProof/>
        </w:rPr>
      </w:pPr>
      <w:r>
        <w:rPr>
          <w:noProof/>
        </w:rPr>
        <w:t>Celkové množstvo jednotiek na holdingových účtoch členských štátov, ktoré majú preniesť členské štáty, sa uvedie v správach členských štátov o dodatočnej lehote na splnenie záväzkov podľa Kjótskeho protokolu.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4E997" w15:done="0"/>
  <w15:commentEx w15:paraId="4950DFA0" w15:done="0"/>
  <w15:commentEx w15:paraId="57140EBF" w15:done="0"/>
  <w15:commentEx w15:paraId="4F6019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7011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bCs/>
          <w:color w:val="444444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  <w:color w:val="444444"/>
        </w:rPr>
        <w:t>Nariadenie Európskeho parlamentu a Rady (EÚ) č. 525/2013 z 21. mája 2013 o mechanizme monitorovania a nahlasovania emisií skleníkových plynov a nahlasovania ďalších informácií na úrovni členských štátov a Únie relevantných z hľadiska zmeny klímy a o zrušení rozhodnutia č. 280/2004/ES (Ú. v. EÚ L 165, 18.6.2013, s. 13-40).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oardo">
    <w15:presenceInfo w15:providerId="None" w15:userId="edo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6EAA432636D74F45ABB3F5BA46CF0C08"/>
    <w:docVar w:name="LW_CROSSREFERENCE" w:val="{SWD(2015) 288 final}"/>
    <w:docVar w:name="LW_DocType" w:val="NORMAL"/>
    <w:docVar w:name="LW_EMISSION" w:val="15. 12. 2015"/>
    <w:docVar w:name="LW_EMISSION_ISODATE" w:val="2015-12-15"/>
    <w:docVar w:name="LW_EMISSION_LOCATION" w:val="BRX"/>
    <w:docVar w:name="LW_EMISSION_PREFIX" w:val="V Bruseli"/>
    <w:docVar w:name="LW_EMISSION_SUFFIX" w:val=" "/>
    <w:docVar w:name="LW_ID_DOCTYPE_NONLW" w:val="CP-003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650"/>
    <w:docVar w:name="LW_REF.INTERNE" w:val="&lt;UNUSED&gt;"/>
    <w:docVar w:name="LW_SOUS.TITRE.OBJ.CP" w:val="&lt;UNUSED&gt;"/>
    <w:docVar w:name="LW_SUPERTITRE" w:val="&lt;UNUSED&gt;"/>
    <w:docVar w:name="LW_TITRE.OBJ.CP" w:val="Správa Únie o dodato\u269?nej lehote na splnenie záväzkov pod\u318?a Kjótskeho protokolu _x000b_(po\u382?adovaná pod\u318?a \u269?lánku 22 nariadenia Európskeho parlamentu a Rady (EÚ) \u269?. 525/2013 z 21. mája 2013 o mechanizme monitorovania a nahlasovania emisií skleníkových plynov a nahlasovania \u271?al\u353?ích informácií na úrovni \u269?lenských \u353?tátov a Únie relevantných z h\u318?adiska zmeny klímy a o zru\u353?ení rozhodnutia \u269?. 280/2004/ES a pod\u318?a rozhodnutia 13/CMP.1 Konferencie zmluvných strán, ktorá slú\u382?i ako zasadnutie zmluvných strán Kjótskeho protokolu.)"/>
    <w:docVar w:name="LW_TYPE.DOC.CP" w:val="SPRÁVA KOMISI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5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7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0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3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1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3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BBB1-9EBA-4E18-A0B6-A7780EC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2521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dcterms:created xsi:type="dcterms:W3CDTF">2015-12-04T08:10:00Z</dcterms:created>
  <dcterms:modified xsi:type="dcterms:W3CDTF">2015-12-14T11:16:00Z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