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423015791"/>
      <w:bookmarkStart w:id="1" w:name="_Toc371338152"/>
      <w:bookmarkStart w:id="2" w:name="_Toc395255548"/>
      <w:bookmarkStart w:id="3" w:name="_Toc392749496"/>
      <w:bookmarkStart w:id="4" w:name="_Ref419103554"/>
      <w:bookmarkStart w:id="5" w:name="_Ref422493878"/>
      <w:bookmarkStart w:id="6" w:name="_Ref422907756"/>
      <w:bookmarkStart w:id="7"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EFEC879827046E3AB0D3B2B4948E78F" style="width:450pt;height:430.5pt">
            <v:imagedata r:id="rId9" o:title=""/>
          </v:shape>
        </w:pict>
      </w:r>
    </w:p>
    <w:bookmarkEnd w:id="7"/>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rPr>
          <w:b/>
          <w:smallCaps/>
          <w:noProof/>
          <w:sz w:val="22"/>
          <w:szCs w:val="24"/>
        </w:rPr>
      </w:pPr>
      <w:bookmarkStart w:id="8" w:name="_GoBack"/>
      <w:bookmarkEnd w:id="8"/>
      <w:r>
        <w:rPr>
          <w:b/>
          <w:smallCaps/>
          <w:noProof/>
          <w:sz w:val="22"/>
        </w:rPr>
        <w:lastRenderedPageBreak/>
        <w:t>Wprowadzenie</w:t>
      </w:r>
      <w:bookmarkEnd w:id="0"/>
      <w:r>
        <w:rPr>
          <w:b/>
          <w:smallCaps/>
          <w:noProof/>
          <w:sz w:val="22"/>
        </w:rPr>
        <w:t xml:space="preserve"> </w:t>
      </w:r>
      <w:bookmarkStart w:id="9" w:name="_Toc371338158"/>
      <w:bookmarkStart w:id="10" w:name="_Toc395255549"/>
      <w:bookmarkStart w:id="11" w:name="_Toc392749497"/>
      <w:bookmarkStart w:id="12" w:name="_Toc371338153"/>
      <w:bookmarkEnd w:id="1"/>
      <w:bookmarkEnd w:id="2"/>
      <w:bookmarkEnd w:id="3"/>
      <w:bookmarkEnd w:id="4"/>
      <w:bookmarkEnd w:id="5"/>
      <w:bookmarkEnd w:id="6"/>
    </w:p>
    <w:p>
      <w:pPr>
        <w:rPr>
          <w:noProof/>
        </w:rPr>
      </w:pPr>
      <w:bookmarkStart w:id="13" w:name="_Toc423015792"/>
      <w:r>
        <w:rPr>
          <w:noProof/>
        </w:rPr>
        <w:t>Niniejsze sprawozdanie i uzupełniający je dokument roboczy służb Komisji stanowią drugie dwuletnie sprawozdanie Unii Europejskiej (UE) zgodnie z wymogami art. 18 ust. 1 rozporządzenia (UE) nr 525/2013 i decyzji 2/CP.17 Konferencji stron ramowej konwencji Narodów Zjednoczonych w sprawie zmian klimatu (UNFCCC). Zostaną one przekazane do UNFCCC jako drugie dwuletnie sprawozdanie UE.</w:t>
      </w:r>
    </w:p>
    <w:p>
      <w:pPr>
        <w:rPr>
          <w:b/>
          <w:smallCaps/>
          <w:noProof/>
          <w:sz w:val="22"/>
        </w:rPr>
      </w:pPr>
      <w:r>
        <w:rPr>
          <w:b/>
          <w:smallCaps/>
          <w:noProof/>
          <w:sz w:val="22"/>
        </w:rPr>
        <w:t>Informacje o emisji gazów cieplarnianych i tendencjach</w:t>
      </w:r>
      <w:bookmarkEnd w:id="13"/>
    </w:p>
    <w:p>
      <w:pPr>
        <w:rPr>
          <w:noProof/>
        </w:rPr>
      </w:pPr>
      <w:r>
        <w:rPr>
          <w:noProof/>
        </w:rPr>
        <w:t xml:space="preserve">Całkowite emisje gazów cieplarnianych w UE-28, z uwzględnieniem emisji z międzynarodowego transportu lotniczego, zmniejszyły się o 20 % w latach 1990–2013. Zgłoszone emisje są emisjami objętymi celem UE w ramach konwencji i pochodzą z ostatniego unijnego wykazu przedłożonego UNFCCC. Najważniejszy gaz cieplarniany to CO2, którego emisje stanowiły 82 % całkowitych emisji w UE-28 w 2013 r. </w:t>
      </w:r>
    </w:p>
    <w:p>
      <w:pPr>
        <w:rPr>
          <w:noProof/>
        </w:rPr>
      </w:pPr>
      <w:r>
        <w:rPr>
          <w:noProof/>
        </w:rPr>
        <w:t xml:space="preserve">Emisje w przeliczeniu na mieszkańca w UE zmniejszyły się o 26 % między 1990 r. a 2013 r. (z 11,8 ton do 8,9 ton na mieszkańca). Emisje w UE-28 stale się zmniejszają mimo wzrostu gospodarki. Uniezależnienie wzrostu gospodarczego od emisji gazów cieplarnianych stale postępowało począwszy od 1990 r. Wzrost produktu krajowego brutto (PKB) w okresie 1990-2013 wynosił ok. 45 % w państwach UE-28, zaś emisje gazów cieplarnianych spadły w tym czasie o ok. 20 %. W konsekwencji intensywność emisji gazów cieplarnianych w UE zmniejszyła się niemal o połowę. </w:t>
      </w:r>
    </w:p>
    <w:p>
      <w:pPr>
        <w:rPr>
          <w:noProof/>
        </w:rPr>
      </w:pPr>
      <w:bookmarkStart w:id="14" w:name="_Toc423015793"/>
      <w:r>
        <w:rPr>
          <w:noProof/>
        </w:rPr>
        <w:t>Do takiego uniezależnienia znacznie przyczyniła się realizacja polityki strukturalnej w dziedzinie klimatu i energii. W szczególności wdrażanie pakietu klimatyczno-energetycznego na 2020 r. przyniosło znaczny wzrost wykorzystania odnawialnych źródeł energii oraz postępy w dziedzinie efektywności energetycznej. W obu przypadkach są to kluczowe czynniki warunkujące zaobserwowane zmniejszenie emisji, a cena węgla jako siły napędowej prawdopodobnie będzie odgrywać coraz ważniejszą rolę w przyszłości.</w:t>
      </w:r>
    </w:p>
    <w:p>
      <w:pPr>
        <w:rPr>
          <w:b/>
          <w:smallCaps/>
          <w:noProof/>
          <w:sz w:val="22"/>
        </w:rPr>
      </w:pPr>
      <w:r>
        <w:rPr>
          <w:b/>
          <w:smallCaps/>
          <w:noProof/>
          <w:sz w:val="22"/>
        </w:rPr>
        <w:t>Ilościowy cel w zakresie redukcji emisji dla całej gospodarki UE</w:t>
      </w:r>
      <w:bookmarkEnd w:id="14"/>
      <w:r>
        <w:rPr>
          <w:b/>
          <w:smallCaps/>
          <w:noProof/>
          <w:sz w:val="22"/>
        </w:rPr>
        <w:t xml:space="preserve"> </w:t>
      </w:r>
    </w:p>
    <w:p>
      <w:pPr>
        <w:rPr>
          <w:noProof/>
        </w:rPr>
      </w:pPr>
      <w:r>
        <w:rPr>
          <w:noProof/>
        </w:rPr>
        <w:t xml:space="preserve">Na mocy UNFCCC Unia i jej państwa członkowskie przyjęły wspólny cel w zakresie redukcji emisji w celu zmniejszenia emisji gazów cieplarnianych do 2020 r. o co najmniej 20 % w porównaniu z rokiem 1990 oraz warunkową ofertę zwiększenia celu redukcji do 30 %, o ile inne kraje rozwinięte zobowiążą się do porównywalnych redukcji emisji, a kraje rozwijające się wniosą odpowiedni wkład na miarę swych możliwości i zakresu zobowiązań. </w:t>
      </w:r>
    </w:p>
    <w:p>
      <w:pPr>
        <w:rPr>
          <w:noProof/>
        </w:rPr>
      </w:pPr>
      <w:r>
        <w:rPr>
          <w:noProof/>
        </w:rPr>
        <w:t xml:space="preserve">Cel UE jest zapisany w prawodawstwie i realizowany przez UE i jej państwa członkowskie. Główny element tego prawodawstwa – pakiet klimatyczno-energetyczny UE – wyznacza dla Unii cel zredukowania emisji gazów cieplarnianych o 20 % do 2020 r. w porównaniu z 1990 r., co odpowiada zredukowaniu ich o 14 % w porównaniu z rokiem 2005. Wysiłek na rzecz osiągnięcia tego celu został podzielony pomiędzy sektory objęte unijnym systemem handlu uprawnieniami do emisji („UE ETS”) i sektory nieobjęte ETS w decyzji dotyczącej wspólnego wysiłku redukcyjnego. </w:t>
      </w:r>
    </w:p>
    <w:p>
      <w:pPr>
        <w:keepNext/>
        <w:rPr>
          <w:b/>
          <w:smallCaps/>
          <w:noProof/>
          <w:szCs w:val="24"/>
        </w:rPr>
      </w:pPr>
      <w:bookmarkStart w:id="15" w:name="_Toc423015794"/>
      <w:r>
        <w:rPr>
          <w:b/>
          <w:smallCaps/>
          <w:noProof/>
        </w:rPr>
        <w:t>Postępy</w:t>
      </w:r>
      <w:bookmarkEnd w:id="9"/>
      <w:bookmarkEnd w:id="10"/>
      <w:bookmarkEnd w:id="11"/>
      <w:r>
        <w:rPr>
          <w:b/>
          <w:smallCaps/>
          <w:noProof/>
        </w:rPr>
        <w:t xml:space="preserve"> w osiąganiu ilościowego celu w zakresie redukcji emisji dla całej gospodarki UE</w:t>
      </w:r>
      <w:bookmarkEnd w:id="15"/>
      <w:r>
        <w:rPr>
          <w:b/>
          <w:smallCaps/>
          <w:noProof/>
        </w:rPr>
        <w:t xml:space="preserve"> – </w:t>
      </w:r>
      <w:bookmarkStart w:id="16" w:name="_Toc423015795"/>
      <w:bookmarkEnd w:id="12"/>
      <w:r>
        <w:rPr>
          <w:b/>
          <w:smallCaps/>
          <w:noProof/>
        </w:rPr>
        <w:t>polityka i działania UE i ich skutki</w:t>
      </w:r>
      <w:bookmarkEnd w:id="16"/>
    </w:p>
    <w:p>
      <w:pPr>
        <w:rPr>
          <w:noProof/>
        </w:rPr>
      </w:pPr>
      <w:r>
        <w:rPr>
          <w:noProof/>
        </w:rPr>
        <w:t>UE i jej 28 państw członkowskich, zarówno indywidualnie jak i wspólnie, podejmują krajowe i międzynarodowe działania w walce ze zmianą klimatu już od wielu lat, co spowodowało znaczne ograniczenia emisji.</w:t>
      </w:r>
    </w:p>
    <w:p>
      <w:pPr>
        <w:rPr>
          <w:noProof/>
        </w:rPr>
      </w:pPr>
      <w:r>
        <w:rPr>
          <w:noProof/>
        </w:rPr>
        <w:t xml:space="preserve">Aby zareagować na wyzwania i potrzeby inwestycyjne związane z działaniami w dziedzinie klimatu, UE zdecydowała, że co najmniej 20 % budżetu UE na lata 2014–2020, czyli aż 180 mld EUR, ma zostać przeznaczone na działania związane ze zmianą klimatu. Stanowi to znaczący wzrost w stosunku do wydatków związanych z działaniami w zakresie zmian klimatu przewidzianymi w poprzednim budżecie UE, w którym w latach 2007–2013 stanowiły one 6,8 %. Aby osiągnąć ten cel, działania łagodzące i dostosowawcze są włączane do wszystkich najważniejszych programów wydatków UE, w szczególności w obszarze polityki spójności, rozwoju regionalnego, energii, transportu, badań i innowacji oraz wspólnej polityki rolnej. </w:t>
      </w:r>
    </w:p>
    <w:p>
      <w:pPr>
        <w:rPr>
          <w:noProof/>
        </w:rPr>
      </w:pPr>
      <w:r>
        <w:rPr>
          <w:noProof/>
        </w:rPr>
        <w:t>UE i jej państwa członkowskie stale zaostrzają przepisy, aby móc zmniejszyć emisje gazów cieplarnianych i przejść na gospodarkę niskoemisyjną. Wśród najważniejszych działań, które podjęto od czasu przedstawienia pierwszego dwuletniego sprawozdania, można wymienić zmiany w EU ETS, nowe instrumenty ustawodawcze w sektorze transportu i bardziej rygorystyczne przepisy rozporządzenia w sprawie fluorowanych gazów cieplarnianych.</w:t>
      </w:r>
    </w:p>
    <w:p>
      <w:pPr>
        <w:autoSpaceDE w:val="0"/>
        <w:autoSpaceDN w:val="0"/>
        <w:adjustRightInd w:val="0"/>
        <w:spacing w:after="0"/>
        <w:rPr>
          <w:noProof/>
        </w:rPr>
      </w:pPr>
      <w:r>
        <w:rPr>
          <w:noProof/>
        </w:rPr>
        <w:t>Od 2013 r. EU ETS działa w ramach udoskonalonych i ujednoliconych zasad fazy 3 obejmującej lata 2013–2020. Sprawnie funkcjonujący, zreformowany system handlu uprawnieniami do emisji UE jest konieczny jako główny instrument służący osiągnięciu 43 % redukcji emisji objętych EU ETS do 2030 r. w porównaniu z rokiem 2005. To sztandarowe narzędzie europejskie jest zatem przedmiotem istotnych reform strukturalnych służących popchnięciu UE w kierunku gospodarki niskoemisyjnej.</w:t>
      </w:r>
    </w:p>
    <w:p>
      <w:pPr>
        <w:autoSpaceDE w:val="0"/>
        <w:autoSpaceDN w:val="0"/>
        <w:adjustRightInd w:val="0"/>
        <w:spacing w:after="0"/>
        <w:rPr>
          <w:noProof/>
        </w:rPr>
      </w:pPr>
    </w:p>
    <w:p>
      <w:pPr>
        <w:autoSpaceDE w:val="0"/>
        <w:autoSpaceDN w:val="0"/>
        <w:adjustRightInd w:val="0"/>
        <w:spacing w:after="0"/>
        <w:rPr>
          <w:noProof/>
        </w:rPr>
      </w:pPr>
      <w:r>
        <w:rPr>
          <w:noProof/>
        </w:rPr>
        <w:t>Po pierwsze, aby sprostać wyzwaniom związanym z rosnącą nadwyżką uprawnień do emisji, która zgromadziła się w systemie, odroczono aukcję 900 mln uprawnień do emisji. Po drugie uzgodniono rezerwę zapewniającą stabilność rynku, która pozwoli rozwiązać problem nadwyżki uprawnień do emisji i zwiększyć odporność systemu na poważne wstrząsy poprzez dostosowanie podaży uprawnień, które mają być sprzedane na aukcji. Ponadto w lipcu 2015 r. Komisja zaproponowała przegląd unijnego systemu handlu emisjami w celu redukcji emisji EU ETS o 43 % w 2030 r. w porównaniu z rokiem 2005. Jest to ostatni etap przygotowywania EU ETS do tego, by mógł odegrać w pełni swoją rolę w perspektywie 2030 r.</w:t>
      </w:r>
    </w:p>
    <w:p>
      <w:pPr>
        <w:autoSpaceDE w:val="0"/>
        <w:autoSpaceDN w:val="0"/>
        <w:adjustRightInd w:val="0"/>
        <w:spacing w:after="0"/>
        <w:rPr>
          <w:noProof/>
        </w:rPr>
      </w:pPr>
    </w:p>
    <w:p>
      <w:pPr>
        <w:autoSpaceDE w:val="0"/>
        <w:autoSpaceDN w:val="0"/>
        <w:adjustRightInd w:val="0"/>
        <w:spacing w:after="0"/>
        <w:rPr>
          <w:noProof/>
        </w:rPr>
      </w:pPr>
      <w:r>
        <w:rPr>
          <w:noProof/>
        </w:rPr>
        <w:t xml:space="preserve">Podjęto również istotne działania w sektorze transportu: w nowym ustawodawstwie UE ustanawia się wiążące cele redukcji emisji dla nowych samochodów osobowych i vanów; cele te należy osiągnąć do 2021 r. Przyjęta w maju 2014 r. strategia dla pojazdów ciężarowych jest pierwszą inicjatywą podjętą w celu kontrolowania zużycia paliwa i emisji CO2 z ciężarówek, autobusów i autokarów. W kwietniu 2015 r. UE przyjęła instrument legislacyjny zapewniający ogólnounijny system monitorowania, raportowania i weryfikacji dla żeglugi, jako pierwszy krok w strategii UE na rzecz obniżania emisji w tym sektorze. </w:t>
      </w:r>
    </w:p>
    <w:p>
      <w:pPr>
        <w:autoSpaceDE w:val="0"/>
        <w:autoSpaceDN w:val="0"/>
        <w:adjustRightInd w:val="0"/>
        <w:spacing w:after="0"/>
        <w:rPr>
          <w:noProof/>
        </w:rPr>
      </w:pPr>
    </w:p>
    <w:p>
      <w:pPr>
        <w:rPr>
          <w:noProof/>
        </w:rPr>
      </w:pPr>
      <w:r>
        <w:rPr>
          <w:noProof/>
        </w:rPr>
        <w:t>Zmienione rozporządzenie w sprawie niektórych fluorowanych gazów cieplarnianych stosowane jest od dnia 1 stycznia 2015 r. i wzmacnia już istniejące środki (np. ograniczanie gazów dzięki wykrywaniu przecieków, instalowanie urządzeń przez przeszkolony personel, odzyskiwanie zużytych gazów) oraz wprowadza ograniczenie stosowania fluorowanych gazów cieplarnianych, co doprowadzi do ograniczenia łącznych emisji gazów fluorowanych w UE o dwie trzecie do 2030 r. w porównaniu z poziomami z roku 2014. Rozporządzenie zakazuje również wprowadzania do obrotu fluorowanych gazów cieplarnianych w pewnych okolicznościach, w których dostępne są substancje alternatywne, np. w domowych chłodziarkach i zamrażarkach zawierających HFC o współczynniku ocieplenia globalnego powyżej 150.</w:t>
      </w:r>
    </w:p>
    <w:p>
      <w:pPr>
        <w:rPr>
          <w:noProof/>
        </w:rPr>
      </w:pPr>
      <w:r>
        <w:rPr>
          <w:noProof/>
        </w:rPr>
        <w:t>Ponadto, opierając się na pakiecie klimatyczno-energetycznym na 2020 r. oraz zgodnie z celem przejścia na konkurencyjną gospodarkę niskoemisyjną Rada Europejska osiągnęła w październiku 2014 r. porozumienie co do głównych elementów unijnych ram dotyczących klimatu i energii na 2030 r.: wiążący cel ograniczenia o co najmniej 40 % wewnętrznych emisji gazów cieplarnianych do roku 2030 w porównaniu z rokiem 1990; cel co najmniej 27-procentowego udziału energii ze źródeł odnawialnych do 2030 r., wiążący na szczeblu UE; orientacyjny cel zwiększenia efektywności energetycznej o co najmniej 27 % do 2030 r., który zostanie poddany przeglądowi w 2020 r., mając na uwadze cel na poziomie 30 %.</w:t>
      </w:r>
    </w:p>
    <w:p>
      <w:pPr>
        <w:rPr>
          <w:noProof/>
        </w:rPr>
      </w:pPr>
      <w:r>
        <w:rPr>
          <w:noProof/>
        </w:rPr>
        <w:t xml:space="preserve">Aby to osiągnąć, Komisja zaproponowała już w lipcu 2015 r. zmienioną dyrektywę EU ETS, która jest obecnie przedmiotem dyskusji w instytucjach UE, i przedstawi wnioski ustawodawcze dotyczące sektorów nieobjętych systemem handlu uprawnieniami do emisji. Komisja realizuje również inicjatywy przewidziane w ramach strategicznych unii energetycznej, w tym przyszłe propozycje dotyczące odnawialnych źródeł energii i efektywności energetycznej. </w:t>
      </w:r>
    </w:p>
    <w:p>
      <w:pPr>
        <w:rPr>
          <w:b/>
          <w:smallCaps/>
          <w:noProof/>
        </w:rPr>
      </w:pPr>
      <w:bookmarkStart w:id="17" w:name="_Toc390936614"/>
      <w:bookmarkStart w:id="18" w:name="_Toc390942394"/>
      <w:bookmarkStart w:id="19" w:name="_Toc390936615"/>
      <w:bookmarkStart w:id="20" w:name="_Toc390942395"/>
      <w:bookmarkStart w:id="21" w:name="_Toc397612356"/>
      <w:bookmarkStart w:id="22" w:name="_Toc398043847"/>
      <w:bookmarkStart w:id="23" w:name="_Toc398193313"/>
      <w:bookmarkStart w:id="24" w:name="_Toc423015798"/>
      <w:bookmarkEnd w:id="17"/>
      <w:bookmarkEnd w:id="18"/>
      <w:bookmarkEnd w:id="19"/>
      <w:bookmarkEnd w:id="20"/>
      <w:bookmarkEnd w:id="21"/>
      <w:bookmarkEnd w:id="22"/>
      <w:bookmarkEnd w:id="23"/>
      <w:r>
        <w:rPr>
          <w:b/>
          <w:smallCaps/>
          <w:noProof/>
        </w:rPr>
        <w:t>Postępy w osiąganiu celów redukcji emisji dla całej gospodarki – prognozy</w:t>
      </w:r>
      <w:bookmarkEnd w:id="24"/>
    </w:p>
    <w:p>
      <w:pPr>
        <w:rPr>
          <w:noProof/>
        </w:rPr>
      </w:pPr>
      <w:r>
        <w:rPr>
          <w:noProof/>
        </w:rPr>
        <w:t xml:space="preserve">Według najnowszych prognoz przy istniejących środkach, zagregowanych na podstawie danych przedstawionych przez państwa członkowskie w 2015 r., szacuje się, że emisje UE będą o 24 % niższe w 2020 r. niż w 1990 r. Unia Europejska jest obecnie na dobrej drodze do osiągnięcia celu na rok 2020. </w:t>
      </w:r>
    </w:p>
    <w:p>
      <w:pPr>
        <w:rPr>
          <w:noProof/>
        </w:rPr>
      </w:pPr>
      <w:r>
        <w:rPr>
          <w:noProof/>
        </w:rPr>
        <w:t xml:space="preserve">Do 2030 r. emisja gazów cieplarnianych powinna zmniejszyć się jeszcze bardziej. </w:t>
      </w:r>
    </w:p>
    <w:p>
      <w:pPr>
        <w:rPr>
          <w:noProof/>
        </w:rPr>
      </w:pPr>
      <w:r>
        <w:rPr>
          <w:noProof/>
        </w:rPr>
        <w:t>Emisje pochodzące z sektora energii, z wyłączeniem transportu, stanowią największy odsetek łącznej emisji gazów cieplarnianych i prognozowanej całkowitej redukcji emisji. Emisje z tego sektora mają spaść o ok. 33 % w 2020 r. w porównaniu z rokiem 1990 i o ok. 38 % do 2030 r. Sektor transportu jest jedynym sektorem, dla którego przewiduje się wzrost emisji o 13 % w okresie 1990–2020, a następnie utrzymanie się na stałym poziomie do roku 2030. Począwszy od 2007 r. widoczny jest wolny lecz stały spadek emisji z transportu, co jest wynikiem wyższych cen paliwa w połączeniu z bardziej rygorystyczną polityką, jak na przykład normy emisji CO</w:t>
      </w:r>
      <w:r>
        <w:rPr>
          <w:noProof/>
          <w:vertAlign w:val="subscript"/>
        </w:rPr>
        <w:t>2</w:t>
      </w:r>
      <w:r>
        <w:rPr>
          <w:noProof/>
        </w:rPr>
        <w:t xml:space="preserve"> dla samochodów osobowych i vanów. </w:t>
      </w:r>
    </w:p>
    <w:p>
      <w:pPr>
        <w:rPr>
          <w:b/>
          <w:smallCaps/>
          <w:noProof/>
        </w:rPr>
      </w:pPr>
      <w:bookmarkStart w:id="25" w:name="_Toc390936632"/>
      <w:bookmarkStart w:id="26" w:name="_Toc390942413"/>
      <w:bookmarkStart w:id="27" w:name="_Toc423015799"/>
      <w:bookmarkStart w:id="28" w:name="_Toc395255569"/>
      <w:bookmarkStart w:id="29" w:name="_Toc392749516"/>
      <w:bookmarkStart w:id="30" w:name="_Toc371338173"/>
      <w:bookmarkEnd w:id="25"/>
      <w:bookmarkEnd w:id="26"/>
      <w:r>
        <w:rPr>
          <w:b/>
          <w:smallCaps/>
          <w:noProof/>
        </w:rPr>
        <w:t>Wsparcie finansowe i technologiczne oraz pomoc w budowaniu potencjału dla krajów rozwijających się będących stronami</w:t>
      </w:r>
      <w:bookmarkEnd w:id="27"/>
    </w:p>
    <w:bookmarkEnd w:id="28"/>
    <w:bookmarkEnd w:id="29"/>
    <w:bookmarkEnd w:id="30"/>
    <w:p>
      <w:pPr>
        <w:rPr>
          <w:noProof/>
        </w:rPr>
      </w:pPr>
      <w:r>
        <w:rPr>
          <w:noProof/>
        </w:rPr>
        <w:t>Finansowanie działań w związku ze zmianą klimatu odgrywa kluczową rolę jako środek do osiągnięcia uzgodnionego celu ograniczenia globalnego wzrostu średniej temperatury do poziomu poniżej 2 °C w stosunku do poziomu sprzed epoki przemysłowej, transformacji w kierunku gospodarki o niskiej emisji gazów cieplarnianych i wspierania zrównoważonego rozwoju odpornego na zmianę klimatu. UE i jej państwa członkowskie są największymi dostawcami oficjalnej pomocy rozwojowej (ODA) dla krajów rozwijających się (co odpowiadało kwocie 58,2 mld EUR w 2014 r.) i przeznaczyły 7,34 mld EUR na szybką pomoc finansową w latach 2010–2012. Ponadto w samym tylko roku 2014 UE i jej państwa członkowskie udzieliły krajom rozwijającym się pomocy w walce ze zmianą klimatu wartej razem 14,5 mld EUR.</w:t>
      </w:r>
    </w:p>
    <w:p>
      <w:pPr>
        <w:rPr>
          <w:noProof/>
        </w:rPr>
      </w:pPr>
      <w:r>
        <w:rPr>
          <w:noProof/>
        </w:rPr>
        <w:t xml:space="preserve">UE promuje wspólne i wszechstronne podejście do finansowania rozwoju (w tym działania związane ze zmianami klimatu w ramach „Programu działań na rzecz zmian”), które sprzyja wzajemnie wzmacniającym się korzyściom w dziedzinie klimatu i rozwoju. </w:t>
      </w:r>
    </w:p>
    <w:p>
      <w:pPr>
        <w:rPr>
          <w:noProof/>
        </w:rPr>
      </w:pPr>
      <w:r>
        <w:rPr>
          <w:noProof/>
        </w:rPr>
        <w:t xml:space="preserve">Łączne wsparcie udzielone w 2013 r. i w 2014 r. przez UE na rzecz krajów rozwijających się będących stronami UNFCCC wynosiło 2 178 mln USD (1 641 mln EUR). </w:t>
      </w:r>
    </w:p>
    <w:p>
      <w:pPr>
        <w:rPr>
          <w:noProof/>
        </w:rPr>
      </w:pPr>
      <w:r>
        <w:rPr>
          <w:noProof/>
        </w:rPr>
        <w:t>Rozwój potencjału jest kluczowym elementem unijnej pomocy rozwojowej, a wszelkie prowadzone wspólnie projekty pomocowe w dziedzinie zmiany klimatu obejmują transfer technologii. Europa jest liderem w dziedzinie technologii niskoemisyjnych i utrzymuje tę rolę dzięki wielu podejmowanym inicjatywom politycznym. UE wspiera rozwój i wdrażanie technologii w krajach rozwijających się, inwestując znaczne sumy w innowacje.</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87598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5F84598"/>
    <w:lvl w:ilvl="0">
      <w:start w:val="1"/>
      <w:numFmt w:val="decimal"/>
      <w:lvlText w:val="%1."/>
      <w:lvlJc w:val="left"/>
      <w:pPr>
        <w:tabs>
          <w:tab w:val="num" w:pos="1209"/>
        </w:tabs>
        <w:ind w:left="1209" w:hanging="360"/>
      </w:pPr>
    </w:lvl>
  </w:abstractNum>
  <w:abstractNum w:abstractNumId="1">
    <w:nsid w:val="FFFFFF7E"/>
    <w:multiLevelType w:val="singleLevel"/>
    <w:tmpl w:val="F532162C"/>
    <w:lvl w:ilvl="0">
      <w:start w:val="1"/>
      <w:numFmt w:val="decimal"/>
      <w:lvlText w:val="%1."/>
      <w:lvlJc w:val="left"/>
      <w:pPr>
        <w:tabs>
          <w:tab w:val="num" w:pos="926"/>
        </w:tabs>
        <w:ind w:left="926" w:hanging="360"/>
      </w:pPr>
    </w:lvl>
  </w:abstractNum>
  <w:abstractNum w:abstractNumId="2">
    <w:nsid w:val="FFFFFF7F"/>
    <w:multiLevelType w:val="singleLevel"/>
    <w:tmpl w:val="DCB24B66"/>
    <w:lvl w:ilvl="0">
      <w:start w:val="1"/>
      <w:numFmt w:val="decimal"/>
      <w:lvlText w:val="%1."/>
      <w:lvlJc w:val="left"/>
      <w:pPr>
        <w:tabs>
          <w:tab w:val="num" w:pos="643"/>
        </w:tabs>
        <w:ind w:left="643" w:hanging="360"/>
      </w:pPr>
    </w:lvl>
  </w:abstractNum>
  <w:abstractNum w:abstractNumId="3">
    <w:nsid w:val="FFFFFF81"/>
    <w:multiLevelType w:val="singleLevel"/>
    <w:tmpl w:val="F99EBA02"/>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EBD012E2"/>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E27C34BE"/>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D87A632A"/>
    <w:lvl w:ilvl="0">
      <w:start w:val="1"/>
      <w:numFmt w:val="decimal"/>
      <w:lvlText w:val="%1."/>
      <w:lvlJc w:val="left"/>
      <w:pPr>
        <w:tabs>
          <w:tab w:val="num" w:pos="360"/>
        </w:tabs>
        <w:ind w:left="360" w:hanging="360"/>
      </w:pPr>
    </w:lvl>
  </w:abstractNum>
  <w:abstractNum w:abstractNumId="7">
    <w:nsid w:val="FFFFFF89"/>
    <w:multiLevelType w:val="singleLevel"/>
    <w:tmpl w:val="F782F352"/>
    <w:lvl w:ilvl="0">
      <w:start w:val="1"/>
      <w:numFmt w:val="bullet"/>
      <w:lvlText w:val=""/>
      <w:lvlJc w:val="left"/>
      <w:pPr>
        <w:tabs>
          <w:tab w:val="num" w:pos="360"/>
        </w:tabs>
        <w:ind w:left="360" w:hanging="360"/>
      </w:pPr>
      <w:rPr>
        <w:rFonts w:ascii="Symbol" w:hAnsi="Symbol" w:hint="default"/>
      </w:rPr>
    </w:lvl>
  </w:abstractNum>
  <w:abstractNum w:abstractNumId="8">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3">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5">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6">
    <w:nsid w:val="4552127F"/>
    <w:multiLevelType w:val="singleLevel"/>
    <w:tmpl w:val="057A5296"/>
    <w:name w:val="0,6466137"/>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7"/>
  </w:num>
  <w:num w:numId="3">
    <w:abstractNumId w:val="15"/>
  </w:num>
  <w:num w:numId="4">
    <w:abstractNumId w:val="10"/>
  </w:num>
  <w:num w:numId="5">
    <w:abstractNumId w:val="5"/>
  </w:num>
  <w:num w:numId="6">
    <w:abstractNumId w:val="14"/>
  </w:num>
  <w:num w:numId="7">
    <w:abstractNumId w:val="4"/>
  </w:num>
  <w:num w:numId="8">
    <w:abstractNumId w:val="21"/>
  </w:num>
  <w:num w:numId="9">
    <w:abstractNumId w:val="3"/>
  </w:num>
  <w:num w:numId="10">
    <w:abstractNumId w:val="22"/>
  </w:num>
  <w:num w:numId="11">
    <w:abstractNumId w:val="12"/>
  </w:num>
  <w:num w:numId="12">
    <w:abstractNumId w:val="20"/>
  </w:num>
  <w:num w:numId="13">
    <w:abstractNumId w:val="19"/>
  </w:num>
  <w:num w:numId="14">
    <w:abstractNumId w:val="17"/>
  </w:num>
  <w:num w:numId="15">
    <w:abstractNumId w:val="18"/>
  </w:num>
  <w:num w:numId="16">
    <w:abstractNumId w:val="6"/>
  </w:num>
  <w:num w:numId="17">
    <w:abstractNumId w:val="9"/>
  </w:num>
  <w:num w:numId="18">
    <w:abstractNumId w:val="13"/>
  </w:num>
  <w:num w:numId="19">
    <w:abstractNumId w:val="2"/>
  </w:num>
  <w:num w:numId="20">
    <w:abstractNumId w:val="8"/>
  </w:num>
  <w:num w:numId="21">
    <w:abstractNumId w:val="1"/>
  </w:num>
  <w:num w:numId="22">
    <w:abstractNumId w:val="11"/>
  </w:num>
  <w:num w:numId="23">
    <w:abstractNumId w:val="0"/>
  </w:num>
  <w:num w:numId="24">
    <w:abstractNumId w:val="23"/>
  </w:num>
  <w:num w:numId="25">
    <w:abstractNumId w:val="9"/>
  </w:num>
  <w:num w:numId="26">
    <w:abstractNumId w:val="13"/>
  </w:num>
  <w:num w:numId="27">
    <w:abstractNumId w:val="8"/>
  </w:num>
  <w:num w:numId="28">
    <w:abstractNumId w:val="11"/>
  </w:num>
  <w:num w:numId="29">
    <w:abstractNumId w:val="23"/>
  </w:num>
  <w:num w:numId="30">
    <w:abstractNumId w:val="9"/>
  </w:num>
  <w:num w:numId="31">
    <w:abstractNumId w:val="13"/>
  </w:num>
  <w:num w:numId="32">
    <w:abstractNumId w:val="8"/>
  </w:num>
  <w:num w:numId="33">
    <w:abstractNumId w:val="11"/>
  </w:num>
  <w:num w:numId="34">
    <w:abstractNumId w:val="23"/>
  </w:num>
  <w:num w:numId="35">
    <w:abstractNumId w:val="9"/>
  </w:num>
  <w:num w:numId="36">
    <w:abstractNumId w:val="13"/>
  </w:num>
  <w:num w:numId="37">
    <w:abstractNumId w:val="8"/>
  </w:num>
  <w:num w:numId="38">
    <w:abstractNumId w:val="11"/>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EEFEC879827046E3AB0D3B2B4948E78F"/>
    <w:docVar w:name="LW_CROSSREFERENCE" w:val="{SWD(2015) 282 final}"/>
    <w:docVar w:name="LW_DocType" w:val="NORMAL"/>
    <w:docVar w:name="LW_EMISSION" w:val="15.12.2015"/>
    <w:docVar w:name="LW_EMISSION_ISODATE" w:val="2015-12-15"/>
    <w:docVar w:name="LW_EMISSION_LOCATION" w:val="BRX"/>
    <w:docVar w:name="LW_EMISSION_PREFIX" w:val="Bruksela, dnia "/>
    <w:docVar w:name="LW_EMISSION_SUFFIX" w:val=" r."/>
    <w:docVar w:name="LW_ID_DOCTYPE_NONLW" w:val="CP-003"/>
    <w:docVar w:name="LW_LANGUE" w:val="PL"/>
    <w:docVar w:name="LW_MARKING" w:val="&lt;UNUSED&g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15) 642"/>
    <w:docVar w:name="LW_REF.INTERNE" w:val="&lt;UNUSED&gt;"/>
    <w:docVar w:name="LW_SOUS.TITRE.OBJ" w:val="(wymagane na podstawie art. 18 ust. 1  rozporz\u261?dzenia Parlamentu Europejskiego i Rady (UE) nr 525/2013 z dnia 21 maja 2013 r. w sprawie mechanizmu monitorowania i sprawozdawczo\u347?ci w zakresie emisji gazów cieplarnianych oraz zg\u322?aszania innych informacji na poziomie krajowym i unijnym, maj\u261?cych znaczenie dla zmiany klimatu, oraz uchylaj\u261?cego decyzj\u281? nr 280/2004/WE, i na podstawie decyzji 2/CP.17 Konferencji Stron UNFCCC)_x000b__x000b_"/>
    <w:docVar w:name="LW_SOUS.TITRE.OBJ.CP" w:val="(wymagane na podstawie art. 18 ust. 1  rozporz\u261?dzenia Parlamentu Europejskiego i Rady (UE) nr 525/2013 z dnia 21 maja 2013 r. w sprawie mechanizmu monitorowania i sprawozdawczo\u347?ci w zakresie emisji gazów cieplarnianych oraz zg\u322?aszania innych informacji na poziomie krajowym i unijnym, maj\u261?cych znaczenie dla zmiany klimatu, oraz uchylaj\u261?cego decyzj\u281? nr 280/2004/WE, i na podstawie decyzji 2/CP.17 Konferencji Stron UNFCCC)_x000b__x000b_"/>
    <w:docVar w:name="LW_SUPERTITRE" w:val="&lt;UNUSED&gt;"/>
    <w:docVar w:name="LW_TITRE.OBJ.CP" w:val="Drugie dwuletnie sprawozdanie Unii Europejskiej na mocy Ramowej konwencji ONZ w sprawie zmian klimatu"/>
    <w:docVar w:name="LW_TYPE.DOC.CP" w:val="SPRAWOZDANIE KOMISJ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0">
    <w:name w:val="Bullet 0"/>
    <w:basedOn w:val="Normal"/>
    <w:pPr>
      <w:numPr>
        <w:numId w:val="1"/>
      </w:numPr>
      <w:spacing w:before="120" w:after="120"/>
    </w:pPr>
    <w:rPr>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smallCaps/>
      <w:noProof/>
      <w:szCs w:val="24"/>
    </w:rPr>
  </w:style>
  <w:style w:type="character" w:customStyle="1" w:styleId="FooterCoverPageChar">
    <w:name w:val="Footer Cover Page Char"/>
    <w:basedOn w:val="DefaultParagraphFont"/>
    <w:link w:val="FooterCoverPage"/>
    <w:rPr>
      <w:rFonts w:ascii="Times New Roman" w:eastAsia="Times New Roman" w:hAnsi="Times New Roman" w:cs="Times New Roman"/>
      <w:smallCaps/>
      <w:noProof/>
      <w:sz w:val="24"/>
      <w:szCs w:val="24"/>
    </w:rPr>
  </w:style>
  <w:style w:type="paragraph" w:customStyle="1" w:styleId="HeaderCoverPage">
    <w:name w:val="Header Cover Page"/>
    <w:basedOn w:val="Normal"/>
    <w:link w:val="HeaderCoverPageChar"/>
    <w:pPr>
      <w:tabs>
        <w:tab w:val="center" w:pos="4535"/>
        <w:tab w:val="right" w:pos="9071"/>
      </w:tabs>
      <w:spacing w:after="120"/>
    </w:pPr>
    <w:rPr>
      <w:smallCaps/>
      <w:noProof/>
      <w:szCs w:val="24"/>
    </w:rPr>
  </w:style>
  <w:style w:type="character" w:customStyle="1" w:styleId="HeaderCoverPageChar">
    <w:name w:val="Header Cover Page Char"/>
    <w:basedOn w:val="DefaultParagraphFont"/>
    <w:link w:val="HeaderCoverPage"/>
    <w:rPr>
      <w:rFonts w:ascii="Times New Roman" w:eastAsia="Times New Roman" w:hAnsi="Times New Roman" w:cs="Times New Roman"/>
      <w:smallCaps/>
      <w:noProof/>
      <w:sz w:val="24"/>
      <w:szCs w:val="24"/>
    </w:rPr>
  </w:style>
  <w:style w:type="paragraph" w:customStyle="1" w:styleId="Contact">
    <w:name w:val="Contact"/>
    <w:basedOn w:val="Normal"/>
    <w:next w:val="Normal"/>
    <w:pPr>
      <w:spacing w:after="480"/>
      <w:ind w:left="567" w:hanging="567"/>
      <w:jc w:val="left"/>
    </w:pPr>
    <w:rPr>
      <w:lang w:eastAsia="en-US" w:bidi="ar-SA"/>
    </w:rPr>
  </w:style>
  <w:style w:type="paragraph" w:styleId="ListBullet">
    <w:name w:val="List Bullet"/>
    <w:basedOn w:val="Normal"/>
    <w:pPr>
      <w:numPr>
        <w:numId w:val="3"/>
      </w:numPr>
    </w:pPr>
    <w:rPr>
      <w:lang w:eastAsia="en-US" w:bidi="ar-SA"/>
    </w:rPr>
  </w:style>
  <w:style w:type="paragraph" w:customStyle="1" w:styleId="ListBullet1">
    <w:name w:val="List Bullet 1"/>
    <w:basedOn w:val="Normal"/>
    <w:pPr>
      <w:numPr>
        <w:numId w:val="4"/>
      </w:numPr>
    </w:pPr>
    <w:rPr>
      <w:lang w:eastAsia="en-US" w:bidi="ar-SA"/>
    </w:rPr>
  </w:style>
  <w:style w:type="paragraph" w:styleId="ListBullet2">
    <w:name w:val="List Bullet 2"/>
    <w:basedOn w:val="Normal"/>
    <w:pPr>
      <w:numPr>
        <w:numId w:val="6"/>
      </w:numPr>
    </w:pPr>
    <w:rPr>
      <w:lang w:eastAsia="en-US" w:bidi="ar-SA"/>
    </w:rPr>
  </w:style>
  <w:style w:type="paragraph" w:styleId="ListBullet3">
    <w:name w:val="List Bullet 3"/>
    <w:basedOn w:val="Normal"/>
    <w:pPr>
      <w:numPr>
        <w:numId w:val="8"/>
      </w:numPr>
    </w:pPr>
    <w:rPr>
      <w:lang w:eastAsia="en-US" w:bidi="ar-SA"/>
    </w:rPr>
  </w:style>
  <w:style w:type="paragraph" w:styleId="ListBullet4">
    <w:name w:val="List Bullet 4"/>
    <w:basedOn w:val="Normal"/>
    <w:pPr>
      <w:numPr>
        <w:numId w:val="10"/>
      </w:numPr>
    </w:pPr>
    <w:rPr>
      <w:lang w:eastAsia="en-US" w:bidi="ar-SA"/>
    </w:rPr>
  </w:style>
  <w:style w:type="paragraph" w:customStyle="1" w:styleId="ListDash">
    <w:name w:val="List Dash"/>
    <w:basedOn w:val="Normal"/>
    <w:pPr>
      <w:numPr>
        <w:numId w:val="11"/>
      </w:numPr>
    </w:pPr>
    <w:rPr>
      <w:lang w:eastAsia="en-US" w:bidi="ar-SA"/>
    </w:rPr>
  </w:style>
  <w:style w:type="paragraph" w:customStyle="1" w:styleId="ListDash1">
    <w:name w:val="List Dash 1"/>
    <w:basedOn w:val="Normal"/>
    <w:pPr>
      <w:numPr>
        <w:numId w:val="12"/>
      </w:numPr>
    </w:pPr>
    <w:rPr>
      <w:lang w:eastAsia="en-US" w:bidi="ar-SA"/>
    </w:rPr>
  </w:style>
  <w:style w:type="paragraph" w:customStyle="1" w:styleId="ListDash2">
    <w:name w:val="List Dash 2"/>
    <w:basedOn w:val="Normal"/>
    <w:pPr>
      <w:numPr>
        <w:numId w:val="13"/>
      </w:numPr>
    </w:pPr>
    <w:rPr>
      <w:lang w:eastAsia="en-US" w:bidi="ar-SA"/>
    </w:rPr>
  </w:style>
  <w:style w:type="paragraph" w:customStyle="1" w:styleId="ListDash3">
    <w:name w:val="List Dash 3"/>
    <w:basedOn w:val="Normal"/>
    <w:pPr>
      <w:numPr>
        <w:numId w:val="14"/>
      </w:numPr>
    </w:pPr>
    <w:rPr>
      <w:lang w:eastAsia="en-US" w:bidi="ar-SA"/>
    </w:rPr>
  </w:style>
  <w:style w:type="paragraph" w:customStyle="1" w:styleId="ListDash4">
    <w:name w:val="List Dash 4"/>
    <w:basedOn w:val="Normal"/>
    <w:pPr>
      <w:numPr>
        <w:numId w:val="15"/>
      </w:numPr>
    </w:pPr>
    <w:rPr>
      <w:lang w:eastAsia="en-US" w:bidi="ar-SA"/>
    </w:rPr>
  </w:style>
  <w:style w:type="paragraph" w:styleId="ListNumber">
    <w:name w:val="List Number"/>
    <w:basedOn w:val="Normal"/>
    <w:pPr>
      <w:numPr>
        <w:numId w:val="35"/>
      </w:numPr>
    </w:pPr>
    <w:rPr>
      <w:lang w:eastAsia="en-US" w:bidi="ar-SA"/>
    </w:rPr>
  </w:style>
  <w:style w:type="paragraph" w:customStyle="1" w:styleId="ListNumber1">
    <w:name w:val="List Number 1"/>
    <w:basedOn w:val="Normal"/>
    <w:pPr>
      <w:numPr>
        <w:numId w:val="36"/>
      </w:numPr>
    </w:pPr>
    <w:rPr>
      <w:lang w:eastAsia="en-US" w:bidi="ar-SA"/>
    </w:rPr>
  </w:style>
  <w:style w:type="paragraph" w:styleId="ListNumber2">
    <w:name w:val="List Number 2"/>
    <w:basedOn w:val="Normal"/>
    <w:pPr>
      <w:numPr>
        <w:numId w:val="37"/>
      </w:numPr>
    </w:pPr>
    <w:rPr>
      <w:lang w:eastAsia="en-US" w:bidi="ar-SA"/>
    </w:rPr>
  </w:style>
  <w:style w:type="paragraph" w:styleId="ListNumber3">
    <w:name w:val="List Number 3"/>
    <w:basedOn w:val="Normal"/>
    <w:pPr>
      <w:numPr>
        <w:numId w:val="38"/>
      </w:numPr>
    </w:pPr>
    <w:rPr>
      <w:lang w:eastAsia="en-US" w:bidi="ar-SA"/>
    </w:rPr>
  </w:style>
  <w:style w:type="paragraph" w:styleId="ListNumber4">
    <w:name w:val="List Number 4"/>
    <w:basedOn w:val="Normal"/>
    <w:pPr>
      <w:numPr>
        <w:numId w:val="39"/>
      </w:numPr>
    </w:pPr>
    <w:rPr>
      <w:lang w:eastAsia="en-US" w:bidi="ar-SA"/>
    </w:rPr>
  </w:style>
  <w:style w:type="paragraph" w:customStyle="1" w:styleId="ListNumberLevel2">
    <w:name w:val="List Number (Level 2)"/>
    <w:basedOn w:val="Normal"/>
    <w:pPr>
      <w:numPr>
        <w:ilvl w:val="1"/>
        <w:numId w:val="35"/>
      </w:numPr>
    </w:pPr>
    <w:rPr>
      <w:lang w:eastAsia="en-US" w:bidi="ar-SA"/>
    </w:rPr>
  </w:style>
  <w:style w:type="paragraph" w:customStyle="1" w:styleId="ListNumber1Level2">
    <w:name w:val="List Number 1 (Level 2)"/>
    <w:basedOn w:val="Normal"/>
    <w:pPr>
      <w:numPr>
        <w:ilvl w:val="1"/>
        <w:numId w:val="36"/>
      </w:numPr>
    </w:pPr>
    <w:rPr>
      <w:lang w:eastAsia="en-US" w:bidi="ar-SA"/>
    </w:rPr>
  </w:style>
  <w:style w:type="paragraph" w:customStyle="1" w:styleId="ListNumber2Level2">
    <w:name w:val="List Number 2 (Level 2)"/>
    <w:basedOn w:val="Normal"/>
    <w:pPr>
      <w:numPr>
        <w:ilvl w:val="1"/>
        <w:numId w:val="37"/>
      </w:numPr>
    </w:pPr>
    <w:rPr>
      <w:lang w:eastAsia="en-US" w:bidi="ar-SA"/>
    </w:rPr>
  </w:style>
  <w:style w:type="paragraph" w:customStyle="1" w:styleId="ListNumber3Level2">
    <w:name w:val="List Number 3 (Level 2)"/>
    <w:basedOn w:val="Normal"/>
    <w:pPr>
      <w:numPr>
        <w:ilvl w:val="1"/>
        <w:numId w:val="38"/>
      </w:numPr>
    </w:pPr>
    <w:rPr>
      <w:lang w:eastAsia="en-US" w:bidi="ar-SA"/>
    </w:rPr>
  </w:style>
  <w:style w:type="paragraph" w:customStyle="1" w:styleId="ListNumber4Level2">
    <w:name w:val="List Number 4 (Level 2)"/>
    <w:basedOn w:val="Normal"/>
    <w:pPr>
      <w:numPr>
        <w:ilvl w:val="1"/>
        <w:numId w:val="39"/>
      </w:numPr>
    </w:pPr>
    <w:rPr>
      <w:lang w:eastAsia="en-US" w:bidi="ar-SA"/>
    </w:rPr>
  </w:style>
  <w:style w:type="paragraph" w:customStyle="1" w:styleId="ListNumberLevel3">
    <w:name w:val="List Number (Level 3)"/>
    <w:basedOn w:val="Normal"/>
    <w:pPr>
      <w:numPr>
        <w:ilvl w:val="2"/>
        <w:numId w:val="35"/>
      </w:numPr>
    </w:pPr>
    <w:rPr>
      <w:lang w:eastAsia="en-US" w:bidi="ar-SA"/>
    </w:rPr>
  </w:style>
  <w:style w:type="paragraph" w:customStyle="1" w:styleId="ListNumber1Level3">
    <w:name w:val="List Number 1 (Level 3)"/>
    <w:basedOn w:val="Normal"/>
    <w:pPr>
      <w:numPr>
        <w:ilvl w:val="2"/>
        <w:numId w:val="36"/>
      </w:numPr>
    </w:pPr>
    <w:rPr>
      <w:lang w:eastAsia="en-US" w:bidi="ar-SA"/>
    </w:rPr>
  </w:style>
  <w:style w:type="paragraph" w:customStyle="1" w:styleId="ListNumber2Level3">
    <w:name w:val="List Number 2 (Level 3)"/>
    <w:basedOn w:val="Normal"/>
    <w:pPr>
      <w:numPr>
        <w:ilvl w:val="2"/>
        <w:numId w:val="37"/>
      </w:numPr>
    </w:pPr>
    <w:rPr>
      <w:lang w:eastAsia="en-US" w:bidi="ar-SA"/>
    </w:rPr>
  </w:style>
  <w:style w:type="paragraph" w:customStyle="1" w:styleId="ListNumber3Level3">
    <w:name w:val="List Number 3 (Level 3)"/>
    <w:basedOn w:val="Normal"/>
    <w:pPr>
      <w:numPr>
        <w:ilvl w:val="2"/>
        <w:numId w:val="38"/>
      </w:numPr>
    </w:pPr>
    <w:rPr>
      <w:lang w:eastAsia="en-US" w:bidi="ar-SA"/>
    </w:rPr>
  </w:style>
  <w:style w:type="paragraph" w:customStyle="1" w:styleId="ListNumber4Level3">
    <w:name w:val="List Number 4 (Level 3)"/>
    <w:basedOn w:val="Normal"/>
    <w:pPr>
      <w:numPr>
        <w:ilvl w:val="2"/>
        <w:numId w:val="39"/>
      </w:numPr>
    </w:pPr>
    <w:rPr>
      <w:lang w:eastAsia="en-US" w:bidi="ar-SA"/>
    </w:rPr>
  </w:style>
  <w:style w:type="paragraph" w:customStyle="1" w:styleId="ListNumberLevel4">
    <w:name w:val="List Number (Level 4)"/>
    <w:basedOn w:val="Normal"/>
    <w:pPr>
      <w:numPr>
        <w:ilvl w:val="3"/>
        <w:numId w:val="35"/>
      </w:numPr>
    </w:pPr>
    <w:rPr>
      <w:lang w:eastAsia="en-US" w:bidi="ar-SA"/>
    </w:rPr>
  </w:style>
  <w:style w:type="paragraph" w:customStyle="1" w:styleId="ListNumber1Level4">
    <w:name w:val="List Number 1 (Level 4)"/>
    <w:basedOn w:val="Normal"/>
    <w:pPr>
      <w:numPr>
        <w:ilvl w:val="3"/>
        <w:numId w:val="36"/>
      </w:numPr>
    </w:pPr>
    <w:rPr>
      <w:lang w:eastAsia="en-US" w:bidi="ar-SA"/>
    </w:rPr>
  </w:style>
  <w:style w:type="paragraph" w:customStyle="1" w:styleId="ListNumber2Level4">
    <w:name w:val="List Number 2 (Level 4)"/>
    <w:basedOn w:val="Normal"/>
    <w:pPr>
      <w:numPr>
        <w:ilvl w:val="3"/>
        <w:numId w:val="37"/>
      </w:numPr>
    </w:pPr>
    <w:rPr>
      <w:lang w:eastAsia="en-US" w:bidi="ar-SA"/>
    </w:rPr>
  </w:style>
  <w:style w:type="paragraph" w:customStyle="1" w:styleId="ListNumber3Level4">
    <w:name w:val="List Number 3 (Level 4)"/>
    <w:basedOn w:val="Normal"/>
    <w:pPr>
      <w:numPr>
        <w:ilvl w:val="3"/>
        <w:numId w:val="38"/>
      </w:numPr>
    </w:pPr>
    <w:rPr>
      <w:lang w:eastAsia="en-US" w:bidi="ar-SA"/>
    </w:rPr>
  </w:style>
  <w:style w:type="paragraph" w:customStyle="1" w:styleId="ListNumber4Level4">
    <w:name w:val="List Number 4 (Level 4)"/>
    <w:basedOn w:val="Normal"/>
    <w:pPr>
      <w:numPr>
        <w:ilvl w:val="3"/>
        <w:numId w:val="39"/>
      </w:numPr>
    </w:pPr>
    <w:rPr>
      <w:lang w:eastAsia="en-US" w:bidi="ar-SA"/>
    </w:rPr>
  </w:style>
  <w:style w:type="paragraph" w:styleId="TOC5">
    <w:name w:val="toc 5"/>
    <w:basedOn w:val="Normal"/>
    <w:next w:val="Normal"/>
    <w:semiHidden/>
    <w:pPr>
      <w:tabs>
        <w:tab w:val="right" w:leader="dot" w:pos="8641"/>
      </w:tabs>
      <w:spacing w:before="240" w:after="120"/>
      <w:ind w:right="720"/>
    </w:pPr>
    <w:rPr>
      <w:caps/>
      <w:lang w:eastAsia="en-US" w:bidi="ar-SA"/>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qFormat/>
    <w:pPr>
      <w:keepNext/>
      <w:spacing w:before="240"/>
      <w:jc w:val="center"/>
    </w:pPr>
    <w:rPr>
      <w:b/>
      <w:lang w:eastAsia="en-US" w:bidi="ar-SA"/>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0">
    <w:name w:val="Bullet 0"/>
    <w:basedOn w:val="Normal"/>
    <w:pPr>
      <w:numPr>
        <w:numId w:val="1"/>
      </w:numPr>
      <w:spacing w:before="120" w:after="120"/>
    </w:pPr>
    <w:rPr>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smallCaps/>
      <w:noProof/>
      <w:szCs w:val="24"/>
    </w:rPr>
  </w:style>
  <w:style w:type="character" w:customStyle="1" w:styleId="FooterCoverPageChar">
    <w:name w:val="Footer Cover Page Char"/>
    <w:basedOn w:val="DefaultParagraphFont"/>
    <w:link w:val="FooterCoverPage"/>
    <w:rPr>
      <w:rFonts w:ascii="Times New Roman" w:eastAsia="Times New Roman" w:hAnsi="Times New Roman" w:cs="Times New Roman"/>
      <w:smallCaps/>
      <w:noProof/>
      <w:sz w:val="24"/>
      <w:szCs w:val="24"/>
    </w:rPr>
  </w:style>
  <w:style w:type="paragraph" w:customStyle="1" w:styleId="HeaderCoverPage">
    <w:name w:val="Header Cover Page"/>
    <w:basedOn w:val="Normal"/>
    <w:link w:val="HeaderCoverPageChar"/>
    <w:pPr>
      <w:tabs>
        <w:tab w:val="center" w:pos="4535"/>
        <w:tab w:val="right" w:pos="9071"/>
      </w:tabs>
      <w:spacing w:after="120"/>
    </w:pPr>
    <w:rPr>
      <w:smallCaps/>
      <w:noProof/>
      <w:szCs w:val="24"/>
    </w:rPr>
  </w:style>
  <w:style w:type="character" w:customStyle="1" w:styleId="HeaderCoverPageChar">
    <w:name w:val="Header Cover Page Char"/>
    <w:basedOn w:val="DefaultParagraphFont"/>
    <w:link w:val="HeaderCoverPage"/>
    <w:rPr>
      <w:rFonts w:ascii="Times New Roman" w:eastAsia="Times New Roman" w:hAnsi="Times New Roman" w:cs="Times New Roman"/>
      <w:smallCaps/>
      <w:noProof/>
      <w:sz w:val="24"/>
      <w:szCs w:val="24"/>
    </w:rPr>
  </w:style>
  <w:style w:type="paragraph" w:customStyle="1" w:styleId="Contact">
    <w:name w:val="Contact"/>
    <w:basedOn w:val="Normal"/>
    <w:next w:val="Normal"/>
    <w:pPr>
      <w:spacing w:after="480"/>
      <w:ind w:left="567" w:hanging="567"/>
      <w:jc w:val="left"/>
    </w:pPr>
    <w:rPr>
      <w:lang w:eastAsia="en-US" w:bidi="ar-SA"/>
    </w:rPr>
  </w:style>
  <w:style w:type="paragraph" w:styleId="ListBullet">
    <w:name w:val="List Bullet"/>
    <w:basedOn w:val="Normal"/>
    <w:pPr>
      <w:numPr>
        <w:numId w:val="3"/>
      </w:numPr>
    </w:pPr>
    <w:rPr>
      <w:lang w:eastAsia="en-US" w:bidi="ar-SA"/>
    </w:rPr>
  </w:style>
  <w:style w:type="paragraph" w:customStyle="1" w:styleId="ListBullet1">
    <w:name w:val="List Bullet 1"/>
    <w:basedOn w:val="Normal"/>
    <w:pPr>
      <w:numPr>
        <w:numId w:val="4"/>
      </w:numPr>
    </w:pPr>
    <w:rPr>
      <w:lang w:eastAsia="en-US" w:bidi="ar-SA"/>
    </w:rPr>
  </w:style>
  <w:style w:type="paragraph" w:styleId="ListBullet2">
    <w:name w:val="List Bullet 2"/>
    <w:basedOn w:val="Normal"/>
    <w:pPr>
      <w:numPr>
        <w:numId w:val="6"/>
      </w:numPr>
    </w:pPr>
    <w:rPr>
      <w:lang w:eastAsia="en-US" w:bidi="ar-SA"/>
    </w:rPr>
  </w:style>
  <w:style w:type="paragraph" w:styleId="ListBullet3">
    <w:name w:val="List Bullet 3"/>
    <w:basedOn w:val="Normal"/>
    <w:pPr>
      <w:numPr>
        <w:numId w:val="8"/>
      </w:numPr>
    </w:pPr>
    <w:rPr>
      <w:lang w:eastAsia="en-US" w:bidi="ar-SA"/>
    </w:rPr>
  </w:style>
  <w:style w:type="paragraph" w:styleId="ListBullet4">
    <w:name w:val="List Bullet 4"/>
    <w:basedOn w:val="Normal"/>
    <w:pPr>
      <w:numPr>
        <w:numId w:val="10"/>
      </w:numPr>
    </w:pPr>
    <w:rPr>
      <w:lang w:eastAsia="en-US" w:bidi="ar-SA"/>
    </w:rPr>
  </w:style>
  <w:style w:type="paragraph" w:customStyle="1" w:styleId="ListDash">
    <w:name w:val="List Dash"/>
    <w:basedOn w:val="Normal"/>
    <w:pPr>
      <w:numPr>
        <w:numId w:val="11"/>
      </w:numPr>
    </w:pPr>
    <w:rPr>
      <w:lang w:eastAsia="en-US" w:bidi="ar-SA"/>
    </w:rPr>
  </w:style>
  <w:style w:type="paragraph" w:customStyle="1" w:styleId="ListDash1">
    <w:name w:val="List Dash 1"/>
    <w:basedOn w:val="Normal"/>
    <w:pPr>
      <w:numPr>
        <w:numId w:val="12"/>
      </w:numPr>
    </w:pPr>
    <w:rPr>
      <w:lang w:eastAsia="en-US" w:bidi="ar-SA"/>
    </w:rPr>
  </w:style>
  <w:style w:type="paragraph" w:customStyle="1" w:styleId="ListDash2">
    <w:name w:val="List Dash 2"/>
    <w:basedOn w:val="Normal"/>
    <w:pPr>
      <w:numPr>
        <w:numId w:val="13"/>
      </w:numPr>
    </w:pPr>
    <w:rPr>
      <w:lang w:eastAsia="en-US" w:bidi="ar-SA"/>
    </w:rPr>
  </w:style>
  <w:style w:type="paragraph" w:customStyle="1" w:styleId="ListDash3">
    <w:name w:val="List Dash 3"/>
    <w:basedOn w:val="Normal"/>
    <w:pPr>
      <w:numPr>
        <w:numId w:val="14"/>
      </w:numPr>
    </w:pPr>
    <w:rPr>
      <w:lang w:eastAsia="en-US" w:bidi="ar-SA"/>
    </w:rPr>
  </w:style>
  <w:style w:type="paragraph" w:customStyle="1" w:styleId="ListDash4">
    <w:name w:val="List Dash 4"/>
    <w:basedOn w:val="Normal"/>
    <w:pPr>
      <w:numPr>
        <w:numId w:val="15"/>
      </w:numPr>
    </w:pPr>
    <w:rPr>
      <w:lang w:eastAsia="en-US" w:bidi="ar-SA"/>
    </w:rPr>
  </w:style>
  <w:style w:type="paragraph" w:styleId="ListNumber">
    <w:name w:val="List Number"/>
    <w:basedOn w:val="Normal"/>
    <w:pPr>
      <w:numPr>
        <w:numId w:val="35"/>
      </w:numPr>
    </w:pPr>
    <w:rPr>
      <w:lang w:eastAsia="en-US" w:bidi="ar-SA"/>
    </w:rPr>
  </w:style>
  <w:style w:type="paragraph" w:customStyle="1" w:styleId="ListNumber1">
    <w:name w:val="List Number 1"/>
    <w:basedOn w:val="Normal"/>
    <w:pPr>
      <w:numPr>
        <w:numId w:val="36"/>
      </w:numPr>
    </w:pPr>
    <w:rPr>
      <w:lang w:eastAsia="en-US" w:bidi="ar-SA"/>
    </w:rPr>
  </w:style>
  <w:style w:type="paragraph" w:styleId="ListNumber2">
    <w:name w:val="List Number 2"/>
    <w:basedOn w:val="Normal"/>
    <w:pPr>
      <w:numPr>
        <w:numId w:val="37"/>
      </w:numPr>
    </w:pPr>
    <w:rPr>
      <w:lang w:eastAsia="en-US" w:bidi="ar-SA"/>
    </w:rPr>
  </w:style>
  <w:style w:type="paragraph" w:styleId="ListNumber3">
    <w:name w:val="List Number 3"/>
    <w:basedOn w:val="Normal"/>
    <w:pPr>
      <w:numPr>
        <w:numId w:val="38"/>
      </w:numPr>
    </w:pPr>
    <w:rPr>
      <w:lang w:eastAsia="en-US" w:bidi="ar-SA"/>
    </w:rPr>
  </w:style>
  <w:style w:type="paragraph" w:styleId="ListNumber4">
    <w:name w:val="List Number 4"/>
    <w:basedOn w:val="Normal"/>
    <w:pPr>
      <w:numPr>
        <w:numId w:val="39"/>
      </w:numPr>
    </w:pPr>
    <w:rPr>
      <w:lang w:eastAsia="en-US" w:bidi="ar-SA"/>
    </w:rPr>
  </w:style>
  <w:style w:type="paragraph" w:customStyle="1" w:styleId="ListNumberLevel2">
    <w:name w:val="List Number (Level 2)"/>
    <w:basedOn w:val="Normal"/>
    <w:pPr>
      <w:numPr>
        <w:ilvl w:val="1"/>
        <w:numId w:val="35"/>
      </w:numPr>
    </w:pPr>
    <w:rPr>
      <w:lang w:eastAsia="en-US" w:bidi="ar-SA"/>
    </w:rPr>
  </w:style>
  <w:style w:type="paragraph" w:customStyle="1" w:styleId="ListNumber1Level2">
    <w:name w:val="List Number 1 (Level 2)"/>
    <w:basedOn w:val="Normal"/>
    <w:pPr>
      <w:numPr>
        <w:ilvl w:val="1"/>
        <w:numId w:val="36"/>
      </w:numPr>
    </w:pPr>
    <w:rPr>
      <w:lang w:eastAsia="en-US" w:bidi="ar-SA"/>
    </w:rPr>
  </w:style>
  <w:style w:type="paragraph" w:customStyle="1" w:styleId="ListNumber2Level2">
    <w:name w:val="List Number 2 (Level 2)"/>
    <w:basedOn w:val="Normal"/>
    <w:pPr>
      <w:numPr>
        <w:ilvl w:val="1"/>
        <w:numId w:val="37"/>
      </w:numPr>
    </w:pPr>
    <w:rPr>
      <w:lang w:eastAsia="en-US" w:bidi="ar-SA"/>
    </w:rPr>
  </w:style>
  <w:style w:type="paragraph" w:customStyle="1" w:styleId="ListNumber3Level2">
    <w:name w:val="List Number 3 (Level 2)"/>
    <w:basedOn w:val="Normal"/>
    <w:pPr>
      <w:numPr>
        <w:ilvl w:val="1"/>
        <w:numId w:val="38"/>
      </w:numPr>
    </w:pPr>
    <w:rPr>
      <w:lang w:eastAsia="en-US" w:bidi="ar-SA"/>
    </w:rPr>
  </w:style>
  <w:style w:type="paragraph" w:customStyle="1" w:styleId="ListNumber4Level2">
    <w:name w:val="List Number 4 (Level 2)"/>
    <w:basedOn w:val="Normal"/>
    <w:pPr>
      <w:numPr>
        <w:ilvl w:val="1"/>
        <w:numId w:val="39"/>
      </w:numPr>
    </w:pPr>
    <w:rPr>
      <w:lang w:eastAsia="en-US" w:bidi="ar-SA"/>
    </w:rPr>
  </w:style>
  <w:style w:type="paragraph" w:customStyle="1" w:styleId="ListNumberLevel3">
    <w:name w:val="List Number (Level 3)"/>
    <w:basedOn w:val="Normal"/>
    <w:pPr>
      <w:numPr>
        <w:ilvl w:val="2"/>
        <w:numId w:val="35"/>
      </w:numPr>
    </w:pPr>
    <w:rPr>
      <w:lang w:eastAsia="en-US" w:bidi="ar-SA"/>
    </w:rPr>
  </w:style>
  <w:style w:type="paragraph" w:customStyle="1" w:styleId="ListNumber1Level3">
    <w:name w:val="List Number 1 (Level 3)"/>
    <w:basedOn w:val="Normal"/>
    <w:pPr>
      <w:numPr>
        <w:ilvl w:val="2"/>
        <w:numId w:val="36"/>
      </w:numPr>
    </w:pPr>
    <w:rPr>
      <w:lang w:eastAsia="en-US" w:bidi="ar-SA"/>
    </w:rPr>
  </w:style>
  <w:style w:type="paragraph" w:customStyle="1" w:styleId="ListNumber2Level3">
    <w:name w:val="List Number 2 (Level 3)"/>
    <w:basedOn w:val="Normal"/>
    <w:pPr>
      <w:numPr>
        <w:ilvl w:val="2"/>
        <w:numId w:val="37"/>
      </w:numPr>
    </w:pPr>
    <w:rPr>
      <w:lang w:eastAsia="en-US" w:bidi="ar-SA"/>
    </w:rPr>
  </w:style>
  <w:style w:type="paragraph" w:customStyle="1" w:styleId="ListNumber3Level3">
    <w:name w:val="List Number 3 (Level 3)"/>
    <w:basedOn w:val="Normal"/>
    <w:pPr>
      <w:numPr>
        <w:ilvl w:val="2"/>
        <w:numId w:val="38"/>
      </w:numPr>
    </w:pPr>
    <w:rPr>
      <w:lang w:eastAsia="en-US" w:bidi="ar-SA"/>
    </w:rPr>
  </w:style>
  <w:style w:type="paragraph" w:customStyle="1" w:styleId="ListNumber4Level3">
    <w:name w:val="List Number 4 (Level 3)"/>
    <w:basedOn w:val="Normal"/>
    <w:pPr>
      <w:numPr>
        <w:ilvl w:val="2"/>
        <w:numId w:val="39"/>
      </w:numPr>
    </w:pPr>
    <w:rPr>
      <w:lang w:eastAsia="en-US" w:bidi="ar-SA"/>
    </w:rPr>
  </w:style>
  <w:style w:type="paragraph" w:customStyle="1" w:styleId="ListNumberLevel4">
    <w:name w:val="List Number (Level 4)"/>
    <w:basedOn w:val="Normal"/>
    <w:pPr>
      <w:numPr>
        <w:ilvl w:val="3"/>
        <w:numId w:val="35"/>
      </w:numPr>
    </w:pPr>
    <w:rPr>
      <w:lang w:eastAsia="en-US" w:bidi="ar-SA"/>
    </w:rPr>
  </w:style>
  <w:style w:type="paragraph" w:customStyle="1" w:styleId="ListNumber1Level4">
    <w:name w:val="List Number 1 (Level 4)"/>
    <w:basedOn w:val="Normal"/>
    <w:pPr>
      <w:numPr>
        <w:ilvl w:val="3"/>
        <w:numId w:val="36"/>
      </w:numPr>
    </w:pPr>
    <w:rPr>
      <w:lang w:eastAsia="en-US" w:bidi="ar-SA"/>
    </w:rPr>
  </w:style>
  <w:style w:type="paragraph" w:customStyle="1" w:styleId="ListNumber2Level4">
    <w:name w:val="List Number 2 (Level 4)"/>
    <w:basedOn w:val="Normal"/>
    <w:pPr>
      <w:numPr>
        <w:ilvl w:val="3"/>
        <w:numId w:val="37"/>
      </w:numPr>
    </w:pPr>
    <w:rPr>
      <w:lang w:eastAsia="en-US" w:bidi="ar-SA"/>
    </w:rPr>
  </w:style>
  <w:style w:type="paragraph" w:customStyle="1" w:styleId="ListNumber3Level4">
    <w:name w:val="List Number 3 (Level 4)"/>
    <w:basedOn w:val="Normal"/>
    <w:pPr>
      <w:numPr>
        <w:ilvl w:val="3"/>
        <w:numId w:val="38"/>
      </w:numPr>
    </w:pPr>
    <w:rPr>
      <w:lang w:eastAsia="en-US" w:bidi="ar-SA"/>
    </w:rPr>
  </w:style>
  <w:style w:type="paragraph" w:customStyle="1" w:styleId="ListNumber4Level4">
    <w:name w:val="List Number 4 (Level 4)"/>
    <w:basedOn w:val="Normal"/>
    <w:pPr>
      <w:numPr>
        <w:ilvl w:val="3"/>
        <w:numId w:val="39"/>
      </w:numPr>
    </w:pPr>
    <w:rPr>
      <w:lang w:eastAsia="en-US" w:bidi="ar-SA"/>
    </w:rPr>
  </w:style>
  <w:style w:type="paragraph" w:styleId="TOC5">
    <w:name w:val="toc 5"/>
    <w:basedOn w:val="Normal"/>
    <w:next w:val="Normal"/>
    <w:semiHidden/>
    <w:pPr>
      <w:tabs>
        <w:tab w:val="right" w:leader="dot" w:pos="8641"/>
      </w:tabs>
      <w:spacing w:before="240" w:after="120"/>
      <w:ind w:right="720"/>
    </w:pPr>
    <w:rPr>
      <w:caps/>
      <w:lang w:eastAsia="en-US" w:bidi="ar-SA"/>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qFormat/>
    <w:pPr>
      <w:keepNext/>
      <w:spacing w:before="240"/>
      <w:jc w:val="center"/>
    </w:pPr>
    <w:rPr>
      <w:b/>
      <w:lang w:eastAsia="en-US" w:bidi="ar-SA"/>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33D05-FCB5-426C-A707-2A83336C6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5</Pages>
  <Words>1566</Words>
  <Characters>9350</Characters>
  <Application>Microsoft Office Word</Application>
  <DocSecurity>0</DocSecurity>
  <Lines>146</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17</cp:revision>
  <dcterms:created xsi:type="dcterms:W3CDTF">2015-12-04T08:45:00Z</dcterms:created>
  <dcterms:modified xsi:type="dcterms:W3CDTF">2015-12-14T11:17:00Z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ELDocType">
    <vt:lpwstr>REP.DOT</vt:lpwstr>
  </property>
  <property fmtid="{D5CDD505-2E9C-101B-9397-08002B2CF9AE}" pid="6" name="Created using">
    <vt:lpwstr>3.0</vt:lpwstr>
  </property>
  <property fmtid="{D5CDD505-2E9C-101B-9397-08002B2CF9AE}" pid="7" name="Last edited using">
    <vt:lpwstr>EL </vt:lpwstr>
  </property>
  <property fmtid="{D5CDD505-2E9C-101B-9397-08002B2CF9AE}" pid="8" name="DocStatus">
    <vt:lpwstr>Green</vt:lpwstr>
  </property>
</Properties>
</file>