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23015791"/>
      <w:bookmarkStart w:id="1" w:name="_Toc371338152"/>
      <w:bookmarkStart w:id="2" w:name="_Toc395255548"/>
      <w:bookmarkStart w:id="3" w:name="_Toc392749496"/>
      <w:bookmarkStart w:id="4" w:name="_Ref419103554"/>
      <w:bookmarkStart w:id="5" w:name="_Ref422493878"/>
      <w:bookmarkStart w:id="6" w:name="_Ref422907756"/>
      <w:bookmarkStart w:id="7"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19C7FF26E544FE9BC0FA9AC58E71C32" style="width:450.75pt;height:416.25pt">
            <v:imagedata r:id="rId9" o:title=""/>
          </v:shape>
        </w:pict>
      </w:r>
    </w:p>
    <w:bookmarkEnd w:id="7"/>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b/>
          <w:smallCaps/>
          <w:noProof/>
          <w:sz w:val="22"/>
          <w:szCs w:val="24"/>
        </w:rPr>
      </w:pPr>
      <w:bookmarkStart w:id="8" w:name="_GoBack"/>
      <w:bookmarkEnd w:id="8"/>
      <w:r>
        <w:rPr>
          <w:b/>
          <w:smallCaps/>
          <w:noProof/>
          <w:sz w:val="22"/>
        </w:rPr>
        <w:lastRenderedPageBreak/>
        <w:t>Inledning</w:t>
      </w:r>
      <w:bookmarkEnd w:id="0"/>
      <w:r>
        <w:rPr>
          <w:b/>
          <w:smallCaps/>
          <w:noProof/>
          <w:sz w:val="22"/>
        </w:rPr>
        <w:t xml:space="preserve"> </w:t>
      </w:r>
      <w:bookmarkStart w:id="9" w:name="_Toc371338158"/>
      <w:bookmarkStart w:id="10" w:name="_Toc395255549"/>
      <w:bookmarkStart w:id="11" w:name="_Toc392749497"/>
      <w:bookmarkStart w:id="12" w:name="_Toc371338153"/>
      <w:bookmarkEnd w:id="1"/>
      <w:bookmarkEnd w:id="2"/>
      <w:bookmarkEnd w:id="3"/>
      <w:bookmarkEnd w:id="4"/>
      <w:bookmarkEnd w:id="5"/>
      <w:bookmarkEnd w:id="6"/>
    </w:p>
    <w:p>
      <w:pPr>
        <w:rPr>
          <w:noProof/>
        </w:rPr>
      </w:pPr>
      <w:bookmarkStart w:id="13" w:name="_Toc423015792"/>
      <w:r>
        <w:rPr>
          <w:noProof/>
        </w:rPr>
        <w:t>Denna rapport och det åtföljande arbetsdokumentet utgör den andra tvåårsrapporten från Europeiska unionen (EU), i enlighet med kraven i artikel 18.1 i förordning (EU) nr 525/2013 och beslut 2/CP.17 av partskonferensen för FN:s ramkonvention om klimatförändringar (UNFCCC). Handlingarna kommer att översändas till UNFCCC som EU:s andra inlämnande av tvåårsrapporten.</w:t>
      </w:r>
    </w:p>
    <w:p>
      <w:pPr>
        <w:rPr>
          <w:b/>
          <w:smallCaps/>
          <w:noProof/>
          <w:sz w:val="22"/>
        </w:rPr>
      </w:pPr>
      <w:r>
        <w:rPr>
          <w:b/>
          <w:smallCaps/>
          <w:noProof/>
          <w:sz w:val="22"/>
        </w:rPr>
        <w:t>Information om växthusgasutsläpp och utsläppstrender</w:t>
      </w:r>
      <w:bookmarkEnd w:id="13"/>
    </w:p>
    <w:p>
      <w:pPr>
        <w:rPr>
          <w:noProof/>
        </w:rPr>
      </w:pPr>
      <w:r>
        <w:rPr>
          <w:noProof/>
        </w:rPr>
        <w:t>De totala växthusgasutsläppen,</w:t>
      </w:r>
      <w:r>
        <w:rPr>
          <w:noProof/>
          <w:sz w:val="19"/>
          <w:szCs w:val="19"/>
        </w:rPr>
        <w:t xml:space="preserve"> </w:t>
      </w:r>
      <w:r>
        <w:rPr>
          <w:noProof/>
        </w:rPr>
        <w:t xml:space="preserve">inklusive internationell luftfart, i EU-28 minskade med cirka 20 % mellan 1990 och 2013. Utsläpp som rapporterats är de utsläpp som är relevanta för EU:s mål enligt konventionen och är hämtade från den senaste inlämningen av EU:s inventering till UNFCCC. Den viktigaste växthusgasen är koldioxid som stod för 82 % av de totala utsläppen i EU-28 under 2013. </w:t>
      </w:r>
    </w:p>
    <w:p>
      <w:pPr>
        <w:rPr>
          <w:noProof/>
        </w:rPr>
      </w:pPr>
      <w:r>
        <w:rPr>
          <w:noProof/>
        </w:rPr>
        <w:t xml:space="preserve">Utsläppen per person i EU minskade med 26 % mellan 1990 och 2013, från 11,8 ton/person till 8,9 ton/person. Utsläppen i EU-28 har minskat medan den ekonomiska tillväxten har ökat. Sambandet mellan ekonomisk tillväxt och utsläpp av växthusgaser har alltså brutits alltmer sedan 1990. Bruttonationalproduktens (BNP) tillväxt under perioden 1990–2013 var omkring 45 % för EU-28, samtidigt som växthusgasutsläppen minskade med cirka 20 %. Som en följd av detta minskade utsläppen av växthusgaser i EU med nästan hälften. </w:t>
      </w:r>
    </w:p>
    <w:p>
      <w:pPr>
        <w:rPr>
          <w:noProof/>
        </w:rPr>
      </w:pPr>
      <w:bookmarkStart w:id="14" w:name="_Toc423015793"/>
      <w:r>
        <w:rPr>
          <w:noProof/>
        </w:rPr>
        <w:t>Genomförandet av strukturpolitiken på klimat- och energiområdet har i hög grad bidragit till denna framgångsrika frikoppling. Särskilt genomförandet av 2020 års klimat- och energipaket har lett till en avsevärd ökning av förnybar energi och förbättrad energieffektivitet. Båda dessa är de viktigaste drivkrafterna bakom den konstaterade minskningen av utsläppen, där koldioxidpriset är den drivande kraften som förväntas bli gradvis starkare i framtiden.</w:t>
      </w:r>
    </w:p>
    <w:p>
      <w:pPr>
        <w:rPr>
          <w:b/>
          <w:smallCaps/>
          <w:noProof/>
          <w:sz w:val="22"/>
        </w:rPr>
      </w:pPr>
      <w:r>
        <w:rPr>
          <w:b/>
          <w:smallCaps/>
          <w:noProof/>
          <w:sz w:val="22"/>
        </w:rPr>
        <w:t>EU:s kvantifierade utsläppsminskningsmål för hela ekonomin</w:t>
      </w:r>
      <w:bookmarkEnd w:id="14"/>
      <w:r>
        <w:rPr>
          <w:b/>
          <w:smallCaps/>
          <w:noProof/>
          <w:sz w:val="22"/>
        </w:rPr>
        <w:t xml:space="preserve"> </w:t>
      </w:r>
    </w:p>
    <w:p>
      <w:pPr>
        <w:rPr>
          <w:noProof/>
        </w:rPr>
      </w:pPr>
      <w:r>
        <w:rPr>
          <w:noProof/>
        </w:rPr>
        <w:t xml:space="preserve">Enligt UNFCCC har unionen och dess medlemsstater enats om ett gemensamt mål att till 2020 minska utsläppen av växthusgaser med minst 20 % jämfört med 1990 års nivåer, med ett villkorligt erbjudande om en minskning på 30 % under förutsättning att övriga utvecklade länder gör åtaganden om jämförbara utsläppsminskningar och att utvecklingsländerna bidrar i lämplig utsträckning alltefter ansvar och förmåga. </w:t>
      </w:r>
    </w:p>
    <w:p>
      <w:pPr>
        <w:rPr>
          <w:noProof/>
        </w:rPr>
      </w:pPr>
      <w:r>
        <w:rPr>
          <w:noProof/>
        </w:rPr>
        <w:t xml:space="preserve">EU:s mål är förankrat i lagstiftningen och håller på att genomföras av EU och dess medlemsstater. Själva kärnan i denna lagstiftning är att EU:s klimat- och energipaket fastställs för unionens mål att minska utsläppen av växthusgaser med 20 % fram till 2020 jämfört med 1990, vilket motsvarar −14 % jämfört med 2005. Arbetet har delats upp mellan sektorer som omfattas av EU:s system för handel med utsläppsrätter (EU-ETS) och sektorer som inte omfattas av ETS enligt ansvarsfördelningsbeslutet (ESD). </w:t>
      </w:r>
    </w:p>
    <w:p>
      <w:pPr>
        <w:keepNext/>
        <w:rPr>
          <w:b/>
          <w:smallCaps/>
          <w:noProof/>
          <w:szCs w:val="24"/>
        </w:rPr>
      </w:pPr>
      <w:bookmarkStart w:id="15" w:name="_Toc423015794"/>
      <w:r>
        <w:rPr>
          <w:b/>
          <w:smallCaps/>
          <w:noProof/>
        </w:rPr>
        <w:t xml:space="preserve">Framsteg </w:t>
      </w:r>
      <w:bookmarkEnd w:id="9"/>
      <w:bookmarkEnd w:id="10"/>
      <w:bookmarkEnd w:id="11"/>
      <w:r>
        <w:rPr>
          <w:b/>
          <w:smallCaps/>
          <w:noProof/>
        </w:rPr>
        <w:t>med att uppnå utsläppminskningsmålen för hela ekonomin</w:t>
      </w:r>
      <w:bookmarkEnd w:id="15"/>
      <w:r>
        <w:rPr>
          <w:b/>
          <w:smallCaps/>
          <w:noProof/>
        </w:rPr>
        <w:t xml:space="preserve"> -</w:t>
      </w:r>
      <w:bookmarkStart w:id="16" w:name="_Toc423015795"/>
      <w:bookmarkEnd w:id="12"/>
      <w:r>
        <w:rPr>
          <w:b/>
          <w:smallCaps/>
          <w:noProof/>
        </w:rPr>
        <w:t xml:space="preserve"> EU:s strategier och politiska åtgärder och deras effekter</w:t>
      </w:r>
      <w:bookmarkEnd w:id="16"/>
    </w:p>
    <w:p>
      <w:pPr>
        <w:rPr>
          <w:noProof/>
        </w:rPr>
      </w:pPr>
      <w:r>
        <w:rPr>
          <w:noProof/>
        </w:rPr>
        <w:t>EU och dess 28 medlemsstater har i många år, både individuellt och tillsammans, vidtagit nationella och internationella åtgärder mot klimatförändringar, vilket lett till betydande utsläppsminskningar.</w:t>
      </w:r>
    </w:p>
    <w:p>
      <w:pPr>
        <w:rPr>
          <w:noProof/>
        </w:rPr>
      </w:pPr>
      <w:r>
        <w:rPr>
          <w:noProof/>
        </w:rPr>
        <w:t xml:space="preserve">För att kunna tackla de utmaningar och möta de investeringsbehov som uppstår i anknytning till klimatproblemet har EU enats om att minst 20 % av EU:s budget för 2014–2020, så mycket som 180 miljarder euro, ska gå till klimatinsatser. Detta utgör en betydande ökning i förhållande till klimatinsatsrelaterade utgifter i föregående års budget, vilket utgjorde 6,8 % av EU:s budget för 2007–2013. För att uppnå detta ska begränsnings- och anpassningsåtgärder ingå i alla större EU-program, särskilt inom sammanhållningspolitik, regional utveckling, energi, transport, forskning och innovation och den gemensamma jordbrukspolitiken. </w:t>
      </w:r>
    </w:p>
    <w:p>
      <w:pPr>
        <w:rPr>
          <w:noProof/>
        </w:rPr>
      </w:pPr>
      <w:r>
        <w:rPr>
          <w:noProof/>
        </w:rPr>
        <w:t>EU och dess medlemsstater skärper ständigt lagstiftningen för att ge minskningar av växthusgasutsläppen och en övergång till en ekonomi med låga koldioxidutsläpp. Viktiga politiska framsteg sedan den första tvåårsrapporten inbegriper utvecklingen av EU:s utsläppshandelssystem, nya lagstiftningsinstrument inom transportsektorn och en förstärkt förordning om f-gaser.</w:t>
      </w:r>
    </w:p>
    <w:p>
      <w:pPr>
        <w:autoSpaceDE w:val="0"/>
        <w:autoSpaceDN w:val="0"/>
        <w:adjustRightInd w:val="0"/>
        <w:spacing w:after="0"/>
        <w:rPr>
          <w:noProof/>
        </w:rPr>
      </w:pPr>
      <w:r>
        <w:rPr>
          <w:noProof/>
        </w:rPr>
        <w:t>Sedan 2013 har EU:s utsläppshandelssystem fungerat inom ramen för de förbättrade och harmoniserade regler för fas 3 som omfattar perioden 2013–2020. Ett välfungerande, reviderat utsläppshandelssystem behövs som det viktigaste instrumentet för att uppnå en minskning av utsläppen inom ramen för EU:s system för handel med utsläppsrätter med 43 % under 2030 jämfört med 2005. Europas viktigaste verktyg genomgår därför betydande strukturella reformer för att få EU på rätt spår mot en koldioxidsnål ekonomi.</w:t>
      </w:r>
    </w:p>
    <w:p>
      <w:pPr>
        <w:autoSpaceDE w:val="0"/>
        <w:autoSpaceDN w:val="0"/>
        <w:adjustRightInd w:val="0"/>
        <w:spacing w:after="0"/>
        <w:rPr>
          <w:noProof/>
        </w:rPr>
      </w:pPr>
    </w:p>
    <w:p>
      <w:pPr>
        <w:autoSpaceDE w:val="0"/>
        <w:autoSpaceDN w:val="0"/>
        <w:adjustRightInd w:val="0"/>
        <w:spacing w:after="0"/>
        <w:rPr>
          <w:noProof/>
        </w:rPr>
      </w:pPr>
      <w:r>
        <w:rPr>
          <w:noProof/>
        </w:rPr>
        <w:t>Som ett första steg för att möta utmaningen med ett växande överskott av utsläppsrätter som har byggts upp i EU:s utsläppshandelssystem har utauktioneringen av 900 miljoner utsläppsrätter skjutits upp. Som ett andra steg enades man om en reserv för marknadsstabilitet som både åtgärdar överskottet av utsläppsrätter och förbättrar systemets förmåga att stå emot större chocker genom att anpassa utbudet av utsläppsrätter som ska auktioneras ut. Slutligen föreslog kommissionen i juli 2015 en översyn av EU:s system för handel med utsläppsrätter i syfte att genomföra en minskning av denna handel med 43 % under 2030 jämfört med 2005. Detta är det sista steget för att EU:s utsläppshandelssystem kunna fungera fullt ut inför 2030.</w:t>
      </w:r>
    </w:p>
    <w:p>
      <w:pPr>
        <w:autoSpaceDE w:val="0"/>
        <w:autoSpaceDN w:val="0"/>
        <w:adjustRightInd w:val="0"/>
        <w:spacing w:after="0"/>
        <w:rPr>
          <w:noProof/>
        </w:rPr>
      </w:pPr>
    </w:p>
    <w:p>
      <w:pPr>
        <w:autoSpaceDE w:val="0"/>
        <w:autoSpaceDN w:val="0"/>
        <w:adjustRightInd w:val="0"/>
        <w:spacing w:after="0"/>
        <w:rPr>
          <w:noProof/>
        </w:rPr>
      </w:pPr>
      <w:r>
        <w:rPr>
          <w:noProof/>
        </w:rPr>
        <w:t xml:space="preserve">Viktiga politiska framsteg har också gjorts inom transportsektorn, med ny EU-lagstiftning som fastställer bindande utsläppsmål för nya personbilar och lätta lastbilar till 2021. Strategin för tunga fordon, som antogs i maj 2014, är EU:s första initiativ till att hantera bränsleförbrukning och koldioxidutsläpp från lastbilar och bussar. I april 2015 antog EU ett rättsligt instrument för ett EU-omfattande system för övervakning, rapportering och kontroll av sjöfarten som ett första steg i EU:s strategi för att minska utsläppen från denna sektor. </w:t>
      </w:r>
    </w:p>
    <w:p>
      <w:pPr>
        <w:autoSpaceDE w:val="0"/>
        <w:autoSpaceDN w:val="0"/>
        <w:adjustRightInd w:val="0"/>
        <w:spacing w:after="0"/>
        <w:rPr>
          <w:noProof/>
        </w:rPr>
      </w:pPr>
    </w:p>
    <w:p>
      <w:pPr>
        <w:rPr>
          <w:noProof/>
        </w:rPr>
      </w:pPr>
      <w:r>
        <w:rPr>
          <w:noProof/>
        </w:rPr>
        <w:t>Den reviderade förordningen om f-gaser gäller från och med den 1 januari 2015. Den stärker befintliga åtgärder (t.ex. begränsning av gaser genom detektering av läckor, installation av utrustning genom utbildad personal, återvinning av gaser) och inför en utfasning av användningen av fluorerade växthusgaser som kommer att minska EU:s totala utsläpp av fluorerade gaser med två tredjedelar fram till 2030 jämfört med 2014 års nivåer. Det är också förbjudet att släppa ut fluorerade gaser på marknaden under vissa omständigheter där det finns alternativ, t.ex. kyl- och frysskåp för hushållsbruk som innehåller fluorkolväten med en faktor för global uppvärmningspotential som överstiger 150.</w:t>
      </w:r>
    </w:p>
    <w:p>
      <w:pPr>
        <w:rPr>
          <w:noProof/>
        </w:rPr>
      </w:pPr>
      <w:r>
        <w:rPr>
          <w:noProof/>
        </w:rPr>
        <w:t>På grundval av klimat- och energipaketet 2020 och i linje med målen för övergången till en koldioxidsnål och klimattålig ekonomi nådde rådet i oktober 2014 en överenskommelse om de viktigaste byggstenarna i EU:s klimat- och energiram för 2030: Ett bindande mål för inhemsk minskning av växthusgasutsläpp på minst 40 % fram till 2030 jämfört med 1990, ett mål på minst 27% förnybar energi fram till 2030 (bindande på EU-nivå), samt ett preliminärt energieffektivitetsmål på 27 % för 2030 som ska ses över 2020, med ett mål på 30 % i åtanke.</w:t>
      </w:r>
    </w:p>
    <w:p>
      <w:pPr>
        <w:rPr>
          <w:noProof/>
        </w:rPr>
      </w:pPr>
      <w:r>
        <w:rPr>
          <w:noProof/>
        </w:rPr>
        <w:t xml:space="preserve">För detta ändamål föreslog kommissionen redan i juli 2015 ett reviderat EU ETS-direktiv, vilket för närvarande diskuteras inom EU-institutionerna och den kommer att lägga fram lagstiftningsförslag för sektorer som inte omfattas av EU:s utsläppshandel. Kommissionen lanserar även de initiativ som planeras i den strategiska ramen för energiunionen, inklusive kommande förslag om förnybar energi och energieffektivitet. </w:t>
      </w:r>
    </w:p>
    <w:p>
      <w:pPr>
        <w:rPr>
          <w:b/>
          <w:smallCaps/>
          <w:noProof/>
        </w:rPr>
      </w:pPr>
      <w:bookmarkStart w:id="17" w:name="_Toc390936614"/>
      <w:bookmarkStart w:id="18" w:name="_Toc390942394"/>
      <w:bookmarkStart w:id="19" w:name="_Toc390936615"/>
      <w:bookmarkStart w:id="20" w:name="_Toc390942395"/>
      <w:bookmarkStart w:id="21" w:name="_Toc397612356"/>
      <w:bookmarkStart w:id="22" w:name="_Toc398043847"/>
      <w:bookmarkStart w:id="23" w:name="_Toc398193313"/>
      <w:bookmarkStart w:id="24" w:name="_Toc423015798"/>
      <w:bookmarkEnd w:id="17"/>
      <w:bookmarkEnd w:id="18"/>
      <w:bookmarkEnd w:id="19"/>
      <w:bookmarkEnd w:id="20"/>
      <w:bookmarkEnd w:id="21"/>
      <w:bookmarkEnd w:id="22"/>
      <w:bookmarkEnd w:id="23"/>
      <w:r>
        <w:rPr>
          <w:b/>
          <w:smallCaps/>
          <w:noProof/>
        </w:rPr>
        <w:t>Framsteg med att uppnå  utsläppsminskningsmålen för hela ekonomin – prognoser</w:t>
      </w:r>
      <w:bookmarkEnd w:id="24"/>
    </w:p>
    <w:p>
      <w:pPr>
        <w:rPr>
          <w:noProof/>
        </w:rPr>
      </w:pPr>
      <w:r>
        <w:rPr>
          <w:noProof/>
        </w:rPr>
        <w:t xml:space="preserve">Enligt de senaste prognoserna med befintliga åtgärder, som aggregeras på grundval av de uppgifter som inkommit från medlemsstaterna till EU under 2015, beräknas utsläppen bli 24 % lägre 2020 än 1990. EU är därför för närvarande på god väg att uppnå sina mål för 2020. </w:t>
      </w:r>
    </w:p>
    <w:p>
      <w:pPr>
        <w:rPr>
          <w:noProof/>
        </w:rPr>
      </w:pPr>
      <w:r>
        <w:rPr>
          <w:noProof/>
        </w:rPr>
        <w:t xml:space="preserve">Fram till 2030 förväntas utsläppen minska ytterligare. </w:t>
      </w:r>
    </w:p>
    <w:p>
      <w:pPr>
        <w:rPr>
          <w:noProof/>
        </w:rPr>
      </w:pPr>
      <w:r>
        <w:rPr>
          <w:noProof/>
        </w:rPr>
        <w:t xml:space="preserve">Utsläppen från energisektorn, utom transporter, utgör den största andelen av de totala utsläppen av växthusgaser och de förväntade totala utsläppsminskningarna. Utsläppen från denna sektor förväntas minska med ca 33 % under 2020 jämfört med 1990 och med cirka 38 % fram till 2030. Transportsektorn är den enda sektorn där utsläppen förväntas öka med 13 % mellan 1990 och 2020 och sedan stabiliseras fram till 2030. Efter 2007 kan man se en långsam men stadig minskning av utsläppen från transportsektorn på grund av en kombination av högre bränslepriser och strängare åtgärder, t.ex. utsläppsnormer för koldioxid för personbilar och lätta lastbilar. </w:t>
      </w:r>
    </w:p>
    <w:p>
      <w:pPr>
        <w:rPr>
          <w:b/>
          <w:smallCaps/>
          <w:noProof/>
        </w:rPr>
      </w:pPr>
      <w:bookmarkStart w:id="25" w:name="_Toc390936632"/>
      <w:bookmarkStart w:id="26" w:name="_Toc390942413"/>
      <w:bookmarkStart w:id="27" w:name="_Toc423015799"/>
      <w:bookmarkStart w:id="28" w:name="_Toc395255569"/>
      <w:bookmarkStart w:id="29" w:name="_Toc392749516"/>
      <w:bookmarkStart w:id="30" w:name="_Toc371338173"/>
      <w:bookmarkEnd w:id="25"/>
      <w:bookmarkEnd w:id="26"/>
      <w:r>
        <w:rPr>
          <w:b/>
          <w:smallCaps/>
          <w:noProof/>
        </w:rPr>
        <w:t>Tillhandahållande av ekonomiskt, tekniskt och kapacitetsbyggande stöd till parter som är utvecklingsländer</w:t>
      </w:r>
      <w:bookmarkEnd w:id="27"/>
    </w:p>
    <w:bookmarkEnd w:id="28"/>
    <w:bookmarkEnd w:id="29"/>
    <w:bookmarkEnd w:id="30"/>
    <w:p>
      <w:pPr>
        <w:rPr>
          <w:noProof/>
        </w:rPr>
      </w:pPr>
      <w:r>
        <w:rPr>
          <w:noProof/>
        </w:rPr>
        <w:t>Klimatfinansiering spelar en viktig roll som ett sätt att nå det överenskomna målet att begränsa den genomsnittliga globala temperaturökningen till under 2°C över den förindustriella nivån samt att uppnå en övergång till ekonomier med låga växthusgasutsläpp och klimattålig hållbar utveckling. EU och dess medlemsstater är de största givarna av offentligt utvecklingsbistånd (ODA) till utvecklingsländer, och stod för 58,2 miljarder euro i 2014 och anslog 7,34 miljarder euro för snabbstartsfinansiering under perioden 2010–2012. Dessutom öronmärkte EU och dess medlemsstater under 2014 tillsammans 14,5 miljarder euro för att hjälpa utvecklingsländerna ta itu med klimatförändringen.</w:t>
      </w:r>
    </w:p>
    <w:p>
      <w:pPr>
        <w:rPr>
          <w:noProof/>
        </w:rPr>
      </w:pPr>
      <w:r>
        <w:rPr>
          <w:noProof/>
        </w:rPr>
        <w:t xml:space="preserve">EU främjar en gemensam och övergripande strategi för utvecklingsfinansiering, inklusive klimatförändringsåtgärder som en del av agendan för förändring, i vilken betonas sidovinster för klimat och hållbar utveckling som ömsesidigt förstärker varandra. </w:t>
      </w:r>
    </w:p>
    <w:p>
      <w:pPr>
        <w:rPr>
          <w:noProof/>
        </w:rPr>
      </w:pPr>
      <w:r>
        <w:rPr>
          <w:noProof/>
        </w:rPr>
        <w:t xml:space="preserve">Det totala stödet från EU till utvecklingsländer som är parter till UNFCCC under 2013 och 2014 uppgick till 2 178 miljoner US-dollar (1 641 miljoner euro). </w:t>
      </w:r>
    </w:p>
    <w:p>
      <w:pPr>
        <w:rPr>
          <w:noProof/>
        </w:rPr>
      </w:pPr>
      <w:r>
        <w:rPr>
          <w:noProof/>
        </w:rPr>
        <w:t>Kapacitetsutveckling är kärnan i EU:s utvecklingsbistånd, och alla samarbetsprojekt för utvecklingsbistånd på klimatförändringsområdet omfattar tekniköverföring. EU är en ledande aktör inom området koldioxidsnål teknik och bibehåller sin position med en rad politiska initiativ. EU stöder utvecklingen och användningen av teknik i utvecklingsländer genom omfattande investeringar i innovation.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5293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27F"/>
    <w:multiLevelType w:val="singleLevel"/>
    <w:tmpl w:val="057A5296"/>
    <w:name w:val="0,6466137"/>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119C7FF26E544FE9BC0FA9AC58E71C32"/>
    <w:docVar w:name="LW_CROSSREFERENCE" w:val="{SWD(2015) 282 final}"/>
    <w:docVar w:name="LW_DocType" w:val="NORMAL"/>
    <w:docVar w:name="LW_EMISSION" w:val="15.12.2015"/>
    <w:docVar w:name="LW_EMISSION_ISODATE" w:val="2015-12-15"/>
    <w:docVar w:name="LW_EMISSION_LOCATION" w:val="BRX"/>
    <w:docVar w:name="LW_EMISSION_PREFIX" w:val="Bryssel den "/>
    <w:docVar w:name="LW_EMISSION_SUFFIX" w:val=" "/>
    <w:docVar w:name="LW_ID_DOCTYPE_NONLW" w:val="CP-003"/>
    <w:docVar w:name="LW_LANGUE" w:val="SV"/>
    <w:docVar w:name="LW_MARKING" w:val="&lt;UNUSED&g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5) 642"/>
    <w:docVar w:name="LW_REF.INTERNE" w:val="&lt;UNUSED&gt;"/>
    <w:docVar w:name="LW_SOUS.TITRE.OBJ" w:val="(i enlighet med kraven i artikel 18.1 i förordning (EU) nr 525/2013 Europaparlamentets och  rådets förordning (EU) nr 525/2013 av den 21 maj 2013 om en mekanism för att övervaka och rapportera utsläpp av växthusgaser och för att rapportera annan information på nationell nivå och unionsnivå som är relevant för klimatförändringen och om upphävande av beslut nr 280/2004/ och beslut 2/CP.17 av partskonferensen för FN:s ramkonvention om klimatförändringar (UNFCCC))_x000b_"/>
    <w:docVar w:name="LW_SOUS.TITRE.OBJ.CP" w:val="(i enlighet med kraven i artikel 18.1 i förordning (EU) nr 525/2013 Europaparlamentets och  rådets förordning (EU) nr 525/2013 av den 21 maj 2013 om en mekanism för att övervaka och rapportera utsläpp av växthusgaser och för att rapportera annan information på nationell nivå och unionsnivå som är relevant för klimatförändringen och om upphävande av beslut nr 280/2004/ och beslut 2/CP.17 av partskonferensen för FN:s ramkonvention om klimatförändringar (UNFCCC))_x000b_"/>
    <w:docVar w:name="LW_SUPERTITRE" w:val="&lt;UNUSED&gt;"/>
    <w:docVar w:name="LW_TITRE.OBJ.CP" w:val="Andra tvåårsrapporten från Europeiska unionen inom ramen för Förenta nationernas ramkonvention om klimatförändringar (UNFCCC)"/>
    <w:docVar w:name="LW_TYPE.DOC.CP" w:val="RAPPORT FRÅN KOMMISSION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
    <w:name w:val="Bullet 0"/>
    <w:basedOn w:val="Normal"/>
    <w:pPr>
      <w:numPr>
        <w:numId w:val="1"/>
      </w:numPr>
      <w:spacing w:before="120" w:after="120"/>
    </w:pPr>
    <w:rPr>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mallCaps/>
      <w:noProof/>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noProof/>
      <w:sz w:val="24"/>
      <w:szCs w:val="24"/>
    </w:rPr>
  </w:style>
  <w:style w:type="paragraph" w:customStyle="1" w:styleId="HeaderCoverPage">
    <w:name w:val="Header Cover Page"/>
    <w:basedOn w:val="Normal"/>
    <w:link w:val="HeaderCoverPageChar"/>
    <w:pPr>
      <w:tabs>
        <w:tab w:val="center" w:pos="4535"/>
        <w:tab w:val="right" w:pos="9071"/>
      </w:tabs>
      <w:spacing w:after="120"/>
    </w:pPr>
    <w:rPr>
      <w:smallCaps/>
      <w:noProof/>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noProof/>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
    <w:name w:val="Bullet 0"/>
    <w:basedOn w:val="Normal"/>
    <w:pPr>
      <w:numPr>
        <w:numId w:val="1"/>
      </w:numPr>
      <w:spacing w:before="120" w:after="120"/>
    </w:pPr>
    <w:rPr>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mallCaps/>
      <w:noProof/>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noProof/>
      <w:sz w:val="24"/>
      <w:szCs w:val="24"/>
    </w:rPr>
  </w:style>
  <w:style w:type="paragraph" w:customStyle="1" w:styleId="HeaderCoverPage">
    <w:name w:val="Header Cover Page"/>
    <w:basedOn w:val="Normal"/>
    <w:link w:val="HeaderCoverPageChar"/>
    <w:pPr>
      <w:tabs>
        <w:tab w:val="center" w:pos="4535"/>
        <w:tab w:val="right" w:pos="9071"/>
      </w:tabs>
      <w:spacing w:after="120"/>
    </w:pPr>
    <w:rPr>
      <w:smallCaps/>
      <w:noProof/>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noProof/>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F514-2F1B-485E-A987-03CF9FBD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1460</Words>
  <Characters>8718</Characters>
  <Application>Microsoft Office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2015-12-04T08:37:00Z</cp:lastPrinted>
  <dcterms:created xsi:type="dcterms:W3CDTF">2015-11-17T09:20:00Z</dcterms:created>
  <dcterms:modified xsi:type="dcterms:W3CDTF">2015-12-14T11:18:00Z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