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alt="9407C1373B814D96AC20CB27093700B8" style="width:450.2pt;height:307.1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Typedudocument"/>
        <w:rPr>
          <w:noProof/>
        </w:rPr>
      </w:pPr>
      <w:bookmarkStart w:id="1" w:name="_GoBack"/>
      <w:bookmarkEnd w:id="1"/>
      <w:r>
        <w:rPr>
          <w:noProof/>
        </w:rPr>
        <w:lastRenderedPageBreak/>
        <w:t>INFORME DE LA COMISIÓN AL PARLAMENTO EUROPEO Y AL CONSEJO</w:t>
      </w:r>
    </w:p>
    <w:p>
      <w:pPr>
        <w:pStyle w:val="Titreobjet"/>
        <w:rPr>
          <w:noProof/>
        </w:rPr>
      </w:pPr>
      <w:r>
        <w:rPr>
          <w:noProof/>
        </w:rPr>
        <w:t>sobre la aplicación, funcionamiento y eficacia del dominio de primer nivel «.eu»</w:t>
      </w:r>
    </w:p>
    <w:p>
      <w:pPr>
        <w:pStyle w:val="Sous-titreobjet"/>
        <w:rPr>
          <w:noProof/>
        </w:rPr>
      </w:pPr>
      <w:r>
        <w:rPr>
          <w:noProof/>
        </w:rPr>
        <w:t>(Texto pertinente a efectos del EEE)</w:t>
      </w:r>
    </w:p>
    <w:p>
      <w:pPr>
        <w:rPr>
          <w:noProof/>
        </w:rPr>
      </w:pPr>
      <w:r>
        <w:rPr>
          <w:noProof/>
        </w:rPr>
        <w:t xml:space="preserve"> </w:t>
      </w:r>
    </w:p>
    <w:p>
      <w:pPr>
        <w:rPr>
          <w:noProof/>
        </w:rPr>
      </w:pPr>
    </w:p>
    <w:p>
      <w:pPr>
        <w:rPr>
          <w:noProof/>
        </w:rPr>
      </w:pPr>
    </w:p>
    <w:p>
      <w:pPr>
        <w:pStyle w:val="ManualHeading1"/>
        <w:rPr>
          <w:noProof/>
        </w:rPr>
      </w:pPr>
      <w:r>
        <w:t>1.</w:t>
      </w:r>
      <w:r>
        <w:tab/>
      </w:r>
      <w:r>
        <w:rPr>
          <w:noProof/>
        </w:rPr>
        <w:t xml:space="preserve"> Antecedentes</w:t>
      </w:r>
    </w:p>
    <w:p>
      <w:pPr>
        <w:rPr>
          <w:noProof/>
        </w:rPr>
      </w:pPr>
      <w:r>
        <w:rPr>
          <w:noProof/>
        </w:rPr>
        <w:t>El dominio de primer nivel (TLD) «.eu» celebró en abril de 2015 su noveno aniversario. A lo largo de estos nueve años, el dominio de primer nivel de código de país (ccTLD) «.eu» se perfiló como una extensión moderna e innovadora, perfectamente capaz de estar al nivel de los TLD que llevan presentes en este ámbito desde finales de la década de los noventa y de competir con los nuevos dominios de primer nivel genéricos (gTLD) que se introdujeron en 2014. Al finalizar el primer trimestre de 2015, «.eu» ocupaba la sexta plaza mundial entre los ccTLD</w:t>
      </w:r>
      <w:r>
        <w:rPr>
          <w:rStyle w:val="FootnoteReference"/>
          <w:noProof/>
        </w:rPr>
        <w:footnoteReference w:id="1"/>
      </w:r>
      <w:r>
        <w:rPr>
          <w:noProof/>
        </w:rPr>
        <w:t>. Con casi cuatro millones de registros, el TLD «.eu» se ha convertido en una opción valorada por los europeos a la hora de elegir el nombre de dominio con el que estar presentes en Internet.</w:t>
      </w:r>
    </w:p>
    <w:p>
      <w:pPr>
        <w:rPr>
          <w:noProof/>
        </w:rPr>
      </w:pPr>
      <w:r>
        <w:rPr>
          <w:noProof/>
        </w:rPr>
        <w:t>Con arreglo al artículo 8 del Reglamento (CE) nº 733/2002, relativo a la aplicación del dominio de primer nivel «.eu», la Comisión está obligada a presentar un informe al Parlamento Europeo y al Consejo un año después de la adopción del Reglamento, y posteriormente cada dos años. El presente informe al Parlamento Europeo y al Consejo se refiere a la aplicación, eficacia y funcionamiento del TLD «.eu» a lo largo de los últimos dos años, en particular durante el período comprendido entre el 1 de abril de 2013 y el 31 de marzo de 2015.</w:t>
      </w:r>
    </w:p>
    <w:p>
      <w:pPr>
        <w:pStyle w:val="ManualHeading1"/>
        <w:rPr>
          <w:noProof/>
        </w:rPr>
      </w:pPr>
      <w:r>
        <w:t>2.</w:t>
      </w:r>
      <w:r>
        <w:tab/>
      </w:r>
      <w:r>
        <w:rPr>
          <w:noProof/>
        </w:rPr>
        <w:t>Marco jurídico y principios básicos del dominio «.eu»</w:t>
      </w:r>
    </w:p>
    <w:p>
      <w:pPr>
        <w:rPr>
          <w:noProof/>
        </w:rPr>
      </w:pPr>
      <w:r>
        <w:rPr>
          <w:noProof/>
        </w:rPr>
        <w:t>El TLD «.eu» fue creado por los siguientes actos jurídicos:</w:t>
      </w:r>
    </w:p>
    <w:p>
      <w:pPr>
        <w:pStyle w:val="ListDash"/>
        <w:rPr>
          <w:noProof/>
        </w:rPr>
      </w:pPr>
      <w:r>
        <w:rPr>
          <w:noProof/>
        </w:rPr>
        <w:t>Reglamento (CE) n° 733/2002 del Parlamento Europeo y del Consejo, de 22 de abril de 2002, relativo a la aplicación del dominio de primer nivel «.eu»</w:t>
      </w:r>
      <w:r>
        <w:rPr>
          <w:rStyle w:val="FootnoteReference"/>
          <w:noProof/>
        </w:rPr>
        <w:footnoteReference w:id="2"/>
      </w:r>
      <w:r>
        <w:rPr>
          <w:noProof/>
        </w:rPr>
        <w:t xml:space="preserve"> (luego modificado)</w:t>
      </w:r>
      <w:r>
        <w:rPr>
          <w:rStyle w:val="FootnoteReference"/>
          <w:noProof/>
        </w:rPr>
        <w:footnoteReference w:id="3"/>
      </w:r>
      <w:r>
        <w:rPr>
          <w:noProof/>
        </w:rPr>
        <w:t>;</w:t>
      </w:r>
    </w:p>
    <w:p>
      <w:pPr>
        <w:pStyle w:val="ListDash"/>
        <w:rPr>
          <w:noProof/>
        </w:rPr>
      </w:pPr>
      <w:r>
        <w:rPr>
          <w:noProof/>
        </w:rPr>
        <w:t>Reglamento (CE) n° 874/2004 de la Comisión, de 28 de abril de 2004, por el que se establecen normas de política de interés general (PIG) relativas a la aplicación y a las funciones del dominio de primer nivel «.eu», así como los principios en materia de registro</w:t>
      </w:r>
      <w:r>
        <w:rPr>
          <w:rStyle w:val="FootnoteReference"/>
          <w:noProof/>
        </w:rPr>
        <w:footnoteReference w:id="4"/>
      </w:r>
      <w:r>
        <w:rPr>
          <w:noProof/>
        </w:rPr>
        <w:t xml:space="preserve"> (luego modificado)</w:t>
      </w:r>
      <w:r>
        <w:rPr>
          <w:rStyle w:val="FootnoteReference"/>
          <w:noProof/>
        </w:rPr>
        <w:footnoteReference w:id="5"/>
      </w:r>
      <w:r>
        <w:rPr>
          <w:noProof/>
        </w:rPr>
        <w:t>.</w:t>
      </w:r>
    </w:p>
    <w:p>
      <w:pPr>
        <w:rPr>
          <w:noProof/>
        </w:rPr>
      </w:pPr>
      <w:r>
        <w:rPr>
          <w:noProof/>
        </w:rPr>
        <w:t>En el período de referencia, el Reglamento (UE) nº 516/2015 de la Comisión modificó el Reglamento (CE) nº 874/2004 con la introducción de controles técnicos para evitar la posible confusión visual entre los nombres de dominio «.eu» registrados, habida cuenta, en particular, de que desde diciembre de 2009 se admiten los nombres de dominio internacionalizados (IDN) «.eu», a fin de:</w:t>
      </w:r>
    </w:p>
    <w:p>
      <w:pPr>
        <w:numPr>
          <w:ilvl w:val="0"/>
          <w:numId w:val="31"/>
        </w:numPr>
        <w:rPr>
          <w:noProof/>
        </w:rPr>
      </w:pPr>
      <w:r>
        <w:rPr>
          <w:noProof/>
        </w:rPr>
        <w:t xml:space="preserve">garantizar que el Registro comprueba la validez de las solicitudes de registro antes de registrar el nombre de dominio, y no solo posteriormente; </w:t>
      </w:r>
    </w:p>
    <w:p>
      <w:pPr>
        <w:numPr>
          <w:ilvl w:val="0"/>
          <w:numId w:val="31"/>
        </w:numPr>
        <w:rPr>
          <w:noProof/>
        </w:rPr>
      </w:pPr>
      <w:r>
        <w:rPr>
          <w:noProof/>
        </w:rPr>
        <w:t>permitir que el Registro introduzca caracteres adicionales soportados por el Protocolo IDNA 2008 y actualizar la lista de nombres de dominio reservados por la UE e Islandia, Liechtenstein y Noruega.</w:t>
      </w:r>
    </w:p>
    <w:p>
      <w:pPr>
        <w:rPr>
          <w:rFonts w:ascii="Times" w:hAnsi="Times" w:cs="Times"/>
          <w:noProof/>
        </w:rPr>
      </w:pPr>
      <w:r>
        <w:rPr>
          <w:noProof/>
        </w:rPr>
        <w:t>En mayo de 2013, de conformidad con el Reglamento (CE) nº 733/2002, la Comisión publicó una convocatoria de manifestaciones de interés para la selección del Registro del TLD «.eu». La convocatoria se cerró el 20 de junio de 2013. La única solicitud recibida fue de EURid</w:t>
      </w:r>
      <w:r>
        <w:rPr>
          <w:rStyle w:val="FootnoteReference"/>
          <w:noProof/>
          <w:lang w:val="en-US"/>
        </w:rPr>
        <w:footnoteReference w:id="6"/>
      </w:r>
      <w:r>
        <w:rPr>
          <w:noProof/>
        </w:rPr>
        <w:t>. Los evaluadores concluyeron que la propuesta de EURid cumplía los requisitos mínimos relativos a cada uno de los criterios de selección. La Decisión de la Comisión por la que designa a EURid como Registro del TLD «.eu» se publicó el 12 de abril de 2014</w:t>
      </w:r>
      <w:r>
        <w:rPr>
          <w:rStyle w:val="FootnoteReference"/>
          <w:noProof/>
        </w:rPr>
        <w:footnoteReference w:id="7"/>
      </w:r>
      <w:r>
        <w:rPr>
          <w:noProof/>
        </w:rPr>
        <w:t xml:space="preserve">. </w:t>
      </w:r>
      <w:r>
        <w:rPr>
          <w:noProof/>
        </w:rPr>
        <w:tab/>
      </w:r>
    </w:p>
    <w:p>
      <w:pPr>
        <w:pStyle w:val="ManualHeading1"/>
        <w:rPr>
          <w:noProof/>
        </w:rPr>
      </w:pPr>
      <w:r>
        <w:t>3.</w:t>
      </w:r>
      <w:r>
        <w:tab/>
      </w:r>
      <w:r>
        <w:rPr>
          <w:noProof/>
        </w:rPr>
        <w:t>Registro y uso de nombres de dominio «.eu»</w:t>
      </w:r>
    </w:p>
    <w:p>
      <w:pPr>
        <w:rPr>
          <w:noProof/>
        </w:rPr>
      </w:pPr>
      <w:r>
        <w:rPr>
          <w:noProof/>
        </w:rPr>
        <w:t xml:space="preserve">En el período cubierto por el presente informe, el ccTLD «.eu» siguió creciendo de forma constante, al igual que los demás ccTLD europeos. El crecimiento registrado en 2014 fue excepcionalmente elevado (5,3 %). El ccTLD «.eu» contaba con un total de casi 3,9 millones de registros al finalizar el primer trimestre de 2015, lo que representa un 4,3 % de incremento neto del número de registros desde el último informe y convierte a «.eu» en el cuarto ccTLD más popular de la UE. </w:t>
      </w:r>
    </w:p>
    <w:p>
      <w:pPr>
        <w:rPr>
          <w:noProof/>
        </w:rPr>
      </w:pPr>
      <w:r>
        <w:rPr>
          <w:noProof/>
        </w:rPr>
        <w:t>El porcentaje medio de renovación de los nombres de dominio «.eu» se mantiene en el 80 %, cifra muy saludable en comparación con la media del sector, que es del 73 %.</w:t>
      </w:r>
    </w:p>
    <w:p>
      <w:pPr>
        <w:rPr>
          <w:noProof/>
        </w:rPr>
      </w:pPr>
      <w:r>
        <w:rPr>
          <w:noProof/>
        </w:rPr>
        <w:t xml:space="preserve">El panorama de los nombres de dominio se ha transformado profundamente en los dos últimos años a causa de la introducción de nuevos gTLD tras la apertura del espacio de los gTLD por parte de la Corporación para la Asignación de Nombres y Números en Internet (ICANN). En el momento de redactar el presente informe, se habían delegado 684 nuevos gTLD. Globalmente, sus registros representan 6,3 millones de nombres de dominio, ocupando la primera posición «.xyz» con algo más de un millón de registros. Sin embargo, el nuevo mercado de los gTLD no ha respondido plenamente a las expectativas, ya que la demanda de los usuarios ha sido muy inferior a la prevista. La repercusión sobre el nivel ccTLD ha sido marginal hasta el momento, por razones diversas entre las que figuran la saturación del mercado, la mayor competitividad y el mayor poder a nivel de los registradores, al haberse convertido algunos de ellos en registros y viceversa. Se considera que el crecimiento de los ccTLD será lento, e incluso podría invertirse a partir de 2017. </w:t>
      </w:r>
    </w:p>
    <w:p>
      <w:pPr>
        <w:rPr>
          <w:noProof/>
        </w:rPr>
      </w:pPr>
      <w:r>
        <w:rPr>
          <w:noProof/>
        </w:rPr>
        <w:t xml:space="preserve">Teniendo presente la tendencia histórica, la situación actual del mercado y la previsión de crecimiento en el futuro, el objetivo es mantener un porcentaje aproximado de crecimiento de los registros del 4 % anual. </w:t>
      </w:r>
    </w:p>
    <w:p>
      <w:pPr>
        <w:pStyle w:val="ManualHeading1"/>
        <w:rPr>
          <w:noProof/>
        </w:rPr>
      </w:pPr>
      <w:r>
        <w:t>4.</w:t>
      </w:r>
      <w:r>
        <w:tab/>
      </w:r>
      <w:r>
        <w:rPr>
          <w:noProof/>
        </w:rPr>
        <w:t>Nombres de dominio internacionalizados (IDN)</w:t>
      </w:r>
    </w:p>
    <w:p>
      <w:pPr>
        <w:pStyle w:val="ManualHeading2"/>
        <w:rPr>
          <w:noProof/>
        </w:rPr>
      </w:pPr>
      <w:r>
        <w:t>4.1.</w:t>
      </w:r>
      <w:r>
        <w:tab/>
      </w:r>
      <w:r>
        <w:rPr>
          <w:noProof/>
        </w:rPr>
        <w:t>IDN de «.eu»</w:t>
      </w:r>
    </w:p>
    <w:p>
      <w:pPr>
        <w:rPr>
          <w:noProof/>
        </w:rPr>
      </w:pPr>
      <w:r>
        <w:rPr>
          <w:noProof/>
        </w:rPr>
        <w:t>La introducción de IDN en el primer nivel es una cuestión sobre la que es competente ICANN. El 16 de noviembre de 2009, ICANN puso en marcha el proceso acelerado relativo a los ccTLD con IDN</w:t>
      </w:r>
      <w:r>
        <w:rPr>
          <w:rStyle w:val="FootnoteReference"/>
          <w:noProof/>
        </w:rPr>
        <w:footnoteReference w:id="8"/>
      </w:r>
      <w:r>
        <w:rPr>
          <w:noProof/>
        </w:rPr>
        <w:t xml:space="preserve"> a fin de facilitar la introducción de extensiones de los dominios de primer nivel de Internet que representan códigos de país (p. ej., «.gr», «.bg», «.eu») con caracteres no latinos (p. ej., cirílicos, griegos, árabes o chinos). </w:t>
      </w:r>
    </w:p>
    <w:p>
      <w:pPr>
        <w:autoSpaceDE w:val="0"/>
        <w:autoSpaceDN w:val="0"/>
        <w:adjustRightInd w:val="0"/>
        <w:rPr>
          <w:noProof/>
        </w:rPr>
      </w:pPr>
      <w:r>
        <w:rPr>
          <w:noProof/>
        </w:rPr>
        <w:t xml:space="preserve">Basándose en los informes a la Comisión de Chipre, Grecia y Bulgaria sobre sus versiones preferidas del sufijo «.eu», EURid presentó a ICANN, el 5 de mayo de 2010, una solicitud para abrir el registro de las versiones cirílica y griega del TLD «.eu». Se consideró que las cadenas griega «.ευ» y cirílica «.ею» eran similares a la actual cadena ASCII del ccTLD («.eu») hasta el punto de inducir a confusión, por lo que su introducción se vio abocada a un largo proceso de evaluación. </w:t>
      </w:r>
    </w:p>
    <w:p>
      <w:pPr>
        <w:suppressAutoHyphens/>
        <w:autoSpaceDE w:val="0"/>
        <w:autoSpaceDN w:val="0"/>
        <w:adjustRightInd w:val="0"/>
        <w:spacing w:after="0"/>
        <w:rPr>
          <w:noProof/>
        </w:rPr>
      </w:pPr>
      <w:r>
        <w:rPr>
          <w:noProof/>
        </w:rPr>
        <w:t xml:space="preserve">La evaluación de la cadena cirílica («.ею») concluyó satisfactoriamente, pero la griega («.ευ») no superó la fase de evaluación técnica del proceso por ser «visualmente idéntica o visualmente confundible con al menos tres cadenas ISO 646-BV, a saber, «eu», «ev», y «ey»». La Comisión encargó a EURid que congelase la posible solicitud de delegación de la cadena cirílica («.ею») hasta que se resolvieran los problemas relacionados con la cadena griega («.ευ»). </w:t>
      </w:r>
    </w:p>
    <w:p>
      <w:pPr>
        <w:suppressAutoHyphens/>
        <w:autoSpaceDE w:val="0"/>
        <w:autoSpaceDN w:val="0"/>
        <w:adjustRightInd w:val="0"/>
        <w:spacing w:after="0"/>
        <w:rPr>
          <w:noProof/>
        </w:rPr>
      </w:pPr>
    </w:p>
    <w:p>
      <w:pPr>
        <w:suppressAutoHyphens/>
        <w:autoSpaceDE w:val="0"/>
        <w:autoSpaceDN w:val="0"/>
        <w:adjustRightInd w:val="0"/>
        <w:spacing w:after="0"/>
        <w:rPr>
          <w:noProof/>
        </w:rPr>
      </w:pPr>
      <w:r>
        <w:rPr>
          <w:noProof/>
        </w:rPr>
        <w:t xml:space="preserve">En el período objeto del presente informe, la Comisión y EURid elaboraron el plan de aplicación de alto nivel de los IDN en «.eu». Este plan, presentado por EURid en septiembre de 2014, expone el planteamiento que debe seguirse a la hora de poner en marcha «.eu» en griego y cirílico (por ejemplo, permitir solo «griego.griego»), así como las disposiciones relativas a la gestión del legado del sistema actual («no latino.ASCII»). </w:t>
      </w:r>
    </w:p>
    <w:p>
      <w:pPr>
        <w:suppressAutoHyphens/>
        <w:autoSpaceDE w:val="0"/>
        <w:autoSpaceDN w:val="0"/>
        <w:adjustRightInd w:val="0"/>
        <w:spacing w:after="0"/>
        <w:rPr>
          <w:noProof/>
        </w:rPr>
      </w:pPr>
    </w:p>
    <w:p>
      <w:pPr>
        <w:suppressAutoHyphens/>
        <w:autoSpaceDE w:val="0"/>
        <w:autoSpaceDN w:val="0"/>
        <w:adjustRightInd w:val="0"/>
        <w:spacing w:after="0"/>
        <w:rPr>
          <w:noProof/>
        </w:rPr>
      </w:pPr>
      <w:r>
        <w:rPr>
          <w:noProof/>
        </w:rPr>
        <w:t xml:space="preserve">El 20 de enero de 2014, EURid, tras llegar a un acuerdo con la Comisión sobre la estrategia más conveniente, presentó una solicitud de reevaluación de la cadena «.ευ» al Panel de Revisión Extendida de Similitudes (EPSRP) y dirigió un escrito a la Junta de ICANN para subrayar su preocupación al respecto y señalar las incoherencias existentes entre el actual plan de aplicación de los ccTLD con IDN y las pautas del EPSRP publicadas por ICANN en noviembre de 2013. La respuesta de ICANN no abordó adecuadamente varias de las cuestiones planteadas. </w:t>
      </w:r>
    </w:p>
    <w:p>
      <w:pPr>
        <w:suppressAutoHyphens/>
        <w:autoSpaceDE w:val="0"/>
        <w:autoSpaceDN w:val="0"/>
        <w:adjustRightInd w:val="0"/>
        <w:spacing w:after="0"/>
        <w:rPr>
          <w:noProof/>
        </w:rPr>
      </w:pPr>
    </w:p>
    <w:p>
      <w:pPr>
        <w:spacing w:before="0" w:after="0"/>
        <w:rPr>
          <w:noProof/>
        </w:rPr>
      </w:pPr>
      <w:r>
        <w:rPr>
          <w:noProof/>
        </w:rPr>
        <w:t xml:space="preserve">Los resultados de la evaluación del EPSRP fueron comunicados a EURid el 10 de octubre de 2014 y publicados en el sitio web de ICANN, con plazo para recibir observaciones hasta el 17 de octubre de 2014. El Panel consideró que «.ευ» no era similar a «.ev» y «.ey» hasta el punto de inducir a confusión, pero sí a «EV» y «EY». Las pautas del panel lingüístico no incluían ningún procedimiento que este debiera aplicar en caso de considerar que una cadena solicitada era similar hasta el punto de inducir a confusión a otra cadena en mayúsculas, pero no en minúsculas. </w:t>
      </w:r>
    </w:p>
    <w:p>
      <w:pPr>
        <w:spacing w:before="0" w:after="0"/>
        <w:rPr>
          <w:noProof/>
        </w:rPr>
      </w:pPr>
    </w:p>
    <w:p>
      <w:pPr>
        <w:spacing w:before="0" w:after="0"/>
        <w:rPr>
          <w:noProof/>
        </w:rPr>
      </w:pPr>
      <w:r>
        <w:rPr>
          <w:noProof/>
        </w:rPr>
        <w:t>En varias reuniones con ICANN, los representantes de la Comisión y de EURid pusieron de relieve la debilidad y superficialidad de todo el proceso de evaluación de la similitud de las cadenas, que es extremadamente estricto para el entorno ccTLD, pero mucho más liberal para el nuevo espacio gTLD, en el que solicitudes de cadenas como «.hotel» y «.hotels» o «.car» y «.cars» no se consideraron similares hasta el punto de inducir a confusión y fueron aprobadas. En el momento de redactar el presente informe, la Junta de ICANN ha dado instrucciones al personal de ICANN y al ccNSO para que vuelvan a revisar el proceso acelerado a fin de contar con pautas para los casos de similitud con cadenas en mayúsculas, pero no en minúsculas.</w:t>
      </w:r>
    </w:p>
    <w:p>
      <w:pPr>
        <w:rPr>
          <w:noProof/>
        </w:rPr>
      </w:pPr>
      <w:r>
        <w:rPr>
          <w:noProof/>
        </w:rPr>
        <w:t xml:space="preserve">El multilingüismo está enraizado en los Tratados de la Unión Europea y fomentarlo, promoverlo y facilitarlo es uno de los principios rectores de las instituciones de la UE. A tal efecto, conseguir que el ccTLD «.eu» esté disponible en otros alfabetos europeos constituye un objetivo político importante. </w:t>
      </w:r>
    </w:p>
    <w:p>
      <w:pPr>
        <w:pStyle w:val="ManualHeading1"/>
        <w:rPr>
          <w:noProof/>
        </w:rPr>
      </w:pPr>
      <w:r>
        <w:t>5.</w:t>
      </w:r>
      <w:r>
        <w:tab/>
      </w:r>
      <w:r>
        <w:rPr>
          <w:noProof/>
        </w:rPr>
        <w:t>Funcionamiento del Registro</w:t>
      </w:r>
    </w:p>
    <w:p>
      <w:pPr>
        <w:pStyle w:val="ManualHeading2"/>
        <w:rPr>
          <w:noProof/>
        </w:rPr>
      </w:pPr>
      <w:r>
        <w:t>5.1.</w:t>
      </w:r>
      <w:r>
        <w:tab/>
      </w:r>
      <w:r>
        <w:rPr>
          <w:noProof/>
        </w:rPr>
        <w:t>El Registro</w:t>
      </w:r>
    </w:p>
    <w:p>
      <w:pPr>
        <w:autoSpaceDE w:val="0"/>
        <w:autoSpaceDN w:val="0"/>
        <w:adjustRightInd w:val="0"/>
        <w:rPr>
          <w:noProof/>
        </w:rPr>
      </w:pPr>
      <w:r>
        <w:rPr>
          <w:noProof/>
        </w:rPr>
        <w:t>EURid es una organización sin ánimo de lucro de alcance europeo con domicilio social en Diegem (Bélgica) y oficinas regionales en Estocolmo, Praga y Pisa. Está formada por dos miembros fundadores: DNS Belgium (el registro de «.be») y el Istituto di Informatica e Telematica (el registro de «.it»), y ocho miembros asociados: ARNES (el registro de «.si»), CZ.NIC (el registro de «.cz»), Business Europe (confederación de 39 federaciones sectoriales de 33 países), ECTA Internet Committee (</w:t>
      </w:r>
      <w:r>
        <w:rPr>
          <w:i/>
          <w:noProof/>
        </w:rPr>
        <w:t>European Community Trademark Association</w:t>
      </w:r>
      <w:r>
        <w:rPr>
          <w:noProof/>
        </w:rPr>
        <w:t>), EMOTA (</w:t>
      </w:r>
      <w:r>
        <w:rPr>
          <w:i/>
          <w:noProof/>
        </w:rPr>
        <w:t>European Multi-channel and Online Trade Association</w:t>
      </w:r>
      <w:r>
        <w:rPr>
          <w:noProof/>
        </w:rPr>
        <w:t>), IAB Europe (</w:t>
      </w:r>
      <w:r>
        <w:rPr>
          <w:i/>
          <w:noProof/>
        </w:rPr>
        <w:t>Interactive Advertising Bureau</w:t>
      </w:r>
      <w:r>
        <w:rPr>
          <w:noProof/>
        </w:rPr>
        <w:t>), CECUA (</w:t>
      </w:r>
      <w:r>
        <w:rPr>
          <w:i/>
          <w:noProof/>
        </w:rPr>
        <w:t>Confederation of European Computer Users</w:t>
      </w:r>
      <w:r>
        <w:rPr>
          <w:noProof/>
        </w:rPr>
        <w:t>) y UEAPME (</w:t>
      </w:r>
      <w:r>
        <w:rPr>
          <w:rStyle w:val="st"/>
          <w:i/>
          <w:noProof/>
        </w:rPr>
        <w:t>European Association of Craft, Small and Medium-sized Enterprises</w:t>
      </w:r>
      <w:r>
        <w:rPr>
          <w:noProof/>
        </w:rPr>
        <w:t>). Los servidores principales de EURid están ubicados en Bélgica (Bruselas) y en los Países Bajos (Amsterdam).</w:t>
      </w:r>
    </w:p>
    <w:p>
      <w:pPr>
        <w:pStyle w:val="ManualHeading2"/>
        <w:rPr>
          <w:noProof/>
        </w:rPr>
      </w:pPr>
      <w:r>
        <w:t>5.2.</w:t>
      </w:r>
      <w:r>
        <w:tab/>
      </w:r>
      <w:r>
        <w:rPr>
          <w:noProof/>
        </w:rPr>
        <w:t>Relaciones con los registradores</w:t>
      </w:r>
    </w:p>
    <w:p>
      <w:pPr>
        <w:rPr>
          <w:noProof/>
        </w:rPr>
      </w:pPr>
      <w:r>
        <w:rPr>
          <w:noProof/>
        </w:rPr>
        <w:t>Por ley, el Registro «.eu» no actúa directamente como registrador</w:t>
      </w:r>
      <w:r>
        <w:rPr>
          <w:rStyle w:val="FootnoteReference"/>
          <w:noProof/>
        </w:rPr>
        <w:footnoteReference w:id="9"/>
      </w:r>
      <w:r>
        <w:rPr>
          <w:noProof/>
        </w:rPr>
        <w:t>. La prioridad máxima de EURid sigue siendo la prestación de un servicio de calidad a sus 751 registradores acreditados. EURid evalúa periódicamente la satisfacción de los registradores del dominio «.eu». La última encuesta de satisfacción entre ellos se llevó a cabo en el cuarto trimestre de 2013 y primero de 2014. Respondieron 103 de los 176 registradores principales de EURid. El 97 % se mostró satisfecho o extremadamente satisfecho.</w:t>
      </w:r>
    </w:p>
    <w:p>
      <w:pPr>
        <w:rPr>
          <w:noProof/>
        </w:rPr>
      </w:pPr>
      <w:r>
        <w:rPr>
          <w:noProof/>
        </w:rPr>
        <w:t xml:space="preserve">EURid sigue ofreciendo un servicio de ayuda ininterrumpido a sus registradores. </w:t>
      </w:r>
    </w:p>
    <w:p>
      <w:pPr>
        <w:rPr>
          <w:noProof/>
        </w:rPr>
      </w:pPr>
      <w:r>
        <w:rPr>
          <w:noProof/>
        </w:rPr>
        <w:t>El Registro ha lanzado su propia plataforma de registro, que entró en funcionamiento el 15 de septiembre de 2014, después de una comunicación intensa y estructurada con los registradores de «.eu». Con la nueva plataforma de registro, se introdujeron nuevos estatus de nombres de dominio, junto con modificaciones en el servicio de disponibilidad de dominios (DAS), Whois</w:t>
      </w:r>
      <w:r>
        <w:rPr>
          <w:rStyle w:val="FootnoteReference"/>
          <w:noProof/>
        </w:rPr>
        <w:footnoteReference w:id="10"/>
      </w:r>
      <w:r>
        <w:rPr>
          <w:noProof/>
        </w:rPr>
        <w:t>, EPP (</w:t>
      </w:r>
      <w:r>
        <w:rPr>
          <w:i/>
          <w:noProof/>
        </w:rPr>
        <w:t>Extensible Provisioning Protocol</w:t>
      </w:r>
      <w:r>
        <w:rPr>
          <w:noProof/>
        </w:rPr>
        <w:t xml:space="preserve">) y fechas de expiración y renovación de los nombres de dominio. </w:t>
      </w:r>
    </w:p>
    <w:p>
      <w:pPr>
        <w:pStyle w:val="ManualHeading2"/>
        <w:rPr>
          <w:noProof/>
        </w:rPr>
      </w:pPr>
      <w:r>
        <w:t>5.3.</w:t>
      </w:r>
      <w:r>
        <w:tab/>
      </w:r>
      <w:r>
        <w:rPr>
          <w:noProof/>
        </w:rPr>
        <w:t>Relaciones internacionales</w:t>
      </w:r>
    </w:p>
    <w:p>
      <w:pPr>
        <w:rPr>
          <w:noProof/>
        </w:rPr>
      </w:pPr>
      <w:r>
        <w:rPr>
          <w:noProof/>
        </w:rPr>
        <w:t>En el período de referencia, EURid participó con regularidad y de manera proactiva en el ecosistema de Internet. Cabe citar la participación proactiva en las reuniones y seminarios del CENTR (</w:t>
      </w:r>
      <w:r>
        <w:rPr>
          <w:i/>
          <w:noProof/>
        </w:rPr>
        <w:t>Council of European National Top Level Domain Registries</w:t>
      </w:r>
      <w:r>
        <w:rPr>
          <w:noProof/>
        </w:rPr>
        <w:t xml:space="preserve">); la presidencia del grupo de trabajo CENTR-IGF que condujo al éxito en la presentación de los seminarios de las organizaciones regionales en la reuniones anuales del IGF de 2013 y 2014; la participación en reuniones de ICANN, así como en los grupos de trabajo de la ccNSO sobre el proceso de desarrollo de políticas de IDN; la presidencia del grupo de trabajo sobre estrategia y plan operativo de la ccNSO de ICANN desde 2014; la colaboración con la UNESCO; la cooperación con ICANN para difundir las mejores prácticas de EURid entre los registros y registradores de Oriente Próximo; y las clases anuales sobre gobernanza de Internet en el Colegio de Europa en Brujas y en la Scuola S. Anna en Pisa. Desde marzo de 2014, representantes de EURid han participado también activamente en los procesos de transición de la custodia de IANA y de rendición de cuentas de ICANN. </w:t>
      </w:r>
    </w:p>
    <w:p>
      <w:pPr>
        <w:pStyle w:val="ManualHeading2"/>
        <w:rPr>
          <w:noProof/>
        </w:rPr>
      </w:pPr>
      <w:r>
        <w:t>5.4.</w:t>
      </w:r>
      <w:r>
        <w:tab/>
      </w:r>
      <w:r>
        <w:rPr>
          <w:noProof/>
        </w:rPr>
        <w:t>Actividades de mercadotecnia y sensibilización</w:t>
      </w:r>
    </w:p>
    <w:p>
      <w:pPr>
        <w:rPr>
          <w:noProof/>
        </w:rPr>
      </w:pPr>
      <w:r>
        <w:rPr>
          <w:noProof/>
        </w:rPr>
        <w:t>A lo largo de los dos últimos años, EURid ha llevado a cabo múltiples actividades de mercadotecnia a dos niveles:</w:t>
      </w:r>
    </w:p>
    <w:p>
      <w:pPr>
        <w:numPr>
          <w:ilvl w:val="0"/>
          <w:numId w:val="32"/>
        </w:numPr>
        <w:rPr>
          <w:noProof/>
        </w:rPr>
      </w:pPr>
      <w:r>
        <w:rPr>
          <w:noProof/>
        </w:rPr>
        <w:t>Estableciendo una sólida asociación con sus registradores para promover el TLD «.eu» a través del programa de mercadotecnia cofinanciada y otros sistemas de incentivos. Con arreglo al programa, el Registro deposita 0,75 EUR por cada nombre de dominio «.eu» nuevo y 0,30 EUR por cada renovación en una cuenta de mercadotecnia cofinanciada creada para cada registrador. En 2013 y 2014, se presentaron respectivamente 94 y 86 propuestas de diversos tipos. El programa está obteniendo un éxito creciente entre los registradores, y ha sido imitado por otros registros. En 2013, recibió el premio CENTR a la mejor acción de mercadotecnia de un registro.</w:t>
      </w:r>
    </w:p>
    <w:p>
      <w:pPr>
        <w:numPr>
          <w:ilvl w:val="0"/>
          <w:numId w:val="32"/>
        </w:numPr>
        <w:rPr>
          <w:noProof/>
        </w:rPr>
      </w:pPr>
      <w:r>
        <w:rPr>
          <w:noProof/>
        </w:rPr>
        <w:t xml:space="preserve">Mercadotecnia directa para dar a conocer el dominio «.eu» mediante acciones de publicidad en línea dedicadas y una campaña sistemática de carteles en el aeropuerto de Bruselas con una de las principales embajadoras de EURid, la tenista Flavia Pennetta. Todas las campañas apuntan al sitio web dedicado a la mercadotecnia del Registro (ambitionhasanaddress.eurid.eu), donde los usuarios de Internet pueden contemplar testimonios de empresas y particulares que han elegido un nombre de dominio «.eu» para la presentación en línea de ellos mismos o de sus productos. </w:t>
      </w:r>
    </w:p>
    <w:p>
      <w:pPr>
        <w:rPr>
          <w:noProof/>
        </w:rPr>
      </w:pPr>
      <w:r>
        <w:rPr>
          <w:noProof/>
        </w:rPr>
        <w:t>En 2014, EURid puso en marcha los «.eu Web Awards» para premiar los mejores sitios web de «.eu» en cinco categorías. La ceremonia de entrega de premios, celebrada en Bruselas el 19 de noviembre de 2014, constituyó un éxito publicitario importante para «.eu». Ante el éxito conseguido, el Registro está organizando una segunda edición.</w:t>
      </w:r>
    </w:p>
    <w:p>
      <w:pPr>
        <w:pStyle w:val="ManualHeading2"/>
        <w:rPr>
          <w:noProof/>
        </w:rPr>
      </w:pPr>
      <w:r>
        <w:t>5.5.</w:t>
      </w:r>
      <w:r>
        <w:tab/>
      </w:r>
      <w:r>
        <w:rPr>
          <w:noProof/>
        </w:rPr>
        <w:t>Situación financiera</w:t>
      </w:r>
    </w:p>
    <w:p>
      <w:pPr>
        <w:rPr>
          <w:noProof/>
        </w:rPr>
      </w:pPr>
      <w:r>
        <w:rPr>
          <w:noProof/>
        </w:rPr>
        <w:t>El Registro es una organización externa autónoma, pero la Comisión sigue de cerca su situación financiera, en consonancia con el marco jurídico y en el contrato de concesión de servicios. Un auditor financiero independiente lleva a cabo revisiones contables completas sobre el terreno. La Comisión desempeña su función supervisora mediante revisiones de las observaciones de los auditores, informes financieros trimestrales y anuales, informes de situación trimestrales, propuestas presupuestarias y planes estratégicos y de mercadotecnia. Las cuestiones financieras se debaten sistemáticamente con el Registro en reuniones trimestrales y reuniones a nivel de servicio.</w:t>
      </w:r>
    </w:p>
    <w:p>
      <w:pPr>
        <w:rPr>
          <w:rFonts w:cs="Arial"/>
          <w:noProof/>
        </w:rPr>
      </w:pPr>
      <w:r>
        <w:rPr>
          <w:noProof/>
        </w:rPr>
        <w:t>En los inicios del funcionamiento del TLD «.eu», los ingresos generados por el gran número de registros de dominios resultaron bastante superiores a los costes del Registro. Los superávits anuales consiguientes fueron transferidos al presupuesto de la UE. Con objeto de limitar los superávits y tener en cuenta la disminución de los costes generados por cada nombre de dominio al aumentar el volumen de registros, el Registro ha ido reduciendo gradualmente las diversas tasas aplicadas a los registradores. Desde enero de 2013, con el fin de ajustarse a su obligación contractual de trabajar a costes, el Registro decidió rebajar de 4,00 a 3,75 EUR la tasa de renovación y prórroga de un nombre de dominio.</w:t>
      </w:r>
    </w:p>
    <w:p>
      <w:pPr>
        <w:widowControl w:val="0"/>
        <w:autoSpaceDE w:val="0"/>
        <w:autoSpaceDN w:val="0"/>
        <w:adjustRightInd w:val="0"/>
        <w:spacing w:before="0" w:after="0"/>
        <w:rPr>
          <w:noProof/>
        </w:rPr>
      </w:pPr>
      <w:r>
        <w:rPr>
          <w:noProof/>
        </w:rPr>
        <w:t xml:space="preserve">Los datos financieros esenciales del Registro permanecieron estables en 2013 y 2014, ascendiendo tanto los ingresos como los gastos a 13 millones EUR anuales aproximadamente. En consecuencia, el resultado financiero neto ha sido más equilibrado que en años anteriores, con superávits de 535 017 y 76 953 EUR respectivamente para los ejercicios contables de 2013 y 2014, en beneficio del presupuesto de la Unión Europea. </w:t>
      </w:r>
    </w:p>
    <w:p>
      <w:pPr>
        <w:widowControl w:val="0"/>
        <w:autoSpaceDE w:val="0"/>
        <w:autoSpaceDN w:val="0"/>
        <w:adjustRightInd w:val="0"/>
        <w:spacing w:before="0" w:after="0"/>
        <w:rPr>
          <w:noProof/>
        </w:rPr>
      </w:pPr>
    </w:p>
    <w:p>
      <w:pPr>
        <w:widowControl w:val="0"/>
        <w:autoSpaceDE w:val="0"/>
        <w:autoSpaceDN w:val="0"/>
        <w:adjustRightInd w:val="0"/>
        <w:spacing w:before="0" w:after="0"/>
        <w:rPr>
          <w:noProof/>
        </w:rPr>
      </w:pPr>
      <w:r>
        <w:rPr>
          <w:noProof/>
        </w:rPr>
        <w:t>La Comisión examinó detalladamente las variaciones de los costes presupuestados y reales del Registro, en particular los costes de mercadotecnia (2,8 millones EUR en 2013 y 3,0 millones EUR en 2014)</w:t>
      </w:r>
      <w:r>
        <w:rPr>
          <w:rStyle w:val="FootnoteReference"/>
          <w:noProof/>
        </w:rPr>
        <w:footnoteReference w:id="11"/>
      </w:r>
      <w:r>
        <w:rPr>
          <w:noProof/>
        </w:rPr>
        <w:t xml:space="preserve"> y recursos humanos (4,7 millones EUR en 2013 y 4,4 millones EUR en 2014). El aumento de los gastos de mercadotecnia en 2014 se debió al elevado número de registros y el consiguiente aumento de las contribuciones al fondo de mercadotecnia cofinanciada y a las nuevas iniciativas de sensibilización relacionadas con el acceso de los residentes en Islandia, Liechtenstein y Noruega al registro de dominios «.eu».</w:t>
      </w:r>
    </w:p>
    <w:p>
      <w:pPr>
        <w:widowControl w:val="0"/>
        <w:autoSpaceDE w:val="0"/>
        <w:autoSpaceDN w:val="0"/>
        <w:adjustRightInd w:val="0"/>
        <w:spacing w:before="0" w:after="0"/>
        <w:rPr>
          <w:noProof/>
        </w:rPr>
      </w:pPr>
    </w:p>
    <w:p>
      <w:pPr>
        <w:pStyle w:val="ManualHeading2"/>
        <w:rPr>
          <w:noProof/>
        </w:rPr>
      </w:pPr>
      <w:r>
        <w:t>5.6.</w:t>
      </w:r>
      <w:r>
        <w:tab/>
      </w:r>
      <w:r>
        <w:rPr>
          <w:noProof/>
        </w:rPr>
        <w:t>Continuidad de las actividades, resiliencia y calidad</w:t>
      </w:r>
    </w:p>
    <w:p>
      <w:pPr>
        <w:pStyle w:val="ManualHeading3"/>
        <w:rPr>
          <w:noProof/>
        </w:rPr>
      </w:pPr>
      <w:r>
        <w:t>5.6.1.</w:t>
      </w:r>
      <w:r>
        <w:tab/>
      </w:r>
      <w:r>
        <w:rPr>
          <w:noProof/>
        </w:rPr>
        <w:t>Continuidad de las actividades</w:t>
      </w:r>
    </w:p>
    <w:p>
      <w:pPr>
        <w:widowControl w:val="0"/>
        <w:autoSpaceDE w:val="0"/>
        <w:autoSpaceDN w:val="0"/>
        <w:adjustRightInd w:val="0"/>
        <w:rPr>
          <w:noProof/>
        </w:rPr>
      </w:pPr>
      <w:r>
        <w:rPr>
          <w:noProof/>
        </w:rPr>
        <w:t xml:space="preserve">EURid llevó a cabo un denominado ensayo puntual de recuperación en caso de catástrofe en relación con varios elementos de su infraestructura. El ensayo puso de manifiesto que la redundancia supuesta de los sistemas de telefonía no funcionaba según lo previsto y era necesario aplicar correcciones. Más concretamente, la infraestructura básica de conmutación se comportó correctamente durante un fallo simulado y los servicios siguieron disponibles, los conmutadores frontales que conectan los servidores frontales a los cortafuegos y a Internet se comportaron correctamente durante un traspaso automático controlado, pero algunos servicios quedaron indisponibles debido a que ciertas hipótesis de implementación no funcionaron en la práctica. Se corrigieron las hipótesis y nuevos ensayos pusieron de manifiesto que el traspaso automático funcionaba según lo previsto. </w:t>
      </w:r>
    </w:p>
    <w:p>
      <w:pPr>
        <w:widowControl w:val="0"/>
        <w:autoSpaceDE w:val="0"/>
        <w:autoSpaceDN w:val="0"/>
        <w:adjustRightInd w:val="0"/>
        <w:rPr>
          <w:noProof/>
        </w:rPr>
      </w:pPr>
      <w:r>
        <w:rPr>
          <w:noProof/>
        </w:rPr>
        <w:t xml:space="preserve">En 2014 se reescribió por completo el </w:t>
      </w:r>
      <w:r>
        <w:rPr>
          <w:i/>
          <w:noProof/>
        </w:rPr>
        <w:t>software</w:t>
      </w:r>
      <w:r>
        <w:rPr>
          <w:noProof/>
        </w:rPr>
        <w:t xml:space="preserve"> de registro, pasando a producción en septiembre de ese año. En diciembre tuvo lugar un ejercicio auditado de plan de continuidad de las actividades (BCP). El ensayo se realizó el 16 de diciembre y fue auditado por PwC, que llegó a la conclusión de que «todos los ensayos relacionados con el ámbito de aplicación del ensayo BCP ejecutados durante las diferentes franjas horarias dieron resultados satisfactorios». </w:t>
      </w:r>
    </w:p>
    <w:p>
      <w:pPr>
        <w:pStyle w:val="ManualHeading3"/>
        <w:rPr>
          <w:noProof/>
        </w:rPr>
      </w:pPr>
      <w:r>
        <w:t>5.6.2.</w:t>
      </w:r>
      <w:r>
        <w:tab/>
      </w:r>
      <w:r>
        <w:rPr>
          <w:noProof/>
        </w:rPr>
        <w:t>Seguridad</w:t>
      </w:r>
    </w:p>
    <w:p>
      <w:pPr>
        <w:rPr>
          <w:rFonts w:cs="Arial"/>
          <w:noProof/>
          <w:szCs w:val="20"/>
        </w:rPr>
      </w:pPr>
      <w:r>
        <w:rPr>
          <w:noProof/>
        </w:rPr>
        <w:t>En septiembre de 2010, EURid completó la implementación del protocolo de extensiones de seguridad del sistema de nombres de dominio (DNSSEC) para el TLD «.eu». DNSSEC es un protocolo que permite verificar la autenticidad de las respuestas de los servidores de nombres mostrados (sitios web) hasta la zona raíz de Internet en lo que se denomina una «cadena de confianza». Está pensado para proteger a los usuarios de Internet de la falsificación de datos del DNS, pero solo se puede aprovechar íntegramente su potencial si todas las zonas del árbol jerárquico del DNS están firmadas. En 2013 se introdujo un descuento por DNSSEC (0,02 EUR de reducción mensual en el precio del nombre de dominio por cada nombre de dominio correctamente firmado) para impulsar aún más la implantación de DNSSEC entre los registradores.</w:t>
      </w:r>
    </w:p>
    <w:p>
      <w:pPr>
        <w:pStyle w:val="ManualHeading3"/>
        <w:rPr>
          <w:noProof/>
        </w:rPr>
      </w:pPr>
      <w:r>
        <w:t>5.6.3.</w:t>
      </w:r>
      <w:r>
        <w:tab/>
      </w:r>
      <w:r>
        <w:rPr>
          <w:noProof/>
        </w:rPr>
        <w:t>Plan de calidad Whois</w:t>
      </w:r>
    </w:p>
    <w:p>
      <w:pPr>
        <w:rPr>
          <w:noProof/>
        </w:rPr>
      </w:pPr>
      <w:r>
        <w:rPr>
          <w:noProof/>
        </w:rPr>
        <w:t>EURid aplica cotidianamente medidas para contrarrestar la suplantación de identidad y otros tipos de comportamientos maliciosos en línea. En particular, se comprueba que los nombres de dominio cumplen los criterios de admisibilidad y se analizan los registros nuevos para detectar patrones sospechosos u otras anomalías.</w:t>
      </w:r>
    </w:p>
    <w:p>
      <w:pPr>
        <w:autoSpaceDE w:val="0"/>
        <w:autoSpaceDN w:val="0"/>
        <w:adjustRightInd w:val="0"/>
        <w:rPr>
          <w:noProof/>
        </w:rPr>
      </w:pPr>
      <w:r>
        <w:rPr>
          <w:noProof/>
        </w:rPr>
        <w:t xml:space="preserve">De conformidad con el artículo 4 del acuerdo de acreditación de los registradores de «.eu», estos deben garantizar que cada titular de nombre de dominio cumple los Reglamentos de la UE (en su versión modificada), la política de registro en «.eu» y las condiciones asociadas a «.eu», publicadas en el sitio web del Registro. </w:t>
      </w:r>
    </w:p>
    <w:p>
      <w:pPr>
        <w:autoSpaceDE w:val="0"/>
        <w:autoSpaceDN w:val="0"/>
        <w:adjustRightInd w:val="0"/>
        <w:rPr>
          <w:noProof/>
        </w:rPr>
      </w:pPr>
      <w:r>
        <w:rPr>
          <w:noProof/>
        </w:rPr>
        <w:t>Desde 2013, EURid ha tratado de mejorar la calidad de los datos Whois de «.eu» y ha instado a los registradores a cumplir sus obligaciones contractuales de forma cooperativa. A tal efecto, el Registro puso en marcha el proyecto de plan de calidad Whois para verificar la base de datos Whois y corregir eventuales inexactitudes.</w:t>
      </w:r>
    </w:p>
    <w:p>
      <w:pPr>
        <w:pStyle w:val="ManualHeading2"/>
        <w:rPr>
          <w:noProof/>
        </w:rPr>
      </w:pPr>
      <w:r>
        <w:t>5.7.</w:t>
      </w:r>
      <w:r>
        <w:tab/>
      </w:r>
      <w:r>
        <w:rPr>
          <w:noProof/>
        </w:rPr>
        <w:t>Auditoría y comprobación técnica del Registro en 2013</w:t>
      </w:r>
    </w:p>
    <w:p>
      <w:pPr>
        <w:pStyle w:val="Text1"/>
        <w:ind w:left="0"/>
        <w:rPr>
          <w:noProof/>
        </w:rPr>
      </w:pPr>
      <w:r>
        <w:rPr>
          <w:noProof/>
        </w:rPr>
        <w:t>Con arreglo a su contrato de concesión de servicios con EURid, la Comisión puede organizar una «auditoría que será llevada a cabo bien por un organismo exterior de su elección o por los propios servicios de la Comisión. El objetivo de dicha auditoría será verificar el cumplimiento del contrato por parte del contratista».</w:t>
      </w:r>
    </w:p>
    <w:p>
      <w:pPr>
        <w:pStyle w:val="Text1"/>
        <w:ind w:left="0"/>
        <w:rPr>
          <w:noProof/>
        </w:rPr>
      </w:pPr>
      <w:r>
        <w:rPr>
          <w:noProof/>
        </w:rPr>
        <w:t xml:space="preserve">La Comisión llevó a cabo una auditoría entre el tercer y el cuarto trimestre de 2013. Sobre la base de los resultados de dicha auditoría y de la comprobación técnica, los servicios de la Comisión consideraron que el administrador del Registro (EURid asbl/vzw) cumplía lo establecido en el contrato de concesión de servicios en relación con la organización, administración y gestión del TLD «.eu». </w:t>
      </w:r>
    </w:p>
    <w:p>
      <w:pPr>
        <w:pStyle w:val="Text1"/>
        <w:ind w:left="0"/>
        <w:rPr>
          <w:noProof/>
        </w:rPr>
      </w:pPr>
      <w:r>
        <w:rPr>
          <w:noProof/>
        </w:rPr>
        <w:t>Al mismo tiempo, los auditores detectaron una serie de aspectos susceptibles de mejora, en particular:</w:t>
      </w:r>
    </w:p>
    <w:p>
      <w:pPr>
        <w:pStyle w:val="Text1"/>
        <w:numPr>
          <w:ilvl w:val="0"/>
          <w:numId w:val="33"/>
        </w:numPr>
        <w:rPr>
          <w:noProof/>
        </w:rPr>
      </w:pPr>
      <w:r>
        <w:rPr>
          <w:noProof/>
        </w:rPr>
        <w:t xml:space="preserve">establecer una política interna efectiva sobre conflictos de intereses (EURid ya disponía de ella, pero fue luego precisada y reforzada); </w:t>
      </w:r>
    </w:p>
    <w:p>
      <w:pPr>
        <w:pStyle w:val="Text1"/>
        <w:numPr>
          <w:ilvl w:val="0"/>
          <w:numId w:val="33"/>
        </w:numPr>
        <w:rPr>
          <w:noProof/>
        </w:rPr>
      </w:pPr>
      <w:r>
        <w:rPr>
          <w:noProof/>
        </w:rPr>
        <w:t xml:space="preserve">evaluar la necesidad de contar con filiales en otros tres Estados miembros (se trataba de una obligación exigida en el marco del contrato de concesión de servicios original; EURid ya se había comprometido a evaluar el valor de las filiales al responder a la convocatoria de manifestaciones de interés de 2013 para la selección del Registro del TLD «.eu»); </w:t>
      </w:r>
    </w:p>
    <w:p>
      <w:pPr>
        <w:pStyle w:val="Text1"/>
        <w:numPr>
          <w:ilvl w:val="0"/>
          <w:numId w:val="33"/>
        </w:numPr>
        <w:rPr>
          <w:noProof/>
        </w:rPr>
      </w:pPr>
      <w:r>
        <w:rPr>
          <w:noProof/>
        </w:rPr>
        <w:t xml:space="preserve">introducir una política formal de contratación (posteriormente a la auditoría, EURid ha hecho oficial y obligatorio su procedimiento interno para los gastos situados por encima de un umbral específico); </w:t>
      </w:r>
    </w:p>
    <w:p>
      <w:pPr>
        <w:pStyle w:val="Text1"/>
        <w:numPr>
          <w:ilvl w:val="0"/>
          <w:numId w:val="33"/>
        </w:numPr>
        <w:rPr>
          <w:noProof/>
        </w:rPr>
      </w:pPr>
      <w:r>
        <w:rPr>
          <w:noProof/>
        </w:rPr>
        <w:t>realizar revisiones periódicas del proceso de constitución de reservas (EURid está efectuándolo sobre una base anual en estrecha cooperación con los servicios de la Comisión).</w:t>
      </w:r>
    </w:p>
    <w:p>
      <w:pPr>
        <w:pStyle w:val="ManualHeading2"/>
        <w:rPr>
          <w:noProof/>
        </w:rPr>
      </w:pPr>
      <w:r>
        <w:t>5.8.</w:t>
      </w:r>
      <w:r>
        <w:tab/>
      </w:r>
      <w:r>
        <w:rPr>
          <w:noProof/>
        </w:rPr>
        <w:t>Acciones judiciales y litigios en relación con los nombres de dominio</w:t>
      </w:r>
    </w:p>
    <w:p>
      <w:pPr>
        <w:pStyle w:val="ManualHeading3"/>
        <w:rPr>
          <w:noProof/>
        </w:rPr>
      </w:pPr>
      <w:r>
        <w:t>5.8.1.</w:t>
      </w:r>
      <w:r>
        <w:tab/>
      </w:r>
      <w:r>
        <w:rPr>
          <w:noProof/>
        </w:rPr>
        <w:t>Asuntos sometidos al Tribunal General y al Tribunal de Justicia de la Unión Europea</w:t>
      </w:r>
    </w:p>
    <w:p>
      <w:pPr>
        <w:spacing w:before="100" w:beforeAutospacing="1" w:after="100" w:afterAutospacing="1"/>
        <w:rPr>
          <w:noProof/>
        </w:rPr>
      </w:pPr>
      <w:r>
        <w:rPr>
          <w:noProof/>
          <w:u w:val="single"/>
        </w:rPr>
        <w:t>Tribunal General</w:t>
      </w:r>
      <w:r>
        <w:rPr>
          <w:noProof/>
        </w:rPr>
        <w:t>: ninguno.</w:t>
      </w:r>
    </w:p>
    <w:p>
      <w:pPr>
        <w:spacing w:before="100" w:beforeAutospacing="1" w:after="100" w:afterAutospacing="1"/>
        <w:rPr>
          <w:noProof/>
        </w:rPr>
      </w:pPr>
      <w:r>
        <w:rPr>
          <w:noProof/>
          <w:u w:val="single"/>
        </w:rPr>
        <w:t>Tribunal de Justicia de la Unión Europea (TJUE)</w:t>
      </w:r>
      <w:r>
        <w:rPr>
          <w:noProof/>
        </w:rPr>
        <w:t>: una cuestión prejudicial.</w:t>
      </w:r>
    </w:p>
    <w:p>
      <w:pPr>
        <w:spacing w:before="100" w:beforeAutospacing="1" w:after="100" w:afterAutospacing="1"/>
        <w:rPr>
          <w:noProof/>
        </w:rPr>
      </w:pPr>
      <w:r>
        <w:rPr>
          <w:noProof/>
        </w:rPr>
        <w:t xml:space="preserve">En 2011, el Tribunal de Apelación de Bruselas sometió el asunto </w:t>
      </w:r>
      <w:hyperlink r:id="rId16">
        <w:r>
          <w:rPr>
            <w:rStyle w:val="Hyperlink"/>
            <w:noProof/>
          </w:rPr>
          <w:t>lensworld.eu</w:t>
        </w:r>
      </w:hyperlink>
      <w:r>
        <w:rPr>
          <w:noProof/>
        </w:rPr>
        <w:t xml:space="preserve"> (Pie Optiek/Bureau Gevers) al TJUE como cuestión prejudicial. </w:t>
      </w:r>
    </w:p>
    <w:p>
      <w:pPr>
        <w:spacing w:before="100" w:beforeAutospacing="1" w:after="100" w:afterAutospacing="1"/>
        <w:rPr>
          <w:noProof/>
        </w:rPr>
      </w:pPr>
      <w:r>
        <w:rPr>
          <w:noProof/>
        </w:rPr>
        <w:t>La sentencia del TJUE se dictó el 19 de julio de 2012. El Tribunal de Apelación emitió su decisión final el 3 de octubre de 2013, desestimando por inadmisible la alegación de Pie Optiek contra EURid. El Tribunal llegó a la conclusión de que Gevers había cometido un error y le obligó a abonar 70 000 EUR a Pie Optiek por daños y perjuicios, principalmente en razón de los costes judiciales.</w:t>
      </w:r>
    </w:p>
    <w:p>
      <w:pPr>
        <w:rPr>
          <w:noProof/>
        </w:rPr>
      </w:pPr>
      <w:r>
        <w:rPr>
          <w:noProof/>
        </w:rPr>
        <w:t>No se presentó recurso, con lo cual la sentencia del Tribunal de Apelación de Bruselas pasó a ser definitiva.</w:t>
      </w:r>
    </w:p>
    <w:p>
      <w:pPr>
        <w:pStyle w:val="ManualHeading3"/>
        <w:rPr>
          <w:noProof/>
        </w:rPr>
      </w:pPr>
      <w:r>
        <w:t>5.8.2.</w:t>
      </w:r>
      <w:r>
        <w:tab/>
      </w:r>
      <w:r>
        <w:rPr>
          <w:noProof/>
        </w:rPr>
        <w:t>Procedimiento alternativo de solución de controversias</w:t>
      </w:r>
    </w:p>
    <w:p>
      <w:pPr>
        <w:spacing w:before="100" w:beforeAutospacing="1" w:after="100" w:afterAutospacing="1"/>
        <w:rPr>
          <w:noProof/>
        </w:rPr>
      </w:pPr>
      <w:r>
        <w:rPr>
          <w:noProof/>
        </w:rPr>
        <w:t>Las controversias entre los titulares de nombres de dominio de «.eu», así como las reclamaciones contra las decisiones de su Registro, pueden ser sometidas a un proveedor de servicios de solución alternativa de controversias</w:t>
      </w:r>
      <w:bookmarkStart w:id="2" w:name="_ftnref1"/>
      <w:bookmarkEnd w:id="2"/>
      <w:r>
        <w:rPr>
          <w:noProof/>
        </w:rPr>
        <w:t>, que es el Tribunal de Arbitraje Checo (CAC)</w:t>
      </w:r>
      <w:bookmarkStart w:id="3" w:name="_ftnref2"/>
      <w:bookmarkEnd w:id="3"/>
      <w:r>
        <w:rPr>
          <w:noProof/>
        </w:rPr>
        <w:t>.</w:t>
      </w:r>
    </w:p>
    <w:p>
      <w:pPr>
        <w:spacing w:before="100" w:beforeAutospacing="1" w:after="100" w:afterAutospacing="1"/>
        <w:rPr>
          <w:noProof/>
        </w:rPr>
      </w:pPr>
      <w:r>
        <w:rPr>
          <w:noProof/>
        </w:rPr>
        <w:t>El procedimiento alternativo se aplica sin perjuicio de eventuales acciones judiciales. Las reclamaciones pueden presentarse en línea en cualquier lengua oficial de la UE</w:t>
      </w:r>
      <w:r>
        <w:rPr>
          <w:rStyle w:val="FootnoteReference"/>
          <w:noProof/>
        </w:rPr>
        <w:footnoteReference w:id="12"/>
      </w:r>
      <w:r>
        <w:rPr>
          <w:noProof/>
        </w:rPr>
        <w:t>.</w:t>
      </w:r>
    </w:p>
    <w:p>
      <w:pPr>
        <w:pStyle w:val="Intro"/>
        <w:spacing w:after="0" w:line="240" w:lineRule="auto"/>
        <w:jc w:val="both"/>
        <w:rPr>
          <w:rFonts w:ascii="Times New Roman" w:hAnsi="Times New Roman"/>
          <w:b w:val="0"/>
          <w:noProof/>
          <w:color w:val="auto"/>
          <w:sz w:val="24"/>
          <w:szCs w:val="24"/>
          <w:u w:val="single"/>
        </w:rPr>
      </w:pPr>
    </w:p>
    <w:p>
      <w:pPr>
        <w:pStyle w:val="Intro"/>
        <w:spacing w:after="0" w:line="240" w:lineRule="auto"/>
        <w:jc w:val="both"/>
        <w:rPr>
          <w:rFonts w:ascii="Times New Roman" w:hAnsi="Times New Roman"/>
          <w:b w:val="0"/>
          <w:noProof/>
          <w:color w:val="auto"/>
          <w:sz w:val="24"/>
          <w:szCs w:val="24"/>
          <w:u w:val="single"/>
        </w:rPr>
      </w:pPr>
      <w:r>
        <w:rPr>
          <w:rFonts w:ascii="Times New Roman" w:hAnsi="Times New Roman"/>
          <w:b w:val="0"/>
          <w:noProof/>
          <w:color w:val="auto"/>
          <w:sz w:val="24"/>
          <w:u w:val="single"/>
        </w:rPr>
        <w:t xml:space="preserve">Procedimiento alternativo contra EURid relativo a los nombres de dominio de un solo carácter </w:t>
      </w:r>
    </w:p>
    <w:p>
      <w:pPr>
        <w:tabs>
          <w:tab w:val="left" w:pos="567"/>
        </w:tabs>
        <w:rPr>
          <w:noProof/>
        </w:rPr>
      </w:pPr>
      <w:r>
        <w:rPr>
          <w:noProof/>
        </w:rPr>
        <w:t xml:space="preserve">Se inició contra EURid el procedimiento alternativo 06814, relacionado con los nombres de dominio «e.eu», «f.eu», e «y.eu». Con arreglo a la normativa aplicable, un nombre de dominio «.eu» debe contener al menos dos caracteres. </w:t>
      </w:r>
    </w:p>
    <w:p>
      <w:pPr>
        <w:tabs>
          <w:tab w:val="left" w:pos="567"/>
        </w:tabs>
        <w:rPr>
          <w:noProof/>
        </w:rPr>
      </w:pPr>
      <w:r>
        <w:rPr>
          <w:noProof/>
        </w:rPr>
        <w:t xml:space="preserve">El reclamante impugnaba el rechazo por EURid de las solicitudes de registro. </w:t>
      </w:r>
    </w:p>
    <w:p>
      <w:pPr>
        <w:tabs>
          <w:tab w:val="left" w:pos="567"/>
        </w:tabs>
        <w:rPr>
          <w:noProof/>
        </w:rPr>
      </w:pPr>
      <w:r>
        <w:rPr>
          <w:noProof/>
        </w:rPr>
        <w:t>En su decisión de 18 de noviembre de 2014, el integrante único del panel desestimó la reclamación. El demandante no interpuso recurso y el caso quedó cerrado.</w:t>
      </w:r>
    </w:p>
    <w:p>
      <w:pPr>
        <w:pStyle w:val="Intro"/>
        <w:spacing w:after="0" w:line="240" w:lineRule="auto"/>
        <w:jc w:val="both"/>
        <w:rPr>
          <w:rFonts w:ascii="Times New Roman" w:hAnsi="Times New Roman"/>
          <w:b w:val="0"/>
          <w:noProof/>
          <w:color w:val="auto"/>
          <w:sz w:val="24"/>
          <w:szCs w:val="24"/>
          <w:u w:val="single"/>
        </w:rPr>
      </w:pPr>
    </w:p>
    <w:p>
      <w:pPr>
        <w:pStyle w:val="Intro"/>
        <w:spacing w:after="0" w:line="240" w:lineRule="auto"/>
        <w:jc w:val="both"/>
        <w:rPr>
          <w:rFonts w:ascii="Times New Roman" w:hAnsi="Times New Roman"/>
          <w:b w:val="0"/>
          <w:noProof/>
          <w:color w:val="auto"/>
          <w:sz w:val="24"/>
          <w:szCs w:val="24"/>
          <w:u w:val="single"/>
        </w:rPr>
      </w:pPr>
      <w:r>
        <w:rPr>
          <w:rFonts w:ascii="Times New Roman" w:hAnsi="Times New Roman"/>
          <w:b w:val="0"/>
          <w:noProof/>
          <w:color w:val="auto"/>
          <w:sz w:val="24"/>
          <w:u w:val="single"/>
        </w:rPr>
        <w:t>Reducción de las tasas del procedimiento alternativo (acuerdo entre el CAC y EURid)</w:t>
      </w:r>
    </w:p>
    <w:p>
      <w:pPr>
        <w:spacing w:before="100" w:beforeAutospacing="1" w:after="100" w:afterAutospacing="1"/>
        <w:rPr>
          <w:noProof/>
        </w:rPr>
      </w:pPr>
      <w:r>
        <w:rPr>
          <w:noProof/>
        </w:rPr>
        <w:t xml:space="preserve">El 27 de junio de 2012, el CAC y EURid anunciaron una reducción especial de las tasas para que el procedimiento alternativo de solución de controversias con respecto a «.eu» resultase todavía más asequible. </w:t>
      </w:r>
    </w:p>
    <w:p>
      <w:pPr>
        <w:spacing w:before="100" w:beforeAutospacing="1" w:after="100" w:afterAutospacing="1"/>
        <w:rPr>
          <w:noProof/>
        </w:rPr>
      </w:pPr>
      <w:r>
        <w:rPr>
          <w:noProof/>
        </w:rPr>
        <w:t>La tasa de 1 300 EUR para un procedimiento básico, es decir, un litigio sobre uno a cinco nombres de dominio ante un panel con un único integrante, se redujo en 700 EUR, con arreglo a una nueva estructura de precios válida para un período de seis meses a partir del 1 de julio de 2012. Dichas tasas se redujeron aún más en 2014, llegando a 1 000 EUR la reducción total por la presentación de una reclamación con arreglo al procedimiento alternativo a partir del 1 de enero de 2015.</w:t>
      </w:r>
      <w:r>
        <w:rPr>
          <w:i/>
          <w:noProof/>
        </w:rPr>
        <w:t xml:space="preserve"> </w:t>
      </w:r>
      <w:r>
        <w:rPr>
          <w:noProof/>
        </w:rPr>
        <w:t>La reducción de 1 000 EUR se aplica a cada denuncia formulada, con independencia del número de nombres de dominio objeto de litigio y del tipo de panel solicitado.</w:t>
      </w:r>
    </w:p>
    <w:p>
      <w:pPr>
        <w:pStyle w:val="ManualHeading3"/>
        <w:rPr>
          <w:noProof/>
        </w:rPr>
      </w:pPr>
      <w:r>
        <w:t>5.8.3.</w:t>
      </w:r>
      <w:r>
        <w:tab/>
      </w:r>
      <w:r>
        <w:rPr>
          <w:noProof/>
        </w:rPr>
        <w:t>Otros procedimientos judiciales</w:t>
      </w:r>
    </w:p>
    <w:p>
      <w:pPr>
        <w:spacing w:before="100" w:beforeAutospacing="1" w:after="100" w:afterAutospacing="1"/>
        <w:rPr>
          <w:noProof/>
        </w:rPr>
      </w:pPr>
      <w:r>
        <w:rPr>
          <w:noProof/>
        </w:rPr>
        <w:t>En el período de referencia, EURid ha sido parte en los siguientes asuntos:</w:t>
      </w:r>
      <w:bookmarkStart w:id="4" w:name="_ftn1"/>
      <w:bookmarkEnd w:id="4"/>
    </w:p>
    <w:p>
      <w:pPr>
        <w:rPr>
          <w:rFonts w:eastAsia="MS Gothic"/>
          <w:bCs/>
          <w:noProof/>
          <w:u w:val="single"/>
        </w:rPr>
      </w:pPr>
      <w:r>
        <w:rPr>
          <w:noProof/>
          <w:u w:val="single"/>
        </w:rPr>
        <w:t>Depmarc</w:t>
      </w:r>
    </w:p>
    <w:p>
      <w:pPr>
        <w:rPr>
          <w:noProof/>
        </w:rPr>
      </w:pPr>
      <w:r>
        <w:rPr>
          <w:noProof/>
        </w:rPr>
        <w:t xml:space="preserve">Depmarc impugnó el rechazo por EURid de sus solicitudes del período </w:t>
      </w:r>
      <w:r>
        <w:rPr>
          <w:i/>
          <w:noProof/>
        </w:rPr>
        <w:t>sunrise</w:t>
      </w:r>
      <w:r>
        <w:rPr>
          <w:rStyle w:val="FootnoteReference"/>
          <w:noProof/>
        </w:rPr>
        <w:footnoteReference w:id="13"/>
      </w:r>
      <w:r>
        <w:rPr>
          <w:noProof/>
        </w:rPr>
        <w:t xml:space="preserve"> referidas a 36 nombres de dominio basados en nombres comerciales neerlandeses. El demandante solicitó al Tribunal que ordenase a EURid transferir los nombres de dominio a Depmarc. El asunto se resolvió por medio de un acuerdo transaccional y el 14 de noviembre de 2013 el Tribunal lo declaró cerrado.</w:t>
      </w:r>
    </w:p>
    <w:p>
      <w:pPr>
        <w:rPr>
          <w:noProof/>
        </w:rPr>
      </w:pPr>
      <w:r>
        <w:rPr>
          <w:noProof/>
        </w:rPr>
        <w:t xml:space="preserve">De los 36 nombres de dominio, 30 para los que no existían solicitudes ulteriores aceptadas en la cola de </w:t>
      </w:r>
      <w:r>
        <w:rPr>
          <w:i/>
          <w:noProof/>
        </w:rPr>
        <w:t>sunrise</w:t>
      </w:r>
      <w:r>
        <w:rPr>
          <w:noProof/>
        </w:rPr>
        <w:t xml:space="preserve"> quedaron liberados para su registro general el 11 de marzo de 2014. Los otros 6 nombres de dominio para los que habían sido aceptadas las solicitudes ulteriores en la cola de </w:t>
      </w:r>
      <w:r>
        <w:rPr>
          <w:i/>
          <w:noProof/>
        </w:rPr>
        <w:t>sunrise</w:t>
      </w:r>
      <w:r>
        <w:rPr>
          <w:noProof/>
        </w:rPr>
        <w:t xml:space="preserve"> se han activado en nombre del demandante. </w:t>
      </w:r>
    </w:p>
    <w:p>
      <w:pPr>
        <w:pStyle w:val="Intro"/>
        <w:spacing w:after="0" w:line="240" w:lineRule="auto"/>
        <w:jc w:val="both"/>
        <w:rPr>
          <w:rFonts w:ascii="Times New Roman" w:hAnsi="Times New Roman"/>
          <w:b w:val="0"/>
          <w:noProof/>
          <w:color w:val="auto"/>
          <w:sz w:val="24"/>
          <w:szCs w:val="24"/>
          <w:u w:val="single"/>
        </w:rPr>
      </w:pPr>
      <w:r>
        <w:rPr>
          <w:rFonts w:ascii="Times New Roman" w:hAnsi="Times New Roman"/>
          <w:b w:val="0"/>
          <w:noProof/>
          <w:color w:val="auto"/>
          <w:sz w:val="24"/>
          <w:u w:val="single"/>
        </w:rPr>
        <w:t>Dotace</w:t>
      </w:r>
    </w:p>
    <w:p>
      <w:pPr>
        <w:spacing w:before="240"/>
        <w:rPr>
          <w:noProof/>
        </w:rPr>
      </w:pPr>
      <w:r>
        <w:rPr>
          <w:noProof/>
        </w:rPr>
        <w:t xml:space="preserve">La solicitud </w:t>
      </w:r>
      <w:r>
        <w:rPr>
          <w:i/>
          <w:noProof/>
        </w:rPr>
        <w:t>sunrise</w:t>
      </w:r>
      <w:r>
        <w:rPr>
          <w:noProof/>
        </w:rPr>
        <w:t xml:space="preserve"> de la empresa checa Dotace fue rechazada por el validador (y por EURid) por falta de pruebas suficientes de la existencia de un derecho previo. El CAC, en su correspondiente decisión (asunto 04281), confirmó la denegación por EURid del nombre de dominio «dotace.eu». El solicitante del nombre de dominio interpuso luego recurso ante el Tribunal de Primera Instancia de Bruselas.</w:t>
      </w:r>
    </w:p>
    <w:p>
      <w:pPr>
        <w:rPr>
          <w:noProof/>
        </w:rPr>
      </w:pPr>
      <w:r>
        <w:rPr>
          <w:noProof/>
        </w:rPr>
        <w:t>Al negarse el demandante a firmar un acuerdo transaccional, EURid presentó una demanda por acciones judiciales abusivas para poder reactivar el procedimiento y obtener un resultado final.</w:t>
      </w:r>
    </w:p>
    <w:p>
      <w:pPr>
        <w:rPr>
          <w:noProof/>
          <w:color w:val="000000"/>
        </w:rPr>
      </w:pPr>
      <w:r>
        <w:rPr>
          <w:noProof/>
        </w:rPr>
        <w:t xml:space="preserve">En su sentencia de 24 de octubre de 2014, el Tribunal de Primera Instancia se pronunció sin reservas en favor de EURid. </w:t>
      </w:r>
    </w:p>
    <w:p>
      <w:pPr>
        <w:pStyle w:val="ManualHeading1"/>
        <w:rPr>
          <w:noProof/>
        </w:rPr>
      </w:pPr>
      <w:r>
        <w:t>6.</w:t>
      </w:r>
      <w:r>
        <w:tab/>
      </w:r>
      <w:r>
        <w:rPr>
          <w:noProof/>
        </w:rPr>
        <w:t>Registro EMAS y compensación del CO2</w:t>
      </w:r>
    </w:p>
    <w:p>
      <w:pPr>
        <w:rPr>
          <w:noProof/>
        </w:rPr>
      </w:pPr>
      <w:r>
        <w:rPr>
          <w:noProof/>
        </w:rPr>
        <w:t>El 23 de mayo de 2012, EURid se convirtió en el primer Registro con certificación EMAS</w:t>
      </w:r>
      <w:r>
        <w:rPr>
          <w:rStyle w:val="FootnoteReference"/>
          <w:noProof/>
        </w:rPr>
        <w:footnoteReference w:id="14"/>
      </w:r>
      <w:r>
        <w:rPr>
          <w:noProof/>
        </w:rPr>
        <w:t xml:space="preserve"> de Europa (número de registro BE-VL-000016). La evaluación final de los 9 objetivos y 41 acciones del programa EMAS 2012-2014 puso de manifiesto la consecución del 95 % de los objetivos, incluido el principal: la plena compensación de las emisiones de CO2 de EURid. En el primer trimestre de 2015, tras las auditorías anuales, EURid inició el proceso de renovación de su registro EMAS y de inclusión de su filial de Pisa.</w:t>
      </w:r>
    </w:p>
    <w:p>
      <w:pPr>
        <w:rPr>
          <w:noProof/>
        </w:rPr>
      </w:pPr>
      <w:r>
        <w:rPr>
          <w:noProof/>
        </w:rPr>
        <w:t>Desde 2013, EURid ha validado sus emisiones de CO2 y adquirido créditos certificados de CO2 para compensarlas.</w:t>
      </w:r>
    </w:p>
    <w:p>
      <w:pPr>
        <w:pStyle w:val="ManualHeading1"/>
        <w:rPr>
          <w:noProof/>
        </w:rPr>
      </w:pPr>
      <w:r>
        <w:t>7.</w:t>
      </w:r>
      <w:r>
        <w:tab/>
      </w:r>
      <w:r>
        <w:rPr>
          <w:noProof/>
        </w:rPr>
        <w:t>Conclusiones</w:t>
      </w:r>
    </w:p>
    <w:p>
      <w:pPr>
        <w:rPr>
          <w:noProof/>
        </w:rPr>
      </w:pPr>
      <w:r>
        <w:rPr>
          <w:noProof/>
        </w:rPr>
        <w:t>El modelo del TLD «.eu» ha sido implantado con éxito y funciona con eficacia.</w:t>
      </w:r>
    </w:p>
    <w:p>
      <w:pPr>
        <w:rPr>
          <w:noProof/>
        </w:rPr>
      </w:pPr>
      <w:r>
        <w:rPr>
          <w:noProof/>
        </w:rPr>
        <w:t>A lo largo de los dos últimos años, «.eu» ha consolidado su posición entre los dominios de primer nivel de mayor tamaño y popularidad en Europa y el mundo. Su atractivo no merma, pese al crecimiento continuado, aunque más lento, de los 28 ccTLD de los Estados miembros y a la mayor disponibilidad de gTLD, tendencias a las que el Registro ha podido acomodarse gracias al marchamo de calidad asociado al TLD «.eu».</w:t>
      </w:r>
    </w:p>
    <w:p>
      <w:pPr>
        <w:rPr>
          <w:noProof/>
        </w:rPr>
      </w:pPr>
      <w:r>
        <w:rPr>
          <w:noProof/>
        </w:rPr>
        <w:t>Cinco años después de la solicitud de EURid relativa a la cadena «.eu» en caracteres griegos y cirílicos, ICANN sigue sin autorizar la «.ευ» griega aduciendo su similitud con otras cadenas en mayúsculas hasta el punto de inducir a confusión. La Comisión ha exhortado repetidamente a ICANN a completar este proceso lo antes posible, subrayando que deben formularse reglas que establezcan un procedimiento de solicitud de IDN «permanente», de manera que se eviten demoras injustificadas. Este es uno de los asuntos de interés público que la Comisión seguirá planteando en el Comité Asesor Gubernamental, que asesora sobre política pública a ICANN, así como en otros órganos constitutivos de ICANN.</w:t>
      </w:r>
    </w:p>
    <w:p>
      <w:pPr>
        <w:rPr>
          <w:noProof/>
        </w:rPr>
      </w:pPr>
      <w:r>
        <w:rPr>
          <w:noProof/>
        </w:rPr>
        <w:t>La situación financiera del Registro permaneció estable durante el período de referencia.</w:t>
      </w:r>
    </w:p>
    <w:p>
      <w:pPr>
        <w:rPr>
          <w:noProof/>
        </w:rPr>
      </w:pPr>
      <w:r>
        <w:rPr>
          <w:noProof/>
        </w:rPr>
        <w:t>La Comisión supervisa el uso del procedimiento alternativo de solución de controversias a cargo del CAC, que permite proteger los derechos de los solicitantes en todas las lenguas de la UE. A raíz de las recomendaciones de los auditores, EURid ha reducido las tasas para garantizar una mayor accesibilidad del procedimiento para los particulares y las pymes que tengan motivos para pensar que un tercero ha registrado indebidamente sus nombres en «.eu».</w:t>
      </w:r>
    </w:p>
    <w:p>
      <w:pPr>
        <w:rPr>
          <w:noProof/>
        </w:rPr>
      </w:pPr>
      <w:r>
        <w:rPr>
          <w:noProof/>
        </w:rPr>
        <w:t>El DNS ha experimentado recientemente uno de los cambios más importantes de los dos últimos decenios. Se han lanzado al mercado centenares de nuevos gTLD, creando a veces confusión entre los solicitantes de registro y los registradores. Al mismo tiempo, el advenimiento de las redes sociales ha llevado a cierta disminución del interés por los nombres de dominio, ya que los usuarios finales de Internet más jóvenes y las nuevas empresas dinámicas prefieren comunicar su presencia en línea a través de estas redes, más rápidas.</w:t>
      </w:r>
    </w:p>
    <w:p>
      <w:pPr>
        <w:rPr>
          <w:noProof/>
        </w:rPr>
      </w:pPr>
      <w:r>
        <w:rPr>
          <w:noProof/>
        </w:rPr>
        <w:t xml:space="preserve">El TLD «.eu» y su Registro han demostrado hasta la fecha su capacidad para hacer frente a los desafíos, aunque se espera que en el futuro tengan que desenvolverse en un entorno aún más competitivo. La Comisión sostiene un diálogo sistemático y constructivo con el Registro para investigar y definir posibles formas de hacer frente a la nueva situación del DNS, manteniendo al mismo tiempo un espacio «.eu» seguro, fiable y útil para las partes interesadas actuales y futuras. </w:t>
      </w:r>
    </w:p>
    <w:p>
      <w:pPr>
        <w:rPr>
          <w:noProof/>
        </w:rPr>
      </w:pPr>
    </w:p>
    <w:p>
      <w:pPr>
        <w:rPr>
          <w:b/>
          <w:noProof/>
        </w:rPr>
      </w:pPr>
      <w:r>
        <w:rPr>
          <w:noProof/>
        </w:rPr>
        <w:br w:type="page"/>
      </w:r>
      <w:r>
        <w:rPr>
          <w:b/>
          <w:noProof/>
        </w:rPr>
        <w:t>ANEXOS</w:t>
      </w:r>
    </w:p>
    <w:p>
      <w:pPr>
        <w:rPr>
          <w:noProof/>
        </w:rPr>
      </w:pPr>
      <w:r>
        <w:rPr>
          <w:noProof/>
        </w:rPr>
        <w:br w:type="page"/>
      </w:r>
      <w:r>
        <w:rPr>
          <w:caps/>
          <w:smallCaps/>
          <w:noProof/>
        </w:rPr>
        <w:t xml:space="preserve">Anexo 1: </w:t>
      </w:r>
      <w:r>
        <w:rPr>
          <w:noProof/>
        </w:rPr>
        <w:t>Principales TLD en el mundo a 31 de marzo de 2015</w:t>
      </w:r>
    </w:p>
    <w:p>
      <w:pPr>
        <w:rPr>
          <w:noProof/>
        </w:rPr>
      </w:pPr>
      <w:r>
        <w:rPr>
          <w:noProof/>
        </w:rPr>
        <w:pict>
          <v:shape id="Chart 4" o:spid="_x0000_i1026" type="#_x0000_t75" style="width:328.75pt;height:218.6pt;visibility:visible" o:gfxdata="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">
            <v:imagedata r:id="rId17" o:title=""/>
            <o:lock v:ext="edit" aspectratio="f"/>
          </v:shape>
        </w:pict>
      </w:r>
    </w:p>
    <w:p>
      <w:pPr>
        <w:rPr>
          <w:noProof/>
        </w:rPr>
      </w:pPr>
    </w:p>
    <w:p>
      <w:pPr>
        <w:rPr>
          <w:noProof/>
        </w:rPr>
      </w:pPr>
      <w:r>
        <w:rPr>
          <w:noProof/>
        </w:rPr>
        <w:t xml:space="preserve">Fuente: </w:t>
      </w:r>
      <w:r>
        <w:rPr>
          <w:i/>
          <w:noProof/>
        </w:rPr>
        <w:t>Quarterly Progress Report</w:t>
      </w:r>
      <w:r>
        <w:rPr>
          <w:noProof/>
        </w:rPr>
        <w:t xml:space="preserve"> de EURid, primer trimestre de 2015.</w:t>
      </w:r>
    </w:p>
    <w:p>
      <w:pPr>
        <w:rPr>
          <w:noProof/>
        </w:rPr>
      </w:pPr>
      <w:r>
        <w:rPr>
          <w:noProof/>
        </w:rPr>
        <w:t>ANEXO 2: Nº de registros en «.eu» por trimestre</w:t>
      </w:r>
    </w:p>
    <w:p>
      <w:pPr>
        <w:spacing w:before="0" w:after="0"/>
        <w:jc w:val="left"/>
        <w:rPr>
          <w:noProof/>
        </w:rPr>
      </w:pPr>
      <w:r>
        <w:rPr>
          <w:noProof/>
        </w:rPr>
        <w:pict>
          <v:shape id="Chart 7" o:spid="_x0000_i1027" type="#_x0000_t75" style="width:5in;height:218.6pt;visibility:visible" o:gfxdata="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">
            <v:imagedata r:id="rId18" o:title=""/>
            <o:lock v:ext="edit" aspectratio="f"/>
          </v:shape>
        </w:pict>
      </w:r>
      <w:r>
        <w:rPr>
          <w:noProof/>
        </w:rPr>
        <w:br w:type="page"/>
      </w:r>
    </w:p>
    <w:p>
      <w:pPr>
        <w:rPr>
          <w:noProof/>
        </w:rPr>
      </w:pPr>
      <w:r>
        <w:rPr>
          <w:noProof/>
        </w:rPr>
        <w:t>ANEXO 3: Reclamaciones sometidas al procedimiento alternativo por año</w:t>
      </w:r>
    </w:p>
    <w:p>
      <w:pPr>
        <w:rPr>
          <w:noProof/>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1785"/>
        <w:gridCol w:w="1785"/>
      </w:tblGrid>
      <w:tr>
        <w:tc>
          <w:tcPr>
            <w:tcW w:w="1535" w:type="dxa"/>
            <w:shd w:val="clear" w:color="auto" w:fill="auto"/>
          </w:tcPr>
          <w:p>
            <w:pPr>
              <w:tabs>
                <w:tab w:val="right" w:leader="dot" w:pos="9071"/>
              </w:tabs>
              <w:ind w:left="850" w:hanging="850"/>
              <w:rPr>
                <w:noProof/>
                <w:sz w:val="20"/>
                <w:szCs w:val="20"/>
              </w:rPr>
            </w:pPr>
          </w:p>
        </w:tc>
        <w:tc>
          <w:tcPr>
            <w:tcW w:w="1785" w:type="dxa"/>
            <w:shd w:val="clear" w:color="auto" w:fill="auto"/>
          </w:tcPr>
          <w:p>
            <w:pPr>
              <w:tabs>
                <w:tab w:val="right" w:leader="dot" w:pos="9071"/>
              </w:tabs>
              <w:ind w:left="850" w:hanging="850"/>
              <w:jc w:val="center"/>
              <w:rPr>
                <w:noProof/>
                <w:sz w:val="20"/>
                <w:szCs w:val="20"/>
              </w:rPr>
            </w:pPr>
            <w:r>
              <w:rPr>
                <w:noProof/>
                <w:sz w:val="20"/>
              </w:rPr>
              <w:t>Presentadas</w:t>
            </w:r>
          </w:p>
          <w:p>
            <w:pPr>
              <w:tabs>
                <w:tab w:val="right" w:leader="dot" w:pos="9071"/>
              </w:tabs>
              <w:ind w:left="850" w:hanging="850"/>
              <w:jc w:val="center"/>
              <w:rPr>
                <w:noProof/>
                <w:sz w:val="20"/>
                <w:szCs w:val="20"/>
              </w:rPr>
            </w:pPr>
            <w:r>
              <w:rPr>
                <w:noProof/>
                <w:sz w:val="20"/>
              </w:rPr>
              <w:t>en 2013</w:t>
            </w:r>
          </w:p>
        </w:tc>
        <w:tc>
          <w:tcPr>
            <w:tcW w:w="1785" w:type="dxa"/>
            <w:shd w:val="clear" w:color="auto" w:fill="auto"/>
          </w:tcPr>
          <w:p>
            <w:pPr>
              <w:tabs>
                <w:tab w:val="right" w:leader="dot" w:pos="9071"/>
              </w:tabs>
              <w:ind w:left="850" w:hanging="850"/>
              <w:jc w:val="center"/>
              <w:rPr>
                <w:noProof/>
                <w:sz w:val="20"/>
                <w:szCs w:val="20"/>
              </w:rPr>
            </w:pPr>
            <w:r>
              <w:rPr>
                <w:noProof/>
                <w:sz w:val="20"/>
              </w:rPr>
              <w:t>Presentadas</w:t>
            </w:r>
          </w:p>
          <w:p>
            <w:pPr>
              <w:tabs>
                <w:tab w:val="right" w:leader="dot" w:pos="9071"/>
              </w:tabs>
              <w:ind w:left="850" w:hanging="850"/>
              <w:jc w:val="center"/>
              <w:rPr>
                <w:noProof/>
                <w:sz w:val="20"/>
                <w:szCs w:val="20"/>
              </w:rPr>
            </w:pPr>
            <w:r>
              <w:rPr>
                <w:noProof/>
                <w:sz w:val="20"/>
              </w:rPr>
              <w:t>en 2014</w:t>
            </w:r>
          </w:p>
        </w:tc>
      </w:tr>
      <w:tr>
        <w:tc>
          <w:tcPr>
            <w:tcW w:w="1535" w:type="dxa"/>
            <w:shd w:val="clear" w:color="auto" w:fill="auto"/>
          </w:tcPr>
          <w:p>
            <w:pPr>
              <w:tabs>
                <w:tab w:val="right" w:leader="dot" w:pos="9071"/>
              </w:tabs>
              <w:ind w:left="850" w:hanging="850"/>
              <w:rPr>
                <w:noProof/>
                <w:sz w:val="20"/>
                <w:szCs w:val="20"/>
              </w:rPr>
            </w:pPr>
            <w:r>
              <w:rPr>
                <w:noProof/>
                <w:sz w:val="20"/>
              </w:rPr>
              <w:t xml:space="preserve">Enero </w:t>
            </w:r>
          </w:p>
        </w:tc>
        <w:tc>
          <w:tcPr>
            <w:tcW w:w="1785" w:type="dxa"/>
            <w:shd w:val="clear" w:color="auto" w:fill="auto"/>
          </w:tcPr>
          <w:p>
            <w:pPr>
              <w:tabs>
                <w:tab w:val="right" w:leader="dot" w:pos="9071"/>
              </w:tabs>
              <w:ind w:left="850" w:hanging="850"/>
              <w:jc w:val="center"/>
              <w:rPr>
                <w:noProof/>
                <w:sz w:val="20"/>
                <w:szCs w:val="20"/>
              </w:rPr>
            </w:pPr>
            <w:r>
              <w:rPr>
                <w:noProof/>
                <w:sz w:val="20"/>
              </w:rPr>
              <w:t>6</w:t>
            </w:r>
          </w:p>
        </w:tc>
        <w:tc>
          <w:tcPr>
            <w:tcW w:w="1785" w:type="dxa"/>
            <w:shd w:val="clear" w:color="auto" w:fill="auto"/>
          </w:tcPr>
          <w:p>
            <w:pPr>
              <w:tabs>
                <w:tab w:val="right" w:leader="dot" w:pos="9071"/>
              </w:tabs>
              <w:ind w:left="850" w:hanging="850"/>
              <w:jc w:val="center"/>
              <w:rPr>
                <w:noProof/>
                <w:sz w:val="20"/>
                <w:szCs w:val="20"/>
              </w:rPr>
            </w:pPr>
            <w:r>
              <w:rPr>
                <w:noProof/>
                <w:sz w:val="20"/>
              </w:rPr>
              <w:t>5</w:t>
            </w:r>
          </w:p>
        </w:tc>
      </w:tr>
      <w:tr>
        <w:tc>
          <w:tcPr>
            <w:tcW w:w="1535" w:type="dxa"/>
            <w:shd w:val="clear" w:color="auto" w:fill="auto"/>
          </w:tcPr>
          <w:p>
            <w:pPr>
              <w:tabs>
                <w:tab w:val="right" w:leader="dot" w:pos="9071"/>
              </w:tabs>
              <w:ind w:left="850" w:hanging="850"/>
              <w:rPr>
                <w:noProof/>
                <w:sz w:val="20"/>
                <w:szCs w:val="20"/>
              </w:rPr>
            </w:pPr>
            <w:r>
              <w:rPr>
                <w:noProof/>
                <w:sz w:val="20"/>
              </w:rPr>
              <w:t>Febrero</w:t>
            </w:r>
          </w:p>
        </w:tc>
        <w:tc>
          <w:tcPr>
            <w:tcW w:w="1785" w:type="dxa"/>
            <w:shd w:val="clear" w:color="auto" w:fill="auto"/>
          </w:tcPr>
          <w:p>
            <w:pPr>
              <w:tabs>
                <w:tab w:val="right" w:leader="dot" w:pos="9071"/>
              </w:tabs>
              <w:ind w:left="850" w:hanging="850"/>
              <w:jc w:val="center"/>
              <w:rPr>
                <w:noProof/>
                <w:sz w:val="20"/>
                <w:szCs w:val="20"/>
              </w:rPr>
            </w:pPr>
            <w:r>
              <w:rPr>
                <w:noProof/>
                <w:sz w:val="20"/>
              </w:rPr>
              <w:t>5</w:t>
            </w:r>
          </w:p>
        </w:tc>
        <w:tc>
          <w:tcPr>
            <w:tcW w:w="1785" w:type="dxa"/>
            <w:shd w:val="clear" w:color="auto" w:fill="auto"/>
          </w:tcPr>
          <w:p>
            <w:pPr>
              <w:tabs>
                <w:tab w:val="right" w:leader="dot" w:pos="9071"/>
              </w:tabs>
              <w:ind w:left="850" w:hanging="850"/>
              <w:jc w:val="center"/>
              <w:rPr>
                <w:noProof/>
                <w:sz w:val="20"/>
                <w:szCs w:val="20"/>
              </w:rPr>
            </w:pPr>
            <w:r>
              <w:rPr>
                <w:noProof/>
                <w:sz w:val="20"/>
              </w:rPr>
              <w:t>5</w:t>
            </w:r>
          </w:p>
        </w:tc>
      </w:tr>
      <w:tr>
        <w:tc>
          <w:tcPr>
            <w:tcW w:w="1535" w:type="dxa"/>
            <w:shd w:val="clear" w:color="auto" w:fill="auto"/>
          </w:tcPr>
          <w:p>
            <w:pPr>
              <w:tabs>
                <w:tab w:val="right" w:leader="dot" w:pos="9071"/>
              </w:tabs>
              <w:ind w:left="850" w:hanging="850"/>
              <w:rPr>
                <w:noProof/>
                <w:sz w:val="20"/>
                <w:szCs w:val="20"/>
              </w:rPr>
            </w:pPr>
            <w:r>
              <w:rPr>
                <w:noProof/>
                <w:sz w:val="20"/>
              </w:rPr>
              <w:t>Marzo</w:t>
            </w:r>
          </w:p>
        </w:tc>
        <w:tc>
          <w:tcPr>
            <w:tcW w:w="1785" w:type="dxa"/>
            <w:shd w:val="clear" w:color="auto" w:fill="auto"/>
          </w:tcPr>
          <w:p>
            <w:pPr>
              <w:tabs>
                <w:tab w:val="right" w:leader="dot" w:pos="9071"/>
              </w:tabs>
              <w:ind w:left="850" w:hanging="850"/>
              <w:jc w:val="center"/>
              <w:rPr>
                <w:noProof/>
                <w:sz w:val="20"/>
                <w:szCs w:val="20"/>
              </w:rPr>
            </w:pPr>
            <w:r>
              <w:rPr>
                <w:noProof/>
                <w:sz w:val="20"/>
              </w:rPr>
              <w:t>4</w:t>
            </w:r>
          </w:p>
        </w:tc>
        <w:tc>
          <w:tcPr>
            <w:tcW w:w="1785" w:type="dxa"/>
            <w:shd w:val="clear" w:color="auto" w:fill="auto"/>
          </w:tcPr>
          <w:p>
            <w:pPr>
              <w:tabs>
                <w:tab w:val="right" w:leader="dot" w:pos="9071"/>
              </w:tabs>
              <w:ind w:left="850" w:hanging="850"/>
              <w:jc w:val="center"/>
              <w:rPr>
                <w:noProof/>
                <w:sz w:val="20"/>
                <w:szCs w:val="20"/>
              </w:rPr>
            </w:pPr>
            <w:r>
              <w:rPr>
                <w:noProof/>
                <w:sz w:val="20"/>
              </w:rPr>
              <w:t>4</w:t>
            </w:r>
          </w:p>
        </w:tc>
      </w:tr>
      <w:tr>
        <w:tc>
          <w:tcPr>
            <w:tcW w:w="1535" w:type="dxa"/>
            <w:shd w:val="clear" w:color="auto" w:fill="auto"/>
          </w:tcPr>
          <w:p>
            <w:pPr>
              <w:tabs>
                <w:tab w:val="right" w:leader="dot" w:pos="9071"/>
              </w:tabs>
              <w:ind w:left="850" w:hanging="850"/>
              <w:rPr>
                <w:noProof/>
                <w:sz w:val="20"/>
                <w:szCs w:val="20"/>
              </w:rPr>
            </w:pPr>
            <w:r>
              <w:rPr>
                <w:noProof/>
                <w:sz w:val="20"/>
              </w:rPr>
              <w:t>Abril</w:t>
            </w:r>
          </w:p>
        </w:tc>
        <w:tc>
          <w:tcPr>
            <w:tcW w:w="1785" w:type="dxa"/>
            <w:shd w:val="clear" w:color="auto" w:fill="auto"/>
          </w:tcPr>
          <w:p>
            <w:pPr>
              <w:tabs>
                <w:tab w:val="right" w:leader="dot" w:pos="9071"/>
              </w:tabs>
              <w:ind w:left="850" w:hanging="850"/>
              <w:jc w:val="center"/>
              <w:rPr>
                <w:noProof/>
                <w:sz w:val="20"/>
                <w:szCs w:val="20"/>
              </w:rPr>
            </w:pPr>
            <w:r>
              <w:rPr>
                <w:noProof/>
                <w:sz w:val="20"/>
              </w:rPr>
              <w:t>4</w:t>
            </w:r>
          </w:p>
        </w:tc>
        <w:tc>
          <w:tcPr>
            <w:tcW w:w="1785" w:type="dxa"/>
            <w:shd w:val="clear" w:color="auto" w:fill="auto"/>
          </w:tcPr>
          <w:p>
            <w:pPr>
              <w:tabs>
                <w:tab w:val="right" w:leader="dot" w:pos="9071"/>
              </w:tabs>
              <w:ind w:left="850" w:hanging="850"/>
              <w:jc w:val="center"/>
              <w:rPr>
                <w:noProof/>
                <w:sz w:val="20"/>
                <w:szCs w:val="20"/>
              </w:rPr>
            </w:pPr>
            <w:r>
              <w:rPr>
                <w:noProof/>
                <w:sz w:val="20"/>
              </w:rPr>
              <w:t>1</w:t>
            </w:r>
          </w:p>
        </w:tc>
      </w:tr>
      <w:tr>
        <w:tc>
          <w:tcPr>
            <w:tcW w:w="1535" w:type="dxa"/>
            <w:shd w:val="clear" w:color="auto" w:fill="auto"/>
          </w:tcPr>
          <w:p>
            <w:pPr>
              <w:tabs>
                <w:tab w:val="right" w:leader="dot" w:pos="9071"/>
              </w:tabs>
              <w:ind w:left="850" w:hanging="850"/>
              <w:rPr>
                <w:noProof/>
                <w:sz w:val="20"/>
                <w:szCs w:val="20"/>
              </w:rPr>
            </w:pPr>
            <w:r>
              <w:rPr>
                <w:noProof/>
                <w:sz w:val="20"/>
              </w:rPr>
              <w:t xml:space="preserve">Mayo </w:t>
            </w:r>
          </w:p>
        </w:tc>
        <w:tc>
          <w:tcPr>
            <w:tcW w:w="1785" w:type="dxa"/>
            <w:shd w:val="clear" w:color="auto" w:fill="auto"/>
          </w:tcPr>
          <w:p>
            <w:pPr>
              <w:tabs>
                <w:tab w:val="right" w:leader="dot" w:pos="9071"/>
              </w:tabs>
              <w:ind w:left="850" w:hanging="850"/>
              <w:jc w:val="center"/>
              <w:rPr>
                <w:noProof/>
                <w:sz w:val="20"/>
                <w:szCs w:val="20"/>
              </w:rPr>
            </w:pPr>
            <w:r>
              <w:rPr>
                <w:noProof/>
                <w:sz w:val="20"/>
              </w:rPr>
              <w:t>2</w:t>
            </w:r>
          </w:p>
        </w:tc>
        <w:tc>
          <w:tcPr>
            <w:tcW w:w="1785" w:type="dxa"/>
            <w:shd w:val="clear" w:color="auto" w:fill="auto"/>
          </w:tcPr>
          <w:p>
            <w:pPr>
              <w:tabs>
                <w:tab w:val="right" w:leader="dot" w:pos="9071"/>
              </w:tabs>
              <w:ind w:left="850" w:hanging="850"/>
              <w:jc w:val="center"/>
              <w:rPr>
                <w:noProof/>
                <w:sz w:val="20"/>
                <w:szCs w:val="20"/>
              </w:rPr>
            </w:pPr>
            <w:r>
              <w:rPr>
                <w:noProof/>
                <w:sz w:val="20"/>
              </w:rPr>
              <w:t>6</w:t>
            </w:r>
          </w:p>
        </w:tc>
      </w:tr>
      <w:tr>
        <w:tc>
          <w:tcPr>
            <w:tcW w:w="1535" w:type="dxa"/>
            <w:shd w:val="clear" w:color="auto" w:fill="auto"/>
          </w:tcPr>
          <w:p>
            <w:pPr>
              <w:tabs>
                <w:tab w:val="right" w:leader="dot" w:pos="9071"/>
              </w:tabs>
              <w:ind w:left="850" w:hanging="850"/>
              <w:rPr>
                <w:noProof/>
                <w:sz w:val="20"/>
                <w:szCs w:val="20"/>
              </w:rPr>
            </w:pPr>
            <w:r>
              <w:rPr>
                <w:noProof/>
                <w:sz w:val="20"/>
              </w:rPr>
              <w:t xml:space="preserve">Junio </w:t>
            </w:r>
          </w:p>
        </w:tc>
        <w:tc>
          <w:tcPr>
            <w:tcW w:w="1785" w:type="dxa"/>
            <w:shd w:val="clear" w:color="auto" w:fill="auto"/>
          </w:tcPr>
          <w:p>
            <w:pPr>
              <w:tabs>
                <w:tab w:val="right" w:leader="dot" w:pos="9071"/>
              </w:tabs>
              <w:ind w:left="850" w:hanging="850"/>
              <w:jc w:val="center"/>
              <w:rPr>
                <w:noProof/>
                <w:sz w:val="20"/>
                <w:szCs w:val="20"/>
              </w:rPr>
            </w:pPr>
            <w:r>
              <w:rPr>
                <w:noProof/>
                <w:sz w:val="20"/>
              </w:rPr>
              <w:t>7</w:t>
            </w:r>
          </w:p>
        </w:tc>
        <w:tc>
          <w:tcPr>
            <w:tcW w:w="1785" w:type="dxa"/>
            <w:shd w:val="clear" w:color="auto" w:fill="auto"/>
          </w:tcPr>
          <w:p>
            <w:pPr>
              <w:tabs>
                <w:tab w:val="right" w:leader="dot" w:pos="9071"/>
              </w:tabs>
              <w:ind w:left="850" w:hanging="850"/>
              <w:jc w:val="center"/>
              <w:rPr>
                <w:noProof/>
                <w:sz w:val="20"/>
                <w:szCs w:val="20"/>
              </w:rPr>
            </w:pPr>
            <w:r>
              <w:rPr>
                <w:noProof/>
                <w:sz w:val="20"/>
              </w:rPr>
              <w:t>5</w:t>
            </w:r>
          </w:p>
        </w:tc>
      </w:tr>
      <w:tr>
        <w:tc>
          <w:tcPr>
            <w:tcW w:w="1535" w:type="dxa"/>
            <w:shd w:val="clear" w:color="auto" w:fill="auto"/>
          </w:tcPr>
          <w:p>
            <w:pPr>
              <w:tabs>
                <w:tab w:val="right" w:leader="dot" w:pos="9071"/>
              </w:tabs>
              <w:ind w:left="850" w:hanging="850"/>
              <w:rPr>
                <w:noProof/>
                <w:sz w:val="20"/>
                <w:szCs w:val="20"/>
              </w:rPr>
            </w:pPr>
            <w:r>
              <w:rPr>
                <w:noProof/>
                <w:sz w:val="20"/>
              </w:rPr>
              <w:t xml:space="preserve">Julio </w:t>
            </w:r>
          </w:p>
        </w:tc>
        <w:tc>
          <w:tcPr>
            <w:tcW w:w="1785" w:type="dxa"/>
            <w:shd w:val="clear" w:color="auto" w:fill="auto"/>
          </w:tcPr>
          <w:p>
            <w:pPr>
              <w:tabs>
                <w:tab w:val="right" w:leader="dot" w:pos="9071"/>
              </w:tabs>
              <w:ind w:left="850" w:hanging="850"/>
              <w:jc w:val="center"/>
              <w:rPr>
                <w:noProof/>
                <w:sz w:val="20"/>
                <w:szCs w:val="20"/>
              </w:rPr>
            </w:pPr>
            <w:r>
              <w:rPr>
                <w:noProof/>
                <w:sz w:val="20"/>
              </w:rPr>
              <w:t>6</w:t>
            </w:r>
          </w:p>
        </w:tc>
        <w:tc>
          <w:tcPr>
            <w:tcW w:w="1785" w:type="dxa"/>
            <w:shd w:val="clear" w:color="auto" w:fill="auto"/>
          </w:tcPr>
          <w:p>
            <w:pPr>
              <w:tabs>
                <w:tab w:val="right" w:leader="dot" w:pos="9071"/>
              </w:tabs>
              <w:ind w:left="850" w:hanging="850"/>
              <w:jc w:val="center"/>
              <w:rPr>
                <w:noProof/>
                <w:sz w:val="20"/>
                <w:szCs w:val="20"/>
              </w:rPr>
            </w:pPr>
            <w:r>
              <w:rPr>
                <w:noProof/>
                <w:sz w:val="20"/>
              </w:rPr>
              <w:t>4</w:t>
            </w:r>
          </w:p>
        </w:tc>
      </w:tr>
      <w:tr>
        <w:tc>
          <w:tcPr>
            <w:tcW w:w="1535" w:type="dxa"/>
            <w:shd w:val="clear" w:color="auto" w:fill="auto"/>
          </w:tcPr>
          <w:p>
            <w:pPr>
              <w:tabs>
                <w:tab w:val="right" w:leader="dot" w:pos="9071"/>
              </w:tabs>
              <w:ind w:left="850" w:hanging="850"/>
              <w:rPr>
                <w:noProof/>
                <w:sz w:val="20"/>
                <w:szCs w:val="20"/>
              </w:rPr>
            </w:pPr>
            <w:r>
              <w:rPr>
                <w:noProof/>
                <w:sz w:val="20"/>
              </w:rPr>
              <w:t xml:space="preserve">Agosto </w:t>
            </w:r>
          </w:p>
        </w:tc>
        <w:tc>
          <w:tcPr>
            <w:tcW w:w="1785" w:type="dxa"/>
            <w:shd w:val="clear" w:color="auto" w:fill="auto"/>
          </w:tcPr>
          <w:p>
            <w:pPr>
              <w:tabs>
                <w:tab w:val="right" w:leader="dot" w:pos="9071"/>
              </w:tabs>
              <w:ind w:left="850" w:hanging="850"/>
              <w:jc w:val="center"/>
              <w:rPr>
                <w:noProof/>
                <w:sz w:val="20"/>
                <w:szCs w:val="20"/>
              </w:rPr>
            </w:pPr>
            <w:r>
              <w:rPr>
                <w:noProof/>
                <w:sz w:val="20"/>
              </w:rPr>
              <w:t>2</w:t>
            </w:r>
          </w:p>
        </w:tc>
        <w:tc>
          <w:tcPr>
            <w:tcW w:w="1785" w:type="dxa"/>
            <w:shd w:val="clear" w:color="auto" w:fill="auto"/>
          </w:tcPr>
          <w:p>
            <w:pPr>
              <w:tabs>
                <w:tab w:val="right" w:leader="dot" w:pos="9071"/>
              </w:tabs>
              <w:ind w:left="850" w:hanging="850"/>
              <w:jc w:val="center"/>
              <w:rPr>
                <w:noProof/>
                <w:sz w:val="20"/>
                <w:szCs w:val="20"/>
              </w:rPr>
            </w:pPr>
            <w:r>
              <w:rPr>
                <w:noProof/>
                <w:sz w:val="20"/>
              </w:rPr>
              <w:t>7</w:t>
            </w:r>
          </w:p>
        </w:tc>
      </w:tr>
      <w:tr>
        <w:tc>
          <w:tcPr>
            <w:tcW w:w="1535" w:type="dxa"/>
            <w:shd w:val="clear" w:color="auto" w:fill="auto"/>
          </w:tcPr>
          <w:p>
            <w:pPr>
              <w:tabs>
                <w:tab w:val="right" w:leader="dot" w:pos="9071"/>
              </w:tabs>
              <w:ind w:left="850" w:hanging="850"/>
              <w:rPr>
                <w:noProof/>
                <w:sz w:val="20"/>
                <w:szCs w:val="20"/>
              </w:rPr>
            </w:pPr>
            <w:r>
              <w:rPr>
                <w:noProof/>
                <w:sz w:val="20"/>
              </w:rPr>
              <w:t xml:space="preserve">Septiembre </w:t>
            </w:r>
          </w:p>
        </w:tc>
        <w:tc>
          <w:tcPr>
            <w:tcW w:w="1785" w:type="dxa"/>
            <w:shd w:val="clear" w:color="auto" w:fill="auto"/>
          </w:tcPr>
          <w:p>
            <w:pPr>
              <w:tabs>
                <w:tab w:val="right" w:leader="dot" w:pos="9071"/>
              </w:tabs>
              <w:ind w:left="850" w:hanging="850"/>
              <w:jc w:val="center"/>
              <w:rPr>
                <w:noProof/>
                <w:sz w:val="20"/>
                <w:szCs w:val="20"/>
              </w:rPr>
            </w:pPr>
            <w:r>
              <w:rPr>
                <w:noProof/>
                <w:sz w:val="20"/>
              </w:rPr>
              <w:t>3</w:t>
            </w:r>
          </w:p>
        </w:tc>
        <w:tc>
          <w:tcPr>
            <w:tcW w:w="1785" w:type="dxa"/>
            <w:shd w:val="clear" w:color="auto" w:fill="auto"/>
          </w:tcPr>
          <w:p>
            <w:pPr>
              <w:tabs>
                <w:tab w:val="right" w:leader="dot" w:pos="9071"/>
              </w:tabs>
              <w:ind w:left="850" w:hanging="850"/>
              <w:jc w:val="center"/>
              <w:rPr>
                <w:noProof/>
                <w:sz w:val="20"/>
                <w:szCs w:val="20"/>
              </w:rPr>
            </w:pPr>
            <w:r>
              <w:rPr>
                <w:noProof/>
                <w:sz w:val="20"/>
              </w:rPr>
              <w:t>7</w:t>
            </w:r>
          </w:p>
        </w:tc>
      </w:tr>
      <w:tr>
        <w:tc>
          <w:tcPr>
            <w:tcW w:w="1535" w:type="dxa"/>
            <w:shd w:val="clear" w:color="auto" w:fill="auto"/>
          </w:tcPr>
          <w:p>
            <w:pPr>
              <w:tabs>
                <w:tab w:val="right" w:leader="dot" w:pos="9071"/>
              </w:tabs>
              <w:ind w:left="850" w:hanging="850"/>
              <w:rPr>
                <w:noProof/>
                <w:sz w:val="20"/>
                <w:szCs w:val="20"/>
              </w:rPr>
            </w:pPr>
            <w:r>
              <w:rPr>
                <w:noProof/>
                <w:sz w:val="20"/>
              </w:rPr>
              <w:t xml:space="preserve">Octubre </w:t>
            </w:r>
          </w:p>
        </w:tc>
        <w:tc>
          <w:tcPr>
            <w:tcW w:w="1785" w:type="dxa"/>
            <w:shd w:val="clear" w:color="auto" w:fill="auto"/>
          </w:tcPr>
          <w:p>
            <w:pPr>
              <w:tabs>
                <w:tab w:val="right" w:leader="dot" w:pos="9071"/>
              </w:tabs>
              <w:ind w:left="850" w:hanging="850"/>
              <w:jc w:val="center"/>
              <w:rPr>
                <w:noProof/>
                <w:sz w:val="20"/>
                <w:szCs w:val="20"/>
              </w:rPr>
            </w:pPr>
            <w:r>
              <w:rPr>
                <w:noProof/>
                <w:sz w:val="20"/>
              </w:rPr>
              <w:t>6</w:t>
            </w:r>
          </w:p>
        </w:tc>
        <w:tc>
          <w:tcPr>
            <w:tcW w:w="1785" w:type="dxa"/>
            <w:shd w:val="clear" w:color="auto" w:fill="auto"/>
          </w:tcPr>
          <w:p>
            <w:pPr>
              <w:tabs>
                <w:tab w:val="right" w:leader="dot" w:pos="9071"/>
              </w:tabs>
              <w:ind w:left="850" w:hanging="850"/>
              <w:jc w:val="center"/>
              <w:rPr>
                <w:noProof/>
                <w:sz w:val="20"/>
                <w:szCs w:val="20"/>
              </w:rPr>
            </w:pPr>
            <w:r>
              <w:rPr>
                <w:noProof/>
                <w:sz w:val="20"/>
              </w:rPr>
              <w:t>7</w:t>
            </w:r>
          </w:p>
        </w:tc>
      </w:tr>
      <w:tr>
        <w:tc>
          <w:tcPr>
            <w:tcW w:w="1535" w:type="dxa"/>
            <w:shd w:val="clear" w:color="auto" w:fill="auto"/>
          </w:tcPr>
          <w:p>
            <w:pPr>
              <w:tabs>
                <w:tab w:val="right" w:leader="dot" w:pos="9071"/>
              </w:tabs>
              <w:ind w:left="850" w:hanging="850"/>
              <w:rPr>
                <w:noProof/>
                <w:sz w:val="20"/>
                <w:szCs w:val="20"/>
              </w:rPr>
            </w:pPr>
            <w:r>
              <w:rPr>
                <w:noProof/>
                <w:sz w:val="20"/>
              </w:rPr>
              <w:t xml:space="preserve">Noviembre </w:t>
            </w:r>
          </w:p>
        </w:tc>
        <w:tc>
          <w:tcPr>
            <w:tcW w:w="1785" w:type="dxa"/>
            <w:shd w:val="clear" w:color="auto" w:fill="auto"/>
          </w:tcPr>
          <w:p>
            <w:pPr>
              <w:tabs>
                <w:tab w:val="right" w:leader="dot" w:pos="9071"/>
              </w:tabs>
              <w:ind w:left="850" w:hanging="850"/>
              <w:jc w:val="center"/>
              <w:rPr>
                <w:noProof/>
                <w:sz w:val="20"/>
                <w:szCs w:val="20"/>
              </w:rPr>
            </w:pPr>
            <w:r>
              <w:rPr>
                <w:noProof/>
                <w:sz w:val="20"/>
              </w:rPr>
              <w:t>4</w:t>
            </w:r>
          </w:p>
        </w:tc>
        <w:tc>
          <w:tcPr>
            <w:tcW w:w="1785" w:type="dxa"/>
            <w:shd w:val="clear" w:color="auto" w:fill="auto"/>
          </w:tcPr>
          <w:p>
            <w:pPr>
              <w:tabs>
                <w:tab w:val="right" w:leader="dot" w:pos="9071"/>
              </w:tabs>
              <w:ind w:left="850" w:hanging="850"/>
              <w:jc w:val="center"/>
              <w:rPr>
                <w:noProof/>
                <w:sz w:val="20"/>
                <w:szCs w:val="20"/>
              </w:rPr>
            </w:pPr>
            <w:r>
              <w:rPr>
                <w:noProof/>
                <w:sz w:val="20"/>
              </w:rPr>
              <w:t>7</w:t>
            </w:r>
          </w:p>
        </w:tc>
      </w:tr>
      <w:tr>
        <w:tc>
          <w:tcPr>
            <w:tcW w:w="1535" w:type="dxa"/>
            <w:shd w:val="clear" w:color="auto" w:fill="auto"/>
          </w:tcPr>
          <w:p>
            <w:pPr>
              <w:tabs>
                <w:tab w:val="right" w:leader="dot" w:pos="9071"/>
              </w:tabs>
              <w:ind w:left="850" w:hanging="850"/>
              <w:rPr>
                <w:noProof/>
                <w:sz w:val="20"/>
                <w:szCs w:val="20"/>
              </w:rPr>
            </w:pPr>
            <w:r>
              <w:rPr>
                <w:noProof/>
                <w:sz w:val="20"/>
              </w:rPr>
              <w:t xml:space="preserve">Diciembre </w:t>
            </w:r>
          </w:p>
        </w:tc>
        <w:tc>
          <w:tcPr>
            <w:tcW w:w="1785" w:type="dxa"/>
            <w:shd w:val="clear" w:color="auto" w:fill="auto"/>
          </w:tcPr>
          <w:p>
            <w:pPr>
              <w:tabs>
                <w:tab w:val="right" w:leader="dot" w:pos="9071"/>
              </w:tabs>
              <w:ind w:left="850" w:hanging="850"/>
              <w:jc w:val="center"/>
              <w:rPr>
                <w:noProof/>
                <w:sz w:val="20"/>
                <w:szCs w:val="20"/>
              </w:rPr>
            </w:pPr>
            <w:r>
              <w:rPr>
                <w:noProof/>
                <w:sz w:val="20"/>
              </w:rPr>
              <w:t>3</w:t>
            </w:r>
          </w:p>
        </w:tc>
        <w:tc>
          <w:tcPr>
            <w:tcW w:w="1785" w:type="dxa"/>
            <w:shd w:val="clear" w:color="auto" w:fill="auto"/>
          </w:tcPr>
          <w:p>
            <w:pPr>
              <w:tabs>
                <w:tab w:val="right" w:leader="dot" w:pos="9071"/>
              </w:tabs>
              <w:ind w:left="850" w:hanging="850"/>
              <w:jc w:val="center"/>
              <w:rPr>
                <w:noProof/>
                <w:sz w:val="20"/>
                <w:szCs w:val="20"/>
              </w:rPr>
            </w:pPr>
            <w:r>
              <w:rPr>
                <w:noProof/>
                <w:sz w:val="20"/>
              </w:rPr>
              <w:t>4</w:t>
            </w:r>
          </w:p>
        </w:tc>
      </w:tr>
      <w:tr>
        <w:tc>
          <w:tcPr>
            <w:tcW w:w="1535" w:type="dxa"/>
            <w:shd w:val="clear" w:color="auto" w:fill="auto"/>
          </w:tcPr>
          <w:p>
            <w:pPr>
              <w:tabs>
                <w:tab w:val="right" w:leader="dot" w:pos="9071"/>
              </w:tabs>
              <w:ind w:left="850" w:hanging="850"/>
              <w:jc w:val="right"/>
              <w:rPr>
                <w:noProof/>
                <w:sz w:val="20"/>
                <w:szCs w:val="20"/>
              </w:rPr>
            </w:pPr>
            <w:r>
              <w:rPr>
                <w:noProof/>
                <w:sz w:val="20"/>
              </w:rPr>
              <w:t>TOTAL</w:t>
            </w:r>
          </w:p>
        </w:tc>
        <w:tc>
          <w:tcPr>
            <w:tcW w:w="1785" w:type="dxa"/>
            <w:shd w:val="clear" w:color="auto" w:fill="auto"/>
          </w:tcPr>
          <w:p>
            <w:pPr>
              <w:tabs>
                <w:tab w:val="right" w:leader="dot" w:pos="9071"/>
              </w:tabs>
              <w:ind w:left="850" w:hanging="850"/>
              <w:jc w:val="center"/>
              <w:rPr>
                <w:noProof/>
                <w:sz w:val="20"/>
                <w:szCs w:val="20"/>
              </w:rPr>
            </w:pPr>
            <w:r>
              <w:rPr>
                <w:noProof/>
                <w:sz w:val="20"/>
              </w:rPr>
              <w:t>52</w:t>
            </w:r>
          </w:p>
        </w:tc>
        <w:tc>
          <w:tcPr>
            <w:tcW w:w="1785" w:type="dxa"/>
            <w:shd w:val="clear" w:color="auto" w:fill="auto"/>
          </w:tcPr>
          <w:p>
            <w:pPr>
              <w:tabs>
                <w:tab w:val="right" w:leader="dot" w:pos="9071"/>
              </w:tabs>
              <w:ind w:left="850" w:hanging="850"/>
              <w:jc w:val="center"/>
              <w:rPr>
                <w:noProof/>
                <w:sz w:val="20"/>
                <w:szCs w:val="20"/>
              </w:rPr>
            </w:pPr>
            <w:r>
              <w:rPr>
                <w:noProof/>
                <w:sz w:val="20"/>
              </w:rPr>
              <w:t>62</w:t>
            </w:r>
          </w:p>
        </w:tc>
      </w:tr>
    </w:tbl>
    <w:p>
      <w:pPr>
        <w:rPr>
          <w:noProof/>
          <w:sz w:val="20"/>
          <w:szCs w:val="20"/>
        </w:rPr>
      </w:pPr>
    </w:p>
    <w:p>
      <w:pPr>
        <w:rPr>
          <w:noProof/>
        </w:rPr>
      </w:pPr>
      <w:r>
        <w:rPr>
          <w:noProof/>
        </w:rPr>
        <w:t>Asuntos sometidos al procedimiento alternativo concluidos en 2013: 57 (en 47 de los cuales la reclamación fue aceptada)</w:t>
      </w:r>
    </w:p>
    <w:p>
      <w:pPr>
        <w:rPr>
          <w:noProof/>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1535"/>
        <w:gridCol w:w="1535"/>
        <w:gridCol w:w="1535"/>
        <w:gridCol w:w="1536"/>
        <w:gridCol w:w="1536"/>
      </w:tblGrid>
      <w:tr>
        <w:tc>
          <w:tcPr>
            <w:tcW w:w="1535" w:type="dxa"/>
            <w:shd w:val="clear" w:color="auto" w:fill="auto"/>
          </w:tcPr>
          <w:p>
            <w:pPr>
              <w:tabs>
                <w:tab w:val="right" w:leader="dot" w:pos="9071"/>
              </w:tabs>
              <w:ind w:left="850" w:hanging="850"/>
              <w:rPr>
                <w:noProof/>
                <w:sz w:val="20"/>
                <w:szCs w:val="20"/>
              </w:rPr>
            </w:pPr>
            <w:r>
              <w:rPr>
                <w:noProof/>
                <w:sz w:val="20"/>
              </w:rPr>
              <w:t>2013</w:t>
            </w:r>
          </w:p>
        </w:tc>
        <w:tc>
          <w:tcPr>
            <w:tcW w:w="1535" w:type="dxa"/>
            <w:shd w:val="clear" w:color="auto" w:fill="auto"/>
          </w:tcPr>
          <w:p>
            <w:pPr>
              <w:tabs>
                <w:tab w:val="right" w:leader="dot" w:pos="9071"/>
              </w:tabs>
              <w:ind w:left="850" w:hanging="850"/>
              <w:jc w:val="center"/>
              <w:rPr>
                <w:noProof/>
                <w:sz w:val="20"/>
                <w:szCs w:val="20"/>
              </w:rPr>
            </w:pPr>
            <w:r>
              <w:rPr>
                <w:noProof/>
                <w:sz w:val="20"/>
              </w:rPr>
              <w:t xml:space="preserve">Reclamación </w:t>
            </w:r>
          </w:p>
          <w:p>
            <w:pPr>
              <w:tabs>
                <w:tab w:val="right" w:leader="dot" w:pos="9071"/>
              </w:tabs>
              <w:ind w:left="850" w:hanging="850"/>
              <w:jc w:val="center"/>
              <w:rPr>
                <w:noProof/>
                <w:sz w:val="20"/>
                <w:szCs w:val="20"/>
              </w:rPr>
            </w:pPr>
            <w:r>
              <w:rPr>
                <w:noProof/>
                <w:sz w:val="20"/>
              </w:rPr>
              <w:t>rechazada</w:t>
            </w:r>
          </w:p>
        </w:tc>
        <w:tc>
          <w:tcPr>
            <w:tcW w:w="1535" w:type="dxa"/>
            <w:shd w:val="clear" w:color="auto" w:fill="auto"/>
          </w:tcPr>
          <w:p>
            <w:pPr>
              <w:tabs>
                <w:tab w:val="right" w:leader="dot" w:pos="9071"/>
              </w:tabs>
              <w:ind w:left="850" w:hanging="850"/>
              <w:jc w:val="center"/>
              <w:rPr>
                <w:noProof/>
                <w:sz w:val="20"/>
                <w:szCs w:val="20"/>
              </w:rPr>
            </w:pPr>
            <w:r>
              <w:rPr>
                <w:noProof/>
                <w:sz w:val="20"/>
              </w:rPr>
              <w:t xml:space="preserve">Reclamación </w:t>
            </w:r>
          </w:p>
          <w:p>
            <w:pPr>
              <w:tabs>
                <w:tab w:val="right" w:leader="dot" w:pos="9071"/>
              </w:tabs>
              <w:ind w:left="850" w:hanging="850"/>
              <w:jc w:val="center"/>
              <w:rPr>
                <w:noProof/>
                <w:sz w:val="20"/>
                <w:szCs w:val="20"/>
              </w:rPr>
            </w:pPr>
            <w:r>
              <w:rPr>
                <w:noProof/>
                <w:sz w:val="20"/>
              </w:rPr>
              <w:t>aceptada</w:t>
            </w:r>
          </w:p>
        </w:tc>
        <w:tc>
          <w:tcPr>
            <w:tcW w:w="1535" w:type="dxa"/>
            <w:shd w:val="clear" w:color="auto" w:fill="auto"/>
          </w:tcPr>
          <w:p>
            <w:pPr>
              <w:tabs>
                <w:tab w:val="right" w:leader="dot" w:pos="9071"/>
              </w:tabs>
              <w:ind w:left="850" w:hanging="850"/>
              <w:jc w:val="center"/>
              <w:rPr>
                <w:noProof/>
                <w:sz w:val="20"/>
                <w:szCs w:val="20"/>
              </w:rPr>
            </w:pPr>
            <w:r>
              <w:rPr>
                <w:noProof/>
                <w:sz w:val="20"/>
              </w:rPr>
              <w:t xml:space="preserve">Reclamación </w:t>
            </w:r>
          </w:p>
          <w:p>
            <w:pPr>
              <w:tabs>
                <w:tab w:val="right" w:leader="dot" w:pos="9071"/>
              </w:tabs>
              <w:ind w:left="850" w:hanging="850"/>
              <w:jc w:val="center"/>
              <w:rPr>
                <w:noProof/>
                <w:sz w:val="20"/>
                <w:szCs w:val="20"/>
              </w:rPr>
            </w:pPr>
            <w:r>
              <w:rPr>
                <w:noProof/>
                <w:sz w:val="20"/>
              </w:rPr>
              <w:t>defectuosa</w:t>
            </w:r>
          </w:p>
        </w:tc>
        <w:tc>
          <w:tcPr>
            <w:tcW w:w="1536" w:type="dxa"/>
            <w:shd w:val="clear" w:color="auto" w:fill="auto"/>
          </w:tcPr>
          <w:p>
            <w:pPr>
              <w:tabs>
                <w:tab w:val="right" w:leader="dot" w:pos="9071"/>
              </w:tabs>
              <w:ind w:left="850" w:hanging="850"/>
              <w:jc w:val="center"/>
              <w:rPr>
                <w:noProof/>
                <w:sz w:val="20"/>
                <w:szCs w:val="20"/>
              </w:rPr>
            </w:pPr>
            <w:r>
              <w:rPr>
                <w:noProof/>
                <w:sz w:val="20"/>
              </w:rPr>
              <w:t>Transacción</w:t>
            </w:r>
          </w:p>
        </w:tc>
        <w:tc>
          <w:tcPr>
            <w:tcW w:w="1536" w:type="dxa"/>
            <w:shd w:val="clear" w:color="auto" w:fill="F2F2F2"/>
          </w:tcPr>
          <w:p>
            <w:pPr>
              <w:tabs>
                <w:tab w:val="right" w:leader="dot" w:pos="9071"/>
              </w:tabs>
              <w:ind w:left="850" w:hanging="850"/>
              <w:jc w:val="center"/>
              <w:rPr>
                <w:noProof/>
                <w:sz w:val="20"/>
                <w:szCs w:val="20"/>
              </w:rPr>
            </w:pPr>
            <w:r>
              <w:rPr>
                <w:noProof/>
                <w:sz w:val="20"/>
              </w:rPr>
              <w:t>TOTAL</w:t>
            </w:r>
          </w:p>
        </w:tc>
      </w:tr>
      <w:tr>
        <w:tc>
          <w:tcPr>
            <w:tcW w:w="1535" w:type="dxa"/>
            <w:shd w:val="clear" w:color="auto" w:fill="auto"/>
          </w:tcPr>
          <w:p>
            <w:pPr>
              <w:tabs>
                <w:tab w:val="right" w:leader="dot" w:pos="9071"/>
              </w:tabs>
              <w:ind w:left="850" w:hanging="850"/>
              <w:rPr>
                <w:noProof/>
                <w:sz w:val="20"/>
                <w:szCs w:val="20"/>
              </w:rPr>
            </w:pPr>
            <w:r>
              <w:rPr>
                <w:noProof/>
                <w:sz w:val="20"/>
              </w:rPr>
              <w:t xml:space="preserve">Enero </w:t>
            </w:r>
          </w:p>
        </w:tc>
        <w:tc>
          <w:tcPr>
            <w:tcW w:w="1535" w:type="dxa"/>
            <w:shd w:val="clear" w:color="auto" w:fill="auto"/>
          </w:tcPr>
          <w:p>
            <w:pPr>
              <w:tabs>
                <w:tab w:val="right" w:leader="dot" w:pos="9071"/>
              </w:tabs>
              <w:ind w:left="850" w:hanging="850"/>
              <w:jc w:val="center"/>
              <w:rPr>
                <w:noProof/>
                <w:sz w:val="20"/>
                <w:szCs w:val="20"/>
              </w:rPr>
            </w:pPr>
          </w:p>
        </w:tc>
        <w:tc>
          <w:tcPr>
            <w:tcW w:w="1535" w:type="dxa"/>
            <w:shd w:val="clear" w:color="auto" w:fill="auto"/>
          </w:tcPr>
          <w:p>
            <w:pPr>
              <w:tabs>
                <w:tab w:val="right" w:leader="dot" w:pos="9071"/>
              </w:tabs>
              <w:ind w:left="850" w:hanging="850"/>
              <w:jc w:val="center"/>
              <w:rPr>
                <w:noProof/>
                <w:sz w:val="20"/>
                <w:szCs w:val="20"/>
              </w:rPr>
            </w:pPr>
            <w:r>
              <w:rPr>
                <w:noProof/>
                <w:sz w:val="20"/>
              </w:rPr>
              <w:t>6</w:t>
            </w:r>
          </w:p>
        </w:tc>
        <w:tc>
          <w:tcPr>
            <w:tcW w:w="1535" w:type="dxa"/>
            <w:shd w:val="clear" w:color="auto" w:fill="auto"/>
          </w:tcPr>
          <w:p>
            <w:pPr>
              <w:tabs>
                <w:tab w:val="right" w:leader="dot" w:pos="9071"/>
              </w:tabs>
              <w:ind w:left="850" w:hanging="850"/>
              <w:jc w:val="center"/>
              <w:rPr>
                <w:noProof/>
                <w:sz w:val="20"/>
                <w:szCs w:val="20"/>
              </w:rPr>
            </w:pPr>
          </w:p>
        </w:tc>
        <w:tc>
          <w:tcPr>
            <w:tcW w:w="1536" w:type="dxa"/>
            <w:shd w:val="clear" w:color="auto" w:fill="auto"/>
          </w:tcPr>
          <w:p>
            <w:pPr>
              <w:tabs>
                <w:tab w:val="right" w:leader="dot" w:pos="9071"/>
              </w:tabs>
              <w:ind w:left="850" w:hanging="850"/>
              <w:jc w:val="center"/>
              <w:rPr>
                <w:noProof/>
                <w:sz w:val="20"/>
                <w:szCs w:val="20"/>
              </w:rPr>
            </w:pPr>
          </w:p>
        </w:tc>
        <w:tc>
          <w:tcPr>
            <w:tcW w:w="1536" w:type="dxa"/>
            <w:shd w:val="clear" w:color="auto" w:fill="F2F2F2"/>
          </w:tcPr>
          <w:p>
            <w:pPr>
              <w:tabs>
                <w:tab w:val="right" w:leader="dot" w:pos="9071"/>
              </w:tabs>
              <w:ind w:left="850" w:hanging="850"/>
              <w:jc w:val="center"/>
              <w:rPr>
                <w:noProof/>
                <w:sz w:val="20"/>
                <w:szCs w:val="20"/>
              </w:rPr>
            </w:pPr>
            <w:r>
              <w:rPr>
                <w:noProof/>
                <w:sz w:val="20"/>
              </w:rPr>
              <w:t>6</w:t>
            </w:r>
          </w:p>
        </w:tc>
      </w:tr>
      <w:tr>
        <w:tc>
          <w:tcPr>
            <w:tcW w:w="1535" w:type="dxa"/>
            <w:shd w:val="clear" w:color="auto" w:fill="auto"/>
          </w:tcPr>
          <w:p>
            <w:pPr>
              <w:tabs>
                <w:tab w:val="right" w:leader="dot" w:pos="9071"/>
              </w:tabs>
              <w:ind w:left="850" w:hanging="850"/>
              <w:rPr>
                <w:noProof/>
                <w:sz w:val="20"/>
                <w:szCs w:val="20"/>
              </w:rPr>
            </w:pPr>
            <w:r>
              <w:rPr>
                <w:noProof/>
                <w:sz w:val="20"/>
              </w:rPr>
              <w:t>Febrero</w:t>
            </w:r>
          </w:p>
        </w:tc>
        <w:tc>
          <w:tcPr>
            <w:tcW w:w="1535" w:type="dxa"/>
            <w:shd w:val="clear" w:color="auto" w:fill="auto"/>
          </w:tcPr>
          <w:p>
            <w:pPr>
              <w:tabs>
                <w:tab w:val="right" w:leader="dot" w:pos="9071"/>
              </w:tabs>
              <w:ind w:left="850" w:hanging="850"/>
              <w:jc w:val="center"/>
              <w:rPr>
                <w:noProof/>
                <w:sz w:val="20"/>
                <w:szCs w:val="20"/>
              </w:rPr>
            </w:pPr>
          </w:p>
        </w:tc>
        <w:tc>
          <w:tcPr>
            <w:tcW w:w="1535" w:type="dxa"/>
            <w:shd w:val="clear" w:color="auto" w:fill="auto"/>
          </w:tcPr>
          <w:p>
            <w:pPr>
              <w:tabs>
                <w:tab w:val="right" w:leader="dot" w:pos="9071"/>
              </w:tabs>
              <w:ind w:left="850" w:hanging="850"/>
              <w:jc w:val="center"/>
              <w:rPr>
                <w:noProof/>
                <w:sz w:val="20"/>
                <w:szCs w:val="20"/>
              </w:rPr>
            </w:pPr>
            <w:r>
              <w:rPr>
                <w:noProof/>
                <w:sz w:val="20"/>
              </w:rPr>
              <w:t>3</w:t>
            </w:r>
          </w:p>
        </w:tc>
        <w:tc>
          <w:tcPr>
            <w:tcW w:w="1535" w:type="dxa"/>
            <w:shd w:val="clear" w:color="auto" w:fill="auto"/>
          </w:tcPr>
          <w:p>
            <w:pPr>
              <w:tabs>
                <w:tab w:val="right" w:leader="dot" w:pos="9071"/>
              </w:tabs>
              <w:ind w:left="850" w:hanging="850"/>
              <w:jc w:val="center"/>
              <w:rPr>
                <w:noProof/>
                <w:sz w:val="20"/>
                <w:szCs w:val="20"/>
              </w:rPr>
            </w:pPr>
          </w:p>
        </w:tc>
        <w:tc>
          <w:tcPr>
            <w:tcW w:w="1536" w:type="dxa"/>
            <w:shd w:val="clear" w:color="auto" w:fill="auto"/>
          </w:tcPr>
          <w:p>
            <w:pPr>
              <w:tabs>
                <w:tab w:val="right" w:leader="dot" w:pos="9071"/>
              </w:tabs>
              <w:ind w:left="850" w:hanging="850"/>
              <w:jc w:val="center"/>
              <w:rPr>
                <w:noProof/>
                <w:sz w:val="20"/>
                <w:szCs w:val="20"/>
              </w:rPr>
            </w:pPr>
          </w:p>
        </w:tc>
        <w:tc>
          <w:tcPr>
            <w:tcW w:w="1536" w:type="dxa"/>
            <w:shd w:val="clear" w:color="auto" w:fill="F2F2F2"/>
          </w:tcPr>
          <w:p>
            <w:pPr>
              <w:tabs>
                <w:tab w:val="right" w:leader="dot" w:pos="9071"/>
              </w:tabs>
              <w:ind w:left="850" w:hanging="850"/>
              <w:jc w:val="center"/>
              <w:rPr>
                <w:noProof/>
                <w:sz w:val="20"/>
                <w:szCs w:val="20"/>
              </w:rPr>
            </w:pPr>
            <w:r>
              <w:rPr>
                <w:noProof/>
                <w:sz w:val="20"/>
              </w:rPr>
              <w:t>3</w:t>
            </w:r>
          </w:p>
        </w:tc>
      </w:tr>
      <w:tr>
        <w:tc>
          <w:tcPr>
            <w:tcW w:w="1535" w:type="dxa"/>
            <w:shd w:val="clear" w:color="auto" w:fill="auto"/>
          </w:tcPr>
          <w:p>
            <w:pPr>
              <w:tabs>
                <w:tab w:val="right" w:leader="dot" w:pos="9071"/>
              </w:tabs>
              <w:ind w:left="850" w:hanging="850"/>
              <w:rPr>
                <w:noProof/>
                <w:sz w:val="20"/>
                <w:szCs w:val="20"/>
              </w:rPr>
            </w:pPr>
            <w:r>
              <w:rPr>
                <w:noProof/>
                <w:sz w:val="20"/>
              </w:rPr>
              <w:t>Marzo</w:t>
            </w:r>
          </w:p>
        </w:tc>
        <w:tc>
          <w:tcPr>
            <w:tcW w:w="1535" w:type="dxa"/>
            <w:shd w:val="clear" w:color="auto" w:fill="auto"/>
          </w:tcPr>
          <w:p>
            <w:pPr>
              <w:tabs>
                <w:tab w:val="right" w:leader="dot" w:pos="9071"/>
              </w:tabs>
              <w:ind w:left="850" w:hanging="850"/>
              <w:jc w:val="center"/>
              <w:rPr>
                <w:noProof/>
                <w:sz w:val="20"/>
                <w:szCs w:val="20"/>
              </w:rPr>
            </w:pPr>
          </w:p>
        </w:tc>
        <w:tc>
          <w:tcPr>
            <w:tcW w:w="1535" w:type="dxa"/>
            <w:shd w:val="clear" w:color="auto" w:fill="auto"/>
          </w:tcPr>
          <w:p>
            <w:pPr>
              <w:tabs>
                <w:tab w:val="right" w:leader="dot" w:pos="9071"/>
              </w:tabs>
              <w:ind w:left="850" w:hanging="850"/>
              <w:jc w:val="center"/>
              <w:rPr>
                <w:noProof/>
                <w:sz w:val="20"/>
                <w:szCs w:val="20"/>
              </w:rPr>
            </w:pPr>
            <w:r>
              <w:rPr>
                <w:noProof/>
                <w:sz w:val="20"/>
              </w:rPr>
              <w:t>4</w:t>
            </w:r>
          </w:p>
        </w:tc>
        <w:tc>
          <w:tcPr>
            <w:tcW w:w="1535" w:type="dxa"/>
            <w:shd w:val="clear" w:color="auto" w:fill="auto"/>
          </w:tcPr>
          <w:p>
            <w:pPr>
              <w:tabs>
                <w:tab w:val="right" w:leader="dot" w:pos="9071"/>
              </w:tabs>
              <w:ind w:left="850" w:hanging="850"/>
              <w:jc w:val="center"/>
              <w:rPr>
                <w:noProof/>
                <w:sz w:val="20"/>
                <w:szCs w:val="20"/>
              </w:rPr>
            </w:pPr>
            <w:r>
              <w:rPr>
                <w:noProof/>
                <w:sz w:val="20"/>
              </w:rPr>
              <w:t>1</w:t>
            </w:r>
          </w:p>
        </w:tc>
        <w:tc>
          <w:tcPr>
            <w:tcW w:w="1536" w:type="dxa"/>
            <w:shd w:val="clear" w:color="auto" w:fill="auto"/>
          </w:tcPr>
          <w:p>
            <w:pPr>
              <w:tabs>
                <w:tab w:val="right" w:leader="dot" w:pos="9071"/>
              </w:tabs>
              <w:ind w:left="850" w:hanging="850"/>
              <w:jc w:val="center"/>
              <w:rPr>
                <w:noProof/>
                <w:sz w:val="20"/>
                <w:szCs w:val="20"/>
              </w:rPr>
            </w:pPr>
          </w:p>
        </w:tc>
        <w:tc>
          <w:tcPr>
            <w:tcW w:w="1536" w:type="dxa"/>
            <w:shd w:val="clear" w:color="auto" w:fill="F2F2F2"/>
          </w:tcPr>
          <w:p>
            <w:pPr>
              <w:tabs>
                <w:tab w:val="right" w:leader="dot" w:pos="9071"/>
              </w:tabs>
              <w:ind w:left="850" w:hanging="850"/>
              <w:jc w:val="center"/>
              <w:rPr>
                <w:noProof/>
                <w:sz w:val="20"/>
                <w:szCs w:val="20"/>
              </w:rPr>
            </w:pPr>
            <w:r>
              <w:rPr>
                <w:noProof/>
                <w:sz w:val="20"/>
              </w:rPr>
              <w:t>5</w:t>
            </w:r>
          </w:p>
        </w:tc>
      </w:tr>
      <w:tr>
        <w:tc>
          <w:tcPr>
            <w:tcW w:w="1535" w:type="dxa"/>
            <w:shd w:val="clear" w:color="auto" w:fill="auto"/>
          </w:tcPr>
          <w:p>
            <w:pPr>
              <w:tabs>
                <w:tab w:val="right" w:leader="dot" w:pos="9071"/>
              </w:tabs>
              <w:ind w:left="850" w:hanging="850"/>
              <w:rPr>
                <w:noProof/>
                <w:sz w:val="20"/>
                <w:szCs w:val="20"/>
              </w:rPr>
            </w:pPr>
            <w:r>
              <w:rPr>
                <w:noProof/>
                <w:sz w:val="20"/>
              </w:rPr>
              <w:t>Abril</w:t>
            </w:r>
          </w:p>
        </w:tc>
        <w:tc>
          <w:tcPr>
            <w:tcW w:w="1535" w:type="dxa"/>
            <w:shd w:val="clear" w:color="auto" w:fill="auto"/>
          </w:tcPr>
          <w:p>
            <w:pPr>
              <w:tabs>
                <w:tab w:val="right" w:leader="dot" w:pos="9071"/>
              </w:tabs>
              <w:ind w:left="850" w:hanging="850"/>
              <w:jc w:val="center"/>
              <w:rPr>
                <w:noProof/>
                <w:sz w:val="20"/>
                <w:szCs w:val="20"/>
              </w:rPr>
            </w:pPr>
          </w:p>
        </w:tc>
        <w:tc>
          <w:tcPr>
            <w:tcW w:w="1535" w:type="dxa"/>
            <w:shd w:val="clear" w:color="auto" w:fill="auto"/>
          </w:tcPr>
          <w:p>
            <w:pPr>
              <w:tabs>
                <w:tab w:val="right" w:leader="dot" w:pos="9071"/>
              </w:tabs>
              <w:ind w:left="850" w:hanging="850"/>
              <w:jc w:val="center"/>
              <w:rPr>
                <w:noProof/>
                <w:sz w:val="20"/>
                <w:szCs w:val="20"/>
              </w:rPr>
            </w:pPr>
            <w:r>
              <w:rPr>
                <w:noProof/>
                <w:sz w:val="20"/>
              </w:rPr>
              <w:t>1</w:t>
            </w:r>
          </w:p>
        </w:tc>
        <w:tc>
          <w:tcPr>
            <w:tcW w:w="1535" w:type="dxa"/>
            <w:shd w:val="clear" w:color="auto" w:fill="auto"/>
          </w:tcPr>
          <w:p>
            <w:pPr>
              <w:tabs>
                <w:tab w:val="right" w:leader="dot" w:pos="9071"/>
              </w:tabs>
              <w:ind w:left="850" w:hanging="850"/>
              <w:jc w:val="center"/>
              <w:rPr>
                <w:noProof/>
                <w:sz w:val="20"/>
                <w:szCs w:val="20"/>
              </w:rPr>
            </w:pPr>
          </w:p>
        </w:tc>
        <w:tc>
          <w:tcPr>
            <w:tcW w:w="1536" w:type="dxa"/>
            <w:shd w:val="clear" w:color="auto" w:fill="auto"/>
          </w:tcPr>
          <w:p>
            <w:pPr>
              <w:tabs>
                <w:tab w:val="right" w:leader="dot" w:pos="9071"/>
              </w:tabs>
              <w:ind w:left="850" w:hanging="850"/>
              <w:jc w:val="center"/>
              <w:rPr>
                <w:noProof/>
                <w:sz w:val="20"/>
                <w:szCs w:val="20"/>
              </w:rPr>
            </w:pPr>
          </w:p>
        </w:tc>
        <w:tc>
          <w:tcPr>
            <w:tcW w:w="1536" w:type="dxa"/>
            <w:shd w:val="clear" w:color="auto" w:fill="F2F2F2"/>
          </w:tcPr>
          <w:p>
            <w:pPr>
              <w:tabs>
                <w:tab w:val="right" w:leader="dot" w:pos="9071"/>
              </w:tabs>
              <w:ind w:left="850" w:hanging="850"/>
              <w:jc w:val="center"/>
              <w:rPr>
                <w:noProof/>
                <w:sz w:val="20"/>
                <w:szCs w:val="20"/>
              </w:rPr>
            </w:pPr>
            <w:r>
              <w:rPr>
                <w:noProof/>
                <w:sz w:val="20"/>
              </w:rPr>
              <w:t>1</w:t>
            </w:r>
          </w:p>
        </w:tc>
      </w:tr>
      <w:tr>
        <w:tc>
          <w:tcPr>
            <w:tcW w:w="1535" w:type="dxa"/>
            <w:shd w:val="clear" w:color="auto" w:fill="auto"/>
          </w:tcPr>
          <w:p>
            <w:pPr>
              <w:tabs>
                <w:tab w:val="right" w:leader="dot" w:pos="9071"/>
              </w:tabs>
              <w:ind w:left="850" w:hanging="850"/>
              <w:rPr>
                <w:noProof/>
                <w:sz w:val="20"/>
                <w:szCs w:val="20"/>
              </w:rPr>
            </w:pPr>
            <w:r>
              <w:rPr>
                <w:noProof/>
                <w:sz w:val="20"/>
              </w:rPr>
              <w:t xml:space="preserve">Mayo </w:t>
            </w:r>
          </w:p>
        </w:tc>
        <w:tc>
          <w:tcPr>
            <w:tcW w:w="1535" w:type="dxa"/>
            <w:shd w:val="clear" w:color="auto" w:fill="auto"/>
          </w:tcPr>
          <w:p>
            <w:pPr>
              <w:tabs>
                <w:tab w:val="right" w:leader="dot" w:pos="9071"/>
              </w:tabs>
              <w:ind w:left="850" w:hanging="850"/>
              <w:jc w:val="center"/>
              <w:rPr>
                <w:noProof/>
                <w:sz w:val="20"/>
                <w:szCs w:val="20"/>
              </w:rPr>
            </w:pPr>
          </w:p>
        </w:tc>
        <w:tc>
          <w:tcPr>
            <w:tcW w:w="1535" w:type="dxa"/>
            <w:shd w:val="clear" w:color="auto" w:fill="auto"/>
          </w:tcPr>
          <w:p>
            <w:pPr>
              <w:tabs>
                <w:tab w:val="right" w:leader="dot" w:pos="9071"/>
              </w:tabs>
              <w:ind w:left="850" w:hanging="850"/>
              <w:jc w:val="center"/>
              <w:rPr>
                <w:noProof/>
                <w:sz w:val="20"/>
                <w:szCs w:val="20"/>
              </w:rPr>
            </w:pPr>
            <w:r>
              <w:rPr>
                <w:noProof/>
                <w:sz w:val="20"/>
              </w:rPr>
              <w:t>7</w:t>
            </w:r>
          </w:p>
        </w:tc>
        <w:tc>
          <w:tcPr>
            <w:tcW w:w="1535" w:type="dxa"/>
            <w:shd w:val="clear" w:color="auto" w:fill="auto"/>
          </w:tcPr>
          <w:p>
            <w:pPr>
              <w:tabs>
                <w:tab w:val="right" w:leader="dot" w:pos="9071"/>
              </w:tabs>
              <w:ind w:left="850" w:hanging="850"/>
              <w:jc w:val="center"/>
              <w:rPr>
                <w:noProof/>
                <w:sz w:val="20"/>
                <w:szCs w:val="20"/>
              </w:rPr>
            </w:pPr>
          </w:p>
        </w:tc>
        <w:tc>
          <w:tcPr>
            <w:tcW w:w="1536" w:type="dxa"/>
            <w:shd w:val="clear" w:color="auto" w:fill="auto"/>
          </w:tcPr>
          <w:p>
            <w:pPr>
              <w:tabs>
                <w:tab w:val="right" w:leader="dot" w:pos="9071"/>
              </w:tabs>
              <w:ind w:left="850" w:hanging="850"/>
              <w:jc w:val="center"/>
              <w:rPr>
                <w:noProof/>
                <w:sz w:val="20"/>
                <w:szCs w:val="20"/>
              </w:rPr>
            </w:pPr>
          </w:p>
        </w:tc>
        <w:tc>
          <w:tcPr>
            <w:tcW w:w="1536" w:type="dxa"/>
            <w:shd w:val="clear" w:color="auto" w:fill="F2F2F2"/>
          </w:tcPr>
          <w:p>
            <w:pPr>
              <w:tabs>
                <w:tab w:val="right" w:leader="dot" w:pos="9071"/>
              </w:tabs>
              <w:ind w:left="850" w:hanging="850"/>
              <w:jc w:val="center"/>
              <w:rPr>
                <w:noProof/>
                <w:sz w:val="20"/>
                <w:szCs w:val="20"/>
              </w:rPr>
            </w:pPr>
            <w:r>
              <w:rPr>
                <w:noProof/>
                <w:sz w:val="20"/>
              </w:rPr>
              <w:t>7</w:t>
            </w:r>
          </w:p>
        </w:tc>
      </w:tr>
      <w:tr>
        <w:tc>
          <w:tcPr>
            <w:tcW w:w="1535" w:type="dxa"/>
            <w:shd w:val="clear" w:color="auto" w:fill="auto"/>
          </w:tcPr>
          <w:p>
            <w:pPr>
              <w:tabs>
                <w:tab w:val="right" w:leader="dot" w:pos="9071"/>
              </w:tabs>
              <w:ind w:left="850" w:hanging="850"/>
              <w:rPr>
                <w:noProof/>
                <w:sz w:val="20"/>
                <w:szCs w:val="20"/>
              </w:rPr>
            </w:pPr>
            <w:r>
              <w:rPr>
                <w:noProof/>
                <w:sz w:val="20"/>
              </w:rPr>
              <w:t xml:space="preserve">Junio </w:t>
            </w:r>
          </w:p>
        </w:tc>
        <w:tc>
          <w:tcPr>
            <w:tcW w:w="1535" w:type="dxa"/>
            <w:shd w:val="clear" w:color="auto" w:fill="auto"/>
          </w:tcPr>
          <w:p>
            <w:pPr>
              <w:tabs>
                <w:tab w:val="right" w:leader="dot" w:pos="9071"/>
              </w:tabs>
              <w:ind w:left="850" w:hanging="850"/>
              <w:jc w:val="center"/>
              <w:rPr>
                <w:noProof/>
                <w:sz w:val="20"/>
                <w:szCs w:val="20"/>
              </w:rPr>
            </w:pPr>
            <w:r>
              <w:rPr>
                <w:noProof/>
                <w:sz w:val="20"/>
              </w:rPr>
              <w:t>2</w:t>
            </w:r>
          </w:p>
        </w:tc>
        <w:tc>
          <w:tcPr>
            <w:tcW w:w="1535" w:type="dxa"/>
            <w:shd w:val="clear" w:color="auto" w:fill="auto"/>
          </w:tcPr>
          <w:p>
            <w:pPr>
              <w:tabs>
                <w:tab w:val="right" w:leader="dot" w:pos="9071"/>
              </w:tabs>
              <w:ind w:left="850" w:hanging="850"/>
              <w:jc w:val="center"/>
              <w:rPr>
                <w:noProof/>
                <w:sz w:val="20"/>
                <w:szCs w:val="20"/>
              </w:rPr>
            </w:pPr>
            <w:r>
              <w:rPr>
                <w:noProof/>
                <w:sz w:val="20"/>
              </w:rPr>
              <w:t>6</w:t>
            </w:r>
          </w:p>
        </w:tc>
        <w:tc>
          <w:tcPr>
            <w:tcW w:w="1535" w:type="dxa"/>
            <w:shd w:val="clear" w:color="auto" w:fill="auto"/>
          </w:tcPr>
          <w:p>
            <w:pPr>
              <w:tabs>
                <w:tab w:val="right" w:leader="dot" w:pos="9071"/>
              </w:tabs>
              <w:ind w:left="850" w:hanging="850"/>
              <w:jc w:val="center"/>
              <w:rPr>
                <w:noProof/>
                <w:sz w:val="20"/>
                <w:szCs w:val="20"/>
              </w:rPr>
            </w:pPr>
          </w:p>
        </w:tc>
        <w:tc>
          <w:tcPr>
            <w:tcW w:w="1536" w:type="dxa"/>
            <w:shd w:val="clear" w:color="auto" w:fill="auto"/>
          </w:tcPr>
          <w:p>
            <w:pPr>
              <w:tabs>
                <w:tab w:val="right" w:leader="dot" w:pos="9071"/>
              </w:tabs>
              <w:ind w:left="850" w:hanging="850"/>
              <w:jc w:val="center"/>
              <w:rPr>
                <w:noProof/>
                <w:sz w:val="20"/>
                <w:szCs w:val="20"/>
              </w:rPr>
            </w:pPr>
          </w:p>
        </w:tc>
        <w:tc>
          <w:tcPr>
            <w:tcW w:w="1536" w:type="dxa"/>
            <w:shd w:val="clear" w:color="auto" w:fill="F2F2F2"/>
          </w:tcPr>
          <w:p>
            <w:pPr>
              <w:tabs>
                <w:tab w:val="right" w:leader="dot" w:pos="9071"/>
              </w:tabs>
              <w:ind w:left="850" w:hanging="850"/>
              <w:jc w:val="center"/>
              <w:rPr>
                <w:noProof/>
                <w:sz w:val="20"/>
                <w:szCs w:val="20"/>
              </w:rPr>
            </w:pPr>
            <w:r>
              <w:rPr>
                <w:noProof/>
                <w:sz w:val="20"/>
              </w:rPr>
              <w:t>8</w:t>
            </w:r>
          </w:p>
        </w:tc>
      </w:tr>
      <w:tr>
        <w:tc>
          <w:tcPr>
            <w:tcW w:w="1535" w:type="dxa"/>
            <w:shd w:val="clear" w:color="auto" w:fill="auto"/>
          </w:tcPr>
          <w:p>
            <w:pPr>
              <w:tabs>
                <w:tab w:val="right" w:leader="dot" w:pos="9071"/>
              </w:tabs>
              <w:ind w:left="850" w:hanging="850"/>
              <w:rPr>
                <w:noProof/>
                <w:sz w:val="20"/>
                <w:szCs w:val="20"/>
              </w:rPr>
            </w:pPr>
            <w:r>
              <w:rPr>
                <w:noProof/>
                <w:sz w:val="20"/>
              </w:rPr>
              <w:t xml:space="preserve">Julio </w:t>
            </w:r>
          </w:p>
        </w:tc>
        <w:tc>
          <w:tcPr>
            <w:tcW w:w="1535" w:type="dxa"/>
            <w:shd w:val="clear" w:color="auto" w:fill="auto"/>
          </w:tcPr>
          <w:p>
            <w:pPr>
              <w:tabs>
                <w:tab w:val="right" w:leader="dot" w:pos="9071"/>
              </w:tabs>
              <w:ind w:left="850" w:hanging="850"/>
              <w:jc w:val="center"/>
              <w:rPr>
                <w:noProof/>
                <w:sz w:val="20"/>
                <w:szCs w:val="20"/>
              </w:rPr>
            </w:pPr>
          </w:p>
        </w:tc>
        <w:tc>
          <w:tcPr>
            <w:tcW w:w="1535" w:type="dxa"/>
            <w:shd w:val="clear" w:color="auto" w:fill="auto"/>
          </w:tcPr>
          <w:p>
            <w:pPr>
              <w:tabs>
                <w:tab w:val="right" w:leader="dot" w:pos="9071"/>
              </w:tabs>
              <w:ind w:left="850" w:hanging="850"/>
              <w:jc w:val="center"/>
              <w:rPr>
                <w:noProof/>
                <w:sz w:val="20"/>
                <w:szCs w:val="20"/>
              </w:rPr>
            </w:pPr>
            <w:r>
              <w:rPr>
                <w:noProof/>
                <w:sz w:val="20"/>
              </w:rPr>
              <w:t>5</w:t>
            </w:r>
          </w:p>
        </w:tc>
        <w:tc>
          <w:tcPr>
            <w:tcW w:w="1535" w:type="dxa"/>
            <w:shd w:val="clear" w:color="auto" w:fill="auto"/>
          </w:tcPr>
          <w:p>
            <w:pPr>
              <w:tabs>
                <w:tab w:val="right" w:leader="dot" w:pos="9071"/>
              </w:tabs>
              <w:ind w:left="850" w:hanging="850"/>
              <w:jc w:val="center"/>
              <w:rPr>
                <w:noProof/>
                <w:sz w:val="20"/>
                <w:szCs w:val="20"/>
              </w:rPr>
            </w:pPr>
          </w:p>
        </w:tc>
        <w:tc>
          <w:tcPr>
            <w:tcW w:w="1536" w:type="dxa"/>
            <w:shd w:val="clear" w:color="auto" w:fill="auto"/>
          </w:tcPr>
          <w:p>
            <w:pPr>
              <w:tabs>
                <w:tab w:val="right" w:leader="dot" w:pos="9071"/>
              </w:tabs>
              <w:ind w:left="850" w:hanging="850"/>
              <w:jc w:val="center"/>
              <w:rPr>
                <w:noProof/>
                <w:sz w:val="20"/>
                <w:szCs w:val="20"/>
              </w:rPr>
            </w:pPr>
            <w:r>
              <w:rPr>
                <w:noProof/>
                <w:sz w:val="20"/>
              </w:rPr>
              <w:t>2</w:t>
            </w:r>
          </w:p>
        </w:tc>
        <w:tc>
          <w:tcPr>
            <w:tcW w:w="1536" w:type="dxa"/>
            <w:shd w:val="clear" w:color="auto" w:fill="F2F2F2"/>
          </w:tcPr>
          <w:p>
            <w:pPr>
              <w:tabs>
                <w:tab w:val="right" w:leader="dot" w:pos="9071"/>
              </w:tabs>
              <w:ind w:left="850" w:hanging="850"/>
              <w:jc w:val="center"/>
              <w:rPr>
                <w:noProof/>
                <w:sz w:val="20"/>
                <w:szCs w:val="20"/>
              </w:rPr>
            </w:pPr>
            <w:r>
              <w:rPr>
                <w:noProof/>
                <w:sz w:val="20"/>
              </w:rPr>
              <w:t>7</w:t>
            </w:r>
          </w:p>
        </w:tc>
      </w:tr>
      <w:tr>
        <w:tc>
          <w:tcPr>
            <w:tcW w:w="1535" w:type="dxa"/>
            <w:shd w:val="clear" w:color="auto" w:fill="auto"/>
          </w:tcPr>
          <w:p>
            <w:pPr>
              <w:tabs>
                <w:tab w:val="right" w:leader="dot" w:pos="9071"/>
              </w:tabs>
              <w:ind w:left="850" w:hanging="850"/>
              <w:rPr>
                <w:noProof/>
                <w:sz w:val="20"/>
                <w:szCs w:val="20"/>
              </w:rPr>
            </w:pPr>
            <w:r>
              <w:rPr>
                <w:noProof/>
                <w:sz w:val="20"/>
              </w:rPr>
              <w:t xml:space="preserve">Agosto </w:t>
            </w:r>
          </w:p>
        </w:tc>
        <w:tc>
          <w:tcPr>
            <w:tcW w:w="1535" w:type="dxa"/>
            <w:shd w:val="clear" w:color="auto" w:fill="auto"/>
          </w:tcPr>
          <w:p>
            <w:pPr>
              <w:tabs>
                <w:tab w:val="right" w:leader="dot" w:pos="9071"/>
              </w:tabs>
              <w:ind w:left="850" w:hanging="850"/>
              <w:jc w:val="center"/>
              <w:rPr>
                <w:noProof/>
                <w:sz w:val="20"/>
                <w:szCs w:val="20"/>
              </w:rPr>
            </w:pPr>
            <w:r>
              <w:rPr>
                <w:noProof/>
                <w:sz w:val="20"/>
              </w:rPr>
              <w:t>1</w:t>
            </w:r>
          </w:p>
        </w:tc>
        <w:tc>
          <w:tcPr>
            <w:tcW w:w="1535" w:type="dxa"/>
            <w:shd w:val="clear" w:color="auto" w:fill="auto"/>
          </w:tcPr>
          <w:p>
            <w:pPr>
              <w:tabs>
                <w:tab w:val="right" w:leader="dot" w:pos="9071"/>
              </w:tabs>
              <w:ind w:left="850" w:hanging="850"/>
              <w:jc w:val="center"/>
              <w:rPr>
                <w:noProof/>
                <w:sz w:val="20"/>
                <w:szCs w:val="20"/>
              </w:rPr>
            </w:pPr>
            <w:r>
              <w:rPr>
                <w:noProof/>
                <w:sz w:val="20"/>
              </w:rPr>
              <w:t>3</w:t>
            </w:r>
          </w:p>
        </w:tc>
        <w:tc>
          <w:tcPr>
            <w:tcW w:w="1535" w:type="dxa"/>
            <w:shd w:val="clear" w:color="auto" w:fill="auto"/>
          </w:tcPr>
          <w:p>
            <w:pPr>
              <w:tabs>
                <w:tab w:val="right" w:leader="dot" w:pos="9071"/>
              </w:tabs>
              <w:ind w:left="850" w:hanging="850"/>
              <w:jc w:val="center"/>
              <w:rPr>
                <w:noProof/>
                <w:sz w:val="20"/>
                <w:szCs w:val="20"/>
              </w:rPr>
            </w:pPr>
          </w:p>
        </w:tc>
        <w:tc>
          <w:tcPr>
            <w:tcW w:w="1536" w:type="dxa"/>
            <w:shd w:val="clear" w:color="auto" w:fill="auto"/>
          </w:tcPr>
          <w:p>
            <w:pPr>
              <w:tabs>
                <w:tab w:val="right" w:leader="dot" w:pos="9071"/>
              </w:tabs>
              <w:ind w:left="850" w:hanging="850"/>
              <w:jc w:val="center"/>
              <w:rPr>
                <w:noProof/>
                <w:sz w:val="20"/>
                <w:szCs w:val="20"/>
              </w:rPr>
            </w:pPr>
            <w:r>
              <w:rPr>
                <w:noProof/>
                <w:sz w:val="20"/>
              </w:rPr>
              <w:t>1</w:t>
            </w:r>
          </w:p>
        </w:tc>
        <w:tc>
          <w:tcPr>
            <w:tcW w:w="1536" w:type="dxa"/>
            <w:shd w:val="clear" w:color="auto" w:fill="F2F2F2"/>
          </w:tcPr>
          <w:p>
            <w:pPr>
              <w:tabs>
                <w:tab w:val="right" w:leader="dot" w:pos="9071"/>
              </w:tabs>
              <w:ind w:left="850" w:hanging="850"/>
              <w:jc w:val="center"/>
              <w:rPr>
                <w:noProof/>
                <w:sz w:val="20"/>
                <w:szCs w:val="20"/>
              </w:rPr>
            </w:pPr>
            <w:r>
              <w:rPr>
                <w:noProof/>
                <w:sz w:val="20"/>
              </w:rPr>
              <w:t>5</w:t>
            </w:r>
          </w:p>
        </w:tc>
      </w:tr>
      <w:tr>
        <w:tc>
          <w:tcPr>
            <w:tcW w:w="1535" w:type="dxa"/>
            <w:shd w:val="clear" w:color="auto" w:fill="auto"/>
          </w:tcPr>
          <w:p>
            <w:pPr>
              <w:tabs>
                <w:tab w:val="right" w:leader="dot" w:pos="9071"/>
              </w:tabs>
              <w:ind w:left="850" w:hanging="850"/>
              <w:rPr>
                <w:noProof/>
                <w:sz w:val="20"/>
                <w:szCs w:val="20"/>
              </w:rPr>
            </w:pPr>
            <w:r>
              <w:rPr>
                <w:noProof/>
                <w:sz w:val="20"/>
              </w:rPr>
              <w:t xml:space="preserve">Septiembre </w:t>
            </w:r>
          </w:p>
        </w:tc>
        <w:tc>
          <w:tcPr>
            <w:tcW w:w="1535" w:type="dxa"/>
            <w:shd w:val="clear" w:color="auto" w:fill="auto"/>
          </w:tcPr>
          <w:p>
            <w:pPr>
              <w:tabs>
                <w:tab w:val="right" w:leader="dot" w:pos="9071"/>
              </w:tabs>
              <w:ind w:left="850" w:hanging="850"/>
              <w:jc w:val="center"/>
              <w:rPr>
                <w:noProof/>
                <w:sz w:val="20"/>
                <w:szCs w:val="20"/>
              </w:rPr>
            </w:pPr>
          </w:p>
        </w:tc>
        <w:tc>
          <w:tcPr>
            <w:tcW w:w="1535" w:type="dxa"/>
            <w:shd w:val="clear" w:color="auto" w:fill="auto"/>
          </w:tcPr>
          <w:p>
            <w:pPr>
              <w:tabs>
                <w:tab w:val="right" w:leader="dot" w:pos="9071"/>
              </w:tabs>
              <w:ind w:left="850" w:hanging="850"/>
              <w:jc w:val="center"/>
              <w:rPr>
                <w:noProof/>
                <w:sz w:val="20"/>
                <w:szCs w:val="20"/>
              </w:rPr>
            </w:pPr>
            <w:r>
              <w:rPr>
                <w:noProof/>
                <w:sz w:val="20"/>
              </w:rPr>
              <w:t>1</w:t>
            </w:r>
          </w:p>
        </w:tc>
        <w:tc>
          <w:tcPr>
            <w:tcW w:w="1535" w:type="dxa"/>
            <w:shd w:val="clear" w:color="auto" w:fill="auto"/>
          </w:tcPr>
          <w:p>
            <w:pPr>
              <w:tabs>
                <w:tab w:val="right" w:leader="dot" w:pos="9071"/>
              </w:tabs>
              <w:ind w:left="850" w:hanging="850"/>
              <w:jc w:val="center"/>
              <w:rPr>
                <w:noProof/>
                <w:sz w:val="20"/>
                <w:szCs w:val="20"/>
              </w:rPr>
            </w:pPr>
            <w:r>
              <w:rPr>
                <w:noProof/>
                <w:sz w:val="20"/>
              </w:rPr>
              <w:t>1</w:t>
            </w:r>
          </w:p>
        </w:tc>
        <w:tc>
          <w:tcPr>
            <w:tcW w:w="1536" w:type="dxa"/>
            <w:shd w:val="clear" w:color="auto" w:fill="auto"/>
          </w:tcPr>
          <w:p>
            <w:pPr>
              <w:tabs>
                <w:tab w:val="right" w:leader="dot" w:pos="9071"/>
              </w:tabs>
              <w:ind w:left="850" w:hanging="850"/>
              <w:jc w:val="center"/>
              <w:rPr>
                <w:noProof/>
                <w:sz w:val="20"/>
                <w:szCs w:val="20"/>
              </w:rPr>
            </w:pPr>
          </w:p>
        </w:tc>
        <w:tc>
          <w:tcPr>
            <w:tcW w:w="1536" w:type="dxa"/>
            <w:shd w:val="clear" w:color="auto" w:fill="F2F2F2"/>
          </w:tcPr>
          <w:p>
            <w:pPr>
              <w:tabs>
                <w:tab w:val="right" w:leader="dot" w:pos="9071"/>
              </w:tabs>
              <w:ind w:left="850" w:hanging="850"/>
              <w:jc w:val="center"/>
              <w:rPr>
                <w:noProof/>
                <w:sz w:val="20"/>
                <w:szCs w:val="20"/>
              </w:rPr>
            </w:pPr>
            <w:r>
              <w:rPr>
                <w:noProof/>
                <w:sz w:val="20"/>
              </w:rPr>
              <w:t>2</w:t>
            </w:r>
          </w:p>
        </w:tc>
      </w:tr>
      <w:tr>
        <w:tc>
          <w:tcPr>
            <w:tcW w:w="1535" w:type="dxa"/>
            <w:shd w:val="clear" w:color="auto" w:fill="auto"/>
          </w:tcPr>
          <w:p>
            <w:pPr>
              <w:tabs>
                <w:tab w:val="right" w:leader="dot" w:pos="9071"/>
              </w:tabs>
              <w:ind w:left="850" w:hanging="850"/>
              <w:rPr>
                <w:noProof/>
                <w:sz w:val="20"/>
                <w:szCs w:val="20"/>
              </w:rPr>
            </w:pPr>
            <w:r>
              <w:rPr>
                <w:noProof/>
                <w:sz w:val="20"/>
              </w:rPr>
              <w:t xml:space="preserve">Octubre </w:t>
            </w:r>
          </w:p>
        </w:tc>
        <w:tc>
          <w:tcPr>
            <w:tcW w:w="1535" w:type="dxa"/>
            <w:shd w:val="clear" w:color="auto" w:fill="auto"/>
          </w:tcPr>
          <w:p>
            <w:pPr>
              <w:tabs>
                <w:tab w:val="right" w:leader="dot" w:pos="9071"/>
              </w:tabs>
              <w:ind w:left="850" w:hanging="850"/>
              <w:jc w:val="center"/>
              <w:rPr>
                <w:noProof/>
                <w:sz w:val="20"/>
                <w:szCs w:val="20"/>
              </w:rPr>
            </w:pPr>
          </w:p>
        </w:tc>
        <w:tc>
          <w:tcPr>
            <w:tcW w:w="1535" w:type="dxa"/>
            <w:shd w:val="clear" w:color="auto" w:fill="auto"/>
          </w:tcPr>
          <w:p>
            <w:pPr>
              <w:tabs>
                <w:tab w:val="right" w:leader="dot" w:pos="9071"/>
              </w:tabs>
              <w:ind w:left="850" w:hanging="850"/>
              <w:jc w:val="center"/>
              <w:rPr>
                <w:noProof/>
                <w:sz w:val="20"/>
                <w:szCs w:val="20"/>
              </w:rPr>
            </w:pPr>
            <w:r>
              <w:rPr>
                <w:noProof/>
                <w:sz w:val="20"/>
              </w:rPr>
              <w:t>6</w:t>
            </w:r>
          </w:p>
        </w:tc>
        <w:tc>
          <w:tcPr>
            <w:tcW w:w="1535" w:type="dxa"/>
            <w:shd w:val="clear" w:color="auto" w:fill="auto"/>
          </w:tcPr>
          <w:p>
            <w:pPr>
              <w:tabs>
                <w:tab w:val="right" w:leader="dot" w:pos="9071"/>
              </w:tabs>
              <w:ind w:left="850" w:hanging="850"/>
              <w:jc w:val="center"/>
              <w:rPr>
                <w:noProof/>
                <w:sz w:val="20"/>
                <w:szCs w:val="20"/>
              </w:rPr>
            </w:pPr>
            <w:r>
              <w:rPr>
                <w:noProof/>
                <w:sz w:val="20"/>
              </w:rPr>
              <w:t>1</w:t>
            </w:r>
          </w:p>
        </w:tc>
        <w:tc>
          <w:tcPr>
            <w:tcW w:w="1536" w:type="dxa"/>
            <w:shd w:val="clear" w:color="auto" w:fill="auto"/>
          </w:tcPr>
          <w:p>
            <w:pPr>
              <w:tabs>
                <w:tab w:val="right" w:leader="dot" w:pos="9071"/>
              </w:tabs>
              <w:ind w:left="850" w:hanging="850"/>
              <w:jc w:val="center"/>
              <w:rPr>
                <w:noProof/>
                <w:sz w:val="20"/>
                <w:szCs w:val="20"/>
              </w:rPr>
            </w:pPr>
          </w:p>
        </w:tc>
        <w:tc>
          <w:tcPr>
            <w:tcW w:w="1536" w:type="dxa"/>
            <w:shd w:val="clear" w:color="auto" w:fill="F2F2F2"/>
          </w:tcPr>
          <w:p>
            <w:pPr>
              <w:tabs>
                <w:tab w:val="right" w:leader="dot" w:pos="9071"/>
              </w:tabs>
              <w:ind w:left="850" w:hanging="850"/>
              <w:jc w:val="center"/>
              <w:rPr>
                <w:noProof/>
                <w:sz w:val="20"/>
                <w:szCs w:val="20"/>
              </w:rPr>
            </w:pPr>
            <w:r>
              <w:rPr>
                <w:noProof/>
                <w:sz w:val="20"/>
              </w:rPr>
              <w:t>7</w:t>
            </w:r>
          </w:p>
        </w:tc>
      </w:tr>
      <w:tr>
        <w:tc>
          <w:tcPr>
            <w:tcW w:w="1535" w:type="dxa"/>
            <w:shd w:val="clear" w:color="auto" w:fill="auto"/>
          </w:tcPr>
          <w:p>
            <w:pPr>
              <w:tabs>
                <w:tab w:val="right" w:leader="dot" w:pos="9071"/>
              </w:tabs>
              <w:ind w:left="850" w:hanging="850"/>
              <w:rPr>
                <w:noProof/>
                <w:sz w:val="20"/>
                <w:szCs w:val="20"/>
              </w:rPr>
            </w:pPr>
            <w:r>
              <w:rPr>
                <w:noProof/>
                <w:sz w:val="20"/>
              </w:rPr>
              <w:t xml:space="preserve">Noviembre </w:t>
            </w:r>
          </w:p>
        </w:tc>
        <w:tc>
          <w:tcPr>
            <w:tcW w:w="1535" w:type="dxa"/>
            <w:shd w:val="clear" w:color="auto" w:fill="auto"/>
          </w:tcPr>
          <w:p>
            <w:pPr>
              <w:tabs>
                <w:tab w:val="right" w:leader="dot" w:pos="9071"/>
              </w:tabs>
              <w:ind w:left="850" w:hanging="850"/>
              <w:jc w:val="center"/>
              <w:rPr>
                <w:noProof/>
                <w:sz w:val="20"/>
                <w:szCs w:val="20"/>
              </w:rPr>
            </w:pPr>
          </w:p>
        </w:tc>
        <w:tc>
          <w:tcPr>
            <w:tcW w:w="1535" w:type="dxa"/>
            <w:shd w:val="clear" w:color="auto" w:fill="auto"/>
          </w:tcPr>
          <w:p>
            <w:pPr>
              <w:tabs>
                <w:tab w:val="right" w:leader="dot" w:pos="9071"/>
              </w:tabs>
              <w:ind w:left="850" w:hanging="850"/>
              <w:jc w:val="center"/>
              <w:rPr>
                <w:noProof/>
                <w:sz w:val="20"/>
                <w:szCs w:val="20"/>
              </w:rPr>
            </w:pPr>
            <w:r>
              <w:rPr>
                <w:noProof/>
                <w:sz w:val="20"/>
              </w:rPr>
              <w:t>2</w:t>
            </w:r>
          </w:p>
        </w:tc>
        <w:tc>
          <w:tcPr>
            <w:tcW w:w="1535" w:type="dxa"/>
            <w:shd w:val="clear" w:color="auto" w:fill="auto"/>
          </w:tcPr>
          <w:p>
            <w:pPr>
              <w:tabs>
                <w:tab w:val="right" w:leader="dot" w:pos="9071"/>
              </w:tabs>
              <w:ind w:left="850" w:hanging="850"/>
              <w:jc w:val="center"/>
              <w:rPr>
                <w:noProof/>
                <w:sz w:val="20"/>
                <w:szCs w:val="20"/>
              </w:rPr>
            </w:pPr>
            <w:r>
              <w:rPr>
                <w:noProof/>
                <w:sz w:val="20"/>
              </w:rPr>
              <w:t>1</w:t>
            </w:r>
          </w:p>
        </w:tc>
        <w:tc>
          <w:tcPr>
            <w:tcW w:w="1536" w:type="dxa"/>
            <w:shd w:val="clear" w:color="auto" w:fill="auto"/>
          </w:tcPr>
          <w:p>
            <w:pPr>
              <w:tabs>
                <w:tab w:val="right" w:leader="dot" w:pos="9071"/>
              </w:tabs>
              <w:ind w:left="850" w:hanging="850"/>
              <w:jc w:val="center"/>
              <w:rPr>
                <w:noProof/>
                <w:sz w:val="20"/>
                <w:szCs w:val="20"/>
              </w:rPr>
            </w:pPr>
          </w:p>
        </w:tc>
        <w:tc>
          <w:tcPr>
            <w:tcW w:w="1536" w:type="dxa"/>
            <w:shd w:val="clear" w:color="auto" w:fill="F2F2F2"/>
          </w:tcPr>
          <w:p>
            <w:pPr>
              <w:tabs>
                <w:tab w:val="right" w:leader="dot" w:pos="9071"/>
              </w:tabs>
              <w:ind w:left="850" w:hanging="850"/>
              <w:jc w:val="center"/>
              <w:rPr>
                <w:noProof/>
                <w:sz w:val="20"/>
                <w:szCs w:val="20"/>
              </w:rPr>
            </w:pPr>
            <w:r>
              <w:rPr>
                <w:noProof/>
                <w:sz w:val="20"/>
              </w:rPr>
              <w:t>3</w:t>
            </w:r>
          </w:p>
        </w:tc>
      </w:tr>
      <w:tr>
        <w:tc>
          <w:tcPr>
            <w:tcW w:w="1535" w:type="dxa"/>
            <w:shd w:val="clear" w:color="auto" w:fill="auto"/>
          </w:tcPr>
          <w:p>
            <w:pPr>
              <w:tabs>
                <w:tab w:val="right" w:leader="dot" w:pos="9071"/>
              </w:tabs>
              <w:ind w:left="850" w:hanging="850"/>
              <w:rPr>
                <w:noProof/>
                <w:sz w:val="20"/>
                <w:szCs w:val="20"/>
              </w:rPr>
            </w:pPr>
            <w:r>
              <w:rPr>
                <w:noProof/>
                <w:sz w:val="20"/>
              </w:rPr>
              <w:t xml:space="preserve">Diciembre </w:t>
            </w:r>
          </w:p>
        </w:tc>
        <w:tc>
          <w:tcPr>
            <w:tcW w:w="1535" w:type="dxa"/>
            <w:shd w:val="clear" w:color="auto" w:fill="auto"/>
          </w:tcPr>
          <w:p>
            <w:pPr>
              <w:tabs>
                <w:tab w:val="right" w:leader="dot" w:pos="9071"/>
              </w:tabs>
              <w:ind w:left="850" w:hanging="850"/>
              <w:jc w:val="center"/>
              <w:rPr>
                <w:noProof/>
                <w:sz w:val="20"/>
                <w:szCs w:val="20"/>
              </w:rPr>
            </w:pPr>
          </w:p>
        </w:tc>
        <w:tc>
          <w:tcPr>
            <w:tcW w:w="1535" w:type="dxa"/>
            <w:shd w:val="clear" w:color="auto" w:fill="auto"/>
          </w:tcPr>
          <w:p>
            <w:pPr>
              <w:tabs>
                <w:tab w:val="right" w:leader="dot" w:pos="9071"/>
              </w:tabs>
              <w:ind w:left="850" w:hanging="850"/>
              <w:jc w:val="center"/>
              <w:rPr>
                <w:noProof/>
                <w:sz w:val="20"/>
                <w:szCs w:val="20"/>
              </w:rPr>
            </w:pPr>
            <w:r>
              <w:rPr>
                <w:noProof/>
                <w:sz w:val="20"/>
              </w:rPr>
              <w:t>3</w:t>
            </w:r>
          </w:p>
        </w:tc>
        <w:tc>
          <w:tcPr>
            <w:tcW w:w="1535" w:type="dxa"/>
            <w:shd w:val="clear" w:color="auto" w:fill="auto"/>
          </w:tcPr>
          <w:p>
            <w:pPr>
              <w:tabs>
                <w:tab w:val="right" w:leader="dot" w:pos="9071"/>
              </w:tabs>
              <w:ind w:left="850" w:hanging="850"/>
              <w:jc w:val="center"/>
              <w:rPr>
                <w:noProof/>
                <w:sz w:val="20"/>
                <w:szCs w:val="20"/>
              </w:rPr>
            </w:pPr>
          </w:p>
        </w:tc>
        <w:tc>
          <w:tcPr>
            <w:tcW w:w="1536" w:type="dxa"/>
            <w:shd w:val="clear" w:color="auto" w:fill="auto"/>
          </w:tcPr>
          <w:p>
            <w:pPr>
              <w:tabs>
                <w:tab w:val="right" w:leader="dot" w:pos="9071"/>
              </w:tabs>
              <w:ind w:left="850" w:hanging="850"/>
              <w:jc w:val="center"/>
              <w:rPr>
                <w:noProof/>
                <w:sz w:val="20"/>
                <w:szCs w:val="20"/>
              </w:rPr>
            </w:pPr>
          </w:p>
        </w:tc>
        <w:tc>
          <w:tcPr>
            <w:tcW w:w="1536" w:type="dxa"/>
            <w:shd w:val="clear" w:color="auto" w:fill="F2F2F2"/>
          </w:tcPr>
          <w:p>
            <w:pPr>
              <w:tabs>
                <w:tab w:val="right" w:leader="dot" w:pos="9071"/>
              </w:tabs>
              <w:ind w:left="850" w:hanging="850"/>
              <w:jc w:val="center"/>
              <w:rPr>
                <w:noProof/>
                <w:sz w:val="20"/>
                <w:szCs w:val="20"/>
              </w:rPr>
            </w:pPr>
            <w:r>
              <w:rPr>
                <w:noProof/>
                <w:sz w:val="20"/>
              </w:rPr>
              <w:t>3</w:t>
            </w:r>
          </w:p>
        </w:tc>
      </w:tr>
      <w:tr>
        <w:tc>
          <w:tcPr>
            <w:tcW w:w="1535" w:type="dxa"/>
            <w:shd w:val="clear" w:color="auto" w:fill="F2F2F2"/>
          </w:tcPr>
          <w:p>
            <w:pPr>
              <w:tabs>
                <w:tab w:val="right" w:leader="dot" w:pos="9071"/>
              </w:tabs>
              <w:ind w:left="850" w:hanging="850"/>
              <w:rPr>
                <w:noProof/>
                <w:sz w:val="20"/>
                <w:szCs w:val="20"/>
              </w:rPr>
            </w:pPr>
            <w:r>
              <w:rPr>
                <w:noProof/>
                <w:sz w:val="20"/>
              </w:rPr>
              <w:t>TOTAL</w:t>
            </w:r>
          </w:p>
        </w:tc>
        <w:tc>
          <w:tcPr>
            <w:tcW w:w="1535" w:type="dxa"/>
            <w:shd w:val="clear" w:color="auto" w:fill="F2F2F2"/>
          </w:tcPr>
          <w:p>
            <w:pPr>
              <w:tabs>
                <w:tab w:val="right" w:leader="dot" w:pos="9071"/>
              </w:tabs>
              <w:ind w:left="850" w:hanging="850"/>
              <w:jc w:val="center"/>
              <w:rPr>
                <w:noProof/>
                <w:sz w:val="20"/>
                <w:szCs w:val="20"/>
              </w:rPr>
            </w:pPr>
            <w:r>
              <w:rPr>
                <w:noProof/>
                <w:sz w:val="20"/>
              </w:rPr>
              <w:t>3</w:t>
            </w:r>
          </w:p>
        </w:tc>
        <w:tc>
          <w:tcPr>
            <w:tcW w:w="1535" w:type="dxa"/>
            <w:shd w:val="clear" w:color="auto" w:fill="F2F2F2"/>
          </w:tcPr>
          <w:p>
            <w:pPr>
              <w:tabs>
                <w:tab w:val="right" w:leader="dot" w:pos="9071"/>
              </w:tabs>
              <w:ind w:left="850" w:hanging="850"/>
              <w:jc w:val="center"/>
              <w:rPr>
                <w:noProof/>
                <w:sz w:val="20"/>
                <w:szCs w:val="20"/>
              </w:rPr>
            </w:pPr>
            <w:r>
              <w:rPr>
                <w:noProof/>
                <w:sz w:val="20"/>
              </w:rPr>
              <w:t>47</w:t>
            </w:r>
          </w:p>
        </w:tc>
        <w:tc>
          <w:tcPr>
            <w:tcW w:w="1535" w:type="dxa"/>
            <w:shd w:val="clear" w:color="auto" w:fill="F2F2F2"/>
          </w:tcPr>
          <w:p>
            <w:pPr>
              <w:tabs>
                <w:tab w:val="right" w:leader="dot" w:pos="9071"/>
              </w:tabs>
              <w:ind w:left="850" w:hanging="850"/>
              <w:jc w:val="center"/>
              <w:rPr>
                <w:noProof/>
                <w:sz w:val="20"/>
                <w:szCs w:val="20"/>
              </w:rPr>
            </w:pPr>
            <w:r>
              <w:rPr>
                <w:noProof/>
                <w:sz w:val="20"/>
              </w:rPr>
              <w:t>4</w:t>
            </w:r>
          </w:p>
        </w:tc>
        <w:tc>
          <w:tcPr>
            <w:tcW w:w="1536" w:type="dxa"/>
            <w:shd w:val="clear" w:color="auto" w:fill="F2F2F2"/>
          </w:tcPr>
          <w:p>
            <w:pPr>
              <w:tabs>
                <w:tab w:val="right" w:leader="dot" w:pos="9071"/>
              </w:tabs>
              <w:ind w:left="850" w:hanging="850"/>
              <w:jc w:val="center"/>
              <w:rPr>
                <w:noProof/>
                <w:sz w:val="20"/>
                <w:szCs w:val="20"/>
              </w:rPr>
            </w:pPr>
            <w:r>
              <w:rPr>
                <w:noProof/>
                <w:sz w:val="20"/>
              </w:rPr>
              <w:t>3</w:t>
            </w:r>
          </w:p>
        </w:tc>
        <w:tc>
          <w:tcPr>
            <w:tcW w:w="1536" w:type="dxa"/>
            <w:shd w:val="clear" w:color="auto" w:fill="F2F2F2"/>
          </w:tcPr>
          <w:p>
            <w:pPr>
              <w:tabs>
                <w:tab w:val="right" w:leader="dot" w:pos="9071"/>
              </w:tabs>
              <w:ind w:left="850" w:hanging="850"/>
              <w:jc w:val="center"/>
              <w:rPr>
                <w:noProof/>
                <w:sz w:val="20"/>
                <w:szCs w:val="20"/>
              </w:rPr>
            </w:pPr>
            <w:r>
              <w:rPr>
                <w:noProof/>
                <w:sz w:val="20"/>
              </w:rPr>
              <w:t>57</w:t>
            </w:r>
          </w:p>
        </w:tc>
      </w:tr>
    </w:tbl>
    <w:p>
      <w:pPr>
        <w:tabs>
          <w:tab w:val="left" w:pos="2182"/>
        </w:tabs>
        <w:rPr>
          <w:noProof/>
        </w:rPr>
      </w:pPr>
      <w:r>
        <w:rPr>
          <w:noProof/>
        </w:rPr>
        <w:tab/>
      </w:r>
    </w:p>
    <w:p>
      <w:pPr>
        <w:rPr>
          <w:noProof/>
        </w:rPr>
      </w:pPr>
      <w:r>
        <w:rPr>
          <w:noProof/>
        </w:rPr>
        <w:t>Asuntos sometidos al procedimiento alternativo concluidos en 2014: 57 (en 43 de los cuales la reclamación fue aceptada)</w:t>
      </w:r>
    </w:p>
    <w:p>
      <w:pPr>
        <w:rPr>
          <w:noProof/>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1535"/>
        <w:gridCol w:w="1535"/>
        <w:gridCol w:w="1535"/>
        <w:gridCol w:w="1536"/>
        <w:gridCol w:w="1536"/>
      </w:tblGrid>
      <w:tr>
        <w:tc>
          <w:tcPr>
            <w:tcW w:w="1535" w:type="dxa"/>
            <w:shd w:val="clear" w:color="auto" w:fill="auto"/>
          </w:tcPr>
          <w:p>
            <w:pPr>
              <w:tabs>
                <w:tab w:val="right" w:leader="dot" w:pos="9071"/>
              </w:tabs>
              <w:ind w:left="850" w:hanging="850"/>
              <w:rPr>
                <w:noProof/>
                <w:sz w:val="20"/>
                <w:szCs w:val="20"/>
              </w:rPr>
            </w:pPr>
            <w:r>
              <w:rPr>
                <w:noProof/>
                <w:sz w:val="20"/>
              </w:rPr>
              <w:t>2014</w:t>
            </w:r>
          </w:p>
        </w:tc>
        <w:tc>
          <w:tcPr>
            <w:tcW w:w="1535" w:type="dxa"/>
            <w:shd w:val="clear" w:color="auto" w:fill="auto"/>
          </w:tcPr>
          <w:p>
            <w:pPr>
              <w:tabs>
                <w:tab w:val="right" w:leader="dot" w:pos="9071"/>
              </w:tabs>
              <w:ind w:left="850" w:hanging="850"/>
              <w:jc w:val="center"/>
              <w:rPr>
                <w:noProof/>
                <w:sz w:val="20"/>
                <w:szCs w:val="20"/>
              </w:rPr>
            </w:pPr>
            <w:r>
              <w:rPr>
                <w:noProof/>
                <w:sz w:val="20"/>
              </w:rPr>
              <w:t>Reclamación</w:t>
            </w:r>
          </w:p>
          <w:p>
            <w:pPr>
              <w:tabs>
                <w:tab w:val="right" w:leader="dot" w:pos="9071"/>
              </w:tabs>
              <w:ind w:left="850" w:hanging="850"/>
              <w:jc w:val="center"/>
              <w:rPr>
                <w:noProof/>
                <w:sz w:val="20"/>
                <w:szCs w:val="20"/>
              </w:rPr>
            </w:pPr>
            <w:r>
              <w:rPr>
                <w:noProof/>
                <w:sz w:val="20"/>
              </w:rPr>
              <w:t xml:space="preserve"> rechazada</w:t>
            </w:r>
          </w:p>
        </w:tc>
        <w:tc>
          <w:tcPr>
            <w:tcW w:w="1535" w:type="dxa"/>
            <w:shd w:val="clear" w:color="auto" w:fill="auto"/>
          </w:tcPr>
          <w:p>
            <w:pPr>
              <w:tabs>
                <w:tab w:val="right" w:leader="dot" w:pos="9071"/>
              </w:tabs>
              <w:ind w:left="850" w:hanging="850"/>
              <w:jc w:val="center"/>
              <w:rPr>
                <w:noProof/>
                <w:sz w:val="20"/>
                <w:szCs w:val="20"/>
              </w:rPr>
            </w:pPr>
            <w:r>
              <w:rPr>
                <w:noProof/>
                <w:sz w:val="20"/>
              </w:rPr>
              <w:t>Reclamación</w:t>
            </w:r>
          </w:p>
          <w:p>
            <w:pPr>
              <w:tabs>
                <w:tab w:val="right" w:leader="dot" w:pos="9071"/>
              </w:tabs>
              <w:ind w:left="850" w:hanging="850"/>
              <w:jc w:val="center"/>
              <w:rPr>
                <w:noProof/>
                <w:sz w:val="20"/>
                <w:szCs w:val="20"/>
              </w:rPr>
            </w:pPr>
            <w:r>
              <w:rPr>
                <w:noProof/>
                <w:sz w:val="20"/>
              </w:rPr>
              <w:t xml:space="preserve"> aceptada</w:t>
            </w:r>
          </w:p>
        </w:tc>
        <w:tc>
          <w:tcPr>
            <w:tcW w:w="1535" w:type="dxa"/>
            <w:shd w:val="clear" w:color="auto" w:fill="auto"/>
          </w:tcPr>
          <w:p>
            <w:pPr>
              <w:tabs>
                <w:tab w:val="right" w:leader="dot" w:pos="9071"/>
              </w:tabs>
              <w:ind w:left="850" w:hanging="850"/>
              <w:jc w:val="center"/>
              <w:rPr>
                <w:noProof/>
                <w:sz w:val="20"/>
                <w:szCs w:val="20"/>
              </w:rPr>
            </w:pPr>
            <w:r>
              <w:rPr>
                <w:noProof/>
                <w:sz w:val="20"/>
              </w:rPr>
              <w:t xml:space="preserve">Reclamación </w:t>
            </w:r>
          </w:p>
          <w:p>
            <w:pPr>
              <w:tabs>
                <w:tab w:val="right" w:leader="dot" w:pos="9071"/>
              </w:tabs>
              <w:ind w:left="850" w:hanging="850"/>
              <w:jc w:val="center"/>
              <w:rPr>
                <w:noProof/>
                <w:sz w:val="20"/>
                <w:szCs w:val="20"/>
              </w:rPr>
            </w:pPr>
            <w:r>
              <w:rPr>
                <w:noProof/>
                <w:sz w:val="20"/>
              </w:rPr>
              <w:t>defectuosa</w:t>
            </w:r>
          </w:p>
        </w:tc>
        <w:tc>
          <w:tcPr>
            <w:tcW w:w="1536" w:type="dxa"/>
            <w:shd w:val="clear" w:color="auto" w:fill="auto"/>
          </w:tcPr>
          <w:p>
            <w:pPr>
              <w:tabs>
                <w:tab w:val="right" w:leader="dot" w:pos="9071"/>
              </w:tabs>
              <w:ind w:left="850" w:hanging="850"/>
              <w:jc w:val="center"/>
              <w:rPr>
                <w:noProof/>
                <w:sz w:val="20"/>
                <w:szCs w:val="20"/>
              </w:rPr>
            </w:pPr>
            <w:r>
              <w:rPr>
                <w:noProof/>
                <w:sz w:val="20"/>
              </w:rPr>
              <w:t>Transacción</w:t>
            </w:r>
          </w:p>
        </w:tc>
        <w:tc>
          <w:tcPr>
            <w:tcW w:w="1536" w:type="dxa"/>
            <w:shd w:val="clear" w:color="auto" w:fill="F2F2F2"/>
          </w:tcPr>
          <w:p>
            <w:pPr>
              <w:tabs>
                <w:tab w:val="right" w:leader="dot" w:pos="9071"/>
              </w:tabs>
              <w:ind w:left="850" w:hanging="850"/>
              <w:jc w:val="center"/>
              <w:rPr>
                <w:noProof/>
                <w:sz w:val="20"/>
                <w:szCs w:val="20"/>
              </w:rPr>
            </w:pPr>
            <w:r>
              <w:rPr>
                <w:noProof/>
                <w:sz w:val="20"/>
              </w:rPr>
              <w:t>TOTAL</w:t>
            </w:r>
          </w:p>
        </w:tc>
      </w:tr>
      <w:tr>
        <w:tc>
          <w:tcPr>
            <w:tcW w:w="1535" w:type="dxa"/>
            <w:shd w:val="clear" w:color="auto" w:fill="auto"/>
          </w:tcPr>
          <w:p>
            <w:pPr>
              <w:tabs>
                <w:tab w:val="right" w:leader="dot" w:pos="9071"/>
              </w:tabs>
              <w:ind w:left="850" w:hanging="850"/>
              <w:rPr>
                <w:noProof/>
                <w:sz w:val="20"/>
                <w:szCs w:val="20"/>
              </w:rPr>
            </w:pPr>
            <w:r>
              <w:rPr>
                <w:noProof/>
                <w:sz w:val="20"/>
              </w:rPr>
              <w:t xml:space="preserve">Enero </w:t>
            </w:r>
          </w:p>
        </w:tc>
        <w:tc>
          <w:tcPr>
            <w:tcW w:w="1535" w:type="dxa"/>
            <w:shd w:val="clear" w:color="auto" w:fill="auto"/>
          </w:tcPr>
          <w:p>
            <w:pPr>
              <w:tabs>
                <w:tab w:val="right" w:leader="dot" w:pos="9071"/>
              </w:tabs>
              <w:ind w:left="850" w:hanging="850"/>
              <w:jc w:val="center"/>
              <w:rPr>
                <w:noProof/>
                <w:sz w:val="20"/>
                <w:szCs w:val="20"/>
              </w:rPr>
            </w:pPr>
          </w:p>
        </w:tc>
        <w:tc>
          <w:tcPr>
            <w:tcW w:w="1535" w:type="dxa"/>
            <w:shd w:val="clear" w:color="auto" w:fill="auto"/>
          </w:tcPr>
          <w:p>
            <w:pPr>
              <w:tabs>
                <w:tab w:val="right" w:leader="dot" w:pos="9071"/>
              </w:tabs>
              <w:ind w:left="850" w:hanging="850"/>
              <w:jc w:val="center"/>
              <w:rPr>
                <w:noProof/>
                <w:sz w:val="20"/>
                <w:szCs w:val="20"/>
              </w:rPr>
            </w:pPr>
            <w:r>
              <w:rPr>
                <w:noProof/>
                <w:sz w:val="20"/>
              </w:rPr>
              <w:t>6</w:t>
            </w:r>
          </w:p>
        </w:tc>
        <w:tc>
          <w:tcPr>
            <w:tcW w:w="1535" w:type="dxa"/>
            <w:shd w:val="clear" w:color="auto" w:fill="auto"/>
          </w:tcPr>
          <w:p>
            <w:pPr>
              <w:tabs>
                <w:tab w:val="right" w:leader="dot" w:pos="9071"/>
              </w:tabs>
              <w:ind w:left="850" w:hanging="850"/>
              <w:jc w:val="center"/>
              <w:rPr>
                <w:noProof/>
                <w:sz w:val="20"/>
                <w:szCs w:val="20"/>
              </w:rPr>
            </w:pPr>
          </w:p>
        </w:tc>
        <w:tc>
          <w:tcPr>
            <w:tcW w:w="1536" w:type="dxa"/>
            <w:shd w:val="clear" w:color="auto" w:fill="auto"/>
          </w:tcPr>
          <w:p>
            <w:pPr>
              <w:tabs>
                <w:tab w:val="right" w:leader="dot" w:pos="9071"/>
              </w:tabs>
              <w:ind w:left="850" w:hanging="850"/>
              <w:jc w:val="center"/>
              <w:rPr>
                <w:noProof/>
                <w:sz w:val="20"/>
                <w:szCs w:val="20"/>
              </w:rPr>
            </w:pPr>
            <w:r>
              <w:rPr>
                <w:noProof/>
                <w:sz w:val="20"/>
              </w:rPr>
              <w:t>1</w:t>
            </w:r>
          </w:p>
        </w:tc>
        <w:tc>
          <w:tcPr>
            <w:tcW w:w="1536" w:type="dxa"/>
            <w:shd w:val="clear" w:color="auto" w:fill="F2F2F2"/>
          </w:tcPr>
          <w:p>
            <w:pPr>
              <w:tabs>
                <w:tab w:val="right" w:leader="dot" w:pos="9071"/>
              </w:tabs>
              <w:ind w:left="850" w:hanging="850"/>
              <w:jc w:val="center"/>
              <w:rPr>
                <w:noProof/>
                <w:sz w:val="20"/>
                <w:szCs w:val="20"/>
              </w:rPr>
            </w:pPr>
            <w:r>
              <w:rPr>
                <w:noProof/>
                <w:sz w:val="20"/>
              </w:rPr>
              <w:t>7</w:t>
            </w:r>
          </w:p>
        </w:tc>
      </w:tr>
      <w:tr>
        <w:tc>
          <w:tcPr>
            <w:tcW w:w="1535" w:type="dxa"/>
            <w:shd w:val="clear" w:color="auto" w:fill="auto"/>
          </w:tcPr>
          <w:p>
            <w:pPr>
              <w:tabs>
                <w:tab w:val="right" w:leader="dot" w:pos="9071"/>
              </w:tabs>
              <w:ind w:left="850" w:hanging="850"/>
              <w:rPr>
                <w:noProof/>
                <w:sz w:val="20"/>
                <w:szCs w:val="20"/>
              </w:rPr>
            </w:pPr>
            <w:r>
              <w:rPr>
                <w:noProof/>
                <w:sz w:val="20"/>
              </w:rPr>
              <w:t>Febrero</w:t>
            </w:r>
          </w:p>
        </w:tc>
        <w:tc>
          <w:tcPr>
            <w:tcW w:w="1535" w:type="dxa"/>
            <w:shd w:val="clear" w:color="auto" w:fill="auto"/>
          </w:tcPr>
          <w:p>
            <w:pPr>
              <w:tabs>
                <w:tab w:val="right" w:leader="dot" w:pos="9071"/>
              </w:tabs>
              <w:ind w:left="850" w:hanging="850"/>
              <w:jc w:val="center"/>
              <w:rPr>
                <w:noProof/>
                <w:sz w:val="20"/>
                <w:szCs w:val="20"/>
              </w:rPr>
            </w:pPr>
          </w:p>
        </w:tc>
        <w:tc>
          <w:tcPr>
            <w:tcW w:w="1535" w:type="dxa"/>
            <w:shd w:val="clear" w:color="auto" w:fill="auto"/>
          </w:tcPr>
          <w:p>
            <w:pPr>
              <w:tabs>
                <w:tab w:val="right" w:leader="dot" w:pos="9071"/>
              </w:tabs>
              <w:ind w:left="850" w:hanging="850"/>
              <w:jc w:val="center"/>
              <w:rPr>
                <w:noProof/>
                <w:sz w:val="20"/>
                <w:szCs w:val="20"/>
              </w:rPr>
            </w:pPr>
            <w:r>
              <w:rPr>
                <w:noProof/>
                <w:sz w:val="20"/>
              </w:rPr>
              <w:t>1</w:t>
            </w:r>
          </w:p>
        </w:tc>
        <w:tc>
          <w:tcPr>
            <w:tcW w:w="1535" w:type="dxa"/>
            <w:shd w:val="clear" w:color="auto" w:fill="auto"/>
          </w:tcPr>
          <w:p>
            <w:pPr>
              <w:tabs>
                <w:tab w:val="right" w:leader="dot" w:pos="9071"/>
              </w:tabs>
              <w:ind w:left="850" w:hanging="850"/>
              <w:jc w:val="center"/>
              <w:rPr>
                <w:noProof/>
                <w:sz w:val="20"/>
                <w:szCs w:val="20"/>
              </w:rPr>
            </w:pPr>
          </w:p>
        </w:tc>
        <w:tc>
          <w:tcPr>
            <w:tcW w:w="1536" w:type="dxa"/>
            <w:shd w:val="clear" w:color="auto" w:fill="auto"/>
          </w:tcPr>
          <w:p>
            <w:pPr>
              <w:tabs>
                <w:tab w:val="right" w:leader="dot" w:pos="9071"/>
              </w:tabs>
              <w:ind w:left="850" w:hanging="850"/>
              <w:jc w:val="center"/>
              <w:rPr>
                <w:noProof/>
                <w:sz w:val="20"/>
                <w:szCs w:val="20"/>
              </w:rPr>
            </w:pPr>
          </w:p>
        </w:tc>
        <w:tc>
          <w:tcPr>
            <w:tcW w:w="1536" w:type="dxa"/>
            <w:shd w:val="clear" w:color="auto" w:fill="F2F2F2"/>
          </w:tcPr>
          <w:p>
            <w:pPr>
              <w:tabs>
                <w:tab w:val="right" w:leader="dot" w:pos="9071"/>
              </w:tabs>
              <w:ind w:left="850" w:hanging="850"/>
              <w:jc w:val="center"/>
              <w:rPr>
                <w:noProof/>
                <w:sz w:val="20"/>
                <w:szCs w:val="20"/>
              </w:rPr>
            </w:pPr>
            <w:r>
              <w:rPr>
                <w:noProof/>
                <w:sz w:val="20"/>
              </w:rPr>
              <w:t>1</w:t>
            </w:r>
          </w:p>
        </w:tc>
      </w:tr>
      <w:tr>
        <w:tc>
          <w:tcPr>
            <w:tcW w:w="1535" w:type="dxa"/>
            <w:shd w:val="clear" w:color="auto" w:fill="auto"/>
          </w:tcPr>
          <w:p>
            <w:pPr>
              <w:tabs>
                <w:tab w:val="right" w:leader="dot" w:pos="9071"/>
              </w:tabs>
              <w:ind w:left="850" w:hanging="850"/>
              <w:rPr>
                <w:noProof/>
                <w:sz w:val="20"/>
                <w:szCs w:val="20"/>
              </w:rPr>
            </w:pPr>
            <w:r>
              <w:rPr>
                <w:noProof/>
                <w:sz w:val="20"/>
              </w:rPr>
              <w:t>Marzo</w:t>
            </w:r>
          </w:p>
        </w:tc>
        <w:tc>
          <w:tcPr>
            <w:tcW w:w="1535" w:type="dxa"/>
            <w:shd w:val="clear" w:color="auto" w:fill="auto"/>
          </w:tcPr>
          <w:p>
            <w:pPr>
              <w:tabs>
                <w:tab w:val="right" w:leader="dot" w:pos="9071"/>
              </w:tabs>
              <w:ind w:left="850" w:hanging="850"/>
              <w:jc w:val="center"/>
              <w:rPr>
                <w:noProof/>
                <w:sz w:val="20"/>
                <w:szCs w:val="20"/>
              </w:rPr>
            </w:pPr>
            <w:r>
              <w:rPr>
                <w:noProof/>
                <w:sz w:val="20"/>
              </w:rPr>
              <w:t>1</w:t>
            </w:r>
          </w:p>
        </w:tc>
        <w:tc>
          <w:tcPr>
            <w:tcW w:w="1535" w:type="dxa"/>
            <w:shd w:val="clear" w:color="auto" w:fill="auto"/>
          </w:tcPr>
          <w:p>
            <w:pPr>
              <w:tabs>
                <w:tab w:val="right" w:leader="dot" w:pos="9071"/>
              </w:tabs>
              <w:ind w:left="850" w:hanging="850"/>
              <w:jc w:val="center"/>
              <w:rPr>
                <w:noProof/>
                <w:sz w:val="20"/>
                <w:szCs w:val="20"/>
              </w:rPr>
            </w:pPr>
            <w:r>
              <w:rPr>
                <w:noProof/>
                <w:sz w:val="20"/>
              </w:rPr>
              <w:t>4</w:t>
            </w:r>
          </w:p>
        </w:tc>
        <w:tc>
          <w:tcPr>
            <w:tcW w:w="1535" w:type="dxa"/>
            <w:shd w:val="clear" w:color="auto" w:fill="auto"/>
          </w:tcPr>
          <w:p>
            <w:pPr>
              <w:tabs>
                <w:tab w:val="right" w:leader="dot" w:pos="9071"/>
              </w:tabs>
              <w:ind w:left="850" w:hanging="850"/>
              <w:jc w:val="center"/>
              <w:rPr>
                <w:noProof/>
                <w:sz w:val="20"/>
                <w:szCs w:val="20"/>
              </w:rPr>
            </w:pPr>
          </w:p>
        </w:tc>
        <w:tc>
          <w:tcPr>
            <w:tcW w:w="1536" w:type="dxa"/>
            <w:shd w:val="clear" w:color="auto" w:fill="auto"/>
          </w:tcPr>
          <w:p>
            <w:pPr>
              <w:tabs>
                <w:tab w:val="right" w:leader="dot" w:pos="9071"/>
              </w:tabs>
              <w:ind w:left="850" w:hanging="850"/>
              <w:jc w:val="center"/>
              <w:rPr>
                <w:noProof/>
                <w:sz w:val="20"/>
                <w:szCs w:val="20"/>
              </w:rPr>
            </w:pPr>
          </w:p>
        </w:tc>
        <w:tc>
          <w:tcPr>
            <w:tcW w:w="1536" w:type="dxa"/>
            <w:shd w:val="clear" w:color="auto" w:fill="F2F2F2"/>
          </w:tcPr>
          <w:p>
            <w:pPr>
              <w:tabs>
                <w:tab w:val="right" w:leader="dot" w:pos="9071"/>
              </w:tabs>
              <w:ind w:left="850" w:hanging="850"/>
              <w:jc w:val="center"/>
              <w:rPr>
                <w:noProof/>
                <w:sz w:val="20"/>
                <w:szCs w:val="20"/>
              </w:rPr>
            </w:pPr>
            <w:r>
              <w:rPr>
                <w:noProof/>
                <w:sz w:val="20"/>
              </w:rPr>
              <w:t>5</w:t>
            </w:r>
          </w:p>
        </w:tc>
      </w:tr>
      <w:tr>
        <w:tc>
          <w:tcPr>
            <w:tcW w:w="1535" w:type="dxa"/>
            <w:shd w:val="clear" w:color="auto" w:fill="auto"/>
          </w:tcPr>
          <w:p>
            <w:pPr>
              <w:tabs>
                <w:tab w:val="right" w:leader="dot" w:pos="9071"/>
              </w:tabs>
              <w:ind w:left="850" w:hanging="850"/>
              <w:rPr>
                <w:noProof/>
                <w:sz w:val="20"/>
                <w:szCs w:val="20"/>
              </w:rPr>
            </w:pPr>
            <w:r>
              <w:rPr>
                <w:noProof/>
                <w:sz w:val="20"/>
              </w:rPr>
              <w:t>Abril</w:t>
            </w:r>
          </w:p>
        </w:tc>
        <w:tc>
          <w:tcPr>
            <w:tcW w:w="1535" w:type="dxa"/>
            <w:shd w:val="clear" w:color="auto" w:fill="auto"/>
          </w:tcPr>
          <w:p>
            <w:pPr>
              <w:tabs>
                <w:tab w:val="right" w:leader="dot" w:pos="9071"/>
              </w:tabs>
              <w:ind w:left="850" w:hanging="850"/>
              <w:jc w:val="center"/>
              <w:rPr>
                <w:noProof/>
                <w:sz w:val="20"/>
                <w:szCs w:val="20"/>
              </w:rPr>
            </w:pPr>
            <w:r>
              <w:rPr>
                <w:noProof/>
                <w:sz w:val="20"/>
              </w:rPr>
              <w:t>1</w:t>
            </w:r>
          </w:p>
        </w:tc>
        <w:tc>
          <w:tcPr>
            <w:tcW w:w="1535" w:type="dxa"/>
            <w:shd w:val="clear" w:color="auto" w:fill="auto"/>
          </w:tcPr>
          <w:p>
            <w:pPr>
              <w:tabs>
                <w:tab w:val="right" w:leader="dot" w:pos="9071"/>
              </w:tabs>
              <w:ind w:left="850" w:hanging="850"/>
              <w:jc w:val="center"/>
              <w:rPr>
                <w:noProof/>
                <w:sz w:val="20"/>
                <w:szCs w:val="20"/>
              </w:rPr>
            </w:pPr>
          </w:p>
        </w:tc>
        <w:tc>
          <w:tcPr>
            <w:tcW w:w="1535" w:type="dxa"/>
            <w:shd w:val="clear" w:color="auto" w:fill="auto"/>
          </w:tcPr>
          <w:p>
            <w:pPr>
              <w:tabs>
                <w:tab w:val="right" w:leader="dot" w:pos="9071"/>
              </w:tabs>
              <w:ind w:left="850" w:hanging="850"/>
              <w:jc w:val="center"/>
              <w:rPr>
                <w:noProof/>
                <w:sz w:val="20"/>
                <w:szCs w:val="20"/>
              </w:rPr>
            </w:pPr>
            <w:r>
              <w:rPr>
                <w:noProof/>
                <w:sz w:val="20"/>
              </w:rPr>
              <w:t>1</w:t>
            </w:r>
          </w:p>
        </w:tc>
        <w:tc>
          <w:tcPr>
            <w:tcW w:w="1536" w:type="dxa"/>
            <w:shd w:val="clear" w:color="auto" w:fill="auto"/>
          </w:tcPr>
          <w:p>
            <w:pPr>
              <w:tabs>
                <w:tab w:val="right" w:leader="dot" w:pos="9071"/>
              </w:tabs>
              <w:ind w:left="850" w:hanging="850"/>
              <w:jc w:val="center"/>
              <w:rPr>
                <w:noProof/>
                <w:sz w:val="20"/>
                <w:szCs w:val="20"/>
              </w:rPr>
            </w:pPr>
          </w:p>
        </w:tc>
        <w:tc>
          <w:tcPr>
            <w:tcW w:w="1536" w:type="dxa"/>
            <w:shd w:val="clear" w:color="auto" w:fill="F2F2F2"/>
          </w:tcPr>
          <w:p>
            <w:pPr>
              <w:tabs>
                <w:tab w:val="right" w:leader="dot" w:pos="9071"/>
              </w:tabs>
              <w:ind w:left="850" w:hanging="850"/>
              <w:jc w:val="center"/>
              <w:rPr>
                <w:noProof/>
                <w:sz w:val="20"/>
                <w:szCs w:val="20"/>
              </w:rPr>
            </w:pPr>
            <w:r>
              <w:rPr>
                <w:noProof/>
                <w:sz w:val="20"/>
              </w:rPr>
              <w:t>2</w:t>
            </w:r>
          </w:p>
        </w:tc>
      </w:tr>
      <w:tr>
        <w:tc>
          <w:tcPr>
            <w:tcW w:w="1535" w:type="dxa"/>
            <w:shd w:val="clear" w:color="auto" w:fill="auto"/>
          </w:tcPr>
          <w:p>
            <w:pPr>
              <w:tabs>
                <w:tab w:val="right" w:leader="dot" w:pos="9071"/>
              </w:tabs>
              <w:ind w:left="850" w:hanging="850"/>
              <w:rPr>
                <w:noProof/>
                <w:sz w:val="20"/>
                <w:szCs w:val="20"/>
              </w:rPr>
            </w:pPr>
            <w:r>
              <w:rPr>
                <w:noProof/>
                <w:sz w:val="20"/>
              </w:rPr>
              <w:t xml:space="preserve">Mayo </w:t>
            </w:r>
          </w:p>
        </w:tc>
        <w:tc>
          <w:tcPr>
            <w:tcW w:w="1535" w:type="dxa"/>
            <w:shd w:val="clear" w:color="auto" w:fill="auto"/>
          </w:tcPr>
          <w:p>
            <w:pPr>
              <w:tabs>
                <w:tab w:val="right" w:leader="dot" w:pos="9071"/>
              </w:tabs>
              <w:ind w:left="850" w:hanging="850"/>
              <w:jc w:val="center"/>
              <w:rPr>
                <w:noProof/>
                <w:sz w:val="20"/>
                <w:szCs w:val="20"/>
              </w:rPr>
            </w:pPr>
          </w:p>
        </w:tc>
        <w:tc>
          <w:tcPr>
            <w:tcW w:w="1535" w:type="dxa"/>
            <w:shd w:val="clear" w:color="auto" w:fill="auto"/>
          </w:tcPr>
          <w:p>
            <w:pPr>
              <w:tabs>
                <w:tab w:val="right" w:leader="dot" w:pos="9071"/>
              </w:tabs>
              <w:ind w:left="850" w:hanging="850"/>
              <w:jc w:val="center"/>
              <w:rPr>
                <w:noProof/>
                <w:sz w:val="20"/>
                <w:szCs w:val="20"/>
              </w:rPr>
            </w:pPr>
            <w:r>
              <w:rPr>
                <w:noProof/>
                <w:sz w:val="20"/>
              </w:rPr>
              <w:t>7</w:t>
            </w:r>
          </w:p>
        </w:tc>
        <w:tc>
          <w:tcPr>
            <w:tcW w:w="1535" w:type="dxa"/>
            <w:shd w:val="clear" w:color="auto" w:fill="auto"/>
          </w:tcPr>
          <w:p>
            <w:pPr>
              <w:tabs>
                <w:tab w:val="right" w:leader="dot" w:pos="9071"/>
              </w:tabs>
              <w:ind w:left="850" w:hanging="850"/>
              <w:jc w:val="center"/>
              <w:rPr>
                <w:noProof/>
                <w:sz w:val="20"/>
                <w:szCs w:val="20"/>
              </w:rPr>
            </w:pPr>
          </w:p>
        </w:tc>
        <w:tc>
          <w:tcPr>
            <w:tcW w:w="1536" w:type="dxa"/>
            <w:shd w:val="clear" w:color="auto" w:fill="auto"/>
          </w:tcPr>
          <w:p>
            <w:pPr>
              <w:tabs>
                <w:tab w:val="right" w:leader="dot" w:pos="9071"/>
              </w:tabs>
              <w:ind w:left="850" w:hanging="850"/>
              <w:jc w:val="center"/>
              <w:rPr>
                <w:noProof/>
                <w:sz w:val="20"/>
                <w:szCs w:val="20"/>
              </w:rPr>
            </w:pPr>
          </w:p>
        </w:tc>
        <w:tc>
          <w:tcPr>
            <w:tcW w:w="1536" w:type="dxa"/>
            <w:shd w:val="clear" w:color="auto" w:fill="F2F2F2"/>
          </w:tcPr>
          <w:p>
            <w:pPr>
              <w:tabs>
                <w:tab w:val="right" w:leader="dot" w:pos="9071"/>
              </w:tabs>
              <w:ind w:left="850" w:hanging="850"/>
              <w:jc w:val="center"/>
              <w:rPr>
                <w:noProof/>
                <w:sz w:val="20"/>
                <w:szCs w:val="20"/>
              </w:rPr>
            </w:pPr>
            <w:r>
              <w:rPr>
                <w:noProof/>
                <w:sz w:val="20"/>
              </w:rPr>
              <w:t>7</w:t>
            </w:r>
          </w:p>
        </w:tc>
      </w:tr>
      <w:tr>
        <w:tc>
          <w:tcPr>
            <w:tcW w:w="1535" w:type="dxa"/>
            <w:shd w:val="clear" w:color="auto" w:fill="auto"/>
          </w:tcPr>
          <w:p>
            <w:pPr>
              <w:tabs>
                <w:tab w:val="right" w:leader="dot" w:pos="9071"/>
              </w:tabs>
              <w:ind w:left="850" w:hanging="850"/>
              <w:rPr>
                <w:noProof/>
                <w:sz w:val="20"/>
                <w:szCs w:val="20"/>
              </w:rPr>
            </w:pPr>
            <w:r>
              <w:rPr>
                <w:noProof/>
                <w:sz w:val="20"/>
              </w:rPr>
              <w:t xml:space="preserve">Junio </w:t>
            </w:r>
          </w:p>
        </w:tc>
        <w:tc>
          <w:tcPr>
            <w:tcW w:w="1535" w:type="dxa"/>
            <w:shd w:val="clear" w:color="auto" w:fill="auto"/>
          </w:tcPr>
          <w:p>
            <w:pPr>
              <w:tabs>
                <w:tab w:val="right" w:leader="dot" w:pos="9071"/>
              </w:tabs>
              <w:ind w:left="850" w:hanging="850"/>
              <w:jc w:val="center"/>
              <w:rPr>
                <w:noProof/>
                <w:sz w:val="20"/>
                <w:szCs w:val="20"/>
              </w:rPr>
            </w:pPr>
          </w:p>
        </w:tc>
        <w:tc>
          <w:tcPr>
            <w:tcW w:w="1535" w:type="dxa"/>
            <w:shd w:val="clear" w:color="auto" w:fill="auto"/>
          </w:tcPr>
          <w:p>
            <w:pPr>
              <w:tabs>
                <w:tab w:val="right" w:leader="dot" w:pos="9071"/>
              </w:tabs>
              <w:ind w:left="850" w:hanging="850"/>
              <w:jc w:val="center"/>
              <w:rPr>
                <w:noProof/>
                <w:sz w:val="20"/>
                <w:szCs w:val="20"/>
              </w:rPr>
            </w:pPr>
            <w:r>
              <w:rPr>
                <w:noProof/>
                <w:sz w:val="20"/>
              </w:rPr>
              <w:t>1</w:t>
            </w:r>
          </w:p>
        </w:tc>
        <w:tc>
          <w:tcPr>
            <w:tcW w:w="1535" w:type="dxa"/>
            <w:shd w:val="clear" w:color="auto" w:fill="auto"/>
          </w:tcPr>
          <w:p>
            <w:pPr>
              <w:tabs>
                <w:tab w:val="right" w:leader="dot" w:pos="9071"/>
              </w:tabs>
              <w:ind w:left="850" w:hanging="850"/>
              <w:jc w:val="center"/>
              <w:rPr>
                <w:noProof/>
                <w:sz w:val="20"/>
                <w:szCs w:val="20"/>
              </w:rPr>
            </w:pPr>
          </w:p>
        </w:tc>
        <w:tc>
          <w:tcPr>
            <w:tcW w:w="1536" w:type="dxa"/>
            <w:shd w:val="clear" w:color="auto" w:fill="auto"/>
          </w:tcPr>
          <w:p>
            <w:pPr>
              <w:tabs>
                <w:tab w:val="right" w:leader="dot" w:pos="9071"/>
              </w:tabs>
              <w:ind w:left="850" w:hanging="850"/>
              <w:jc w:val="center"/>
              <w:rPr>
                <w:noProof/>
                <w:sz w:val="20"/>
                <w:szCs w:val="20"/>
              </w:rPr>
            </w:pPr>
          </w:p>
        </w:tc>
        <w:tc>
          <w:tcPr>
            <w:tcW w:w="1536" w:type="dxa"/>
            <w:shd w:val="clear" w:color="auto" w:fill="F2F2F2"/>
          </w:tcPr>
          <w:p>
            <w:pPr>
              <w:tabs>
                <w:tab w:val="right" w:leader="dot" w:pos="9071"/>
              </w:tabs>
              <w:ind w:left="850" w:hanging="850"/>
              <w:jc w:val="center"/>
              <w:rPr>
                <w:noProof/>
                <w:sz w:val="20"/>
                <w:szCs w:val="20"/>
              </w:rPr>
            </w:pPr>
            <w:r>
              <w:rPr>
                <w:noProof/>
                <w:sz w:val="20"/>
              </w:rPr>
              <w:t>1</w:t>
            </w:r>
          </w:p>
        </w:tc>
      </w:tr>
      <w:tr>
        <w:tc>
          <w:tcPr>
            <w:tcW w:w="1535" w:type="dxa"/>
            <w:shd w:val="clear" w:color="auto" w:fill="auto"/>
          </w:tcPr>
          <w:p>
            <w:pPr>
              <w:tabs>
                <w:tab w:val="right" w:leader="dot" w:pos="9071"/>
              </w:tabs>
              <w:ind w:left="850" w:hanging="850"/>
              <w:rPr>
                <w:noProof/>
                <w:sz w:val="20"/>
                <w:szCs w:val="20"/>
              </w:rPr>
            </w:pPr>
            <w:r>
              <w:rPr>
                <w:noProof/>
                <w:sz w:val="20"/>
              </w:rPr>
              <w:t xml:space="preserve">Julio </w:t>
            </w:r>
          </w:p>
        </w:tc>
        <w:tc>
          <w:tcPr>
            <w:tcW w:w="1535" w:type="dxa"/>
            <w:shd w:val="clear" w:color="auto" w:fill="auto"/>
          </w:tcPr>
          <w:p>
            <w:pPr>
              <w:tabs>
                <w:tab w:val="right" w:leader="dot" w:pos="9071"/>
              </w:tabs>
              <w:ind w:left="850" w:hanging="850"/>
              <w:jc w:val="center"/>
              <w:rPr>
                <w:noProof/>
                <w:sz w:val="20"/>
                <w:szCs w:val="20"/>
              </w:rPr>
            </w:pPr>
          </w:p>
        </w:tc>
        <w:tc>
          <w:tcPr>
            <w:tcW w:w="1535" w:type="dxa"/>
            <w:shd w:val="clear" w:color="auto" w:fill="auto"/>
          </w:tcPr>
          <w:p>
            <w:pPr>
              <w:tabs>
                <w:tab w:val="right" w:leader="dot" w:pos="9071"/>
              </w:tabs>
              <w:ind w:left="850" w:hanging="850"/>
              <w:jc w:val="center"/>
              <w:rPr>
                <w:noProof/>
                <w:sz w:val="20"/>
                <w:szCs w:val="20"/>
              </w:rPr>
            </w:pPr>
            <w:r>
              <w:rPr>
                <w:noProof/>
                <w:sz w:val="20"/>
              </w:rPr>
              <w:t>4</w:t>
            </w:r>
          </w:p>
        </w:tc>
        <w:tc>
          <w:tcPr>
            <w:tcW w:w="1535" w:type="dxa"/>
            <w:shd w:val="clear" w:color="auto" w:fill="auto"/>
          </w:tcPr>
          <w:p>
            <w:pPr>
              <w:tabs>
                <w:tab w:val="right" w:leader="dot" w:pos="9071"/>
              </w:tabs>
              <w:ind w:left="850" w:hanging="850"/>
              <w:jc w:val="center"/>
              <w:rPr>
                <w:noProof/>
                <w:sz w:val="20"/>
                <w:szCs w:val="20"/>
              </w:rPr>
            </w:pPr>
            <w:r>
              <w:rPr>
                <w:noProof/>
                <w:sz w:val="20"/>
              </w:rPr>
              <w:t>1</w:t>
            </w:r>
          </w:p>
        </w:tc>
        <w:tc>
          <w:tcPr>
            <w:tcW w:w="1536" w:type="dxa"/>
            <w:shd w:val="clear" w:color="auto" w:fill="auto"/>
          </w:tcPr>
          <w:p>
            <w:pPr>
              <w:tabs>
                <w:tab w:val="right" w:leader="dot" w:pos="9071"/>
              </w:tabs>
              <w:ind w:left="850" w:hanging="850"/>
              <w:jc w:val="center"/>
              <w:rPr>
                <w:noProof/>
                <w:sz w:val="20"/>
                <w:szCs w:val="20"/>
              </w:rPr>
            </w:pPr>
          </w:p>
        </w:tc>
        <w:tc>
          <w:tcPr>
            <w:tcW w:w="1536" w:type="dxa"/>
            <w:shd w:val="clear" w:color="auto" w:fill="F2F2F2"/>
          </w:tcPr>
          <w:p>
            <w:pPr>
              <w:tabs>
                <w:tab w:val="right" w:leader="dot" w:pos="9071"/>
              </w:tabs>
              <w:ind w:left="850" w:hanging="850"/>
              <w:jc w:val="center"/>
              <w:rPr>
                <w:noProof/>
                <w:sz w:val="20"/>
                <w:szCs w:val="20"/>
              </w:rPr>
            </w:pPr>
            <w:r>
              <w:rPr>
                <w:noProof/>
                <w:sz w:val="20"/>
              </w:rPr>
              <w:t>5</w:t>
            </w:r>
          </w:p>
        </w:tc>
      </w:tr>
      <w:tr>
        <w:tc>
          <w:tcPr>
            <w:tcW w:w="1535" w:type="dxa"/>
            <w:shd w:val="clear" w:color="auto" w:fill="auto"/>
          </w:tcPr>
          <w:p>
            <w:pPr>
              <w:tabs>
                <w:tab w:val="right" w:leader="dot" w:pos="9071"/>
              </w:tabs>
              <w:ind w:left="850" w:hanging="850"/>
              <w:rPr>
                <w:noProof/>
                <w:sz w:val="20"/>
                <w:szCs w:val="20"/>
              </w:rPr>
            </w:pPr>
            <w:r>
              <w:rPr>
                <w:noProof/>
                <w:sz w:val="20"/>
              </w:rPr>
              <w:t xml:space="preserve">Agosto </w:t>
            </w:r>
          </w:p>
        </w:tc>
        <w:tc>
          <w:tcPr>
            <w:tcW w:w="1535" w:type="dxa"/>
            <w:shd w:val="clear" w:color="auto" w:fill="auto"/>
          </w:tcPr>
          <w:p>
            <w:pPr>
              <w:tabs>
                <w:tab w:val="right" w:leader="dot" w:pos="9071"/>
              </w:tabs>
              <w:ind w:left="850" w:hanging="850"/>
              <w:jc w:val="center"/>
              <w:rPr>
                <w:noProof/>
                <w:sz w:val="20"/>
                <w:szCs w:val="20"/>
              </w:rPr>
            </w:pPr>
          </w:p>
        </w:tc>
        <w:tc>
          <w:tcPr>
            <w:tcW w:w="1535" w:type="dxa"/>
            <w:shd w:val="clear" w:color="auto" w:fill="auto"/>
          </w:tcPr>
          <w:p>
            <w:pPr>
              <w:tabs>
                <w:tab w:val="right" w:leader="dot" w:pos="9071"/>
              </w:tabs>
              <w:ind w:left="850" w:hanging="850"/>
              <w:jc w:val="center"/>
              <w:rPr>
                <w:noProof/>
                <w:sz w:val="20"/>
                <w:szCs w:val="20"/>
              </w:rPr>
            </w:pPr>
            <w:r>
              <w:rPr>
                <w:noProof/>
                <w:sz w:val="20"/>
              </w:rPr>
              <w:t>5</w:t>
            </w:r>
          </w:p>
        </w:tc>
        <w:tc>
          <w:tcPr>
            <w:tcW w:w="1535" w:type="dxa"/>
            <w:shd w:val="clear" w:color="auto" w:fill="auto"/>
          </w:tcPr>
          <w:p>
            <w:pPr>
              <w:tabs>
                <w:tab w:val="right" w:leader="dot" w:pos="9071"/>
              </w:tabs>
              <w:ind w:left="850" w:hanging="850"/>
              <w:jc w:val="center"/>
              <w:rPr>
                <w:noProof/>
                <w:sz w:val="20"/>
                <w:szCs w:val="20"/>
              </w:rPr>
            </w:pPr>
            <w:r>
              <w:rPr>
                <w:noProof/>
                <w:sz w:val="20"/>
              </w:rPr>
              <w:t>2</w:t>
            </w:r>
          </w:p>
        </w:tc>
        <w:tc>
          <w:tcPr>
            <w:tcW w:w="1536" w:type="dxa"/>
            <w:shd w:val="clear" w:color="auto" w:fill="auto"/>
          </w:tcPr>
          <w:p>
            <w:pPr>
              <w:tabs>
                <w:tab w:val="right" w:leader="dot" w:pos="9071"/>
              </w:tabs>
              <w:ind w:left="850" w:hanging="850"/>
              <w:jc w:val="center"/>
              <w:rPr>
                <w:noProof/>
                <w:sz w:val="20"/>
                <w:szCs w:val="20"/>
              </w:rPr>
            </w:pPr>
          </w:p>
        </w:tc>
        <w:tc>
          <w:tcPr>
            <w:tcW w:w="1536" w:type="dxa"/>
            <w:shd w:val="clear" w:color="auto" w:fill="F2F2F2"/>
          </w:tcPr>
          <w:p>
            <w:pPr>
              <w:tabs>
                <w:tab w:val="right" w:leader="dot" w:pos="9071"/>
              </w:tabs>
              <w:ind w:left="850" w:hanging="850"/>
              <w:jc w:val="center"/>
              <w:rPr>
                <w:noProof/>
                <w:sz w:val="20"/>
                <w:szCs w:val="20"/>
              </w:rPr>
            </w:pPr>
            <w:r>
              <w:rPr>
                <w:noProof/>
                <w:sz w:val="20"/>
              </w:rPr>
              <w:t>7</w:t>
            </w:r>
          </w:p>
        </w:tc>
      </w:tr>
      <w:tr>
        <w:tc>
          <w:tcPr>
            <w:tcW w:w="1535" w:type="dxa"/>
            <w:shd w:val="clear" w:color="auto" w:fill="auto"/>
          </w:tcPr>
          <w:p>
            <w:pPr>
              <w:tabs>
                <w:tab w:val="right" w:leader="dot" w:pos="9071"/>
              </w:tabs>
              <w:ind w:left="850" w:hanging="850"/>
              <w:rPr>
                <w:noProof/>
                <w:sz w:val="20"/>
                <w:szCs w:val="20"/>
              </w:rPr>
            </w:pPr>
            <w:r>
              <w:rPr>
                <w:noProof/>
                <w:sz w:val="20"/>
              </w:rPr>
              <w:t xml:space="preserve">Septiembre </w:t>
            </w:r>
          </w:p>
        </w:tc>
        <w:tc>
          <w:tcPr>
            <w:tcW w:w="1535" w:type="dxa"/>
            <w:shd w:val="clear" w:color="auto" w:fill="auto"/>
          </w:tcPr>
          <w:p>
            <w:pPr>
              <w:tabs>
                <w:tab w:val="right" w:leader="dot" w:pos="9071"/>
              </w:tabs>
              <w:ind w:left="850" w:hanging="850"/>
              <w:jc w:val="center"/>
              <w:rPr>
                <w:noProof/>
                <w:sz w:val="20"/>
                <w:szCs w:val="20"/>
              </w:rPr>
            </w:pPr>
          </w:p>
        </w:tc>
        <w:tc>
          <w:tcPr>
            <w:tcW w:w="1535" w:type="dxa"/>
            <w:shd w:val="clear" w:color="auto" w:fill="auto"/>
          </w:tcPr>
          <w:p>
            <w:pPr>
              <w:tabs>
                <w:tab w:val="right" w:leader="dot" w:pos="9071"/>
              </w:tabs>
              <w:ind w:left="850" w:hanging="850"/>
              <w:jc w:val="center"/>
              <w:rPr>
                <w:noProof/>
                <w:sz w:val="20"/>
                <w:szCs w:val="20"/>
              </w:rPr>
            </w:pPr>
            <w:r>
              <w:rPr>
                <w:noProof/>
                <w:sz w:val="20"/>
              </w:rPr>
              <w:t>2</w:t>
            </w:r>
          </w:p>
        </w:tc>
        <w:tc>
          <w:tcPr>
            <w:tcW w:w="1535" w:type="dxa"/>
            <w:shd w:val="clear" w:color="auto" w:fill="auto"/>
          </w:tcPr>
          <w:p>
            <w:pPr>
              <w:tabs>
                <w:tab w:val="right" w:leader="dot" w:pos="9071"/>
              </w:tabs>
              <w:ind w:left="850" w:hanging="850"/>
              <w:jc w:val="center"/>
              <w:rPr>
                <w:noProof/>
                <w:sz w:val="20"/>
                <w:szCs w:val="20"/>
              </w:rPr>
            </w:pPr>
            <w:r>
              <w:rPr>
                <w:noProof/>
                <w:sz w:val="20"/>
              </w:rPr>
              <w:t>1</w:t>
            </w:r>
          </w:p>
        </w:tc>
        <w:tc>
          <w:tcPr>
            <w:tcW w:w="1536" w:type="dxa"/>
            <w:shd w:val="clear" w:color="auto" w:fill="auto"/>
          </w:tcPr>
          <w:p>
            <w:pPr>
              <w:tabs>
                <w:tab w:val="right" w:leader="dot" w:pos="9071"/>
              </w:tabs>
              <w:ind w:left="850" w:hanging="850"/>
              <w:jc w:val="center"/>
              <w:rPr>
                <w:noProof/>
                <w:sz w:val="20"/>
                <w:szCs w:val="20"/>
              </w:rPr>
            </w:pPr>
          </w:p>
        </w:tc>
        <w:tc>
          <w:tcPr>
            <w:tcW w:w="1536" w:type="dxa"/>
            <w:shd w:val="clear" w:color="auto" w:fill="F2F2F2"/>
          </w:tcPr>
          <w:p>
            <w:pPr>
              <w:tabs>
                <w:tab w:val="right" w:leader="dot" w:pos="9071"/>
              </w:tabs>
              <w:ind w:left="850" w:hanging="850"/>
              <w:jc w:val="center"/>
              <w:rPr>
                <w:noProof/>
                <w:sz w:val="20"/>
                <w:szCs w:val="20"/>
              </w:rPr>
            </w:pPr>
            <w:r>
              <w:rPr>
                <w:noProof/>
                <w:sz w:val="20"/>
              </w:rPr>
              <w:t>3</w:t>
            </w:r>
          </w:p>
        </w:tc>
      </w:tr>
      <w:tr>
        <w:tc>
          <w:tcPr>
            <w:tcW w:w="1535" w:type="dxa"/>
            <w:shd w:val="clear" w:color="auto" w:fill="auto"/>
          </w:tcPr>
          <w:p>
            <w:pPr>
              <w:tabs>
                <w:tab w:val="right" w:leader="dot" w:pos="9071"/>
              </w:tabs>
              <w:ind w:left="850" w:hanging="850"/>
              <w:rPr>
                <w:noProof/>
                <w:sz w:val="20"/>
                <w:szCs w:val="20"/>
              </w:rPr>
            </w:pPr>
            <w:r>
              <w:rPr>
                <w:noProof/>
                <w:sz w:val="20"/>
              </w:rPr>
              <w:t xml:space="preserve">Octubre </w:t>
            </w:r>
          </w:p>
        </w:tc>
        <w:tc>
          <w:tcPr>
            <w:tcW w:w="1535" w:type="dxa"/>
            <w:shd w:val="clear" w:color="auto" w:fill="auto"/>
          </w:tcPr>
          <w:p>
            <w:pPr>
              <w:tabs>
                <w:tab w:val="right" w:leader="dot" w:pos="9071"/>
              </w:tabs>
              <w:ind w:left="850" w:hanging="850"/>
              <w:jc w:val="center"/>
              <w:rPr>
                <w:noProof/>
                <w:sz w:val="20"/>
                <w:szCs w:val="20"/>
              </w:rPr>
            </w:pPr>
            <w:r>
              <w:rPr>
                <w:noProof/>
                <w:sz w:val="20"/>
              </w:rPr>
              <w:t>1</w:t>
            </w:r>
          </w:p>
        </w:tc>
        <w:tc>
          <w:tcPr>
            <w:tcW w:w="1535" w:type="dxa"/>
            <w:shd w:val="clear" w:color="auto" w:fill="auto"/>
          </w:tcPr>
          <w:p>
            <w:pPr>
              <w:tabs>
                <w:tab w:val="right" w:leader="dot" w:pos="9071"/>
              </w:tabs>
              <w:ind w:left="850" w:hanging="850"/>
              <w:jc w:val="center"/>
              <w:rPr>
                <w:noProof/>
                <w:sz w:val="20"/>
                <w:szCs w:val="20"/>
              </w:rPr>
            </w:pPr>
            <w:r>
              <w:rPr>
                <w:noProof/>
                <w:sz w:val="20"/>
              </w:rPr>
              <w:t>3</w:t>
            </w:r>
          </w:p>
        </w:tc>
        <w:tc>
          <w:tcPr>
            <w:tcW w:w="1535" w:type="dxa"/>
            <w:shd w:val="clear" w:color="auto" w:fill="auto"/>
          </w:tcPr>
          <w:p>
            <w:pPr>
              <w:tabs>
                <w:tab w:val="right" w:leader="dot" w:pos="9071"/>
              </w:tabs>
              <w:ind w:left="850" w:hanging="850"/>
              <w:jc w:val="center"/>
              <w:rPr>
                <w:noProof/>
                <w:sz w:val="20"/>
                <w:szCs w:val="20"/>
              </w:rPr>
            </w:pPr>
            <w:r>
              <w:rPr>
                <w:noProof/>
                <w:sz w:val="20"/>
              </w:rPr>
              <w:t>1</w:t>
            </w:r>
          </w:p>
        </w:tc>
        <w:tc>
          <w:tcPr>
            <w:tcW w:w="1536" w:type="dxa"/>
            <w:shd w:val="clear" w:color="auto" w:fill="auto"/>
          </w:tcPr>
          <w:p>
            <w:pPr>
              <w:tabs>
                <w:tab w:val="right" w:leader="dot" w:pos="9071"/>
              </w:tabs>
              <w:ind w:left="850" w:hanging="850"/>
              <w:jc w:val="center"/>
              <w:rPr>
                <w:noProof/>
                <w:sz w:val="20"/>
                <w:szCs w:val="20"/>
              </w:rPr>
            </w:pPr>
          </w:p>
        </w:tc>
        <w:tc>
          <w:tcPr>
            <w:tcW w:w="1536" w:type="dxa"/>
            <w:shd w:val="clear" w:color="auto" w:fill="F2F2F2"/>
          </w:tcPr>
          <w:p>
            <w:pPr>
              <w:tabs>
                <w:tab w:val="right" w:leader="dot" w:pos="9071"/>
              </w:tabs>
              <w:ind w:left="850" w:hanging="850"/>
              <w:jc w:val="center"/>
              <w:rPr>
                <w:noProof/>
                <w:sz w:val="20"/>
                <w:szCs w:val="20"/>
              </w:rPr>
            </w:pPr>
            <w:r>
              <w:rPr>
                <w:noProof/>
                <w:sz w:val="20"/>
              </w:rPr>
              <w:t>5</w:t>
            </w:r>
          </w:p>
        </w:tc>
      </w:tr>
      <w:tr>
        <w:tc>
          <w:tcPr>
            <w:tcW w:w="1535" w:type="dxa"/>
            <w:shd w:val="clear" w:color="auto" w:fill="auto"/>
          </w:tcPr>
          <w:p>
            <w:pPr>
              <w:tabs>
                <w:tab w:val="right" w:leader="dot" w:pos="9071"/>
              </w:tabs>
              <w:ind w:left="850" w:hanging="850"/>
              <w:rPr>
                <w:noProof/>
                <w:sz w:val="20"/>
                <w:szCs w:val="20"/>
              </w:rPr>
            </w:pPr>
            <w:r>
              <w:rPr>
                <w:noProof/>
                <w:sz w:val="20"/>
              </w:rPr>
              <w:t xml:space="preserve">Noviembre </w:t>
            </w:r>
          </w:p>
        </w:tc>
        <w:tc>
          <w:tcPr>
            <w:tcW w:w="1535" w:type="dxa"/>
            <w:shd w:val="clear" w:color="auto" w:fill="auto"/>
          </w:tcPr>
          <w:p>
            <w:pPr>
              <w:tabs>
                <w:tab w:val="right" w:leader="dot" w:pos="9071"/>
              </w:tabs>
              <w:ind w:left="850" w:hanging="850"/>
              <w:jc w:val="center"/>
              <w:rPr>
                <w:noProof/>
                <w:sz w:val="20"/>
                <w:szCs w:val="20"/>
              </w:rPr>
            </w:pPr>
            <w:r>
              <w:rPr>
                <w:noProof/>
                <w:sz w:val="20"/>
              </w:rPr>
              <w:t>2</w:t>
            </w:r>
          </w:p>
        </w:tc>
        <w:tc>
          <w:tcPr>
            <w:tcW w:w="1535" w:type="dxa"/>
            <w:shd w:val="clear" w:color="auto" w:fill="auto"/>
          </w:tcPr>
          <w:p>
            <w:pPr>
              <w:tabs>
                <w:tab w:val="right" w:leader="dot" w:pos="9071"/>
              </w:tabs>
              <w:ind w:left="850" w:hanging="850"/>
              <w:jc w:val="center"/>
              <w:rPr>
                <w:noProof/>
                <w:sz w:val="20"/>
                <w:szCs w:val="20"/>
              </w:rPr>
            </w:pPr>
            <w:r>
              <w:rPr>
                <w:noProof/>
                <w:sz w:val="20"/>
              </w:rPr>
              <w:t>2</w:t>
            </w:r>
          </w:p>
        </w:tc>
        <w:tc>
          <w:tcPr>
            <w:tcW w:w="1535" w:type="dxa"/>
            <w:shd w:val="clear" w:color="auto" w:fill="auto"/>
          </w:tcPr>
          <w:p>
            <w:pPr>
              <w:tabs>
                <w:tab w:val="right" w:leader="dot" w:pos="9071"/>
              </w:tabs>
              <w:ind w:left="850" w:hanging="850"/>
              <w:jc w:val="center"/>
              <w:rPr>
                <w:noProof/>
                <w:sz w:val="20"/>
                <w:szCs w:val="20"/>
              </w:rPr>
            </w:pPr>
            <w:r>
              <w:rPr>
                <w:noProof/>
                <w:sz w:val="20"/>
              </w:rPr>
              <w:t>1</w:t>
            </w:r>
          </w:p>
        </w:tc>
        <w:tc>
          <w:tcPr>
            <w:tcW w:w="1536" w:type="dxa"/>
            <w:shd w:val="clear" w:color="auto" w:fill="auto"/>
          </w:tcPr>
          <w:p>
            <w:pPr>
              <w:tabs>
                <w:tab w:val="right" w:leader="dot" w:pos="9071"/>
              </w:tabs>
              <w:ind w:left="850" w:hanging="850"/>
              <w:jc w:val="center"/>
              <w:rPr>
                <w:noProof/>
                <w:sz w:val="20"/>
                <w:szCs w:val="20"/>
              </w:rPr>
            </w:pPr>
          </w:p>
        </w:tc>
        <w:tc>
          <w:tcPr>
            <w:tcW w:w="1536" w:type="dxa"/>
            <w:shd w:val="clear" w:color="auto" w:fill="F2F2F2"/>
          </w:tcPr>
          <w:p>
            <w:pPr>
              <w:tabs>
                <w:tab w:val="right" w:leader="dot" w:pos="9071"/>
              </w:tabs>
              <w:ind w:left="850" w:hanging="850"/>
              <w:jc w:val="center"/>
              <w:rPr>
                <w:noProof/>
                <w:sz w:val="20"/>
                <w:szCs w:val="20"/>
              </w:rPr>
            </w:pPr>
            <w:r>
              <w:rPr>
                <w:noProof/>
                <w:sz w:val="20"/>
              </w:rPr>
              <w:t>5</w:t>
            </w:r>
          </w:p>
        </w:tc>
      </w:tr>
      <w:tr>
        <w:tc>
          <w:tcPr>
            <w:tcW w:w="1535" w:type="dxa"/>
            <w:shd w:val="clear" w:color="auto" w:fill="auto"/>
          </w:tcPr>
          <w:p>
            <w:pPr>
              <w:tabs>
                <w:tab w:val="right" w:leader="dot" w:pos="9071"/>
              </w:tabs>
              <w:ind w:left="850" w:hanging="850"/>
              <w:rPr>
                <w:noProof/>
                <w:sz w:val="20"/>
                <w:szCs w:val="20"/>
              </w:rPr>
            </w:pPr>
            <w:r>
              <w:rPr>
                <w:noProof/>
                <w:sz w:val="20"/>
              </w:rPr>
              <w:t xml:space="preserve">Diciembre </w:t>
            </w:r>
          </w:p>
        </w:tc>
        <w:tc>
          <w:tcPr>
            <w:tcW w:w="1535" w:type="dxa"/>
            <w:shd w:val="clear" w:color="auto" w:fill="auto"/>
          </w:tcPr>
          <w:p>
            <w:pPr>
              <w:tabs>
                <w:tab w:val="right" w:leader="dot" w:pos="9071"/>
              </w:tabs>
              <w:ind w:left="850" w:hanging="850"/>
              <w:jc w:val="center"/>
              <w:rPr>
                <w:noProof/>
                <w:sz w:val="20"/>
                <w:szCs w:val="20"/>
              </w:rPr>
            </w:pPr>
          </w:p>
        </w:tc>
        <w:tc>
          <w:tcPr>
            <w:tcW w:w="1535" w:type="dxa"/>
            <w:shd w:val="clear" w:color="auto" w:fill="auto"/>
          </w:tcPr>
          <w:p>
            <w:pPr>
              <w:tabs>
                <w:tab w:val="right" w:leader="dot" w:pos="9071"/>
              </w:tabs>
              <w:ind w:left="850" w:hanging="850"/>
              <w:jc w:val="center"/>
              <w:rPr>
                <w:noProof/>
                <w:sz w:val="20"/>
                <w:szCs w:val="20"/>
              </w:rPr>
            </w:pPr>
            <w:r>
              <w:rPr>
                <w:noProof/>
                <w:sz w:val="20"/>
              </w:rPr>
              <w:t>8</w:t>
            </w:r>
          </w:p>
        </w:tc>
        <w:tc>
          <w:tcPr>
            <w:tcW w:w="1535" w:type="dxa"/>
            <w:shd w:val="clear" w:color="auto" w:fill="auto"/>
          </w:tcPr>
          <w:p>
            <w:pPr>
              <w:tabs>
                <w:tab w:val="right" w:leader="dot" w:pos="9071"/>
              </w:tabs>
              <w:ind w:left="850" w:hanging="850"/>
              <w:jc w:val="center"/>
              <w:rPr>
                <w:noProof/>
                <w:sz w:val="20"/>
                <w:szCs w:val="20"/>
              </w:rPr>
            </w:pPr>
            <w:r>
              <w:rPr>
                <w:noProof/>
                <w:sz w:val="20"/>
              </w:rPr>
              <w:t>1</w:t>
            </w:r>
          </w:p>
        </w:tc>
        <w:tc>
          <w:tcPr>
            <w:tcW w:w="1536" w:type="dxa"/>
            <w:shd w:val="clear" w:color="auto" w:fill="auto"/>
          </w:tcPr>
          <w:p>
            <w:pPr>
              <w:tabs>
                <w:tab w:val="right" w:leader="dot" w:pos="9071"/>
              </w:tabs>
              <w:ind w:left="850" w:hanging="850"/>
              <w:jc w:val="center"/>
              <w:rPr>
                <w:noProof/>
                <w:sz w:val="20"/>
                <w:szCs w:val="20"/>
              </w:rPr>
            </w:pPr>
          </w:p>
        </w:tc>
        <w:tc>
          <w:tcPr>
            <w:tcW w:w="1536" w:type="dxa"/>
            <w:shd w:val="clear" w:color="auto" w:fill="F2F2F2"/>
          </w:tcPr>
          <w:p>
            <w:pPr>
              <w:tabs>
                <w:tab w:val="right" w:leader="dot" w:pos="9071"/>
              </w:tabs>
              <w:ind w:left="850" w:hanging="850"/>
              <w:jc w:val="center"/>
              <w:rPr>
                <w:noProof/>
                <w:sz w:val="20"/>
                <w:szCs w:val="20"/>
              </w:rPr>
            </w:pPr>
            <w:r>
              <w:rPr>
                <w:noProof/>
                <w:sz w:val="20"/>
              </w:rPr>
              <w:t>9</w:t>
            </w:r>
          </w:p>
        </w:tc>
      </w:tr>
      <w:tr>
        <w:tc>
          <w:tcPr>
            <w:tcW w:w="1535" w:type="dxa"/>
            <w:shd w:val="clear" w:color="auto" w:fill="F2F2F2"/>
          </w:tcPr>
          <w:p>
            <w:pPr>
              <w:tabs>
                <w:tab w:val="right" w:leader="dot" w:pos="9071"/>
              </w:tabs>
              <w:ind w:left="850" w:hanging="850"/>
              <w:rPr>
                <w:noProof/>
                <w:sz w:val="20"/>
                <w:szCs w:val="20"/>
              </w:rPr>
            </w:pPr>
            <w:r>
              <w:rPr>
                <w:noProof/>
                <w:sz w:val="20"/>
              </w:rPr>
              <w:t>TOTAL</w:t>
            </w:r>
          </w:p>
        </w:tc>
        <w:tc>
          <w:tcPr>
            <w:tcW w:w="1535" w:type="dxa"/>
            <w:shd w:val="clear" w:color="auto" w:fill="F2F2F2"/>
          </w:tcPr>
          <w:p>
            <w:pPr>
              <w:tabs>
                <w:tab w:val="right" w:leader="dot" w:pos="9071"/>
              </w:tabs>
              <w:ind w:left="850" w:hanging="850"/>
              <w:jc w:val="center"/>
              <w:rPr>
                <w:noProof/>
                <w:sz w:val="20"/>
                <w:szCs w:val="20"/>
              </w:rPr>
            </w:pPr>
            <w:r>
              <w:rPr>
                <w:noProof/>
                <w:sz w:val="20"/>
              </w:rPr>
              <w:t>5</w:t>
            </w:r>
          </w:p>
        </w:tc>
        <w:tc>
          <w:tcPr>
            <w:tcW w:w="1535" w:type="dxa"/>
            <w:shd w:val="clear" w:color="auto" w:fill="F2F2F2"/>
          </w:tcPr>
          <w:p>
            <w:pPr>
              <w:tabs>
                <w:tab w:val="right" w:leader="dot" w:pos="9071"/>
              </w:tabs>
              <w:ind w:left="850" w:hanging="850"/>
              <w:jc w:val="center"/>
              <w:rPr>
                <w:noProof/>
                <w:sz w:val="20"/>
                <w:szCs w:val="20"/>
              </w:rPr>
            </w:pPr>
            <w:r>
              <w:rPr>
                <w:noProof/>
                <w:sz w:val="20"/>
              </w:rPr>
              <w:t>43</w:t>
            </w:r>
          </w:p>
        </w:tc>
        <w:tc>
          <w:tcPr>
            <w:tcW w:w="1535" w:type="dxa"/>
            <w:shd w:val="clear" w:color="auto" w:fill="F2F2F2"/>
          </w:tcPr>
          <w:p>
            <w:pPr>
              <w:tabs>
                <w:tab w:val="right" w:leader="dot" w:pos="9071"/>
              </w:tabs>
              <w:ind w:left="850" w:hanging="850"/>
              <w:jc w:val="center"/>
              <w:rPr>
                <w:noProof/>
                <w:sz w:val="20"/>
                <w:szCs w:val="20"/>
              </w:rPr>
            </w:pPr>
            <w:r>
              <w:rPr>
                <w:noProof/>
                <w:sz w:val="20"/>
              </w:rPr>
              <w:t>8</w:t>
            </w:r>
          </w:p>
        </w:tc>
        <w:tc>
          <w:tcPr>
            <w:tcW w:w="1536" w:type="dxa"/>
            <w:shd w:val="clear" w:color="auto" w:fill="F2F2F2"/>
          </w:tcPr>
          <w:p>
            <w:pPr>
              <w:tabs>
                <w:tab w:val="right" w:leader="dot" w:pos="9071"/>
              </w:tabs>
              <w:ind w:left="850" w:hanging="850"/>
              <w:jc w:val="center"/>
              <w:rPr>
                <w:noProof/>
                <w:sz w:val="20"/>
                <w:szCs w:val="20"/>
              </w:rPr>
            </w:pPr>
            <w:r>
              <w:rPr>
                <w:noProof/>
                <w:sz w:val="20"/>
              </w:rPr>
              <w:t>1</w:t>
            </w:r>
          </w:p>
        </w:tc>
        <w:tc>
          <w:tcPr>
            <w:tcW w:w="1536" w:type="dxa"/>
            <w:shd w:val="clear" w:color="auto" w:fill="F2F2F2"/>
          </w:tcPr>
          <w:p>
            <w:pPr>
              <w:tabs>
                <w:tab w:val="right" w:leader="dot" w:pos="9071"/>
              </w:tabs>
              <w:ind w:left="850" w:hanging="850"/>
              <w:jc w:val="center"/>
              <w:rPr>
                <w:noProof/>
                <w:sz w:val="20"/>
                <w:szCs w:val="20"/>
              </w:rPr>
            </w:pPr>
            <w:r>
              <w:rPr>
                <w:noProof/>
                <w:sz w:val="20"/>
              </w:rPr>
              <w:t>57</w:t>
            </w:r>
          </w:p>
        </w:tc>
      </w:tr>
    </w:tbl>
    <w:p>
      <w:pPr>
        <w:rPr>
          <w:noProof/>
        </w:rPr>
      </w:pPr>
    </w:p>
    <w:p>
      <w:pPr>
        <w:rPr>
          <w:noProof/>
        </w:rPr>
      </w:pPr>
    </w:p>
    <w:p>
      <w:pPr>
        <w:rPr>
          <w:noProof/>
        </w:rPr>
      </w:pPr>
      <w:r>
        <w:rPr>
          <w:noProof/>
        </w:rPr>
        <w:br w:type="page"/>
        <w:t>ANEXO 4: Nº total de nombres de dominio «.eu» por país del registrante</w:t>
      </w:r>
    </w:p>
    <w:p>
      <w:pPr>
        <w:rPr>
          <w:noProof/>
        </w:rPr>
      </w:pPr>
      <w:r>
        <w:rPr>
          <w:noProof/>
        </w:rPr>
        <w:pict>
          <v:shape id="Chart 1" o:spid="_x0000_i1028" type="#_x0000_t75" style="width:368.65pt;height:218.6pt;visibility:visible" o:gfxdata="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">
            <v:imagedata r:id="rId19" o:title=""/>
            <o:lock v:ext="edit" aspectratio="f"/>
          </v:shape>
        </w:pict>
      </w:r>
    </w:p>
    <w:p>
      <w:pPr>
        <w:jc w:val="left"/>
        <w:rPr>
          <w:noProof/>
        </w:rPr>
      </w:pPr>
      <w:r>
        <w:rPr>
          <w:noProof/>
        </w:rPr>
        <w:t xml:space="preserve">Fuente: </w:t>
      </w:r>
      <w:r>
        <w:rPr>
          <w:i/>
          <w:noProof/>
        </w:rPr>
        <w:t>Quarterly Progress Report</w:t>
      </w:r>
      <w:r>
        <w:rPr>
          <w:noProof/>
        </w:rPr>
        <w:t xml:space="preserve"> de EURid, primer trimestre de 2015</w:t>
      </w:r>
      <w:r>
        <w:rPr>
          <w:noProof/>
        </w:rPr>
        <w:br w:type="page"/>
        <w:t>ANEXO 5: Nº de dominios «.eu» por cada 1 000 habitantes</w:t>
      </w:r>
    </w:p>
    <w:p>
      <w:pPr>
        <w:jc w:val="left"/>
        <w:rPr>
          <w:noProof/>
        </w:rPr>
      </w:pPr>
    </w:p>
    <w:p>
      <w:pPr>
        <w:jc w:val="left"/>
        <w:rPr>
          <w:noProof/>
        </w:rPr>
      </w:pPr>
      <w:r>
        <w:rPr>
          <w:noProof/>
        </w:rPr>
        <w:pict>
          <v:shape id="Chart 9" o:spid="_x0000_i1029" type="#_x0000_t75" style="width:387.75pt;height:218.6pt;visibility:visible" o:gfxdata="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">
            <v:imagedata r:id="rId20" o:title=""/>
            <o:lock v:ext="edit" aspectratio="f"/>
          </v:shape>
        </w:pict>
      </w:r>
    </w:p>
    <w:p>
      <w:pPr>
        <w:rPr>
          <w:noProof/>
        </w:rPr>
      </w:pPr>
      <w:r>
        <w:rPr>
          <w:noProof/>
        </w:rPr>
        <w:t xml:space="preserve">Fuente: </w:t>
      </w:r>
      <w:r>
        <w:rPr>
          <w:i/>
          <w:noProof/>
        </w:rPr>
        <w:t>Quarterly Progress Report</w:t>
      </w:r>
      <w:r>
        <w:rPr>
          <w:noProof/>
        </w:rPr>
        <w:t xml:space="preserve"> de EURid, primer trimestre de 2015.</w:t>
      </w:r>
    </w:p>
    <w:p>
      <w:pPr>
        <w:spacing w:before="0" w:after="0"/>
        <w:jc w:val="left"/>
        <w:rPr>
          <w:noProof/>
        </w:rPr>
      </w:pPr>
      <w:r>
        <w:rPr>
          <w:noProof/>
        </w:rPr>
        <w:br w:type="page"/>
      </w:r>
    </w:p>
    <w:p>
      <w:pPr>
        <w:rPr>
          <w:noProof/>
        </w:rPr>
      </w:pPr>
      <w:r>
        <w:rPr>
          <w:noProof/>
        </w:rPr>
        <w:t>ANEXO 6: Total de registros IDN en «.eu» frente al nº total de registros «.eu»</w:t>
      </w:r>
    </w:p>
    <w:p>
      <w:pPr>
        <w:rPr>
          <w:noProof/>
        </w:rPr>
      </w:pPr>
      <w:r>
        <w:rPr>
          <w:noProof/>
        </w:rPr>
        <w:pict>
          <v:shape id="_x0000_i1030" type="#_x0000_t75" style="width:452.8pt;height:241.15pt">
            <v:imagedata r:id="rId21" o:title="Screen Shot 2015-07-03 at 17"/>
          </v:shape>
        </w:pict>
      </w:r>
    </w:p>
    <w:p>
      <w:pPr>
        <w:rPr>
          <w:noProof/>
        </w:rPr>
      </w:pPr>
    </w:p>
    <w:p>
      <w:pPr>
        <w:rPr>
          <w:noProof/>
        </w:rPr>
      </w:pPr>
      <w:r>
        <w:rPr>
          <w:noProof/>
        </w:rPr>
        <w:t xml:space="preserve">Fuente: </w:t>
      </w:r>
      <w:r>
        <w:rPr>
          <w:i/>
          <w:noProof/>
        </w:rPr>
        <w:t>Quarterly Progress Report</w:t>
      </w:r>
      <w:r>
        <w:rPr>
          <w:noProof/>
        </w:rPr>
        <w:t xml:space="preserve"> de EURid, primer trimestre de 2015.</w:t>
      </w:r>
    </w:p>
    <w:p>
      <w:pPr>
        <w:rPr>
          <w:noProof/>
        </w:rPr>
      </w:pPr>
    </w:p>
    <w:sectPr>
      <w:headerReference w:type="even" r:id="rId22"/>
      <w:headerReference w:type="default" r:id="rId23"/>
      <w:footerReference w:type="even" r:id="rId24"/>
      <w:footerReference w:type="default" r:id="rId25"/>
      <w:headerReference w:type="first" r:id="rId26"/>
      <w:footerReference w:type="first" r:id="rId2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19</w:t>
    </w:r>
    <w:r>
      <w:rPr>
        <w:noProof/>
      </w:rP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es-ES_tradnl"/>
        </w:rPr>
      </w:pPr>
      <w:r>
        <w:rPr>
          <w:rStyle w:val="FootnoteReference"/>
        </w:rPr>
        <w:footnoteRef/>
      </w:r>
      <w:r>
        <w:t xml:space="preserve"> </w:t>
      </w:r>
      <w:r>
        <w:tab/>
        <w:t>Excluyendo «.tk», a causa de su marco y modelo de venta especiales.</w:t>
      </w:r>
    </w:p>
  </w:footnote>
  <w:footnote w:id="2">
    <w:p>
      <w:pPr>
        <w:pStyle w:val="FootnoteText"/>
      </w:pPr>
      <w:r>
        <w:rPr>
          <w:rStyle w:val="FootnoteReference"/>
        </w:rPr>
        <w:footnoteRef/>
      </w:r>
      <w:r>
        <w:t xml:space="preserve">             DO L 113 de 30.4.202, p. 1.</w:t>
      </w:r>
    </w:p>
  </w:footnote>
  <w:footnote w:id="3">
    <w:p>
      <w:pPr>
        <w:pStyle w:val="FootnoteText"/>
      </w:pPr>
      <w:r>
        <w:rPr>
          <w:rStyle w:val="FootnoteReference"/>
        </w:rPr>
        <w:footnoteRef/>
      </w:r>
      <w:r>
        <w:tab/>
        <w:t>Reglamento (CE) nº 1137/2008 del Parlamento Europeo y del Consejo, de 22 de octubre de 2008, por el que se adaptan a la Decisión 1999/468/CE del Consejo determinados actos sujetos al procedimiento establecido en el artículo 251 del Tratado, en lo que se refiere al procedimiento de reglamentación con control — Adaptación al procedimiento de reglamentación con control — Primera parte (DO L 311 de 21.11.2008, p. 1).</w:t>
      </w:r>
    </w:p>
  </w:footnote>
  <w:footnote w:id="4">
    <w:p>
      <w:pPr>
        <w:pStyle w:val="FootnoteText"/>
      </w:pPr>
      <w:r>
        <w:rPr>
          <w:rStyle w:val="FootnoteReference"/>
        </w:rPr>
        <w:footnoteRef/>
      </w:r>
      <w:r>
        <w:t xml:space="preserve">             DO L 162 de 30.4.2004, p. 40.</w:t>
      </w:r>
    </w:p>
  </w:footnote>
  <w:footnote w:id="5">
    <w:p>
      <w:pPr>
        <w:pStyle w:val="FootnoteText"/>
      </w:pPr>
      <w:r>
        <w:rPr>
          <w:rStyle w:val="FootnoteReference"/>
        </w:rPr>
        <w:footnoteRef/>
      </w:r>
      <w:r>
        <w:tab/>
        <w:t>Reglamento (CE) nº 1654/2005 de la Comisión, de 10 de octubre de 2007 (DO L 266 de 11.10.2005, p. 35), Reglamento (CE) nº 1255/2007 de la Comisión, de 25 de octubre de 2007 (DO L 282 de 26.10.2007, p. 16), Reglamento (CE) nº 560/2009 de la Comisión, de 26 de junio de 2009 (DO L 166 de 27.6.2009, p. 3) y Reglamento (UE) nº 516/2015 de la Comisión, de 26 de marzo de 2015 (DO L 82 de 27.3.2015, p. 14).</w:t>
      </w:r>
    </w:p>
  </w:footnote>
  <w:footnote w:id="6">
    <w:p>
      <w:pPr>
        <w:pStyle w:val="FootnoteText"/>
      </w:pPr>
      <w:r>
        <w:rPr>
          <w:rStyle w:val="FootnoteReference"/>
        </w:rPr>
        <w:footnoteRef/>
      </w:r>
      <w:r>
        <w:t xml:space="preserve">        </w:t>
      </w:r>
      <w:r>
        <w:tab/>
        <w:t xml:space="preserve">EURid es abreviatura de </w:t>
      </w:r>
      <w:r>
        <w:rPr>
          <w:i/>
        </w:rPr>
        <w:t>European Registry of Internet Domain Names</w:t>
      </w:r>
      <w:r>
        <w:t>, entidad sin ánimo de lucro que ha gestionado el TLD «.eu» en virtud de un contrato con la Comisión Europea.</w:t>
      </w:r>
    </w:p>
  </w:footnote>
  <w:footnote w:id="7">
    <w:p>
      <w:pPr>
        <w:pStyle w:val="FootnoteText"/>
        <w:rPr>
          <w:lang w:val="es-ES_tradnl"/>
        </w:rPr>
      </w:pPr>
      <w:r>
        <w:rPr>
          <w:rStyle w:val="FootnoteReference"/>
        </w:rPr>
        <w:footnoteRef/>
      </w:r>
      <w:r>
        <w:t xml:space="preserve"> </w:t>
      </w:r>
      <w:r>
        <w:tab/>
        <w:t>Decisión de Ejecución de la Comisión, de 11 de abril de 2014, sobre la designación del Registro del dominio de primer nivel «.eu» (DO L109 de 12.4.2014, p. 41).</w:t>
      </w:r>
    </w:p>
  </w:footnote>
  <w:footnote w:id="8">
    <w:p>
      <w:pPr>
        <w:pStyle w:val="FootnoteText"/>
      </w:pPr>
      <w:r>
        <w:rPr>
          <w:rStyle w:val="FootnoteReference"/>
        </w:rPr>
        <w:footnoteRef/>
      </w:r>
      <w:r>
        <w:tab/>
        <w:t xml:space="preserve">Para más información sobre el proceso acelerado, véase: </w:t>
      </w:r>
      <w:hyperlink r:id="rId1">
        <w:r>
          <w:rPr>
            <w:rStyle w:val="Hyperlink"/>
          </w:rPr>
          <w:t>http://www.icann.org/en/topics/idn/fast-track/</w:t>
        </w:r>
      </w:hyperlink>
      <w:r>
        <w:t>.</w:t>
      </w:r>
    </w:p>
  </w:footnote>
  <w:footnote w:id="9">
    <w:p>
      <w:pPr>
        <w:pStyle w:val="FootnoteText"/>
      </w:pPr>
      <w:r>
        <w:rPr>
          <w:rStyle w:val="FootnoteReference"/>
        </w:rPr>
        <w:footnoteRef/>
      </w:r>
      <w:r>
        <w:tab/>
        <w:t>Artículo 3, apartado 4, del Reglamento (CE) nº 733/2002 y considerandos 2, 3 y 4 y artículo 4 del Reglamento (CE) nº 874/2004.</w:t>
      </w:r>
    </w:p>
  </w:footnote>
  <w:footnote w:id="10">
    <w:p>
      <w:pPr>
        <w:pStyle w:val="FootnoteText"/>
        <w:rPr>
          <w:lang w:val="es-ES_tradnl"/>
        </w:rPr>
      </w:pPr>
      <w:r>
        <w:rPr>
          <w:rStyle w:val="FootnoteReference"/>
        </w:rPr>
        <w:footnoteRef/>
      </w:r>
      <w:r>
        <w:rPr>
          <w:lang w:val="es-ES_tradnl"/>
        </w:rPr>
        <w:t xml:space="preserve">           Sistema que permite encontrar al responsable de un nombre de dominio.</w:t>
      </w:r>
    </w:p>
    <w:p>
      <w:pPr>
        <w:pStyle w:val="FootnoteText"/>
        <w:rPr>
          <w:lang w:val="es-ES_tradnl"/>
        </w:rPr>
      </w:pPr>
    </w:p>
  </w:footnote>
  <w:footnote w:id="11">
    <w:p>
      <w:pPr>
        <w:pStyle w:val="FootnoteText"/>
      </w:pPr>
      <w:r>
        <w:rPr>
          <w:rStyle w:val="FootnoteReference"/>
        </w:rPr>
        <w:footnoteRef/>
      </w:r>
      <w:r>
        <w:t xml:space="preserve"> Estas cifras incluyen los fondos reservados para el programa de mercadotecnia cofinanciada para los registradores.</w:t>
      </w:r>
    </w:p>
  </w:footnote>
  <w:footnote w:id="12">
    <w:p>
      <w:pPr>
        <w:pStyle w:val="FootnoteText"/>
      </w:pPr>
      <w:r>
        <w:rPr>
          <w:rStyle w:val="FootnoteReference"/>
        </w:rPr>
        <w:footnoteRef/>
      </w:r>
      <w:r>
        <w:t xml:space="preserve"> Véanse en el anexo 3 las estadísticas relativas al procedimiento alternativo de solución de controversias.</w:t>
      </w:r>
    </w:p>
    <w:p>
      <w:pPr>
        <w:pStyle w:val="FootnoteText"/>
      </w:pPr>
    </w:p>
  </w:footnote>
  <w:footnote w:id="13">
    <w:p>
      <w:pPr>
        <w:pStyle w:val="FootnoteText"/>
        <w:ind w:left="142" w:hanging="142"/>
      </w:pPr>
      <w:r>
        <w:rPr>
          <w:rStyle w:val="FootnoteReference"/>
        </w:rPr>
        <w:footnoteRef/>
      </w:r>
      <w:r>
        <w:t xml:space="preserve"> El período </w:t>
      </w:r>
      <w:r>
        <w:rPr>
          <w:i/>
        </w:rPr>
        <w:t>sunrise</w:t>
      </w:r>
      <w:r>
        <w:t xml:space="preserve"> de registro de dominios es un período especial durante el cual los titulares de una marca registrada pueden prerregistrar nombres que son idénticos o similares a dichas marcas a fin de evitar la </w:t>
      </w:r>
      <w:hyperlink r:id="rId2" w:tooltip="Ciberocupación">
        <w:r>
          <w:rPr>
            <w:rStyle w:val="Hyperlink"/>
          </w:rPr>
          <w:t>ciberocupación</w:t>
        </w:r>
      </w:hyperlink>
      <w:r>
        <w:t xml:space="preserve">. Este período precede al lanzamiento general del </w:t>
      </w:r>
      <w:hyperlink r:id="rId3" w:tooltip="TLD">
        <w:r>
          <w:rPr>
            <w:rStyle w:val="Hyperlink"/>
          </w:rPr>
          <w:t>dominio de primer nivel</w:t>
        </w:r>
      </w:hyperlink>
      <w:r>
        <w:t xml:space="preserve"> (TLD). Para efectuar el registro, el grupo o persona ha de poder demostrar su derecho previo al nombre. El </w:t>
      </w:r>
      <w:hyperlink r:id="rId4" w:tooltip="Sunrise Period">
        <w:r>
          <w:rPr>
            <w:rStyle w:val="Hyperlink"/>
          </w:rPr>
          <w:t xml:space="preserve">período </w:t>
        </w:r>
        <w:r>
          <w:rPr>
            <w:rStyle w:val="Hyperlink"/>
            <w:i/>
          </w:rPr>
          <w:t>sunrise</w:t>
        </w:r>
      </w:hyperlink>
      <w:r>
        <w:t xml:space="preserve"> de «.eu» constó de dos fases. La primera, iniciada el 7 de diciembre de 2005, se proponía facilitar la presentación de solicitudes por parte de declarantes con derechos previos basados en marcas comerciales y nombres geográficos. La segunda comenzó el 7 de febrero de 2006 e incluía los nombres de empresas, comercios y personas. Todas las solicitudes del período debían ir acompañadas de documentos que justificasen la aserción de propiedad de un determinado derecho. La decisión corría luego a cargo de </w:t>
      </w:r>
      <w:hyperlink r:id="rId5" w:tooltip="PricewaterhouseCoopers">
        <w:r>
          <w:rPr>
            <w:rStyle w:val="Hyperlink"/>
          </w:rPr>
          <w:t>PriceWaterhouseCoopers</w:t>
        </w:r>
      </w:hyperlink>
      <w:r>
        <w:t xml:space="preserve"> Bélgica, que había sido elegida como agente de validación por </w:t>
      </w:r>
      <w:hyperlink r:id="rId6" w:tooltip="EURid">
        <w:r>
          <w:rPr>
            <w:rStyle w:val="Hyperlink"/>
          </w:rPr>
          <w:t>EURid</w:t>
        </w:r>
      </w:hyperlink>
      <w:r>
        <w:t>. El 7 de febrero de 2006 quedó abierto el Registro para nombres de empresas, comercios y personas. En los primeros 15 minutos, se recibieron 27 949 solicitudes en total, y 71.235 pasada una hora.</w:t>
      </w:r>
    </w:p>
    <w:p>
      <w:pPr>
        <w:pStyle w:val="FootnoteText"/>
        <w:ind w:left="0" w:firstLine="0"/>
      </w:pPr>
    </w:p>
  </w:footnote>
  <w:footnote w:id="14">
    <w:p>
      <w:pPr>
        <w:pStyle w:val="FootnoteText"/>
        <w:rPr>
          <w:lang w:val="es-ES_tradnl"/>
        </w:rPr>
      </w:pPr>
      <w:r>
        <w:rPr>
          <w:rStyle w:val="FootnoteReference"/>
        </w:rPr>
        <w:footnoteRef/>
      </w:r>
      <w:r>
        <w:tab/>
        <w:t xml:space="preserve">El sistema de gestión y auditoría medioambientales de la UE (EMAS) es una herramienta de gestión dirigida a las empresas y otras organizaciones para evaluar su actuación medioambiental, mejorarla e informar al respecto.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0FB1"/>
    <w:multiLevelType w:val="multilevel"/>
    <w:tmpl w:val="30847FD6"/>
    <w:lvl w:ilvl="0">
      <w:start w:val="1"/>
      <w:numFmt w:val="decimal"/>
      <w:lvlRestart w:val="0"/>
      <w:pStyle w:val="ListNumber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5E43525"/>
    <w:multiLevelType w:val="multilevel"/>
    <w:tmpl w:val="76202BFE"/>
    <w:lvl w:ilvl="0">
      <w:start w:val="1"/>
      <w:numFmt w:val="decimal"/>
      <w:lvlRestart w:val="0"/>
      <w:pStyle w:val="ListNumber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2DD5905"/>
    <w:multiLevelType w:val="singleLevel"/>
    <w:tmpl w:val="6CB4B73E"/>
    <w:lvl w:ilvl="0">
      <w:start w:val="1"/>
      <w:numFmt w:val="bullet"/>
      <w:lvlRestart w:val="0"/>
      <w:pStyle w:val="ListBullet2"/>
      <w:lvlText w:val=""/>
      <w:lvlJc w:val="left"/>
      <w:pPr>
        <w:tabs>
          <w:tab w:val="num" w:pos="1134"/>
        </w:tabs>
        <w:ind w:left="1134" w:hanging="283"/>
      </w:pPr>
      <w:rPr>
        <w:rFonts w:ascii="Symbol" w:hAnsi="Symbol" w:hint="default"/>
      </w:rPr>
    </w:lvl>
  </w:abstractNum>
  <w:abstractNum w:abstractNumId="3">
    <w:nsid w:val="1B3C78B8"/>
    <w:multiLevelType w:val="multilevel"/>
    <w:tmpl w:val="2ED4F4D0"/>
    <w:name w:val="Point"/>
    <w:lvl w:ilvl="0">
      <w:start w:val="1"/>
      <w:numFmt w:val="decimal"/>
      <w:lvlRestart w:val="0"/>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4E930D7"/>
    <w:multiLevelType w:val="multilevel"/>
    <w:tmpl w:val="EFD2E05E"/>
    <w:lvl w:ilvl="0">
      <w:start w:val="1"/>
      <w:numFmt w:val="decimal"/>
      <w:lvlRestart w:val="0"/>
      <w:pStyle w:val="ListNumber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AF76E7A"/>
    <w:multiLevelType w:val="singleLevel"/>
    <w:tmpl w:val="C74C5A32"/>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7">
    <w:nsid w:val="3A5459E8"/>
    <w:multiLevelType w:val="singleLevel"/>
    <w:tmpl w:val="2188C922"/>
    <w:name w:val="Tiret 1"/>
    <w:lvl w:ilvl="0">
      <w:start w:val="1"/>
      <w:numFmt w:val="bullet"/>
      <w:lvlRestart w:val="0"/>
      <w:pStyle w:val="Tiret1"/>
      <w:lvlText w:val="–"/>
      <w:lvlJc w:val="left"/>
      <w:pPr>
        <w:tabs>
          <w:tab w:val="num" w:pos="1417"/>
        </w:tabs>
        <w:ind w:left="1417" w:hanging="567"/>
      </w:pPr>
    </w:lvl>
  </w:abstractNum>
  <w:abstractNum w:abstractNumId="8">
    <w:nsid w:val="3BA736C9"/>
    <w:multiLevelType w:val="singleLevel"/>
    <w:tmpl w:val="F00A6C0C"/>
    <w:name w:val="Tiret 0"/>
    <w:lvl w:ilvl="0">
      <w:start w:val="1"/>
      <w:numFmt w:val="bullet"/>
      <w:lvlRestart w:val="0"/>
      <w:pStyle w:val="Tiret0"/>
      <w:lvlText w:val="–"/>
      <w:lvlJc w:val="left"/>
      <w:pPr>
        <w:tabs>
          <w:tab w:val="num" w:pos="850"/>
        </w:tabs>
        <w:ind w:left="850" w:hanging="850"/>
      </w:pPr>
    </w:lvl>
  </w:abstractNum>
  <w:abstractNum w:abstractNumId="9">
    <w:nsid w:val="3C90278F"/>
    <w:multiLevelType w:val="singleLevel"/>
    <w:tmpl w:val="0FE08974"/>
    <w:name w:val="Tiret 3"/>
    <w:lvl w:ilvl="0">
      <w:start w:val="1"/>
      <w:numFmt w:val="bullet"/>
      <w:lvlRestart w:val="0"/>
      <w:pStyle w:val="Tiret3"/>
      <w:lvlText w:val="–"/>
      <w:lvlJc w:val="left"/>
      <w:pPr>
        <w:tabs>
          <w:tab w:val="num" w:pos="2551"/>
        </w:tabs>
        <w:ind w:left="2551" w:hanging="567"/>
      </w:pPr>
    </w:lvl>
  </w:abstractNum>
  <w:abstractNum w:abstractNumId="10">
    <w:nsid w:val="3C942E47"/>
    <w:multiLevelType w:val="hybridMultilevel"/>
    <w:tmpl w:val="3AA2AC0E"/>
    <w:lvl w:ilvl="0" w:tplc="5AF861A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E191884"/>
    <w:multiLevelType w:val="singleLevel"/>
    <w:tmpl w:val="3020C764"/>
    <w:lvl w:ilvl="0">
      <w:start w:val="1"/>
      <w:numFmt w:val="bullet"/>
      <w:lvlRestart w:val="0"/>
      <w:pStyle w:val="ListBullet3"/>
      <w:lvlText w:val=""/>
      <w:lvlJc w:val="left"/>
      <w:pPr>
        <w:tabs>
          <w:tab w:val="num" w:pos="1134"/>
        </w:tabs>
        <w:ind w:left="1134" w:hanging="283"/>
      </w:pPr>
      <w:rPr>
        <w:rFonts w:ascii="Symbol" w:hAnsi="Symbol" w:hint="default"/>
      </w:rPr>
    </w:lvl>
  </w:abstractNum>
  <w:abstractNum w:abstractNumId="12">
    <w:nsid w:val="4026281A"/>
    <w:multiLevelType w:val="hybridMultilevel"/>
    <w:tmpl w:val="30F23C9C"/>
    <w:lvl w:ilvl="0" w:tplc="3DF2C3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0315490"/>
    <w:multiLevelType w:val="singleLevel"/>
    <w:tmpl w:val="1F86C700"/>
    <w:name w:val="0,5374218"/>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4">
    <w:nsid w:val="48842C30"/>
    <w:multiLevelType w:val="singleLevel"/>
    <w:tmpl w:val="4FA60B9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5">
    <w:nsid w:val="54593082"/>
    <w:multiLevelType w:val="singleLevel"/>
    <w:tmpl w:val="EDE069AC"/>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68864DC"/>
    <w:multiLevelType w:val="singleLevel"/>
    <w:tmpl w:val="485EBDAC"/>
    <w:name w:val="Tiret 4"/>
    <w:lvl w:ilvl="0">
      <w:start w:val="1"/>
      <w:numFmt w:val="bullet"/>
      <w:lvlRestart w:val="0"/>
      <w:pStyle w:val="Tiret4"/>
      <w:lvlText w:val="–"/>
      <w:lvlJc w:val="left"/>
      <w:pPr>
        <w:tabs>
          <w:tab w:val="num" w:pos="3118"/>
        </w:tabs>
        <w:ind w:left="3118" w:hanging="567"/>
      </w:pPr>
    </w:lvl>
  </w:abstractNum>
  <w:abstractNum w:abstractNumId="17">
    <w:nsid w:val="596D67A1"/>
    <w:multiLevelType w:val="singleLevel"/>
    <w:tmpl w:val="9AC8831A"/>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8">
    <w:nsid w:val="5F342530"/>
    <w:multiLevelType w:val="singleLevel"/>
    <w:tmpl w:val="D5444702"/>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9">
    <w:nsid w:val="5F8C3B69"/>
    <w:multiLevelType w:val="multilevel"/>
    <w:tmpl w:val="9B14DAA8"/>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F9C40AA"/>
    <w:multiLevelType w:val="singleLevel"/>
    <w:tmpl w:val="B89CB5A2"/>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62970F71"/>
    <w:multiLevelType w:val="singleLevel"/>
    <w:tmpl w:val="5AFA8C72"/>
    <w:name w:val="Tiret 2"/>
    <w:lvl w:ilvl="0">
      <w:start w:val="1"/>
      <w:numFmt w:val="bullet"/>
      <w:lvlRestart w:val="0"/>
      <w:pStyle w:val="Tiret2"/>
      <w:lvlText w:val="–"/>
      <w:lvlJc w:val="left"/>
      <w:pPr>
        <w:tabs>
          <w:tab w:val="num" w:pos="1984"/>
        </w:tabs>
        <w:ind w:left="1984" w:hanging="567"/>
      </w:pPr>
    </w:lvl>
  </w:abstractNum>
  <w:abstractNum w:abstractNumId="22">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3">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9995580"/>
    <w:multiLevelType w:val="singleLevel"/>
    <w:tmpl w:val="75CC7CBA"/>
    <w:name w:val="Considérant"/>
    <w:lvl w:ilvl="0">
      <w:start w:val="1"/>
      <w:numFmt w:val="decimal"/>
      <w:lvlRestart w:val="0"/>
      <w:pStyle w:val="Considrant"/>
      <w:lvlText w:val="(%1)"/>
      <w:lvlJc w:val="left"/>
      <w:pPr>
        <w:tabs>
          <w:tab w:val="num" w:pos="709"/>
        </w:tabs>
        <w:ind w:left="709" w:hanging="709"/>
      </w:pPr>
    </w:lvl>
  </w:abstractNum>
  <w:abstractNum w:abstractNumId="25">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26">
    <w:nsid w:val="6D2B5511"/>
    <w:multiLevelType w:val="singleLevel"/>
    <w:tmpl w:val="74A09970"/>
    <w:lvl w:ilvl="0">
      <w:start w:val="1"/>
      <w:numFmt w:val="bullet"/>
      <w:lvlRestart w:val="0"/>
      <w:pStyle w:val="ListBullet"/>
      <w:lvlText w:val=""/>
      <w:lvlJc w:val="left"/>
      <w:pPr>
        <w:tabs>
          <w:tab w:val="num" w:pos="283"/>
        </w:tabs>
        <w:ind w:left="283" w:hanging="283"/>
      </w:pPr>
      <w:rPr>
        <w:rFonts w:ascii="Symbol" w:hAnsi="Symbol" w:hint="default"/>
      </w:rPr>
    </w:lvl>
  </w:abstractNum>
  <w:abstractNum w:abstractNumId="27">
    <w:nsid w:val="6F270289"/>
    <w:multiLevelType w:val="hybridMultilevel"/>
    <w:tmpl w:val="C2FEFE70"/>
    <w:lvl w:ilvl="0" w:tplc="3DF2C3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11167E2"/>
    <w:multiLevelType w:val="multilevel"/>
    <w:tmpl w:val="C3843A7A"/>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5C26F71"/>
    <w:multiLevelType w:val="multilevel"/>
    <w:tmpl w:val="E01E7708"/>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8A241BD"/>
    <w:multiLevelType w:val="singleLevel"/>
    <w:tmpl w:val="53C4DF32"/>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31">
    <w:nsid w:val="79C96D36"/>
    <w:multiLevelType w:val="multilevel"/>
    <w:tmpl w:val="BE983CE4"/>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7BE95D7F"/>
    <w:multiLevelType w:val="multilevel"/>
    <w:tmpl w:val="F126F780"/>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3">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abstractNum w:abstractNumId="34">
    <w:nsid w:val="7F7154E1"/>
    <w:multiLevelType w:val="singleLevel"/>
    <w:tmpl w:val="E3F6D2C6"/>
    <w:lvl w:ilvl="0">
      <w:start w:val="1"/>
      <w:numFmt w:val="bullet"/>
      <w:lvlRestart w:val="0"/>
      <w:pStyle w:val="ListBullet4"/>
      <w:lvlText w:val=""/>
      <w:lvlJc w:val="left"/>
      <w:pPr>
        <w:tabs>
          <w:tab w:val="num" w:pos="1134"/>
        </w:tabs>
        <w:ind w:left="1134" w:hanging="283"/>
      </w:pPr>
      <w:rPr>
        <w:rFonts w:ascii="Symbol" w:hAnsi="Symbol" w:hint="default"/>
      </w:rPr>
    </w:lvl>
  </w:abstractNum>
  <w:num w:numId="1">
    <w:abstractNumId w:val="15"/>
  </w:num>
  <w:num w:numId="2">
    <w:abstractNumId w:val="6"/>
  </w:num>
  <w:num w:numId="3">
    <w:abstractNumId w:val="20"/>
  </w:num>
  <w:num w:numId="4">
    <w:abstractNumId w:val="18"/>
  </w:num>
  <w:num w:numId="5">
    <w:abstractNumId w:val="14"/>
  </w:num>
  <w:num w:numId="6">
    <w:abstractNumId w:val="24"/>
  </w:num>
  <w:num w:numId="7">
    <w:abstractNumId w:val="29"/>
  </w:num>
  <w:num w:numId="8">
    <w:abstractNumId w:val="28"/>
  </w:num>
  <w:num w:numId="9">
    <w:abstractNumId w:val="32"/>
  </w:num>
  <w:num w:numId="10">
    <w:abstractNumId w:val="8"/>
  </w:num>
  <w:num w:numId="11">
    <w:abstractNumId w:val="7"/>
  </w:num>
  <w:num w:numId="12">
    <w:abstractNumId w:val="21"/>
  </w:num>
  <w:num w:numId="13">
    <w:abstractNumId w:val="9"/>
  </w:num>
  <w:num w:numId="14">
    <w:abstractNumId w:val="16"/>
  </w:num>
  <w:num w:numId="15">
    <w:abstractNumId w:val="23"/>
  </w:num>
  <w:num w:numId="16">
    <w:abstractNumId w:val="19"/>
  </w:num>
  <w:num w:numId="17">
    <w:abstractNumId w:val="31"/>
  </w:num>
  <w:num w:numId="18">
    <w:abstractNumId w:val="5"/>
  </w:num>
  <w:num w:numId="19">
    <w:abstractNumId w:val="1"/>
  </w:num>
  <w:num w:numId="20">
    <w:abstractNumId w:val="0"/>
  </w:num>
  <w:num w:numId="21">
    <w:abstractNumId w:val="26"/>
  </w:num>
  <w:num w:numId="22">
    <w:abstractNumId w:val="25"/>
  </w:num>
  <w:num w:numId="23">
    <w:abstractNumId w:val="2"/>
  </w:num>
  <w:num w:numId="24">
    <w:abstractNumId w:val="11"/>
  </w:num>
  <w:num w:numId="25">
    <w:abstractNumId w:val="34"/>
  </w:num>
  <w:num w:numId="26">
    <w:abstractNumId w:val="13"/>
  </w:num>
  <w:num w:numId="27">
    <w:abstractNumId w:val="22"/>
  </w:num>
  <w:num w:numId="28">
    <w:abstractNumId w:val="17"/>
  </w:num>
  <w:num w:numId="29">
    <w:abstractNumId w:val="30"/>
  </w:num>
  <w:num w:numId="30">
    <w:abstractNumId w:val="33"/>
  </w:num>
  <w:num w:numId="31">
    <w:abstractNumId w:val="27"/>
  </w:num>
  <w:num w:numId="32">
    <w:abstractNumId w:val="10"/>
  </w:num>
  <w:num w:numId="33">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425"/>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VERPAGE_EXISTS" w:val="True"/>
    <w:docVar w:name="DocStatus" w:val="Green"/>
    <w:docVar w:name="LW_CONFIDENCE" w:val=" "/>
    <w:docVar w:name="LW_CONST_RESTREINT_UE" w:val="RESTREINT UE"/>
    <w:docVar w:name="LW_CORRIGENDUM" w:val="&lt;UNUSED&gt;"/>
    <w:docVar w:name="LW_COVERPAGE_GUID" w:val="9407C1373B814D96AC20CB27093700B8"/>
    <w:docVar w:name="LW_CROSSREFERENCE" w:val="&lt;UNUSED&gt;"/>
    <w:docVar w:name="LW_DocType" w:val="NORMAL"/>
    <w:docVar w:name="LW_EMISSION" w:val="18.12.2015"/>
    <w:docVar w:name="LW_EMISSION_ISODATE" w:val="2015-12-18"/>
    <w:docVar w:name="LW_EMISSION_LOCATION" w:val="BRX"/>
    <w:docVar w:name="LW_EMISSION_PREFIX" w:val="Bruselas, "/>
    <w:docVar w:name="LW_EMISSION_SUFFIX" w:val=" "/>
    <w:docVar w:name="LW_ID_DOCTYPE_NONLW" w:val="CP-006"/>
    <w:docVar w:name="LW_LANGUE" w:val="ES"/>
    <w:docVar w:name="LW_MARKING" w:val="&lt;UNUSED&gt;"/>
    <w:docVar w:name="LW_NOM.INST" w:val="COMISIÓN EUROPEA"/>
    <w:docVar w:name="LW_NOM.INST_JOINTDOC" w:val="&lt;EMPTY&gt;"/>
    <w:docVar w:name="LW_PART_NBR" w:val="1"/>
    <w:docVar w:name="LW_PART_NBR_TOTAL" w:val="1"/>
    <w:docVar w:name="LW_REF.INST.NEW" w:val="COM"/>
    <w:docVar w:name="LW_REF.INST.NEW_ADOPTED" w:val="final"/>
    <w:docVar w:name="LW_REF.INST.NEW_TEXT" w:val="(2015) 680"/>
    <w:docVar w:name="LW_REF.INTERNE" w:val="&lt;UNUSED&gt;"/>
    <w:docVar w:name="LW_SOUS.TITRE.OBJ.CP" w:val="(Texto pertinente a efectos del EEE)"/>
    <w:docVar w:name="LW_SUPERTITRE" w:val="&lt;UNUSED&gt;"/>
    <w:docVar w:name="LW_TITRE.OBJ.CP" w:val="sobre la aplicación, funcionamiento y eficacia del dominio de primer nivel «.eu»"/>
    <w:docVar w:name="LW_TYPE.DOC.CP" w:val="INFORME DE LA COMISIÓN AL PARLAMENTO EUROPEO Y AL CONSEJ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pPr>
      <w:spacing w:before="120" w:after="120"/>
      <w:jc w:val="both"/>
    </w:pPr>
    <w:rPr>
      <w:sz w:val="24"/>
      <w:szCs w:val="24"/>
      <w:lang w:val="es-ES" w:eastAsia="es-ES" w:bidi="es-ES"/>
    </w:rPr>
  </w:style>
  <w:style w:type="paragraph" w:styleId="Heading1">
    <w:name w:val="heading 1"/>
    <w:basedOn w:val="Normal"/>
    <w:next w:val="Normal"/>
    <w:qFormat/>
    <w:pPr>
      <w:keepNext/>
      <w:numPr>
        <w:numId w:val="7"/>
      </w:numPr>
      <w:spacing w:before="360"/>
      <w:outlineLvl w:val="0"/>
    </w:pPr>
    <w:rPr>
      <w:b/>
      <w:bCs/>
      <w:smallCaps/>
      <w:szCs w:val="32"/>
    </w:rPr>
  </w:style>
  <w:style w:type="paragraph" w:styleId="Heading2">
    <w:name w:val="heading 2"/>
    <w:basedOn w:val="Normal"/>
    <w:next w:val="Normal"/>
    <w:qFormat/>
    <w:pPr>
      <w:keepNext/>
      <w:numPr>
        <w:ilvl w:val="1"/>
        <w:numId w:val="7"/>
      </w:numPr>
      <w:outlineLvl w:val="1"/>
    </w:pPr>
    <w:rPr>
      <w:b/>
      <w:bCs/>
      <w:iCs/>
      <w:szCs w:val="28"/>
    </w:rPr>
  </w:style>
  <w:style w:type="paragraph" w:styleId="Heading3">
    <w:name w:val="heading 3"/>
    <w:basedOn w:val="Normal"/>
    <w:next w:val="Normal"/>
    <w:qFormat/>
    <w:pPr>
      <w:keepNext/>
      <w:numPr>
        <w:ilvl w:val="2"/>
        <w:numId w:val="7"/>
      </w:numPr>
      <w:outlineLvl w:val="2"/>
    </w:pPr>
    <w:rPr>
      <w:bCs/>
      <w:i/>
      <w:szCs w:val="26"/>
    </w:rPr>
  </w:style>
  <w:style w:type="paragraph" w:styleId="Heading4">
    <w:name w:val="heading 4"/>
    <w:basedOn w:val="Normal"/>
    <w:next w:val="Normal"/>
    <w:qFormat/>
    <w:pPr>
      <w:keepNext/>
      <w:numPr>
        <w:ilvl w:val="3"/>
        <w:numId w:val="7"/>
      </w:numPr>
      <w:outlineLvl w:val="3"/>
    </w:pPr>
    <w:rPr>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compagnant">
    <w:name w:val="Accompagnant"/>
    <w:basedOn w:val="Normal"/>
    <w:next w:val="Normal"/>
    <w:pPr>
      <w:spacing w:before="0" w:after="240"/>
      <w:jc w:val="center"/>
    </w:pPr>
    <w:rPr>
      <w:b/>
      <w:i/>
    </w:rPr>
  </w:style>
  <w:style w:type="paragraph" w:customStyle="1" w:styleId="AccompagnantPagedecouverture">
    <w:name w:val="Accompagnant (Page de couverture)"/>
    <w:basedOn w:val="Accompagnant"/>
    <w:next w:val="Normal"/>
  </w:style>
  <w:style w:type="character" w:customStyle="1" w:styleId="Added">
    <w:name w:val="Added"/>
    <w:rPr>
      <w:b/>
      <w:u w:val="single"/>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Annexetitre">
    <w:name w:val="Annexe titre"/>
    <w:basedOn w:val="Normal"/>
    <w:next w:val="Normal"/>
    <w:pPr>
      <w:jc w:val="center"/>
    </w:pPr>
    <w:rPr>
      <w:b/>
      <w:u w:val="single"/>
    </w:rPr>
  </w:style>
  <w:style w:type="paragraph" w:customStyle="1" w:styleId="Annexetitreexpos">
    <w:name w:val="Annexe titre (exposé)"/>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Normal"/>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Bullet0">
    <w:name w:val="Bullet 0"/>
    <w:basedOn w:val="Normal"/>
    <w:pPr>
      <w:numPr>
        <w:numId w:val="1"/>
      </w:numPr>
    </w:pPr>
  </w:style>
  <w:style w:type="paragraph" w:customStyle="1" w:styleId="Bullet1">
    <w:name w:val="Bullet 1"/>
    <w:basedOn w:val="Normal"/>
    <w:pPr>
      <w:numPr>
        <w:numId w:val="2"/>
      </w:numPr>
    </w:pPr>
  </w:style>
  <w:style w:type="paragraph" w:customStyle="1" w:styleId="Bullet2">
    <w:name w:val="Bullet 2"/>
    <w:basedOn w:val="Normal"/>
    <w:pPr>
      <w:numPr>
        <w:numId w:val="3"/>
      </w:numPr>
    </w:pPr>
  </w:style>
  <w:style w:type="paragraph" w:customStyle="1" w:styleId="Bullet3">
    <w:name w:val="Bullet 3"/>
    <w:basedOn w:val="Normal"/>
    <w:pPr>
      <w:numPr>
        <w:numId w:val="4"/>
      </w:numPr>
    </w:pPr>
  </w:style>
  <w:style w:type="paragraph" w:customStyle="1" w:styleId="Bullet4">
    <w:name w:val="Bullet 4"/>
    <w:basedOn w:val="Normal"/>
    <w:pPr>
      <w:numPr>
        <w:numId w:val="5"/>
      </w:numPr>
    </w:pPr>
  </w:style>
  <w:style w:type="paragraph" w:customStyle="1" w:styleId="ChapterTitle">
    <w:name w:val="ChapterTitle"/>
    <w:basedOn w:val="Normal"/>
    <w:next w:val="Normal"/>
    <w:pPr>
      <w:keepNext/>
      <w:spacing w:after="360"/>
      <w:jc w:val="center"/>
    </w:pPr>
    <w:rPr>
      <w:b/>
      <w:sz w:val="32"/>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Normal"/>
    <w:pPr>
      <w:spacing w:before="240" w:after="240"/>
      <w:ind w:left="5103"/>
    </w:pPr>
    <w:rPr>
      <w:u w:val="single"/>
    </w:rPr>
  </w:style>
  <w:style w:type="paragraph" w:customStyle="1" w:styleId="Considrant">
    <w:name w:val="Considérant"/>
    <w:basedOn w:val="Normal"/>
    <w:pPr>
      <w:numPr>
        <w:numId w:val="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Normal"/>
    <w:pPr>
      <w:spacing w:before="360" w:after="0"/>
      <w:jc w:val="center"/>
    </w:pPr>
    <w:rPr>
      <w:b/>
    </w:rPr>
  </w:style>
  <w:style w:type="paragraph" w:customStyle="1" w:styleId="DatedadoptionPagedecouverture">
    <w:name w:val="Date d'adoption (Page de couverture)"/>
    <w:basedOn w:val="Datedadoption"/>
    <w:next w:val="Normal"/>
  </w:style>
  <w:style w:type="character" w:customStyle="1" w:styleId="Deleted">
    <w:name w:val="Deleted"/>
    <w:rPr>
      <w:strike/>
      <w:shd w:val="clear" w:color="auto" w:fill="auto"/>
    </w:rPr>
  </w:style>
  <w:style w:type="paragraph" w:customStyle="1" w:styleId="Emission">
    <w:name w:val="Emission"/>
    <w:basedOn w:val="Normal"/>
    <w:next w:val="Normal"/>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Normal"/>
    <w:pPr>
      <w:keepNext/>
      <w:spacing w:after="0"/>
    </w:pPr>
  </w:style>
  <w:style w:type="paragraph" w:customStyle="1" w:styleId="Fichefinanciretitre">
    <w:name w:val="Fiche financière titre"/>
    <w:basedOn w:val="Normal"/>
    <w:next w:val="Normal"/>
    <w:pPr>
      <w:jc w:val="center"/>
    </w:pPr>
    <w:rPr>
      <w:b/>
      <w:u w:val="single"/>
    </w:rPr>
  </w:style>
  <w:style w:type="paragraph" w:styleId="Footer">
    <w:name w:val="footer"/>
    <w:basedOn w:val="Normal"/>
    <w:link w:val="FooterChar"/>
    <w:uiPriority w:val="99"/>
    <w:pPr>
      <w:tabs>
        <w:tab w:val="center" w:pos="4535"/>
        <w:tab w:val="right" w:pos="9071"/>
        <w:tab w:val="right" w:pos="9921"/>
      </w:tabs>
      <w:spacing w:before="360" w:after="0"/>
      <w:ind w:left="-850" w:right="-850"/>
      <w:jc w:val="left"/>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semiHidden/>
    <w:rPr>
      <w:shd w:val="clear" w:color="auto" w:fill="auto"/>
      <w:vertAlign w:val="superscript"/>
    </w:rPr>
  </w:style>
  <w:style w:type="paragraph" w:styleId="FootnoteText">
    <w:name w:val="footnote text"/>
    <w:basedOn w:val="Normal"/>
    <w:semiHidden/>
    <w:pPr>
      <w:spacing w:before="0" w:after="0"/>
      <w:ind w:left="720" w:hanging="720"/>
    </w:pPr>
    <w:rPr>
      <w:sz w:val="20"/>
      <w:szCs w:val="20"/>
    </w:rPr>
  </w:style>
  <w:style w:type="paragraph" w:customStyle="1" w:styleId="Formuledadoption">
    <w:name w:val="Formule d'adoption"/>
    <w:basedOn w:val="Normal"/>
    <w:next w:val="Normal"/>
    <w:pPr>
      <w:keepNext/>
    </w:pPr>
  </w:style>
  <w:style w:type="paragraph" w:styleId="Header">
    <w:name w:val="header"/>
    <w:basedOn w:val="Normal"/>
    <w:pPr>
      <w:tabs>
        <w:tab w:val="center" w:pos="4535"/>
        <w:tab w:val="right" w:pos="9071"/>
      </w:tabs>
    </w:pPr>
  </w:style>
  <w:style w:type="paragraph" w:customStyle="1" w:styleId="HeaderLandscape">
    <w:name w:val="HeaderLandscape"/>
    <w:basedOn w:val="Normal"/>
    <w:pPr>
      <w:tabs>
        <w:tab w:val="center" w:pos="7285"/>
        <w:tab w:val="right" w:pos="14003"/>
      </w:tabs>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Normal"/>
    <w:pPr>
      <w:keepNext/>
      <w:tabs>
        <w:tab w:val="left" w:pos="4252"/>
      </w:tabs>
      <w:spacing w:before="720" w:after="0"/>
    </w:pPr>
    <w:rPr>
      <w:i/>
    </w:rPr>
  </w:style>
  <w:style w:type="paragraph" w:customStyle="1" w:styleId="Languesfaisantfoi">
    <w:name w:val="Langues faisant foi"/>
    <w:basedOn w:val="Normal"/>
    <w:next w:val="Normal"/>
    <w:pPr>
      <w:spacing w:before="360" w:after="0"/>
      <w:jc w:val="center"/>
    </w:pPr>
  </w:style>
  <w:style w:type="paragraph" w:customStyle="1" w:styleId="IntrtEEE">
    <w:name w:val="Intérêt EEE"/>
    <w:basedOn w:val="Languesfaisantfoi"/>
    <w:next w:val="Normal"/>
    <w:pPr>
      <w:spacing w:after="240"/>
    </w:pPr>
  </w:style>
  <w:style w:type="paragraph" w:customStyle="1" w:styleId="IntrtEEEPagedecouverture">
    <w:name w:val="Intérêt EEE (Page de couverture)"/>
    <w:basedOn w:val="IntrtEEE"/>
    <w:next w:val="Normal"/>
  </w:style>
  <w:style w:type="paragraph" w:customStyle="1" w:styleId="Langue">
    <w:name w:val="Langue"/>
    <w:basedOn w:val="Normal"/>
    <w:next w:val="Normal"/>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ormal"/>
    <w:next w:val="Normal"/>
    <w:pPr>
      <w:spacing w:before="360" w:after="0"/>
      <w:jc w:val="center"/>
    </w:pPr>
  </w:style>
  <w:style w:type="paragraph" w:customStyle="1" w:styleId="ManualConsidrant">
    <w:name w:val="Manual Considérant"/>
    <w:basedOn w:val="Normal"/>
    <w:pPr>
      <w:ind w:left="709" w:hanging="709"/>
    </w:pPr>
  </w:style>
  <w:style w:type="paragraph" w:customStyle="1" w:styleId="ManualHeading1">
    <w:name w:val="Manual Heading 1"/>
    <w:basedOn w:val="Normal"/>
    <w:next w:val="Normal"/>
    <w:pPr>
      <w:keepNext/>
      <w:tabs>
        <w:tab w:val="left" w:pos="850"/>
      </w:tabs>
      <w:spacing w:before="360"/>
      <w:ind w:left="850" w:hanging="850"/>
      <w:outlineLvl w:val="0"/>
    </w:pPr>
    <w:rPr>
      <w:b/>
      <w:smallCaps/>
    </w:rPr>
  </w:style>
  <w:style w:type="paragraph" w:customStyle="1" w:styleId="ManualHeading2">
    <w:name w:val="Manual Heading 2"/>
    <w:basedOn w:val="Normal"/>
    <w:next w:val="Normal"/>
    <w:pPr>
      <w:keepNext/>
      <w:tabs>
        <w:tab w:val="left" w:pos="850"/>
      </w:tabs>
      <w:ind w:left="850" w:hanging="850"/>
      <w:outlineLvl w:val="1"/>
    </w:pPr>
    <w:rPr>
      <w:b/>
    </w:rPr>
  </w:style>
  <w:style w:type="paragraph" w:customStyle="1" w:styleId="ManualHeading3">
    <w:name w:val="Manual Heading 3"/>
    <w:basedOn w:val="Normal"/>
    <w:next w:val="Normal"/>
    <w:pPr>
      <w:keepNext/>
      <w:tabs>
        <w:tab w:val="left" w:pos="850"/>
      </w:tabs>
      <w:ind w:left="850" w:hanging="850"/>
      <w:outlineLvl w:val="2"/>
    </w:pPr>
    <w:rPr>
      <w:i/>
    </w:rPr>
  </w:style>
  <w:style w:type="paragraph" w:customStyle="1" w:styleId="ManualHeading4">
    <w:name w:val="Manual Heading 4"/>
    <w:basedOn w:val="Normal"/>
    <w:next w:val="Normal"/>
    <w:pPr>
      <w:keepNext/>
      <w:tabs>
        <w:tab w:val="left" w:pos="850"/>
      </w:tabs>
      <w:ind w:left="850" w:hanging="850"/>
      <w:outlineLvl w:val="3"/>
    </w:pPr>
  </w:style>
  <w:style w:type="paragraph" w:customStyle="1" w:styleId="ManualNumPar1">
    <w:name w:val="Manual NumPar 1"/>
    <w:basedOn w:val="Normal"/>
    <w:next w:val="Normal"/>
    <w:pPr>
      <w:ind w:left="850" w:hanging="850"/>
    </w:pPr>
  </w:style>
  <w:style w:type="paragraph" w:customStyle="1" w:styleId="ManualNumPar2">
    <w:name w:val="Manual NumPar 2"/>
    <w:basedOn w:val="Normal"/>
    <w:next w:val="Normal"/>
    <w:pPr>
      <w:ind w:left="850" w:hanging="850"/>
    </w:pPr>
  </w:style>
  <w:style w:type="paragraph" w:customStyle="1" w:styleId="ManualNumPar3">
    <w:name w:val="Manual NumPar 3"/>
    <w:basedOn w:val="Normal"/>
    <w:next w:val="Normal"/>
    <w:pPr>
      <w:ind w:left="850" w:hanging="850"/>
    </w:pPr>
  </w:style>
  <w:style w:type="paragraph" w:customStyle="1" w:styleId="ManualNumPar4">
    <w:name w:val="Manual NumPar 4"/>
    <w:basedOn w:val="Normal"/>
    <w:next w:val="Normal"/>
    <w:pPr>
      <w:ind w:left="850" w:hanging="850"/>
    </w:pPr>
  </w:style>
  <w:style w:type="character" w:customStyle="1" w:styleId="Marker">
    <w:name w:val="Marker"/>
    <w:rPr>
      <w:color w:val="0000FF"/>
      <w:shd w:val="clear" w:color="auto" w:fill="auto"/>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NumPar1">
    <w:name w:val="NumPar 1"/>
    <w:basedOn w:val="Normal"/>
    <w:next w:val="Normal"/>
    <w:pPr>
      <w:numPr>
        <w:numId w:val="8"/>
      </w:numPr>
    </w:pPr>
  </w:style>
  <w:style w:type="paragraph" w:customStyle="1" w:styleId="NumPar2">
    <w:name w:val="NumPar 2"/>
    <w:basedOn w:val="Normal"/>
    <w:next w:val="Normal"/>
    <w:pPr>
      <w:numPr>
        <w:ilvl w:val="1"/>
        <w:numId w:val="8"/>
      </w:numPr>
    </w:pPr>
  </w:style>
  <w:style w:type="paragraph" w:customStyle="1" w:styleId="NumPar3">
    <w:name w:val="NumPar 3"/>
    <w:basedOn w:val="Normal"/>
    <w:next w:val="Normal"/>
    <w:pPr>
      <w:numPr>
        <w:ilvl w:val="2"/>
        <w:numId w:val="8"/>
      </w:numPr>
    </w:pPr>
  </w:style>
  <w:style w:type="paragraph" w:customStyle="1" w:styleId="NumPar4">
    <w:name w:val="NumPar 4"/>
    <w:basedOn w:val="Normal"/>
    <w:next w:val="Normal"/>
    <w:pPr>
      <w:numPr>
        <w:ilvl w:val="3"/>
        <w:numId w:val="8"/>
      </w:numPr>
    </w:pPr>
  </w:style>
  <w:style w:type="paragraph" w:customStyle="1" w:styleId="Objetacteprincipal">
    <w:name w:val="Objet acte principal"/>
    <w:basedOn w:val="Normal"/>
    <w:next w:val="Normal"/>
    <w:pPr>
      <w:spacing w:before="0" w:after="360"/>
      <w:jc w:val="center"/>
    </w:pPr>
    <w:rPr>
      <w:b/>
    </w:rPr>
  </w:style>
  <w:style w:type="paragraph" w:customStyle="1" w:styleId="ObjetacteprincipalPagedecouverture">
    <w:name w:val="Objet acte principal (Page de couverture)"/>
    <w:basedOn w:val="Objetacteprincipal"/>
    <w:next w:val="Normal"/>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style>
  <w:style w:type="paragraph" w:customStyle="1" w:styleId="PartTitle">
    <w:name w:val="PartTitle"/>
    <w:basedOn w:val="Normal"/>
    <w:next w:val="ChapterTitle"/>
    <w:pPr>
      <w:keepNext/>
      <w:pageBreakBefore/>
      <w:spacing w:after="360"/>
      <w:jc w:val="center"/>
    </w:pPr>
    <w:rPr>
      <w:b/>
      <w:sz w:val="36"/>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Point0">
    <w:name w:val="Point 0"/>
    <w:basedOn w:val="Normal"/>
    <w:pPr>
      <w:ind w:left="850" w:hanging="850"/>
    </w:pPr>
  </w:style>
  <w:style w:type="paragraph" w:customStyle="1" w:styleId="Point0letter">
    <w:name w:val="Point 0 (letter)"/>
    <w:basedOn w:val="Normal"/>
    <w:pPr>
      <w:numPr>
        <w:ilvl w:val="1"/>
        <w:numId w:val="9"/>
      </w:numPr>
    </w:pPr>
  </w:style>
  <w:style w:type="paragraph" w:customStyle="1" w:styleId="Point0number">
    <w:name w:val="Point 0 (number)"/>
    <w:basedOn w:val="Normal"/>
    <w:pPr>
      <w:numPr>
        <w:numId w:val="9"/>
      </w:numPr>
    </w:pPr>
  </w:style>
  <w:style w:type="paragraph" w:customStyle="1" w:styleId="Point1">
    <w:name w:val="Point 1"/>
    <w:basedOn w:val="Normal"/>
    <w:pPr>
      <w:ind w:left="1417" w:hanging="567"/>
    </w:pPr>
  </w:style>
  <w:style w:type="paragraph" w:customStyle="1" w:styleId="Point1letter">
    <w:name w:val="Point 1 (letter)"/>
    <w:basedOn w:val="Normal"/>
    <w:pPr>
      <w:numPr>
        <w:ilvl w:val="3"/>
        <w:numId w:val="9"/>
      </w:numPr>
    </w:pPr>
  </w:style>
  <w:style w:type="paragraph" w:customStyle="1" w:styleId="Point1number">
    <w:name w:val="Point 1 (number)"/>
    <w:basedOn w:val="Normal"/>
    <w:pPr>
      <w:numPr>
        <w:ilvl w:val="2"/>
        <w:numId w:val="9"/>
      </w:numPr>
    </w:pPr>
  </w:style>
  <w:style w:type="paragraph" w:customStyle="1" w:styleId="Point2">
    <w:name w:val="Point 2"/>
    <w:basedOn w:val="Normal"/>
    <w:pPr>
      <w:ind w:left="1984" w:hanging="567"/>
    </w:pPr>
  </w:style>
  <w:style w:type="paragraph" w:customStyle="1" w:styleId="Point2letter">
    <w:name w:val="Point 2 (letter)"/>
    <w:basedOn w:val="Normal"/>
    <w:pPr>
      <w:numPr>
        <w:ilvl w:val="5"/>
        <w:numId w:val="9"/>
      </w:numPr>
    </w:pPr>
  </w:style>
  <w:style w:type="paragraph" w:customStyle="1" w:styleId="Point2number">
    <w:name w:val="Point 2 (number)"/>
    <w:basedOn w:val="Normal"/>
    <w:pPr>
      <w:numPr>
        <w:ilvl w:val="4"/>
        <w:numId w:val="9"/>
      </w:numPr>
    </w:pPr>
  </w:style>
  <w:style w:type="paragraph" w:customStyle="1" w:styleId="Point3">
    <w:name w:val="Point 3"/>
    <w:basedOn w:val="Normal"/>
    <w:pPr>
      <w:ind w:left="2551" w:hanging="567"/>
    </w:pPr>
  </w:style>
  <w:style w:type="paragraph" w:customStyle="1" w:styleId="Point3letter">
    <w:name w:val="Point 3 (letter)"/>
    <w:basedOn w:val="Normal"/>
    <w:pPr>
      <w:numPr>
        <w:ilvl w:val="7"/>
        <w:numId w:val="9"/>
      </w:numPr>
    </w:pPr>
  </w:style>
  <w:style w:type="paragraph" w:customStyle="1" w:styleId="Point3number">
    <w:name w:val="Point 3 (number)"/>
    <w:basedOn w:val="Normal"/>
    <w:pPr>
      <w:numPr>
        <w:ilvl w:val="6"/>
        <w:numId w:val="9"/>
      </w:numPr>
    </w:pPr>
  </w:style>
  <w:style w:type="paragraph" w:customStyle="1" w:styleId="Point4">
    <w:name w:val="Point 4"/>
    <w:basedOn w:val="Normal"/>
    <w:pPr>
      <w:ind w:left="3118" w:hanging="567"/>
    </w:pPr>
  </w:style>
  <w:style w:type="paragraph" w:customStyle="1" w:styleId="Point4letter">
    <w:name w:val="Point 4 (letter)"/>
    <w:basedOn w:val="Normal"/>
    <w:pPr>
      <w:numPr>
        <w:ilvl w:val="8"/>
        <w:numId w:val="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QuotedNumPar">
    <w:name w:val="Quoted NumPar"/>
    <w:basedOn w:val="Normal"/>
    <w:pPr>
      <w:ind w:left="1417" w:hanging="567"/>
    </w:pPr>
  </w:style>
  <w:style w:type="paragraph" w:customStyle="1" w:styleId="QuotedText">
    <w:name w:val="Quoted Text"/>
    <w:basedOn w:val="Normal"/>
    <w:pPr>
      <w:ind w:left="1417"/>
    </w:pPr>
  </w:style>
  <w:style w:type="paragraph" w:customStyle="1" w:styleId="Rfrencecroise">
    <w:name w:val="Référence croisée"/>
    <w:basedOn w:val="Normal"/>
    <w:pPr>
      <w:spacing w:before="0" w:after="0"/>
      <w:jc w:val="center"/>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Normal"/>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style>
  <w:style w:type="paragraph" w:customStyle="1" w:styleId="Rfrenceinterne">
    <w:name w:val="Référence interne"/>
    <w:basedOn w:val="Normal"/>
    <w:next w:val="Rfrenceinterinstitutionnelle"/>
    <w:pPr>
      <w:spacing w:before="0" w:after="0"/>
      <w:ind w:left="5103"/>
      <w:jc w:val="left"/>
    </w:pPr>
  </w:style>
  <w:style w:type="paragraph" w:customStyle="1" w:styleId="SectionTitle">
    <w:name w:val="SectionTitle"/>
    <w:basedOn w:val="Normal"/>
    <w:next w:val="Heading1"/>
    <w:pPr>
      <w:keepNext/>
      <w:spacing w:after="360"/>
      <w:jc w:val="center"/>
    </w:pPr>
    <w:rPr>
      <w:b/>
      <w:smallCaps/>
      <w:sz w:val="28"/>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Statut">
    <w:name w:val="Statut"/>
    <w:basedOn w:val="Normal"/>
    <w:next w:val="Normal"/>
    <w:pPr>
      <w:spacing w:before="360" w:after="0"/>
      <w:jc w:val="center"/>
    </w:pPr>
  </w:style>
  <w:style w:type="paragraph" w:customStyle="1" w:styleId="StatutPagedecouverture">
    <w:name w:val="Statut (Page de couverture)"/>
    <w:basedOn w:val="Statut"/>
    <w:next w:val="Normal"/>
  </w:style>
  <w:style w:type="paragraph" w:customStyle="1" w:styleId="Supertitre">
    <w:name w:val="Supertitre"/>
    <w:basedOn w:val="Normal"/>
    <w:next w:val="Normal"/>
    <w:pPr>
      <w:spacing w:before="0" w:after="600"/>
      <w:jc w:val="center"/>
    </w:pPr>
    <w:rPr>
      <w:b/>
    </w:rPr>
  </w:style>
  <w:style w:type="paragraph" w:customStyle="1" w:styleId="TableTitle">
    <w:name w:val="Table Title"/>
    <w:basedOn w:val="Normal"/>
    <w:next w:val="Normal"/>
    <w:pPr>
      <w:jc w:val="center"/>
    </w:pPr>
    <w:rPr>
      <w:b/>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itreobjetPagedecouverture">
    <w:name w:val="Titre objet (Page de couverture)"/>
    <w:basedOn w:val="Titreobjet"/>
    <w:next w:val="Sous-titreobjetPagedecouverture"/>
  </w:style>
  <w:style w:type="paragraph" w:styleId="TOC1">
    <w:name w:val="toc 1"/>
    <w:basedOn w:val="Normal"/>
    <w:next w:val="Normal"/>
    <w:semiHidden/>
    <w:pPr>
      <w:tabs>
        <w:tab w:val="right" w:leader="dot" w:pos="9071"/>
      </w:tabs>
      <w:spacing w:before="60"/>
      <w:ind w:left="850" w:hanging="850"/>
      <w:jc w:val="left"/>
    </w:pPr>
  </w:style>
  <w:style w:type="paragraph" w:styleId="TOC2">
    <w:name w:val="toc 2"/>
    <w:basedOn w:val="Normal"/>
    <w:next w:val="Normal"/>
    <w:semiHidden/>
    <w:pPr>
      <w:tabs>
        <w:tab w:val="right" w:leader="dot" w:pos="9071"/>
      </w:tabs>
      <w:spacing w:before="60"/>
      <w:ind w:left="850" w:hanging="850"/>
      <w:jc w:val="left"/>
    </w:pPr>
  </w:style>
  <w:style w:type="paragraph" w:styleId="TOC3">
    <w:name w:val="toc 3"/>
    <w:basedOn w:val="Normal"/>
    <w:next w:val="Normal"/>
    <w:semiHidden/>
    <w:pPr>
      <w:tabs>
        <w:tab w:val="right" w:leader="dot" w:pos="9071"/>
      </w:tabs>
      <w:spacing w:before="60"/>
      <w:ind w:left="850" w:hanging="850"/>
      <w:jc w:val="left"/>
    </w:pPr>
  </w:style>
  <w:style w:type="paragraph" w:styleId="TOC4">
    <w:name w:val="toc 4"/>
    <w:basedOn w:val="Normal"/>
    <w:next w:val="Normal"/>
    <w:semiHidden/>
    <w:pPr>
      <w:tabs>
        <w:tab w:val="right" w:leader="dot" w:pos="9071"/>
      </w:tabs>
      <w:spacing w:before="60"/>
      <w:ind w:left="850" w:hanging="850"/>
      <w:jc w:val="left"/>
    </w:pPr>
  </w:style>
  <w:style w:type="paragraph" w:styleId="TOC5">
    <w:name w:val="toc 5"/>
    <w:basedOn w:val="Normal"/>
    <w:next w:val="Normal"/>
    <w:semiHidden/>
    <w:pPr>
      <w:tabs>
        <w:tab w:val="right" w:leader="dot" w:pos="9071"/>
      </w:tabs>
      <w:spacing w:before="300"/>
      <w:jc w:val="left"/>
    </w:pPr>
  </w:style>
  <w:style w:type="paragraph" w:styleId="TOC6">
    <w:name w:val="toc 6"/>
    <w:basedOn w:val="Normal"/>
    <w:next w:val="Normal"/>
    <w:semiHidden/>
    <w:pPr>
      <w:tabs>
        <w:tab w:val="right" w:leader="dot" w:pos="9071"/>
      </w:tabs>
      <w:spacing w:before="240"/>
      <w:jc w:val="left"/>
    </w:pPr>
  </w:style>
  <w:style w:type="paragraph" w:styleId="TOC7">
    <w:name w:val="toc 7"/>
    <w:basedOn w:val="Normal"/>
    <w:next w:val="Normal"/>
    <w:semiHidden/>
    <w:pPr>
      <w:tabs>
        <w:tab w:val="right" w:leader="dot" w:pos="9071"/>
      </w:tabs>
      <w:spacing w:before="180"/>
      <w:jc w:val="left"/>
    </w:pPr>
  </w:style>
  <w:style w:type="paragraph" w:styleId="TOC8">
    <w:name w:val="toc 8"/>
    <w:basedOn w:val="Normal"/>
    <w:next w:val="Normal"/>
    <w:semiHidden/>
    <w:pPr>
      <w:tabs>
        <w:tab w:val="right" w:leader="dot" w:pos="9071"/>
      </w:tabs>
      <w:jc w:val="left"/>
    </w:pPr>
  </w:style>
  <w:style w:type="paragraph" w:styleId="TOC9">
    <w:name w:val="toc 9"/>
    <w:basedOn w:val="Normal"/>
    <w:next w:val="Normal"/>
    <w:semiHidden/>
    <w:pPr>
      <w:tabs>
        <w:tab w:val="right" w:leader="dot" w:pos="9071"/>
      </w:tabs>
    </w:pPr>
  </w:style>
  <w:style w:type="paragraph" w:styleId="TOCHeading">
    <w:name w:val="TOC Heading"/>
    <w:basedOn w:val="Normal"/>
    <w:next w:val="Normal"/>
    <w:qFormat/>
    <w:pPr>
      <w:spacing w:after="240"/>
      <w:jc w:val="center"/>
    </w:pPr>
    <w:rPr>
      <w:b/>
      <w:sz w:val="28"/>
    </w:rPr>
  </w:style>
  <w:style w:type="paragraph" w:customStyle="1" w:styleId="Typeacteprincipal">
    <w:name w:val="Type acte principal"/>
    <w:basedOn w:val="Normal"/>
    <w:next w:val="Objetacteprincipal"/>
    <w:pPr>
      <w:spacing w:before="0" w:after="240"/>
      <w:jc w:val="center"/>
    </w:pPr>
    <w:rPr>
      <w:b/>
    </w:rPr>
  </w:style>
  <w:style w:type="paragraph" w:customStyle="1" w:styleId="TypeacteprincipalPagedecouverture">
    <w:name w:val="Type acte principal (Page de couverture)"/>
    <w:basedOn w:val="Typeacteprincipal"/>
    <w:next w:val="ObjetacteprincipalPagedecouverture"/>
  </w:style>
  <w:style w:type="paragraph" w:customStyle="1" w:styleId="Typedudocument">
    <w:name w:val="Type du document"/>
    <w:basedOn w:val="Normal"/>
    <w:next w:val="Titreobjet"/>
    <w:link w:val="TypedudocumentChar"/>
    <w:pPr>
      <w:spacing w:before="360" w:after="0"/>
      <w:jc w:val="center"/>
    </w:pPr>
    <w:rPr>
      <w:b/>
    </w:rPr>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styleId="ListBullet">
    <w:name w:val="List Bullet"/>
    <w:basedOn w:val="Normal"/>
    <w:pPr>
      <w:numPr>
        <w:numId w:val="21"/>
      </w:numPr>
    </w:pPr>
  </w:style>
  <w:style w:type="paragraph" w:styleId="ListBullet2">
    <w:name w:val="List Bullet 2"/>
    <w:basedOn w:val="Normal"/>
    <w:pPr>
      <w:numPr>
        <w:numId w:val="23"/>
      </w:numPr>
    </w:pPr>
  </w:style>
  <w:style w:type="paragraph" w:styleId="ListBullet3">
    <w:name w:val="List Bullet 3"/>
    <w:basedOn w:val="Normal"/>
    <w:pPr>
      <w:numPr>
        <w:numId w:val="24"/>
      </w:numPr>
    </w:pPr>
  </w:style>
  <w:style w:type="paragraph" w:styleId="ListBullet4">
    <w:name w:val="List Bullet 4"/>
    <w:basedOn w:val="Normal"/>
    <w:pPr>
      <w:numPr>
        <w:numId w:val="25"/>
      </w:numPr>
    </w:pPr>
  </w:style>
  <w:style w:type="paragraph" w:styleId="ListNumber">
    <w:name w:val="List Number"/>
    <w:basedOn w:val="Normal"/>
    <w:pPr>
      <w:numPr>
        <w:numId w:val="16"/>
      </w:numPr>
    </w:pPr>
  </w:style>
  <w:style w:type="paragraph" w:styleId="ListNumber2">
    <w:name w:val="List Number 2"/>
    <w:basedOn w:val="Normal"/>
    <w:pPr>
      <w:numPr>
        <w:numId w:val="18"/>
      </w:numPr>
    </w:pPr>
  </w:style>
  <w:style w:type="paragraph" w:styleId="ListNumber3">
    <w:name w:val="List Number 3"/>
    <w:basedOn w:val="Normal"/>
    <w:pPr>
      <w:numPr>
        <w:numId w:val="19"/>
      </w:numPr>
    </w:pPr>
  </w:style>
  <w:style w:type="paragraph" w:styleId="ListNumber4">
    <w:name w:val="List Number 4"/>
    <w:basedOn w:val="Normal"/>
    <w:pPr>
      <w:numPr>
        <w:numId w:val="20"/>
      </w:numPr>
    </w:pPr>
  </w:style>
  <w:style w:type="paragraph" w:customStyle="1" w:styleId="ListBullet1">
    <w:name w:val="List Bullet 1"/>
    <w:basedOn w:val="Normal"/>
    <w:pPr>
      <w:numPr>
        <w:numId w:val="22"/>
      </w:numPr>
    </w:pPr>
  </w:style>
  <w:style w:type="paragraph" w:customStyle="1" w:styleId="ListDash">
    <w:name w:val="List Dash"/>
    <w:basedOn w:val="Normal"/>
    <w:pPr>
      <w:numPr>
        <w:numId w:val="26"/>
      </w:numPr>
    </w:pPr>
  </w:style>
  <w:style w:type="paragraph" w:customStyle="1" w:styleId="ListDash1">
    <w:name w:val="List Dash 1"/>
    <w:basedOn w:val="Normal"/>
    <w:pPr>
      <w:numPr>
        <w:numId w:val="27"/>
      </w:numPr>
    </w:pPr>
  </w:style>
  <w:style w:type="paragraph" w:customStyle="1" w:styleId="ListDash2">
    <w:name w:val="List Dash 2"/>
    <w:basedOn w:val="Normal"/>
    <w:pPr>
      <w:numPr>
        <w:numId w:val="28"/>
      </w:numPr>
    </w:pPr>
  </w:style>
  <w:style w:type="paragraph" w:customStyle="1" w:styleId="ListDash3">
    <w:name w:val="List Dash 3"/>
    <w:basedOn w:val="Normal"/>
    <w:pPr>
      <w:numPr>
        <w:numId w:val="29"/>
      </w:numPr>
    </w:pPr>
  </w:style>
  <w:style w:type="paragraph" w:customStyle="1" w:styleId="ListDash4">
    <w:name w:val="List Dash 4"/>
    <w:basedOn w:val="Normal"/>
    <w:pPr>
      <w:numPr>
        <w:numId w:val="30"/>
      </w:numPr>
    </w:pPr>
  </w:style>
  <w:style w:type="paragraph" w:customStyle="1" w:styleId="ListNumber1">
    <w:name w:val="List Number 1"/>
    <w:basedOn w:val="Text1"/>
    <w:pPr>
      <w:numPr>
        <w:numId w:val="17"/>
      </w:numPr>
    </w:pPr>
  </w:style>
  <w:style w:type="paragraph" w:customStyle="1" w:styleId="ListNumberLevel2">
    <w:name w:val="List Number (Level 2)"/>
    <w:basedOn w:val="Normal"/>
    <w:pPr>
      <w:numPr>
        <w:ilvl w:val="1"/>
        <w:numId w:val="16"/>
      </w:numPr>
    </w:pPr>
  </w:style>
  <w:style w:type="paragraph" w:customStyle="1" w:styleId="ListNumber1Level2">
    <w:name w:val="List Number 1 (Level 2)"/>
    <w:basedOn w:val="Text1"/>
    <w:pPr>
      <w:numPr>
        <w:ilvl w:val="1"/>
        <w:numId w:val="17"/>
      </w:numPr>
    </w:pPr>
  </w:style>
  <w:style w:type="paragraph" w:customStyle="1" w:styleId="ListNumber2Level2">
    <w:name w:val="List Number 2 (Level 2)"/>
    <w:basedOn w:val="Text2"/>
    <w:pPr>
      <w:numPr>
        <w:ilvl w:val="1"/>
        <w:numId w:val="18"/>
      </w:numPr>
    </w:pPr>
  </w:style>
  <w:style w:type="paragraph" w:customStyle="1" w:styleId="ListNumber3Level2">
    <w:name w:val="List Number 3 (Level 2)"/>
    <w:basedOn w:val="Text3"/>
    <w:pPr>
      <w:numPr>
        <w:ilvl w:val="1"/>
        <w:numId w:val="19"/>
      </w:numPr>
    </w:pPr>
  </w:style>
  <w:style w:type="paragraph" w:customStyle="1" w:styleId="ListNumber4Level2">
    <w:name w:val="List Number 4 (Level 2)"/>
    <w:basedOn w:val="Text4"/>
    <w:pPr>
      <w:numPr>
        <w:ilvl w:val="1"/>
        <w:numId w:val="20"/>
      </w:numPr>
    </w:pPr>
  </w:style>
  <w:style w:type="paragraph" w:customStyle="1" w:styleId="ListNumberLevel3">
    <w:name w:val="List Number (Level 3)"/>
    <w:basedOn w:val="Normal"/>
    <w:pPr>
      <w:numPr>
        <w:ilvl w:val="2"/>
        <w:numId w:val="16"/>
      </w:numPr>
    </w:pPr>
  </w:style>
  <w:style w:type="paragraph" w:customStyle="1" w:styleId="ListNumber1Level3">
    <w:name w:val="List Number 1 (Level 3)"/>
    <w:basedOn w:val="Text1"/>
    <w:pPr>
      <w:numPr>
        <w:ilvl w:val="2"/>
        <w:numId w:val="17"/>
      </w:numPr>
    </w:pPr>
  </w:style>
  <w:style w:type="paragraph" w:customStyle="1" w:styleId="ListNumber2Level3">
    <w:name w:val="List Number 2 (Level 3)"/>
    <w:basedOn w:val="Text2"/>
    <w:pPr>
      <w:numPr>
        <w:ilvl w:val="2"/>
        <w:numId w:val="18"/>
      </w:numPr>
    </w:pPr>
  </w:style>
  <w:style w:type="paragraph" w:customStyle="1" w:styleId="ListNumber3Level3">
    <w:name w:val="List Number 3 (Level 3)"/>
    <w:basedOn w:val="Text3"/>
    <w:pPr>
      <w:numPr>
        <w:ilvl w:val="2"/>
        <w:numId w:val="19"/>
      </w:numPr>
    </w:pPr>
  </w:style>
  <w:style w:type="paragraph" w:customStyle="1" w:styleId="ListNumber4Level3">
    <w:name w:val="List Number 4 (Level 3)"/>
    <w:basedOn w:val="Text4"/>
    <w:pPr>
      <w:numPr>
        <w:ilvl w:val="2"/>
        <w:numId w:val="20"/>
      </w:numPr>
    </w:pPr>
  </w:style>
  <w:style w:type="paragraph" w:customStyle="1" w:styleId="ListNumberLevel4">
    <w:name w:val="List Number (Level 4)"/>
    <w:basedOn w:val="Normal"/>
    <w:pPr>
      <w:numPr>
        <w:ilvl w:val="3"/>
        <w:numId w:val="16"/>
      </w:numPr>
    </w:pPr>
  </w:style>
  <w:style w:type="paragraph" w:customStyle="1" w:styleId="ListNumber1Level4">
    <w:name w:val="List Number 1 (Level 4)"/>
    <w:basedOn w:val="Text1"/>
    <w:pPr>
      <w:numPr>
        <w:ilvl w:val="3"/>
        <w:numId w:val="17"/>
      </w:numPr>
    </w:pPr>
  </w:style>
  <w:style w:type="paragraph" w:customStyle="1" w:styleId="ListNumber2Level4">
    <w:name w:val="List Number 2 (Level 4)"/>
    <w:basedOn w:val="Text2"/>
    <w:pPr>
      <w:numPr>
        <w:ilvl w:val="3"/>
        <w:numId w:val="18"/>
      </w:numPr>
    </w:pPr>
  </w:style>
  <w:style w:type="paragraph" w:customStyle="1" w:styleId="ListNumber3Level4">
    <w:name w:val="List Number 3 (Level 4)"/>
    <w:basedOn w:val="Text3"/>
    <w:pPr>
      <w:numPr>
        <w:ilvl w:val="3"/>
        <w:numId w:val="19"/>
      </w:numPr>
    </w:pPr>
  </w:style>
  <w:style w:type="paragraph" w:customStyle="1" w:styleId="ListNumber4Level4">
    <w:name w:val="List Number 4 (Level 4)"/>
    <w:basedOn w:val="Text4"/>
    <w:pPr>
      <w:numPr>
        <w:ilvl w:val="3"/>
        <w:numId w:val="20"/>
      </w:numPr>
    </w:pPr>
  </w:style>
  <w:style w:type="paragraph" w:customStyle="1" w:styleId="Rfrenceinterinstitutionelleprliminaire">
    <w:name w:val="Référence interinstitutionelle (préliminaire)"/>
    <w:basedOn w:val="Normal"/>
    <w:next w:val="Normal"/>
    <w:pPr>
      <w:spacing w:before="0" w:after="0"/>
      <w:ind w:left="5103"/>
      <w:jc w:val="left"/>
    </w:pPr>
  </w:style>
  <w:style w:type="paragraph" w:customStyle="1" w:styleId="Sous-titreobjetprliminaire">
    <w:name w:val="Sous-titre objet (préliminaire)"/>
    <w:basedOn w:val="Normal"/>
    <w:pPr>
      <w:spacing w:before="0" w:after="0"/>
      <w:jc w:val="center"/>
    </w:pPr>
    <w:rPr>
      <w:b/>
    </w:rPr>
  </w:style>
  <w:style w:type="paragraph" w:customStyle="1" w:styleId="Statutprliminaire">
    <w:name w:val="Statut (préliminaire)"/>
    <w:basedOn w:val="Normal"/>
    <w:next w:val="Normal"/>
    <w:pPr>
      <w:spacing w:before="360" w:after="0"/>
      <w:jc w:val="center"/>
    </w:pPr>
  </w:style>
  <w:style w:type="paragraph" w:customStyle="1" w:styleId="Titreobjetprliminaire">
    <w:name w:val="Titre objet (préliminaire)"/>
    <w:basedOn w:val="Normal"/>
    <w:next w:val="Normal"/>
    <w:pPr>
      <w:spacing w:before="360" w:after="360"/>
      <w:jc w:val="center"/>
    </w:pPr>
    <w:rPr>
      <w:b/>
    </w:rPr>
  </w:style>
  <w:style w:type="paragraph" w:customStyle="1" w:styleId="Typedudocumentprliminaire">
    <w:name w:val="Type du document (préliminaire)"/>
    <w:basedOn w:val="Normal"/>
    <w:next w:val="Normal"/>
    <w:pPr>
      <w:spacing w:before="360" w:after="0"/>
      <w:jc w:val="center"/>
    </w:pPr>
    <w:rPr>
      <w:b/>
    </w:rPr>
  </w:style>
  <w:style w:type="character" w:styleId="CommentReference">
    <w:name w:val="annotation reference"/>
    <w:rPr>
      <w:sz w:val="16"/>
      <w:szCs w:val="16"/>
      <w:shd w:val="clear" w:color="auto" w:fill="auto"/>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shd w:val="clear" w:color="auto" w:fill="auto"/>
      <w:lang w:eastAsia="es-E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shd w:val="clear" w:color="auto" w:fill="auto"/>
      <w:lang w:eastAsia="es-ES"/>
    </w:rPr>
  </w:style>
  <w:style w:type="character" w:styleId="Hyperlink">
    <w:name w:val="Hyperlink"/>
    <w:rPr>
      <w:color w:val="0000FF"/>
      <w:u w:val="single"/>
      <w:shd w:val="clear" w:color="auto" w:fill="auto"/>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shd w:val="clear" w:color="auto" w:fill="auto"/>
      <w:lang w:eastAsia="es-ES"/>
    </w:rPr>
  </w:style>
  <w:style w:type="character" w:styleId="Emphasis">
    <w:name w:val="Emphasis"/>
    <w:qFormat/>
    <w:rPr>
      <w:b/>
      <w:bCs/>
      <w:i w:val="0"/>
      <w:iCs w:val="0"/>
      <w:shd w:val="clear" w:color="auto" w:fill="auto"/>
    </w:rPr>
  </w:style>
  <w:style w:type="paragraph" w:styleId="NormalWeb">
    <w:name w:val="Normal (Web)"/>
    <w:basedOn w:val="Normal"/>
    <w:uiPriority w:val="99"/>
    <w:pPr>
      <w:spacing w:before="100" w:beforeAutospacing="1" w:after="100" w:afterAutospacing="1"/>
      <w:jc w:val="left"/>
    </w:pPr>
    <w:rPr>
      <w:rFonts w:ascii="Verdana" w:hAnsi="Verdana"/>
      <w:color w:val="000000"/>
      <w:sz w:val="29"/>
      <w:szCs w:val="29"/>
    </w:rPr>
  </w:style>
  <w:style w:type="character" w:styleId="FollowedHyperlink">
    <w:name w:val="FollowedHyperlink"/>
    <w:rPr>
      <w:color w:val="800080"/>
      <w:u w:val="single"/>
      <w:shd w:val="clear" w:color="auto" w:fill="auto"/>
    </w:rPr>
  </w:style>
  <w:style w:type="paragraph" w:styleId="Caption">
    <w:name w:val="caption"/>
    <w:basedOn w:val="Normal"/>
    <w:next w:val="Normal"/>
    <w:qFormat/>
    <w:rPr>
      <w:b/>
      <w:bCs/>
      <w:sz w:val="20"/>
      <w:szCs w:val="20"/>
    </w:rPr>
  </w:style>
  <w:style w:type="paragraph" w:styleId="TableofFigures">
    <w:name w:val="table of figures"/>
    <w:basedOn w:val="Normal"/>
    <w:next w:val="Normal"/>
  </w:style>
  <w:style w:type="table" w:styleId="TableGrid">
    <w:name w:val="Table Grid"/>
    <w:basedOn w:val="TableNormal"/>
    <w:uiPriority w:val="59"/>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uiPriority w:val="1"/>
    <w:qFormat/>
    <w:rPr>
      <w:rFonts w:ascii="Arial" w:hAnsi="Arial"/>
      <w:szCs w:val="24"/>
      <w:lang w:val="es-ES" w:eastAsia="es-ES" w:bidi="es-ES"/>
    </w:rPr>
  </w:style>
  <w:style w:type="paragraph" w:customStyle="1" w:styleId="euhead2">
    <w:name w:val=".euhead2"/>
    <w:basedOn w:val="Normal"/>
    <w:pPr>
      <w:spacing w:before="0" w:after="0"/>
      <w:jc w:val="left"/>
    </w:pPr>
    <w:rPr>
      <w:rFonts w:ascii="Arial" w:hAnsi="Arial" w:cs="Arial"/>
      <w:b/>
      <w:bCs/>
      <w:color w:val="0070C0"/>
    </w:rPr>
  </w:style>
  <w:style w:type="character" w:styleId="Strong">
    <w:name w:val="Strong"/>
    <w:uiPriority w:val="22"/>
    <w:qFormat/>
    <w:rPr>
      <w:b/>
      <w:bCs/>
      <w:shd w:val="clear" w:color="auto" w:fill="auto"/>
    </w:rPr>
  </w:style>
  <w:style w:type="character" w:customStyle="1" w:styleId="MediumShading1-Accent1Char">
    <w:name w:val="Medium Shading 1 - Accent 1 Char"/>
    <w:link w:val="MediumShading1-Accent1"/>
    <w:uiPriority w:val="1"/>
    <w:rPr>
      <w:rFonts w:eastAsia="ヒラギノ角ゴ Pro W3"/>
      <w:color w:val="000000"/>
      <w:sz w:val="22"/>
      <w:szCs w:val="24"/>
      <w:lang w:val="es-ES" w:eastAsia="es-ES"/>
    </w:rPr>
  </w:style>
  <w:style w:type="character" w:customStyle="1" w:styleId="st">
    <w:name w:val="st"/>
  </w:style>
  <w:style w:type="character" w:customStyle="1" w:styleId="screen-name">
    <w:name w:val="screen-name"/>
    <w:rPr>
      <w:shd w:val="clear" w:color="auto" w:fill="auto"/>
    </w:rPr>
  </w:style>
  <w:style w:type="paragraph" w:customStyle="1" w:styleId="Covertitle">
    <w:name w:val="Cover_title"/>
    <w:basedOn w:val="Normal"/>
    <w:qFormat/>
    <w:pPr>
      <w:spacing w:before="0" w:after="640"/>
      <w:jc w:val="left"/>
    </w:pPr>
    <w:rPr>
      <w:rFonts w:ascii="Cambria" w:eastAsia="Cambria" w:hAnsi="Cambria"/>
      <w:b/>
      <w:color w:val="1F497D"/>
      <w:sz w:val="52"/>
      <w:szCs w:val="22"/>
    </w:rPr>
  </w:style>
  <w:style w:type="character" w:customStyle="1" w:styleId="bodytext">
    <w:name w:val="bodytext"/>
  </w:style>
  <w:style w:type="character" w:customStyle="1" w:styleId="apple-style-span">
    <w:name w:val="apple-style-span"/>
  </w:style>
  <w:style w:type="paragraph" w:customStyle="1" w:styleId="Intro">
    <w:name w:val="Intro"/>
    <w:basedOn w:val="Normal"/>
    <w:qFormat/>
    <w:pPr>
      <w:spacing w:before="0" w:after="240" w:line="288" w:lineRule="auto"/>
      <w:jc w:val="left"/>
    </w:pPr>
    <w:rPr>
      <w:rFonts w:ascii="Cambria" w:eastAsia="Cambria" w:hAnsi="Cambria"/>
      <w:b/>
      <w:color w:val="EEECE1"/>
      <w:sz w:val="22"/>
      <w:szCs w:val="22"/>
    </w:rPr>
  </w:style>
  <w:style w:type="table" w:styleId="MediumShading1-Accent1">
    <w:name w:val="Medium Shading 1 Accent 1"/>
    <w:basedOn w:val="TableNormal"/>
    <w:link w:val="MediumShading1-Accent1Char"/>
    <w:uiPriority w:val="1"/>
    <w:rPr>
      <w:rFonts w:eastAsia="ヒラギノ角ゴ Pro W3"/>
      <w:color w:val="000000"/>
      <w:sz w:val="22"/>
      <w:szCs w:val="24"/>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lang w:val="es-ES_tradnl" w:eastAsia="es-ES_tradnl" w:bidi="ar-SA"/>
    </w:rPr>
  </w:style>
  <w:style w:type="character" w:customStyle="1" w:styleId="TypedudocumentChar">
    <w:name w:val="Type du document Char"/>
    <w:link w:val="Typedudocument"/>
    <w:rPr>
      <w:b/>
      <w:sz w:val="24"/>
      <w:szCs w:val="24"/>
      <w:shd w:val="clear" w:color="auto" w:fill="auto"/>
      <w:lang w:eastAsia="es-ES"/>
    </w:rPr>
  </w:style>
  <w:style w:type="character" w:customStyle="1" w:styleId="FooterCoverPageChar">
    <w:name w:val="Footer Cover Page Char"/>
    <w:link w:val="FooterCoverPage"/>
    <w:rPr>
      <w:sz w:val="24"/>
      <w:szCs w:val="24"/>
    </w:rPr>
  </w:style>
  <w:style w:type="paragraph" w:customStyle="1" w:styleId="HeaderCoverPage">
    <w:name w:val="Header Cover Page"/>
    <w:basedOn w:val="Normal"/>
    <w:link w:val="HeaderCoverPageChar"/>
    <w:pPr>
      <w:tabs>
        <w:tab w:val="center" w:pos="4535"/>
        <w:tab w:val="right" w:pos="9071"/>
      </w:tabs>
      <w:spacing w:before="0"/>
    </w:pPr>
    <w:rPr>
      <w:lang w:val="es-ES_tradnl" w:eastAsia="es-ES_tradnl" w:bidi="ar-SA"/>
    </w:rPr>
  </w:style>
  <w:style w:type="character" w:customStyle="1" w:styleId="HeaderCoverPageChar">
    <w:name w:val="Header Cover Page Char"/>
    <w:link w:val="HeaderCoverPage"/>
    <w:rPr>
      <w:sz w:val="24"/>
      <w:szCs w:val="24"/>
    </w:rPr>
  </w:style>
  <w:style w:type="character" w:customStyle="1" w:styleId="FooterChar">
    <w:name w:val="Footer Char"/>
    <w:link w:val="Footer"/>
    <w:uiPriority w:val="9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76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lensworld.eu/" TargetMode="Externa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s://es.wikipedia.org/wiki/Dominio_de_nivel_superior" TargetMode="External"/><Relationship Id="rId2" Type="http://schemas.openxmlformats.org/officeDocument/2006/relationships/hyperlink" Target="https://es.wikipedia.org/wiki/Ciberocupaci%C3%B3n" TargetMode="External"/><Relationship Id="rId1" Type="http://schemas.openxmlformats.org/officeDocument/2006/relationships/hyperlink" Target="http://www.icann.org/en/topics/idn/fast-track/" TargetMode="External"/><Relationship Id="rId6" Type="http://schemas.openxmlformats.org/officeDocument/2006/relationships/hyperlink" Target="https://en.wikipedia.org/wiki/EURid" TargetMode="External"/><Relationship Id="rId5" Type="http://schemas.openxmlformats.org/officeDocument/2006/relationships/hyperlink" Target="https://es.wikipedia.org/wiki/PricewaterhouseCoopers" TargetMode="External"/><Relationship Id="rId4" Type="http://schemas.openxmlformats.org/officeDocument/2006/relationships/hyperlink" Target="https://en.wikipedia.org/wiki/Sunrise_Peri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85636-17BA-49D7-A04B-FF5BCBA72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19</Pages>
  <Words>5129</Words>
  <Characters>26214</Characters>
  <Application>Microsoft Office Word</Application>
  <DocSecurity>0</DocSecurity>
  <Lines>672</Lines>
  <Paragraphs>333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Manager/>
  <Company/>
  <LinksUpToDate>false</LinksUpToDate>
  <CharactersWithSpaces>31010</CharactersWithSpaces>
  <SharedDoc>false</SharedDoc>
  <HLinks>
    <vt:vector size="42" baseType="variant">
      <vt:variant>
        <vt:i4>131143</vt:i4>
      </vt:variant>
      <vt:variant>
        <vt:i4>0</vt:i4>
      </vt:variant>
      <vt:variant>
        <vt:i4>0</vt:i4>
      </vt:variant>
      <vt:variant>
        <vt:i4>5</vt:i4>
      </vt:variant>
      <vt:variant>
        <vt:lpwstr>http://lensworld.eu/</vt:lpwstr>
      </vt:variant>
      <vt:variant>
        <vt:lpwstr/>
      </vt:variant>
      <vt:variant>
        <vt:i4>3211363</vt:i4>
      </vt:variant>
      <vt:variant>
        <vt:i4>15</vt:i4>
      </vt:variant>
      <vt:variant>
        <vt:i4>0</vt:i4>
      </vt:variant>
      <vt:variant>
        <vt:i4>5</vt:i4>
      </vt:variant>
      <vt:variant>
        <vt:lpwstr>https://en.wikipedia.org/wiki/EURid</vt:lpwstr>
      </vt:variant>
      <vt:variant>
        <vt:lpwstr/>
      </vt:variant>
      <vt:variant>
        <vt:i4>4915225</vt:i4>
      </vt:variant>
      <vt:variant>
        <vt:i4>12</vt:i4>
      </vt:variant>
      <vt:variant>
        <vt:i4>0</vt:i4>
      </vt:variant>
      <vt:variant>
        <vt:i4>5</vt:i4>
      </vt:variant>
      <vt:variant>
        <vt:lpwstr>https://en.wikipedia.org/wiki/PricewaterhouseCoopers</vt:lpwstr>
      </vt:variant>
      <vt:variant>
        <vt:lpwstr/>
      </vt:variant>
      <vt:variant>
        <vt:i4>7208968</vt:i4>
      </vt:variant>
      <vt:variant>
        <vt:i4>9</vt:i4>
      </vt:variant>
      <vt:variant>
        <vt:i4>0</vt:i4>
      </vt:variant>
      <vt:variant>
        <vt:i4>5</vt:i4>
      </vt:variant>
      <vt:variant>
        <vt:lpwstr>https://en.wikipedia.org/wiki/Sunrise_Period</vt:lpwstr>
      </vt:variant>
      <vt:variant>
        <vt:lpwstr/>
      </vt:variant>
      <vt:variant>
        <vt:i4>5242982</vt:i4>
      </vt:variant>
      <vt:variant>
        <vt:i4>6</vt:i4>
      </vt:variant>
      <vt:variant>
        <vt:i4>0</vt:i4>
      </vt:variant>
      <vt:variant>
        <vt:i4>5</vt:i4>
      </vt:variant>
      <vt:variant>
        <vt:lpwstr>https://en.wikipedia.org/wiki/Top-level_domain</vt:lpwstr>
      </vt:variant>
      <vt:variant>
        <vt:lpwstr/>
      </vt:variant>
      <vt:variant>
        <vt:i4>5046285</vt:i4>
      </vt:variant>
      <vt:variant>
        <vt:i4>3</vt:i4>
      </vt:variant>
      <vt:variant>
        <vt:i4>0</vt:i4>
      </vt:variant>
      <vt:variant>
        <vt:i4>5</vt:i4>
      </vt:variant>
      <vt:variant>
        <vt:lpwstr>https://en.wikipedia.org/wiki/Cybersquatting</vt:lpwstr>
      </vt:variant>
      <vt:variant>
        <vt:lpwstr/>
      </vt:variant>
      <vt:variant>
        <vt:i4>8060968</vt:i4>
      </vt:variant>
      <vt:variant>
        <vt:i4>0</vt:i4>
      </vt:variant>
      <vt:variant>
        <vt:i4>0</vt:i4>
      </vt:variant>
      <vt:variant>
        <vt:i4>5</vt:i4>
      </vt:variant>
      <vt:variant>
        <vt:lpwstr>http://www.icann.org/en/topics/idn/fast-track/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DIGIT/A3</cp:lastModifiedBy>
  <cp:revision>29</cp:revision>
  <cp:lastPrinted>2015-09-15T11:37:00Z</cp:lastPrinted>
  <dcterms:created xsi:type="dcterms:W3CDTF">2015-11-09T14:48:00Z</dcterms:created>
  <dcterms:modified xsi:type="dcterms:W3CDTF">2015-12-16T08:36:00Z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lassification">
    <vt:lpwstr> </vt:lpwstr>
  </property>
  <property fmtid="{D5CDD505-2E9C-101B-9397-08002B2CF9AE}" pid="5" name="DocStatus">
    <vt:lpwstr>Green</vt:lpwstr>
  </property>
</Properties>
</file>