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Default="007B2354" w:rsidP="007B235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61E04F312304A63B90E783D48BB689A" style="width:450.75pt;height:351.75pt">
            <v:imagedata r:id="rId12" o:title=""/>
          </v:shape>
        </w:pict>
      </w:r>
    </w:p>
    <w:p w:rsidR="001E2AAD" w:rsidRDefault="001E2AAD">
      <w:pPr>
        <w:spacing w:before="0" w:after="0"/>
        <w:jc w:val="left"/>
        <w:rPr>
          <w:noProof/>
        </w:rPr>
        <w:sectPr w:rsidR="001E2AAD" w:rsidSect="007B2354">
          <w:footerReference w:type="default" r:id="rId13"/>
          <w:pgSz w:w="11907" w:h="16839"/>
          <w:pgMar w:top="1134" w:right="1417" w:bottom="1134" w:left="1417" w:header="709" w:footer="709" w:gutter="0"/>
          <w:pgNumType w:start="1"/>
          <w:cols w:space="720"/>
          <w:docGrid w:linePitch="326"/>
        </w:sectPr>
      </w:pPr>
    </w:p>
    <w:p w:rsidR="001E2AAD" w:rsidRDefault="007B2354">
      <w:pPr>
        <w:jc w:val="center"/>
        <w:rPr>
          <w:b/>
          <w:noProof/>
          <w:u w:val="single"/>
        </w:rPr>
      </w:pPr>
      <w:r>
        <w:rPr>
          <w:b/>
          <w:noProof/>
          <w:u w:val="single"/>
        </w:rPr>
        <w:lastRenderedPageBreak/>
        <w:t>OBRAZLOŽITVENI MEMORANDUM</w:t>
      </w:r>
    </w:p>
    <w:p w:rsidR="001E2AAD" w:rsidRDefault="007B2354">
      <w:pPr>
        <w:spacing w:before="0" w:after="240"/>
        <w:rPr>
          <w:noProof/>
        </w:rPr>
      </w:pPr>
      <w:r>
        <w:rPr>
          <w:noProof/>
        </w:rPr>
        <w:t>Ta zakonodajni predlog načrtuje uvedbo evropskega sistema jamstva za vloge (ESJV) kot tretjega stebra bančne unije v treh zaporednih fazah: sistem pozavarovanja za sodelujoče nacion</w:t>
      </w:r>
      <w:r>
        <w:rPr>
          <w:noProof/>
        </w:rPr>
        <w:t>alne sisteme jamstva za vloge (SJV) v prvi fazi, ki traja tri leta, sistem sozavarovanja za sodelujoče nacionalne SJV v drugi fazi, ki traja štiri leta, in polno jamstvo za sodelujoče nacionalne SJV, ko bo sistem deloval v celoti. Nacionalni SJV lahko prej</w:t>
      </w:r>
      <w:r>
        <w:rPr>
          <w:noProof/>
        </w:rPr>
        <w:t>me sredstva ESJV le, če zbira sredstva v skladu s točno določenim potekom financiranja in na splošno izpolnjuje temeljne zahteve zakonodaje Unije. Enotni odbor za reševanje, ki bi prevzel tudi upravljanje ESJV, bi nadzoroval nacionalne SJV in sprostil sred</w:t>
      </w:r>
      <w:r>
        <w:rPr>
          <w:noProof/>
        </w:rPr>
        <w:t>stva le, če so izpolnjeni jasno določeni pogoji. Skupaj z vzpostavitvijo ESJV bi se začeli izvajati tudi ambiciozni ukrepi za zmanjšanje tveganj v bančnih sektorjih držav članic.</w:t>
      </w:r>
    </w:p>
    <w:p w:rsidR="001E2AAD" w:rsidRDefault="007B2354">
      <w:pPr>
        <w:pStyle w:val="ManualHeading1"/>
        <w:rPr>
          <w:noProof/>
        </w:rPr>
      </w:pPr>
      <w:r>
        <w:t>1.</w:t>
      </w:r>
      <w:r>
        <w:tab/>
      </w:r>
      <w:r>
        <w:rPr>
          <w:noProof/>
        </w:rPr>
        <w:t>OZADJE PREDLOGA</w:t>
      </w:r>
    </w:p>
    <w:p w:rsidR="001E2AAD" w:rsidRDefault="007B2354">
      <w:pPr>
        <w:pStyle w:val="ManualHeading2"/>
        <w:rPr>
          <w:rFonts w:eastAsia="Arial Unicode MS"/>
          <w:noProof/>
        </w:rPr>
      </w:pPr>
      <w:r>
        <w:t>1.1.</w:t>
      </w:r>
      <w:r>
        <w:tab/>
      </w:r>
      <w:r>
        <w:rPr>
          <w:noProof/>
        </w:rPr>
        <w:t>Razlogi za predlog in njegovi cilji</w:t>
      </w:r>
    </w:p>
    <w:p w:rsidR="001E2AAD" w:rsidRDefault="007B2354">
      <w:pPr>
        <w:spacing w:before="0" w:after="240"/>
        <w:rPr>
          <w:noProof/>
        </w:rPr>
      </w:pPr>
      <w:r>
        <w:rPr>
          <w:noProof/>
        </w:rPr>
        <w:t xml:space="preserve">Komisija je leta </w:t>
      </w:r>
      <w:r>
        <w:rPr>
          <w:noProof/>
        </w:rPr>
        <w:t>2012 v okviru dolgoročne vizije za gospodarsko in fiskalno povezovanje pozvala k ustanovitvi bančne unije, ki bi utrdila temelje bančnega sektorja in povrnila zaupanje v euro</w:t>
      </w:r>
      <w:r>
        <w:rPr>
          <w:rStyle w:val="FootnoteReference"/>
          <w:noProof/>
        </w:rPr>
        <w:footnoteReference w:id="1"/>
      </w:r>
      <w:r>
        <w:rPr>
          <w:noProof/>
        </w:rPr>
        <w:t>. Bančno unijo bi bilo treba uresničiti s prenosom nadzora na evropsko raven, ust</w:t>
      </w:r>
      <w:r>
        <w:rPr>
          <w:noProof/>
        </w:rPr>
        <w:t>anovitvijo integriranega okvira za obvladovanje bančne krize in, enako pomembno, skupnim sistemom za zaščito vlog. Medtem ko sta bila prva dva koraka dosežena z ustanovitvijo enotnega mehanizma nadzora (EMN) in enotnega mehanizma za reševanje (EMR), je tre</w:t>
      </w:r>
      <w:r>
        <w:rPr>
          <w:noProof/>
        </w:rPr>
        <w:t>ba skupni sistem za zaščito vlog šele vzpostaviti.</w:t>
      </w:r>
    </w:p>
    <w:p w:rsidR="001E2AAD" w:rsidRDefault="007B2354">
      <w:pPr>
        <w:spacing w:after="240"/>
        <w:rPr>
          <w:noProof/>
          <w:color w:val="000000" w:themeColor="text1"/>
          <w:szCs w:val="24"/>
        </w:rPr>
      </w:pPr>
      <w:r>
        <w:rPr>
          <w:noProof/>
          <w:color w:val="000000" w:themeColor="text1"/>
        </w:rPr>
        <w:t>Poročilo petih predsednikov</w:t>
      </w:r>
      <w:r>
        <w:rPr>
          <w:rStyle w:val="FootnoteReference"/>
          <w:noProof/>
          <w:color w:val="000000" w:themeColor="text1"/>
        </w:rPr>
        <w:footnoteReference w:id="2"/>
      </w:r>
      <w:r>
        <w:rPr>
          <w:noProof/>
          <w:color w:val="000000" w:themeColor="text1"/>
        </w:rPr>
        <w:t xml:space="preserve"> in sporočilo Komisije o spremljanju</w:t>
      </w:r>
      <w:r>
        <w:rPr>
          <w:rStyle w:val="FootnoteReference"/>
          <w:noProof/>
          <w:color w:val="000000" w:themeColor="text1"/>
        </w:rPr>
        <w:footnoteReference w:id="3"/>
      </w:r>
      <w:r>
        <w:rPr>
          <w:noProof/>
          <w:color w:val="000000" w:themeColor="text1"/>
        </w:rPr>
        <w:t xml:space="preserve"> določata jasen načrt za poglabljanje ekonomske in monetarne unije (EMU), vključno z ukrepi za nadaljnje omejevanje tveganj za finančno stab</w:t>
      </w:r>
      <w:r>
        <w:rPr>
          <w:noProof/>
          <w:color w:val="000000" w:themeColor="text1"/>
        </w:rPr>
        <w:t>ilnost. Dokončanje bančne unije je nujen korak za polno in poglobljeno EMU. Za enotno valuto je enoten in popolnoma integriran finančni sistem ključen za uspešen prenos monetarne politike, zadostno diverzifikacijo tveganja po državah članicah in splošno za</w:t>
      </w:r>
      <w:r>
        <w:rPr>
          <w:noProof/>
          <w:color w:val="000000" w:themeColor="text1"/>
        </w:rPr>
        <w:t>upanje v bančni sistem euroobmočja.</w:t>
      </w:r>
    </w:p>
    <w:p w:rsidR="001E2AAD" w:rsidRDefault="007B2354">
      <w:pPr>
        <w:autoSpaceDE w:val="0"/>
        <w:autoSpaceDN w:val="0"/>
        <w:adjustRightInd w:val="0"/>
        <w:spacing w:before="0" w:after="0"/>
        <w:rPr>
          <w:noProof/>
        </w:rPr>
      </w:pPr>
      <w:r>
        <w:rPr>
          <w:noProof/>
          <w:color w:val="000000" w:themeColor="text1"/>
        </w:rPr>
        <w:lastRenderedPageBreak/>
        <w:t>V</w:t>
      </w:r>
      <w:r>
        <w:rPr>
          <w:noProof/>
        </w:rPr>
        <w:t xml:space="preserve"> poročilu petih predsednikov se zlasti predlaga dolgoročna ustanovitev evropskega sistema jamstva za vloge (ESJV) kot tretjega stebra popolnoma delujoče bančne unije, poleg bančnega nadzora, ki je bil zaupan EMN, in reš</w:t>
      </w:r>
      <w:r>
        <w:rPr>
          <w:noProof/>
        </w:rPr>
        <w:t xml:space="preserve">evanja bank, ki je bilo zaupano EMR. </w:t>
      </w:r>
    </w:p>
    <w:p w:rsidR="001E2AAD" w:rsidRDefault="001E2AAD">
      <w:pPr>
        <w:autoSpaceDE w:val="0"/>
        <w:autoSpaceDN w:val="0"/>
        <w:adjustRightInd w:val="0"/>
        <w:spacing w:before="0" w:after="0"/>
        <w:rPr>
          <w:noProof/>
        </w:rPr>
      </w:pPr>
    </w:p>
    <w:p w:rsidR="001E2AAD" w:rsidRDefault="007B2354">
      <w:pPr>
        <w:autoSpaceDE w:val="0"/>
        <w:autoSpaceDN w:val="0"/>
        <w:adjustRightInd w:val="0"/>
        <w:spacing w:before="0" w:after="0"/>
        <w:rPr>
          <w:noProof/>
        </w:rPr>
      </w:pPr>
      <w:r>
        <w:rPr>
          <w:noProof/>
        </w:rPr>
        <w:t xml:space="preserve">Poročilo petih predsednikov opozarja, da je sedanja ureditev z nacionalnimi sistemi jamstva za vloge še vedno izpostavljena velikim lokalnim pretresom, zato bi skupni sistem jamstva za vloge povečal odpornost bančne unije na prihodnje krize. </w:t>
      </w:r>
    </w:p>
    <w:p w:rsidR="001E2AAD" w:rsidRDefault="001E2AAD">
      <w:pPr>
        <w:autoSpaceDE w:val="0"/>
        <w:autoSpaceDN w:val="0"/>
        <w:adjustRightInd w:val="0"/>
        <w:spacing w:before="0" w:after="0"/>
        <w:rPr>
          <w:noProof/>
        </w:rPr>
      </w:pPr>
    </w:p>
    <w:p w:rsidR="001E2AAD" w:rsidRDefault="007B2354">
      <w:pPr>
        <w:autoSpaceDE w:val="0"/>
        <w:autoSpaceDN w:val="0"/>
        <w:adjustRightInd w:val="0"/>
        <w:spacing w:before="0" w:after="0"/>
        <w:rPr>
          <w:noProof/>
        </w:rPr>
      </w:pPr>
      <w:r>
        <w:rPr>
          <w:noProof/>
        </w:rPr>
        <w:t xml:space="preserve">Komisija se </w:t>
      </w:r>
      <w:r>
        <w:rPr>
          <w:noProof/>
        </w:rPr>
        <w:t>je v svojem sporočilu o spremljanju z dne 21. oktobra zavezala, da bo pred koncem leta 2015 pripravila zakonodajni predlog glede prvih korakov za vzpostavitev ESJV, da bi oblikovala bolj evropski sistem, ki ni povezan z državami, da bi se okrepila finančna</w:t>
      </w:r>
      <w:r>
        <w:rPr>
          <w:noProof/>
        </w:rPr>
        <w:t xml:space="preserve"> stabilnost, državljani pa so lahko gotovi, da varnost njihovih vlog ni odvisna od geografske lokacije ter da se dobre banke ne kaznujejo zaradi lokacije njihovega sedeža. </w:t>
      </w:r>
    </w:p>
    <w:p w:rsidR="001E2AAD" w:rsidRDefault="007B2354">
      <w:pPr>
        <w:spacing w:after="240"/>
        <w:rPr>
          <w:noProof/>
        </w:rPr>
      </w:pPr>
      <w:r>
        <w:rPr>
          <w:noProof/>
        </w:rPr>
        <w:t>Komisija je v skladu s poročilom petih predsednikov navedla, da bo storjen prvi kor</w:t>
      </w:r>
      <w:r>
        <w:rPr>
          <w:noProof/>
        </w:rPr>
        <w:t>ak k enotnejšemu sistem, ki bo temeljil na pristopu pozavarovanja in upošteval različne ravni financiranja v nacionalnih sistemih in vprašanja moralnega tveganja. Oblikovan bo skupni jamstveni sklad za vloge, ki se bo upravljal pod okriljem obstoječega eno</w:t>
      </w:r>
      <w:r>
        <w:rPr>
          <w:noProof/>
        </w:rPr>
        <w:t>tnega odbora za reševanje. ESJV bo obvezen za države članice euroobmočja ter odprt tudi za države članice, ki se želijo pridružiti bančni uniji.</w:t>
      </w:r>
    </w:p>
    <w:p w:rsidR="001E2AAD" w:rsidRDefault="007B2354">
      <w:pPr>
        <w:spacing w:after="240"/>
        <w:rPr>
          <w:noProof/>
        </w:rPr>
      </w:pPr>
      <w:r>
        <w:rPr>
          <w:noProof/>
        </w:rPr>
        <w:t>ESJV se bo v nekaj letih postopoma razvil iz sistema pozavarovanja v popolnoma vzajemen sistem sozavarovanja. V</w:t>
      </w:r>
      <w:r>
        <w:rPr>
          <w:noProof/>
        </w:rPr>
        <w:t xml:space="preserve"> okviru prizadevanj za poglobitev ekonomske in monetarne unije je ta korak skupaj s prizadevanji za uvedbo ureditev za premostitveno financiranje enotnega sklada za reševanje ter za razvoj skupnega fiskalnega varovalnega mehanizma potreben za zmanjšanje po</w:t>
      </w:r>
      <w:r>
        <w:rPr>
          <w:noProof/>
        </w:rPr>
        <w:t>vezav med bankami in državo v posameznih državah članicah, in sicer s sprejetjem ukrepov za delitev tveganja med vsemi državami članicami v bančni uniji, s čimer bi se bančna unija okrepila pri doseganju svojega ključnega cilja. Vendar je treba takšno deli</w:t>
      </w:r>
      <w:r>
        <w:rPr>
          <w:noProof/>
        </w:rPr>
        <w:t xml:space="preserve">tev tveganja, kot jo uvajajo ukrepi za okrepitev bančne unije, uvajati vzporedno z ukrepi za zmanjšanje tveganja, oblikovanimi za bolj neposredno prekinitev povezave med bankami in državo. </w:t>
      </w:r>
    </w:p>
    <w:p w:rsidR="001E2AAD" w:rsidRDefault="007B2354">
      <w:pPr>
        <w:pStyle w:val="ManualHeading2"/>
        <w:rPr>
          <w:rFonts w:eastAsia="Arial Unicode MS"/>
          <w:noProof/>
          <w:bdr w:val="none" w:sz="0" w:space="0" w:color="auto" w:frame="1"/>
        </w:rPr>
      </w:pPr>
      <w:r>
        <w:t>1.2.</w:t>
      </w:r>
      <w:r>
        <w:tab/>
      </w:r>
      <w:r>
        <w:rPr>
          <w:noProof/>
        </w:rPr>
        <w:t>Usklajenost z obstoječimi določbami na področju politike</w:t>
      </w:r>
    </w:p>
    <w:p w:rsidR="001E2AAD" w:rsidRDefault="007B2354">
      <w:pPr>
        <w:spacing w:before="0" w:after="240"/>
        <w:rPr>
          <w:noProof/>
        </w:rPr>
      </w:pPr>
      <w:r>
        <w:rPr>
          <w:noProof/>
        </w:rPr>
        <w:t xml:space="preserve">Ta </w:t>
      </w:r>
      <w:r>
        <w:rPr>
          <w:noProof/>
        </w:rPr>
        <w:t>predlog uredbe je skladen z obstoječimi določbami politike.</w:t>
      </w:r>
    </w:p>
    <w:p w:rsidR="001E2AAD" w:rsidRDefault="007B2354">
      <w:pPr>
        <w:rPr>
          <w:noProof/>
        </w:rPr>
      </w:pPr>
      <w:r>
        <w:rPr>
          <w:noProof/>
        </w:rPr>
        <w:t>Po vzpostavitvi enotnega mehanizma nadzora z Uredbo Sveta (EU) št. 1024/2013</w:t>
      </w:r>
      <w:r>
        <w:rPr>
          <w:rStyle w:val="FootnoteReference"/>
          <w:noProof/>
        </w:rPr>
        <w:footnoteReference w:id="4"/>
      </w:r>
      <w:r>
        <w:rPr>
          <w:noProof/>
        </w:rPr>
        <w:t xml:space="preserve"> in enotnega mehanizma za reševanje (EU) št. 806/2014</w:t>
      </w:r>
      <w:r>
        <w:rPr>
          <w:rStyle w:val="FootnoteReference"/>
          <w:noProof/>
        </w:rPr>
        <w:footnoteReference w:id="5"/>
      </w:r>
      <w:r>
        <w:rPr>
          <w:noProof/>
        </w:rPr>
        <w:t xml:space="preserve"> ESJV na eni strani obravnava neskladnost med nadzorom in reševan</w:t>
      </w:r>
      <w:r>
        <w:rPr>
          <w:noProof/>
        </w:rPr>
        <w:t xml:space="preserve">jem bank, ki ju izvaja Unija v sodelujočih državah članicah, na drugi strani pa učinkovitost in verodostojnost nacionalnih SJV v primeru propada teh istih bank v skladu z Direktivo 2014/59/EU o sistemih jamstva za vloge </w:t>
      </w:r>
      <w:r>
        <w:rPr>
          <w:rStyle w:val="FootnoteReference"/>
          <w:noProof/>
        </w:rPr>
        <w:footnoteReference w:id="6"/>
      </w:r>
      <w:r>
        <w:rPr>
          <w:noProof/>
        </w:rPr>
        <w:t>.</w:t>
      </w:r>
    </w:p>
    <w:p w:rsidR="001E2AAD" w:rsidRDefault="007B2354">
      <w:pPr>
        <w:rPr>
          <w:noProof/>
        </w:rPr>
      </w:pPr>
      <w:r>
        <w:rPr>
          <w:noProof/>
        </w:rPr>
        <w:lastRenderedPageBreak/>
        <w:t>Ta predlog uredbe temelji na obst</w:t>
      </w:r>
      <w:r>
        <w:rPr>
          <w:noProof/>
        </w:rPr>
        <w:t xml:space="preserve">oječem okviru nacionalnih sistemov jamstva za vloge, kot ga določa direktiva o SJV. Enotna uporaba okvira za jamstvo za vloge v državah članicah, ki sodelujejo v ESJV, bi se s tem predlogom uredbe izboljšala, saj bi na enotni odbor za reševanje in jamstvo </w:t>
      </w:r>
      <w:r>
        <w:rPr>
          <w:noProof/>
        </w:rPr>
        <w:t xml:space="preserve">za vloge (odbor) prenesla pooblastila za odločanje, spremljanje in izvrševanje v zvezi z okvirom za jamstvo vlog. </w:t>
      </w:r>
    </w:p>
    <w:p w:rsidR="001E2AAD" w:rsidRDefault="007B2354">
      <w:pPr>
        <w:pStyle w:val="ManualHeading2"/>
        <w:rPr>
          <w:rFonts w:eastAsia="Arial Unicode MS"/>
          <w:noProof/>
        </w:rPr>
      </w:pPr>
      <w:r>
        <w:t>1.3.</w:t>
      </w:r>
      <w:r>
        <w:tab/>
      </w:r>
      <w:r>
        <w:rPr>
          <w:noProof/>
        </w:rPr>
        <w:t>Usklajenost z drugimi politikami Unije</w:t>
      </w:r>
    </w:p>
    <w:p w:rsidR="001E2AAD" w:rsidRDefault="007B2354">
      <w:pPr>
        <w:rPr>
          <w:noProof/>
        </w:rPr>
      </w:pPr>
      <w:r>
        <w:rPr>
          <w:noProof/>
        </w:rPr>
        <w:t>ESJV bi prispeval k zmanjšanju povezave med ugotovljenim fiskalnim položajem posameznih držav čla</w:t>
      </w:r>
      <w:r>
        <w:rPr>
          <w:noProof/>
        </w:rPr>
        <w:t>nic ter stroški financiranja bank, ki poslujejo v teh državah članicah, ter bi tako pomagal prekiniti povezavo med državami in bankami. S tem bi se povečala odpornost bančnega sektorja pred krizami v prihodnosti, poleg tega bi se prispevalo k splošnemu cil</w:t>
      </w:r>
      <w:r>
        <w:rPr>
          <w:noProof/>
        </w:rPr>
        <w:t xml:space="preserve">ju finančne stabilnosti, ki podpira </w:t>
      </w:r>
      <w:r>
        <w:rPr>
          <w:b/>
          <w:noProof/>
        </w:rPr>
        <w:t>ekonomsko in monetarno politiko Unije</w:t>
      </w:r>
      <w:r>
        <w:rPr>
          <w:noProof/>
        </w:rPr>
        <w:t>. Tveganja bi se bolj razpršila, s čimer bi se izboljšala finančna stabilnost ne le v zadevni državi članici, ampak tudi v drugih sodelujočih in nesodelujočih državah članicah, tako d</w:t>
      </w:r>
      <w:r>
        <w:rPr>
          <w:noProof/>
        </w:rPr>
        <w:t>a bi se omejili potencialni učinki okužbe. Poleg tega bo z omejevanjem slabšega konkurenčnega položaja, ki otežuje delo zdravim bankam zaradi lokacije njihovega sedeža, pomagal ponovno vzpostaviti enake konkurenčne pogoje na notranjem trgu. V finančno stab</w:t>
      </w:r>
      <w:r>
        <w:rPr>
          <w:noProof/>
        </w:rPr>
        <w:t>ilnem okolju se posojanje finančnih institucij širšemu gospodarstvu spodbuja z zmanjševanjem stroškov financiranja za finančne institucije, s čimer se spodbudita rast in zaposlovanje ter izboljšuje konkurenčnost gospodarstva Unije.</w:t>
      </w:r>
    </w:p>
    <w:p w:rsidR="001E2AAD" w:rsidRDefault="007B2354">
      <w:pPr>
        <w:pStyle w:val="ManualHeading1"/>
        <w:rPr>
          <w:noProof/>
        </w:rPr>
      </w:pPr>
      <w:r>
        <w:t>2.</w:t>
      </w:r>
      <w:r>
        <w:tab/>
      </w:r>
      <w:r>
        <w:rPr>
          <w:noProof/>
        </w:rPr>
        <w:t>PRAVNA PODLAGA, SUBSI</w:t>
      </w:r>
      <w:r>
        <w:rPr>
          <w:noProof/>
        </w:rPr>
        <w:t>DIARNOST IN SORAZMERNOST</w:t>
      </w:r>
    </w:p>
    <w:p w:rsidR="001E2AAD" w:rsidRDefault="007B2354">
      <w:pPr>
        <w:pStyle w:val="ManualHeading2"/>
        <w:rPr>
          <w:rFonts w:eastAsia="Arial Unicode MS"/>
          <w:noProof/>
          <w:bdr w:val="none" w:sz="0" w:space="0" w:color="auto" w:frame="1"/>
        </w:rPr>
      </w:pPr>
      <w:r>
        <w:t>2.1.</w:t>
      </w:r>
      <w:r>
        <w:tab/>
      </w:r>
      <w:r>
        <w:rPr>
          <w:noProof/>
        </w:rPr>
        <w:t>Pravna podlaga</w:t>
      </w:r>
    </w:p>
    <w:p w:rsidR="001E2AAD" w:rsidRDefault="007B2354">
      <w:pPr>
        <w:rPr>
          <w:noProof/>
        </w:rPr>
      </w:pPr>
      <w:r>
        <w:rPr>
          <w:noProof/>
        </w:rPr>
        <w:t>Pravna podlaga za ta predlog uredbe je člen 114 Pogodbe o delovanju Evropske unije (PDEU), ki dovoljuje sprejetje ukrepov za približevanje nacionalnih določb, katerih cilj je vzpostavitev in delovanje notranjega</w:t>
      </w:r>
      <w:r>
        <w:rPr>
          <w:noProof/>
        </w:rPr>
        <w:t xml:space="preserve"> trga.</w:t>
      </w:r>
    </w:p>
    <w:p w:rsidR="001E2AAD" w:rsidRDefault="007B2354">
      <w:pPr>
        <w:rPr>
          <w:noProof/>
        </w:rPr>
      </w:pPr>
      <w:r>
        <w:rPr>
          <w:noProof/>
        </w:rPr>
        <w:t>Predlog uredbe je namenjen ohranjanju celovitosti in izboljšanju delovanja notranjega trga. Enotna uporaba enega sklopa pravil za zaščito vlog, skupaj z dostopom do Evropskega jamstvenega sklada za vloge (jamstveni sklad za vloge), ki ga upravlja ce</w:t>
      </w:r>
      <w:r>
        <w:rPr>
          <w:noProof/>
        </w:rPr>
        <w:t>ntralni organ, bi prispevala k urejenemu delovanju finančnih trgov Unije in k finančni stabilnosti v Uniji. S tem bi se odpravile ovire pri izvajanju temeljnih svoboščin, pri čemer ne bi prišlo do večjega izkrivljanja konkurence, vsaj v tistih državah član</w:t>
      </w:r>
      <w:r>
        <w:rPr>
          <w:noProof/>
        </w:rPr>
        <w:t>icah, ki si delijo nadzor in reševanje kreditnih institucij ter zaščito vlagateljev na evropski ravni.</w:t>
      </w:r>
    </w:p>
    <w:p w:rsidR="001E2AAD" w:rsidRDefault="007B2354">
      <w:pPr>
        <w:rPr>
          <w:noProof/>
        </w:rPr>
      </w:pPr>
      <w:r>
        <w:rPr>
          <w:noProof/>
        </w:rPr>
        <w:t>Zato je člen 114 PDEU ustrezna pravna podlaga.</w:t>
      </w:r>
    </w:p>
    <w:p w:rsidR="001E2AAD" w:rsidRDefault="007B2354">
      <w:pPr>
        <w:pStyle w:val="ManualHeading2"/>
        <w:rPr>
          <w:noProof/>
          <w:bdr w:val="none" w:sz="0" w:space="0" w:color="auto" w:frame="1"/>
        </w:rPr>
      </w:pPr>
      <w:r>
        <w:t>2.2.</w:t>
      </w:r>
      <w:r>
        <w:tab/>
      </w:r>
      <w:r>
        <w:rPr>
          <w:noProof/>
        </w:rPr>
        <w:t xml:space="preserve">Subsidiarnost (za neizključno pristojnost) </w:t>
      </w:r>
    </w:p>
    <w:p w:rsidR="001E2AAD" w:rsidRDefault="007B2354">
      <w:pPr>
        <w:rPr>
          <w:rFonts w:eastAsia="Times New Roman"/>
          <w:noProof/>
          <w:szCs w:val="24"/>
        </w:rPr>
      </w:pPr>
      <w:r>
        <w:rPr>
          <w:noProof/>
        </w:rPr>
        <w:t>V skladu z načelom subsidiarnosti iz člena 5(3) Pogodbe o</w:t>
      </w:r>
      <w:r>
        <w:rPr>
          <w:noProof/>
        </w:rPr>
        <w:t xml:space="preserve"> Evropski uniji (PEU) lahko Unija deluje na področjih, ki niso v njeni izključni pristojnosti, le če in kolikor države članice ciljev predlaganih ukrepov ne morejo zadovoljivo doseči na nacionalni, regionalni ali lokalni ravni, temveč se zaradi obsega ali </w:t>
      </w:r>
      <w:r>
        <w:rPr>
          <w:noProof/>
        </w:rPr>
        <w:t>učinkov predlaganih ukrepov lažje dosežejo na ravni Unije.</w:t>
      </w:r>
    </w:p>
    <w:p w:rsidR="001E2AAD" w:rsidRDefault="007B2354">
      <w:pPr>
        <w:rPr>
          <w:noProof/>
        </w:rPr>
      </w:pPr>
      <w:r>
        <w:rPr>
          <w:noProof/>
        </w:rPr>
        <w:t>Sistemi jamstva za vloge so v sedanjih okoliščinah, ko so popolnoma nacionalni, ranljivi za velike lokalne pretrese zaradi še vedno močne povezave med bankami in njihovimi nacionalnimi državami. Ta</w:t>
      </w:r>
      <w:r>
        <w:rPr>
          <w:noProof/>
        </w:rPr>
        <w:t>kšno stanje škoduje homogenosti zaščite vlog in lahko prispeva k pomanjkanju zaupanja med vlagatelji.</w:t>
      </w:r>
    </w:p>
    <w:p w:rsidR="001E2AAD" w:rsidRDefault="007B2354">
      <w:pPr>
        <w:rPr>
          <w:rFonts w:eastAsia="Times New Roman"/>
          <w:noProof/>
          <w:szCs w:val="24"/>
        </w:rPr>
      </w:pPr>
      <w:r>
        <w:rPr>
          <w:noProof/>
        </w:rPr>
        <w:t>Poleg tega lahko bistvene razlike v zaščiti vlagateljev, sprejete na nacionalni ravni, za katere veljajo lokalne posebnosti ter omejitve financiranja, ogr</w:t>
      </w:r>
      <w:r>
        <w:rPr>
          <w:noProof/>
        </w:rPr>
        <w:t>ozijo celovitost notranjega trga.</w:t>
      </w:r>
    </w:p>
    <w:p w:rsidR="001E2AAD" w:rsidRDefault="007B2354">
      <w:pPr>
        <w:rPr>
          <w:rFonts w:eastAsia="Times New Roman"/>
          <w:noProof/>
          <w:szCs w:val="24"/>
        </w:rPr>
      </w:pPr>
      <w:r>
        <w:rPr>
          <w:noProof/>
        </w:rPr>
        <w:t>Samo ukrepanje na evropski ravni lahko vlagateljem zagotovi ustrezno jamstvo za vloge na celotnem notranjem trgu ter oslabi povezavo med nacionalnimi SJV in finančnim položajem zadevne države.</w:t>
      </w:r>
    </w:p>
    <w:p w:rsidR="001E2AAD" w:rsidRDefault="007B2354">
      <w:pPr>
        <w:rPr>
          <w:rFonts w:eastAsia="Times New Roman"/>
          <w:noProof/>
          <w:szCs w:val="24"/>
        </w:rPr>
      </w:pPr>
      <w:r>
        <w:rPr>
          <w:noProof/>
        </w:rPr>
        <w:t>EMN zagotavlja enake konkuren</w:t>
      </w:r>
      <w:r>
        <w:rPr>
          <w:noProof/>
        </w:rPr>
        <w:t>čne pogoje pri nadzoru bank ter zmanjšuje tveganje popuščanja pri nadzoru. EMR zagotavlja, da je v primeru propada banke prestrukturiranje mogoče izvesti z najnižjimi stroški, davkoplačevalci so ustrezno zaščiteni, upniki in kreditne institucije pa so dele</w:t>
      </w:r>
      <w:r>
        <w:rPr>
          <w:noProof/>
        </w:rPr>
        <w:t xml:space="preserve">žni poštene in enakopravne obravnave na celotnem notranjem trgu, ne da bi bili kaznovani zaradi lokacije sedeža. Zato je tudi primerno, da Unija sprejme zakonodajni ukrep za vzpostavitev ureditev, ki so potrebne za zaščito vlog kreditnih institucij, ki bi </w:t>
      </w:r>
      <w:r>
        <w:rPr>
          <w:noProof/>
        </w:rPr>
        <w:t>spadale v okvir bančne unije.</w:t>
      </w:r>
    </w:p>
    <w:p w:rsidR="001E2AAD" w:rsidRDefault="007B2354">
      <w:pPr>
        <w:rPr>
          <w:rFonts w:eastAsia="Times New Roman"/>
          <w:noProof/>
          <w:szCs w:val="24"/>
        </w:rPr>
      </w:pPr>
      <w:r>
        <w:rPr>
          <w:noProof/>
        </w:rPr>
        <w:t>ESJV bi poleg tega prinesel precejšnjo ekonomijo obsega in preprečil negativne zunanje dejavnike, ki lahko izhajajo iz izključno nacionalnih odločitev in skladov.</w:t>
      </w:r>
    </w:p>
    <w:p w:rsidR="001E2AAD" w:rsidRDefault="007B2354">
      <w:pPr>
        <w:pStyle w:val="ManualHeading2"/>
        <w:rPr>
          <w:rFonts w:eastAsia="Arial Unicode MS"/>
          <w:noProof/>
          <w:bdr w:val="none" w:sz="0" w:space="0" w:color="auto" w:frame="1"/>
        </w:rPr>
      </w:pPr>
      <w:r>
        <w:t>2.3.</w:t>
      </w:r>
      <w:r>
        <w:tab/>
      </w:r>
      <w:r>
        <w:rPr>
          <w:noProof/>
        </w:rPr>
        <w:t>Sorazmernost</w:t>
      </w:r>
    </w:p>
    <w:p w:rsidR="001E2AAD" w:rsidRDefault="007B2354">
      <w:pPr>
        <w:spacing w:before="0" w:after="240"/>
        <w:rPr>
          <w:noProof/>
        </w:rPr>
      </w:pPr>
      <w:r>
        <w:rPr>
          <w:noProof/>
        </w:rPr>
        <w:t xml:space="preserve">Predlog je v skladu z načelom sorazmernosti. </w:t>
      </w:r>
      <w:r>
        <w:rPr>
          <w:noProof/>
        </w:rPr>
        <w:t xml:space="preserve">V skladu z načelom sorazmernosti, kot ga določa člen 5(4) PEU, ukrepi Unije vsebinsko in formalno ne presegajo tistega, kar je potrebno za doseganje ciljev pogodb. </w:t>
      </w:r>
    </w:p>
    <w:p w:rsidR="001E2AAD" w:rsidRDefault="007B2354">
      <w:pPr>
        <w:rPr>
          <w:noProof/>
        </w:rPr>
      </w:pPr>
      <w:r>
        <w:rPr>
          <w:noProof/>
          <w:color w:val="000000" w:themeColor="text1"/>
        </w:rPr>
        <w:t xml:space="preserve">V bančni uniji izvaja bančni nadzor in reševanje organ na isti ravni. Napetosti se lahko </w:t>
      </w:r>
      <w:r>
        <w:rPr>
          <w:noProof/>
          <w:color w:val="000000" w:themeColor="text1"/>
        </w:rPr>
        <w:t>pojavijo, če bi se evropski organ za reševanje odločal glede likvidacije ali reševanja banke, ne da bi bil sposoben zagotoviti, da so vloge v tem postopku zaščitene</w:t>
      </w:r>
      <w:r>
        <w:rPr>
          <w:noProof/>
        </w:rPr>
        <w:t>, saj bi to ogrozilo finančno stabilnost. Nedavna kriza je dejansko izpostavila potrebo po h</w:t>
      </w:r>
      <w:r>
        <w:rPr>
          <w:noProof/>
        </w:rPr>
        <w:t>itrem in odločnem ukrepanju, podprtem s ureditvami financiranja na evropski ravni. ESJV bi zagotovil, da se ista pravila enako uporabljajo za zaščito vlog v vseh sodelujočih državah članicah. Ustrezna rezervna sredstva bi omilila težave v posameznih bankah</w:t>
      </w:r>
      <w:r>
        <w:rPr>
          <w:noProof/>
        </w:rPr>
        <w:t xml:space="preserve"> in preprečila izgubo zaupanja v celotni bančni sistem države članice ali drugih držav članic, za katere so trgi zaznali, da so izpostavljeni podobnim tveganjem.</w:t>
      </w:r>
    </w:p>
    <w:p w:rsidR="001E2AAD" w:rsidRDefault="007B2354">
      <w:pPr>
        <w:rPr>
          <w:noProof/>
        </w:rPr>
      </w:pPr>
      <w:r>
        <w:rPr>
          <w:noProof/>
        </w:rPr>
        <w:t>Zaradi dodane pravne varnosti, usklajenih spodbud v okviru bančne unije ter gospodarskih koris</w:t>
      </w:r>
      <w:r>
        <w:rPr>
          <w:noProof/>
        </w:rPr>
        <w:t>ti osrednje in enotne zaščite vlagateljev je predlog uredbe v skladu z načelom sorazmernosti.</w:t>
      </w:r>
    </w:p>
    <w:p w:rsidR="001E2AAD" w:rsidRDefault="007B2354">
      <w:pPr>
        <w:pStyle w:val="ManualHeading2"/>
        <w:rPr>
          <w:rFonts w:eastAsia="Arial Unicode MS"/>
          <w:noProof/>
          <w:bdr w:val="none" w:sz="0" w:space="0" w:color="auto" w:frame="1"/>
        </w:rPr>
      </w:pPr>
      <w:r>
        <w:t>2.4.</w:t>
      </w:r>
      <w:r>
        <w:tab/>
      </w:r>
      <w:r>
        <w:rPr>
          <w:noProof/>
        </w:rPr>
        <w:t>Izbira instrumentov</w:t>
      </w:r>
    </w:p>
    <w:p w:rsidR="001E2AAD" w:rsidRDefault="007B2354">
      <w:pPr>
        <w:rPr>
          <w:noProof/>
        </w:rPr>
      </w:pPr>
      <w:r>
        <w:rPr>
          <w:noProof/>
        </w:rPr>
        <w:t>Postopno vse bolj centralizirana uporaba pravil glede jamstva za vloge, določenih v direktivi o sistemu jamstva za vloge, s strani enotne</w:t>
      </w:r>
      <w:r>
        <w:rPr>
          <w:noProof/>
        </w:rPr>
        <w:t>ga organa Unije v sodelujočih državah članicah se lahko zagotovi le, če se pravila o vzpostavitvi in delovanju ESJV v državah članicah uporabljajo neposredno, da se preprečijo različne razlage med državami članicami. To in dejstvo, da je na ravni bančne un</w:t>
      </w:r>
      <w:r>
        <w:rPr>
          <w:noProof/>
        </w:rPr>
        <w:t xml:space="preserve">ije vzpostavljen jamstveni sklad za vloge, ki ga upravlja odbor, ki zastopa vse članice bančne unije, zahteva sprejetje uredbe kot primernega pravnega instrumenta. </w:t>
      </w:r>
    </w:p>
    <w:p w:rsidR="001E2AAD" w:rsidRDefault="007B2354">
      <w:pPr>
        <w:pStyle w:val="ManualHeading1"/>
        <w:rPr>
          <w:noProof/>
        </w:rPr>
      </w:pPr>
      <w:r>
        <w:t>3.</w:t>
      </w:r>
      <w:r>
        <w:tab/>
      </w:r>
      <w:r>
        <w:rPr>
          <w:noProof/>
        </w:rPr>
        <w:t>REZULTATI NAKNADNIH OCEN, POSVETOVANJ Z DELEŽNIKI IN OCEN UČINKA</w:t>
      </w:r>
    </w:p>
    <w:p w:rsidR="001E2AAD" w:rsidRDefault="007B2354">
      <w:pPr>
        <w:pStyle w:val="ManualHeading2"/>
        <w:rPr>
          <w:noProof/>
          <w:bdr w:val="none" w:sz="0" w:space="0" w:color="auto" w:frame="1"/>
        </w:rPr>
      </w:pPr>
      <w:r>
        <w:t>3.1.</w:t>
      </w:r>
      <w:r>
        <w:tab/>
      </w:r>
      <w:r>
        <w:rPr>
          <w:noProof/>
        </w:rPr>
        <w:t>V čem je težava in</w:t>
      </w:r>
      <w:r>
        <w:rPr>
          <w:noProof/>
        </w:rPr>
        <w:t xml:space="preserve"> zakaj je to težava?</w:t>
      </w:r>
    </w:p>
    <w:p w:rsidR="001E2AAD" w:rsidRDefault="007B2354">
      <w:pPr>
        <w:spacing w:before="0" w:after="240"/>
        <w:rPr>
          <w:noProof/>
          <w:szCs w:val="24"/>
        </w:rPr>
      </w:pPr>
      <w:r>
        <w:rPr>
          <w:noProof/>
        </w:rPr>
        <w:t>V bančni uniji ostaja jamstvo za vloge v celoti na nacionalni ravni, zato so nacionalni sistemi jamstva za vloge ranljivi za velike lokalne pretrese, proračuni držav članic pa so še naprej izpostavljeni tveganjem v njihovih bančnih sek</w:t>
      </w:r>
      <w:r>
        <w:rPr>
          <w:noProof/>
        </w:rPr>
        <w:t xml:space="preserve">torjih. To preprečuje realizacijo vseh koristi notranjega trga in bančne unije ter lahko negativno vpliva na zaupanje vlagateljev in pravico do ustanavljanja kreditnih institucij in vlagateljev. </w:t>
      </w:r>
    </w:p>
    <w:p w:rsidR="001E2AAD" w:rsidRDefault="007B2354">
      <w:pPr>
        <w:rPr>
          <w:noProof/>
        </w:rPr>
      </w:pPr>
      <w:r>
        <w:rPr>
          <w:noProof/>
        </w:rPr>
        <w:t>Vse države članice imajo sisteme jamstva za vloge, kot zahte</w:t>
      </w:r>
      <w:r>
        <w:rPr>
          <w:noProof/>
        </w:rPr>
        <w:t xml:space="preserve">va direktiva o SJV. Čeprav države članice že delijo nekatere skupne vidike glede glavnih lastnosti SJV in njihovega delovanja, o pomembnih vidikih še vedno presojajo samostojno. Države članice lahko po odobritvi Evropske komisije dovolijo znižanje ciljnih </w:t>
      </w:r>
      <w:r>
        <w:rPr>
          <w:noProof/>
        </w:rPr>
        <w:t xml:space="preserve">ravni za razpoložljiva finančna sredstva. </w:t>
      </w:r>
    </w:p>
    <w:p w:rsidR="001E2AAD" w:rsidRDefault="007B2354">
      <w:pPr>
        <w:rPr>
          <w:noProof/>
        </w:rPr>
      </w:pPr>
      <w:r>
        <w:rPr>
          <w:noProof/>
        </w:rPr>
        <w:t xml:space="preserve">Razlike v ravneh financiranja in velikosti obstoječih 38 SJV v EU lahko negativno vplivajo na zaupanje vlagateljev ter škodujejo delovanju notranjega trga. </w:t>
      </w:r>
    </w:p>
    <w:p w:rsidR="001E2AAD" w:rsidRDefault="007B2354">
      <w:pPr>
        <w:pStyle w:val="ManualHeading2"/>
        <w:rPr>
          <w:noProof/>
          <w:bdr w:val="none" w:sz="0" w:space="0" w:color="auto" w:frame="1"/>
        </w:rPr>
      </w:pPr>
      <w:r>
        <w:t>3.2.</w:t>
      </w:r>
      <w:r>
        <w:tab/>
      </w:r>
      <w:r>
        <w:rPr>
          <w:noProof/>
        </w:rPr>
        <w:t>Zakaj bi morala EU ukrepati?</w:t>
      </w:r>
    </w:p>
    <w:p w:rsidR="001E2AAD" w:rsidRDefault="007B2354">
      <w:pPr>
        <w:spacing w:before="0" w:after="240"/>
        <w:rPr>
          <w:noProof/>
          <w:szCs w:val="24"/>
        </w:rPr>
      </w:pPr>
      <w:r>
        <w:rPr>
          <w:noProof/>
        </w:rPr>
        <w:t xml:space="preserve">ESJV bi poleg nadzora </w:t>
      </w:r>
      <w:r>
        <w:rPr>
          <w:noProof/>
        </w:rPr>
        <w:t xml:space="preserve">in reševanja bank dopolnil bančno unijo. Zmanjšal bi ranljivost bančnih vlagateljev na velike lokalne pretrese ter dodatno zmanjšal povezavo med bankami in njihovimi domačimi državami. Poleg tega v sistemu, v katerem se odgovornosti za nadzor in reševanje </w:t>
      </w:r>
      <w:r>
        <w:rPr>
          <w:noProof/>
        </w:rPr>
        <w:t>bank delijo, okoliščine, v katerih se lahko uporabi nacionalni SJV, niso več pod nacionalnim nadzorom. Direktiva 2014/59/EU (direktiva o sanaciji in reševanju bank) in Uredba (EU) št. 806/2014 (uredba o enotnem mehanizmu za reševanje) vsebujeta določbe o m</w:t>
      </w:r>
      <w:r>
        <w:rPr>
          <w:noProof/>
        </w:rPr>
        <w:t xml:space="preserve">orebitni uporabi sredstev SJV v postopku reševanja. Zato je vzpostavitev skupnega sistema tudi za jamstva za vloge logični naslednji korak za dokončanje bančne unije, poleg tega pa tudi bolje uskladi odgovornost in nadzor. </w:t>
      </w:r>
    </w:p>
    <w:p w:rsidR="001E2AAD" w:rsidRDefault="007B2354">
      <w:pPr>
        <w:pStyle w:val="ManualHeading2"/>
        <w:rPr>
          <w:noProof/>
          <w:bdr w:val="none" w:sz="0" w:space="0" w:color="auto" w:frame="1"/>
        </w:rPr>
      </w:pPr>
      <w:r>
        <w:t>3.3.</w:t>
      </w:r>
      <w:r>
        <w:tab/>
      </w:r>
      <w:r>
        <w:rPr>
          <w:noProof/>
        </w:rPr>
        <w:t>Kaj je mogoče doseči?</w:t>
      </w:r>
    </w:p>
    <w:p w:rsidR="001E2AAD" w:rsidRDefault="007B2354">
      <w:pPr>
        <w:rPr>
          <w:noProof/>
        </w:rPr>
      </w:pPr>
      <w:r>
        <w:rPr>
          <w:noProof/>
        </w:rPr>
        <w:t>Pri k</w:t>
      </w:r>
      <w:r>
        <w:rPr>
          <w:noProof/>
        </w:rPr>
        <w:t xml:space="preserve">vantitativni analizi se je upoštevala učinkovitost popolnoma vzajemnega ESJV v primeru morebitnih izplačil. Analiza je pokazala, da se število in velikost bank, za katere bi jamstveni sklad za vloge lahko izplačal vloge, pod okriljem ESJV znatno poveča za </w:t>
      </w:r>
      <w:r>
        <w:rPr>
          <w:noProof/>
        </w:rPr>
        <w:t xml:space="preserve">vse države članice v primerjavi z nacionalnimi SJV. </w:t>
      </w:r>
    </w:p>
    <w:p w:rsidR="001E2AAD" w:rsidRDefault="007B2354">
      <w:pPr>
        <w:rPr>
          <w:noProof/>
        </w:rPr>
      </w:pPr>
      <w:r>
        <w:rPr>
          <w:noProof/>
        </w:rPr>
        <w:t xml:space="preserve">Poleg tega je analiza pokazala, da bi bilo pričakovano pomanjkanje sredstev za izplačila, izraženo kot odstotek ciljne ravni, za ESJV nižje kot za kateri koli nacionalni SJV. </w:t>
      </w:r>
    </w:p>
    <w:p w:rsidR="001E2AAD" w:rsidRDefault="007B2354">
      <w:pPr>
        <w:spacing w:before="0" w:after="240"/>
        <w:rPr>
          <w:noProof/>
          <w:szCs w:val="24"/>
        </w:rPr>
      </w:pPr>
      <w:r>
        <w:rPr>
          <w:noProof/>
        </w:rPr>
        <w:t>Zgornje ocene so bile oprav</w:t>
      </w:r>
      <w:r>
        <w:rPr>
          <w:noProof/>
        </w:rPr>
        <w:t>ljene ob predpostavki, da ESJV ne bi zahteval dodatnih prispevkov bank, temveč bi se namesto tega prispevki bank, predvideni za nacionalne sklade, uporabili za vzpostavitev ESJV. Rezultati kažejo, da bi lahko isti znesek sredstev, ki bi bil na voljo enotne</w:t>
      </w:r>
      <w:r>
        <w:rPr>
          <w:noProof/>
        </w:rPr>
        <w:t xml:space="preserve">mu evropskemu SJV, omogočil precej učinkovitejšo zaščito in uporabo sredstev kot ohranjanje zgolj nacionalnih SJV. </w:t>
      </w:r>
    </w:p>
    <w:p w:rsidR="001E2AAD" w:rsidRDefault="007B2354">
      <w:pPr>
        <w:pStyle w:val="ManualHeading2"/>
        <w:rPr>
          <w:noProof/>
          <w:bdr w:val="none" w:sz="0" w:space="0" w:color="auto" w:frame="1"/>
        </w:rPr>
      </w:pPr>
      <w:r>
        <w:t>3.4.</w:t>
      </w:r>
      <w:r>
        <w:tab/>
      </w:r>
      <w:r>
        <w:rPr>
          <w:noProof/>
        </w:rPr>
        <w:t>Katere so različne možnosti za dosego ciljev?</w:t>
      </w:r>
    </w:p>
    <w:p w:rsidR="001E2AAD" w:rsidRDefault="007B2354">
      <w:pPr>
        <w:pStyle w:val="ManualHeading3"/>
        <w:rPr>
          <w:noProof/>
        </w:rPr>
      </w:pPr>
      <w:r>
        <w:t>3.4.1.</w:t>
      </w:r>
      <w:r>
        <w:tab/>
      </w:r>
      <w:r>
        <w:rPr>
          <w:noProof/>
        </w:rPr>
        <w:t xml:space="preserve">Trenutne ravni financiranja pri oblikovanju ESJV </w:t>
      </w:r>
    </w:p>
    <w:p w:rsidR="001E2AAD" w:rsidRDefault="007B2354">
      <w:pPr>
        <w:pStyle w:val="Text1"/>
        <w:ind w:left="0"/>
        <w:rPr>
          <w:noProof/>
        </w:rPr>
      </w:pPr>
      <w:r>
        <w:rPr>
          <w:noProof/>
        </w:rPr>
        <w:t xml:space="preserve">Ocena kaže, da bi se ESJV začel </w:t>
      </w:r>
      <w:r>
        <w:rPr>
          <w:noProof/>
        </w:rPr>
        <w:t xml:space="preserve">na podlagi zelo različnih ravni financiranja nacionalnih SJV. To pomeni, da mora ESJV v svoji začetni fazi zagotoviti likvidnostno podporo, ker bi bili sicer lokalni SJV še vedno skoraj izključno odvisni od nacionalnih alternativnih sredstev financiranja. </w:t>
      </w:r>
      <w:r>
        <w:rPr>
          <w:noProof/>
        </w:rPr>
        <w:t xml:space="preserve">Drugič, ESJV bi bil moral biti oblikovan tako, da bi se izognili nesorazmernim ugodnostim za sisteme, ki še niso začeli zbirati </w:t>
      </w:r>
      <w:r>
        <w:rPr>
          <w:i/>
          <w:noProof/>
        </w:rPr>
        <w:t>predhodnih</w:t>
      </w:r>
      <w:r>
        <w:rPr>
          <w:noProof/>
        </w:rPr>
        <w:t xml:space="preserve"> sredstev, ter preprečili spodbude za takšno ravnanje tudi v prihodnosti. </w:t>
      </w:r>
    </w:p>
    <w:p w:rsidR="001E2AAD" w:rsidRDefault="007B2354">
      <w:pPr>
        <w:pStyle w:val="ManualHeading3"/>
        <w:rPr>
          <w:noProof/>
        </w:rPr>
      </w:pPr>
      <w:r>
        <w:t>3.4.2.</w:t>
      </w:r>
      <w:r>
        <w:tab/>
      </w:r>
      <w:r>
        <w:rPr>
          <w:noProof/>
        </w:rPr>
        <w:t>Področje uporabe ESJV</w:t>
      </w:r>
    </w:p>
    <w:p w:rsidR="001E2AAD" w:rsidRDefault="007B2354">
      <w:pPr>
        <w:pStyle w:val="Text1"/>
        <w:ind w:left="0"/>
        <w:rPr>
          <w:noProof/>
        </w:rPr>
      </w:pPr>
      <w:r>
        <w:rPr>
          <w:noProof/>
        </w:rPr>
        <w:t xml:space="preserve">Pričakuje se, </w:t>
      </w:r>
      <w:r>
        <w:rPr>
          <w:noProof/>
        </w:rPr>
        <w:t xml:space="preserve">da razlike v ravneh financiranja ne bodo povzročale težav, ko bodo SJV izpolnili svoje obveznosti iz direktive o SJV glede zbiranja </w:t>
      </w:r>
      <w:r>
        <w:rPr>
          <w:i/>
          <w:noProof/>
        </w:rPr>
        <w:t>predhodnih</w:t>
      </w:r>
      <w:r>
        <w:rPr>
          <w:noProof/>
        </w:rPr>
        <w:t xml:space="preserve"> sredstev. Analiza je pokazala, da bi skupni sistem deloval učinkoviteje, tj. zagotavljal višjo raven zaščite, ne </w:t>
      </w:r>
      <w:r>
        <w:rPr>
          <w:noProof/>
        </w:rPr>
        <w:t xml:space="preserve">da bi bilo treba povečati skupne prispevke. Prav tako bi bil v boljšem položaju za zmanjšanje izpostavljenosti držav članic domačim bančnim sistemom. </w:t>
      </w:r>
    </w:p>
    <w:p w:rsidR="001E2AAD" w:rsidRDefault="007B2354">
      <w:pPr>
        <w:pStyle w:val="ManualHeading3"/>
        <w:rPr>
          <w:noProof/>
        </w:rPr>
      </w:pPr>
      <w:r>
        <w:t>3.4.3.</w:t>
      </w:r>
      <w:r>
        <w:tab/>
      </w:r>
      <w:r>
        <w:rPr>
          <w:noProof/>
        </w:rPr>
        <w:t>Prispevki</w:t>
      </w:r>
    </w:p>
    <w:p w:rsidR="001E2AAD" w:rsidRDefault="007B2354">
      <w:pPr>
        <w:pStyle w:val="Text1"/>
        <w:ind w:left="0"/>
        <w:rPr>
          <w:noProof/>
        </w:rPr>
      </w:pPr>
      <w:r>
        <w:rPr>
          <w:noProof/>
        </w:rPr>
        <w:t>Analiza kaže, da (i) prilagajanje prispevkov glede na tveganje spreminja razporeditev fi</w:t>
      </w:r>
      <w:r>
        <w:rPr>
          <w:noProof/>
        </w:rPr>
        <w:t>nančnega bremena med banke v danem bančnem sektorju, (ii) bo ocena tveganja dane banke glede na banke v bančni uniji namesto glede na banke nacionalnega bančnega sektorja ali bančnega sektorja SJV verjetno spremenila višino prispevka, ki ga mora plačati ta</w:t>
      </w:r>
      <w:r>
        <w:rPr>
          <w:noProof/>
        </w:rPr>
        <w:t xml:space="preserve"> </w:t>
      </w:r>
      <w:r>
        <w:rPr>
          <w:i/>
          <w:noProof/>
        </w:rPr>
        <w:t>posamezna</w:t>
      </w:r>
      <w:r>
        <w:rPr>
          <w:noProof/>
        </w:rPr>
        <w:t xml:space="preserve"> banka. Vendar za nobeno skupino bank ni bilo ugotovljeno, da bi bila v boljšem ali slabšem položaju. </w:t>
      </w:r>
    </w:p>
    <w:p w:rsidR="001E2AAD" w:rsidRDefault="007B2354">
      <w:pPr>
        <w:pStyle w:val="Text1"/>
        <w:ind w:left="0"/>
        <w:rPr>
          <w:noProof/>
        </w:rPr>
      </w:pPr>
      <w:r>
        <w:rPr>
          <w:noProof/>
        </w:rPr>
        <w:t>Verjetnost, da bi moral sistem jamstva za vloge mobilizirati sredstva za izplačilo nadomestil vlagateljem, se povečuje s tveganjem zadevne bank</w:t>
      </w:r>
      <w:r>
        <w:rPr>
          <w:noProof/>
        </w:rPr>
        <w:t>e. Zato predlog predvideva prispevke, prilagojene glede na tveganje, tj. nadaljuje načelo, ki je že določeno v direktivi o SJV.</w:t>
      </w:r>
    </w:p>
    <w:p w:rsidR="001E2AAD" w:rsidRDefault="007B2354">
      <w:pPr>
        <w:spacing w:before="0" w:after="240"/>
        <w:rPr>
          <w:noProof/>
          <w:szCs w:val="24"/>
        </w:rPr>
      </w:pPr>
      <w:r>
        <w:rPr>
          <w:noProof/>
        </w:rPr>
        <w:t>Drugič, analiza kaže, da ima primerjalna skupina učinek na prispevke, ki jih plačajo posamezne institucije. Zato se v fazi pozav</w:t>
      </w:r>
      <w:r>
        <w:rPr>
          <w:noProof/>
        </w:rPr>
        <w:t>arovanja ESJV, ko tveganja večinoma ostanejo na nacionalni ravni, profil tveganja posamezne banke določi glede na preostali del njenega nacionalnega bančnega sistema. Ko ESJV postane sistem s skupno odgovornostjo na ravni bančne unije, se profil tveganja p</w:t>
      </w:r>
      <w:r>
        <w:rPr>
          <w:noProof/>
        </w:rPr>
        <w:t>osamezne banke določi glede na vse banke v bančni uniji. To bi zagotovilo, da ESJV ostane stroškovno nevtralen za banke in nacionalne sisteme jamstva za vloge, hkrati pa bi preprečilo zaplete pri določanju profilov tveganj bank v fazi vzpostavljanja jamstv</w:t>
      </w:r>
      <w:r>
        <w:rPr>
          <w:noProof/>
        </w:rPr>
        <w:t>enega sklada za vloge.</w:t>
      </w:r>
    </w:p>
    <w:p w:rsidR="001E2AAD" w:rsidRDefault="007B2354">
      <w:pPr>
        <w:pStyle w:val="ManualHeading2"/>
        <w:rPr>
          <w:rFonts w:eastAsia="Arial Unicode MS"/>
          <w:noProof/>
          <w:bdr w:val="none" w:sz="0" w:space="0" w:color="auto" w:frame="1"/>
        </w:rPr>
      </w:pPr>
      <w:r>
        <w:t>3.5.</w:t>
      </w:r>
      <w:r>
        <w:tab/>
      </w:r>
      <w:r>
        <w:rPr>
          <w:noProof/>
        </w:rPr>
        <w:t>Temeljne pravice</w:t>
      </w:r>
    </w:p>
    <w:p w:rsidR="001E2AAD" w:rsidRDefault="007B2354">
      <w:pPr>
        <w:rPr>
          <w:noProof/>
        </w:rPr>
      </w:pPr>
      <w:r>
        <w:rPr>
          <w:noProof/>
        </w:rPr>
        <w:t>Predlagana uredba nima posledic za varstvo temeljnih pravic, razen posledic za uredbo in direktivo, ki ju spreminja, in ki so obravnavane v obrazložitvenem memorandumu Uredbe (EU) št. 806/2014 o določitvi enotne</w:t>
      </w:r>
      <w:r>
        <w:rPr>
          <w:noProof/>
        </w:rPr>
        <w:t xml:space="preserve">ga postopka za reševanje. </w:t>
      </w:r>
    </w:p>
    <w:p w:rsidR="001E2AAD" w:rsidRDefault="007B2354">
      <w:pPr>
        <w:pStyle w:val="ManualHeading1"/>
        <w:rPr>
          <w:noProof/>
        </w:rPr>
      </w:pPr>
      <w:r>
        <w:t>4.</w:t>
      </w:r>
      <w:r>
        <w:tab/>
      </w:r>
      <w:r>
        <w:rPr>
          <w:noProof/>
        </w:rPr>
        <w:t>PRORAČUNSKE POSLEDICE</w:t>
      </w:r>
    </w:p>
    <w:p w:rsidR="001E2AAD" w:rsidRDefault="007B2354">
      <w:pPr>
        <w:rPr>
          <w:noProof/>
        </w:rPr>
      </w:pPr>
      <w:r>
        <w:rPr>
          <w:noProof/>
        </w:rPr>
        <w:t xml:space="preserve">Odbor bi se v zvezi s funkcijami, povezanimi s ESJV, v celoti financiral z upravnimi prispevki kreditnih institucij, vključenih v sodelujoče SJV. To pomeni, da za funkcije, povezane s ESJV, prispevki iz </w:t>
      </w:r>
      <w:r>
        <w:rPr>
          <w:noProof/>
        </w:rPr>
        <w:t xml:space="preserve">proračuna EU ne bodo potrebni. Dodatni človeški viri odbora, in sicer 22 ekvivalentov polnega delovnega časa v obliki delovnih mest v skladu s kadrovskim načrtom, pogodbeni uslužbenci in napoteni nacionalni strokovnjaki v devetem letu, ko bo dosežena faza </w:t>
      </w:r>
      <w:r>
        <w:rPr>
          <w:noProof/>
        </w:rPr>
        <w:t>polnega jamstva, odražajo naloge, ki jih predlagana uredba nalaga odboru. Za delovna mesta, potrebna za razširitev nalog tega novega organa, enako kot pri vzpostavitvi enotnega odbora za reševanje, ne velja cilj 5-odstotnega zmanjšanja osebja, določen v Sp</w:t>
      </w:r>
      <w:r>
        <w:rPr>
          <w:noProof/>
        </w:rPr>
        <w:t>oročilu Komisije Evropskemu parlamentu in Svetu COM(2013) 519 z dne 10.7.2013.</w:t>
      </w:r>
    </w:p>
    <w:p w:rsidR="001E2AAD" w:rsidRDefault="007B2354">
      <w:pPr>
        <w:rPr>
          <w:noProof/>
        </w:rPr>
      </w:pPr>
      <w:r>
        <w:rPr>
          <w:noProof/>
        </w:rPr>
        <w:t>Odbor bi se v zvezi s funkcijami, povezanimi s ESJV, v celoti financiral z upravnimi prispevki kreditnih institucij, vključenih v sodelujoče SJV. Dodatna sredstva odbora odražaj</w:t>
      </w:r>
      <w:r>
        <w:rPr>
          <w:noProof/>
        </w:rPr>
        <w:t xml:space="preserve">o naloge, ki mu jih nalaga predlagana uredba. </w:t>
      </w:r>
    </w:p>
    <w:p w:rsidR="001E2AAD" w:rsidRDefault="007B2354">
      <w:pPr>
        <w:pStyle w:val="ManualHeading1"/>
        <w:rPr>
          <w:noProof/>
        </w:rPr>
      </w:pPr>
      <w:r>
        <w:t>5.</w:t>
      </w:r>
      <w:r>
        <w:tab/>
      </w:r>
      <w:r>
        <w:rPr>
          <w:noProof/>
        </w:rPr>
        <w:t>PODROBNA OBRAZLOŽITEV PREDLOGA</w:t>
      </w:r>
    </w:p>
    <w:p w:rsidR="001E2AAD" w:rsidRDefault="007B2354">
      <w:pPr>
        <w:pStyle w:val="ManualHeading2"/>
        <w:rPr>
          <w:rFonts w:eastAsia="Arial Unicode MS"/>
          <w:noProof/>
          <w:bdr w:val="none" w:sz="0" w:space="0" w:color="auto" w:frame="1"/>
        </w:rPr>
      </w:pPr>
      <w:r>
        <w:t>5.1.</w:t>
      </w:r>
      <w:r>
        <w:tab/>
      </w:r>
      <w:r>
        <w:rPr>
          <w:noProof/>
        </w:rPr>
        <w:t>Evropski sistem jamstva za vloge</w:t>
      </w:r>
    </w:p>
    <w:p w:rsidR="001E2AAD" w:rsidRDefault="007B2354">
      <w:pPr>
        <w:rPr>
          <w:noProof/>
        </w:rPr>
      </w:pPr>
      <w:r>
        <w:rPr>
          <w:noProof/>
        </w:rPr>
        <w:t>Ta predlog načrtuje vzpostavitev ESJV s spremembo Uredbe (EU) št. 806/2014 (uredba EMR). Ta sprememba ne spreminja pravil o delovanju EMR</w:t>
      </w:r>
      <w:r>
        <w:rPr>
          <w:noProof/>
        </w:rPr>
        <w:t>.</w:t>
      </w:r>
    </w:p>
    <w:p w:rsidR="001E2AAD" w:rsidRDefault="007B2354">
      <w:pPr>
        <w:pStyle w:val="ManualHeading3"/>
        <w:rPr>
          <w:rFonts w:eastAsia="Arial Unicode MS"/>
          <w:noProof/>
          <w:bdr w:val="none" w:sz="0" w:space="0" w:color="auto" w:frame="1"/>
        </w:rPr>
      </w:pPr>
      <w:r>
        <w:t>5.1.1.</w:t>
      </w:r>
      <w:r>
        <w:tab/>
      </w:r>
      <w:r>
        <w:rPr>
          <w:noProof/>
        </w:rPr>
        <w:t>Postopen razvoj ESJV</w:t>
      </w:r>
    </w:p>
    <w:p w:rsidR="001E2AAD" w:rsidRDefault="007B2354">
      <w:pPr>
        <w:rPr>
          <w:noProof/>
        </w:rPr>
      </w:pPr>
      <w:r>
        <w:rPr>
          <w:noProof/>
        </w:rPr>
        <w:t xml:space="preserve">Predlagana sprememba uredbe EMR določa vzpostavitev ESJV v treh zaporednih fazah (člen 2(2)): sistem pozavarovanja, sistem sozavarovanja in sistem polnega jamstva. ESJV bi v vseh fazah upravljal odbor skupaj s sodelujočimi </w:t>
      </w:r>
      <w:r>
        <w:rPr>
          <w:noProof/>
        </w:rPr>
        <w:t>SJV, če pa se SJV ne upravlja sam, pa skupaj z nacionalnim imenovanim organom, ki je odgovoren za upravljanje zadevnega sodelujočega SJV (člen 2(2), pododstavek 2). Jamstveni sklad za vloge je del ESJV. Napolnil bi se s prispevki, ki jih banke dolgujejo in</w:t>
      </w:r>
      <w:r>
        <w:rPr>
          <w:noProof/>
        </w:rPr>
        <w:t xml:space="preserve"> plačajo neposredno odboru, sodelujoči SJV pa jih izračunajo in zanje izdajo račun.</w:t>
      </w:r>
    </w:p>
    <w:p w:rsidR="001E2AAD" w:rsidRDefault="007B2354">
      <w:pPr>
        <w:pStyle w:val="ManualHeading3"/>
        <w:rPr>
          <w:rFonts w:eastAsia="Arial Unicode MS"/>
          <w:noProof/>
          <w:bdr w:val="none" w:sz="0" w:space="0" w:color="auto" w:frame="1"/>
        </w:rPr>
      </w:pPr>
      <w:r>
        <w:t>5.1.2.</w:t>
      </w:r>
      <w:r>
        <w:tab/>
      </w:r>
      <w:r>
        <w:rPr>
          <w:noProof/>
        </w:rPr>
        <w:t>Področje uporabe ESJV</w:t>
      </w:r>
    </w:p>
    <w:p w:rsidR="001E2AAD" w:rsidRDefault="007B2354">
      <w:pPr>
        <w:rPr>
          <w:noProof/>
        </w:rPr>
      </w:pPr>
      <w:r>
        <w:rPr>
          <w:noProof/>
        </w:rPr>
        <w:t>ESJV se uporablja za vse SJV, ki so uradno priznani v sodelujoči državi članici, in za vse kreditne institucije, ki so vključene v take sisteme</w:t>
      </w:r>
      <w:r>
        <w:rPr>
          <w:noProof/>
        </w:rPr>
        <w:t>. Sodelujoče države članice so države, katerih valuta je euro, in druge države članice, ki so vzpostavile tesno sodelovanje z Evropsko centralno banko, da bi sodelovale v EMN (člen 4(1)).</w:t>
      </w:r>
    </w:p>
    <w:p w:rsidR="001E2AAD" w:rsidRDefault="007B2354">
      <w:pPr>
        <w:rPr>
          <w:noProof/>
        </w:rPr>
      </w:pPr>
      <w:r>
        <w:rPr>
          <w:noProof/>
        </w:rPr>
        <w:t>Ker je kritje, ki ga zagotavlja ESJV, omejeno na obvezne funkcije, k</w:t>
      </w:r>
      <w:r>
        <w:rPr>
          <w:noProof/>
        </w:rPr>
        <w:t xml:space="preserve">i jih imajo SJV v skladu z direktivo, tj. izplačila vlagateljem in prispevki k reševanju, se ESJV uporablja za vse sisteme, ki se lahko soočijo z dogodkom, ki povzroči izplačilo, ali od katerih se lahko zahteva prispevek k postopku reševanja. To vključuje </w:t>
      </w:r>
      <w:r>
        <w:rPr>
          <w:noProof/>
        </w:rPr>
        <w:t>zakonsko predpisane SJV, institucionalne sheme za zaščito vlog in pogodbene sisteme jamstva za vloge, ki jih je država članica uradno priznala kot SJV (člen 1(2) direktive o SJV). Če so priznani kot sistemi jamstva za vloge, je to priznavanje neločljivo po</w:t>
      </w:r>
      <w:r>
        <w:rPr>
          <w:noProof/>
        </w:rPr>
        <w:t xml:space="preserve">vezano z njihovimi obveznostmi glede izplačila nadomestil vlagateljem, kadar so vloge nerazpoložljive, in prispevanja k postopkom reševanja. </w:t>
      </w:r>
    </w:p>
    <w:p w:rsidR="001E2AAD" w:rsidRDefault="007B2354">
      <w:pPr>
        <w:rPr>
          <w:noProof/>
        </w:rPr>
      </w:pPr>
      <w:r>
        <w:rPr>
          <w:noProof/>
        </w:rPr>
        <w:t>Pravice in obveznosti, ki jih ima sodelujoči SJV znotraj ESJV, postanejo pravice in obveznosti imenovanega organa,</w:t>
      </w:r>
      <w:r>
        <w:rPr>
          <w:noProof/>
        </w:rPr>
        <w:t xml:space="preserve"> kadar SJV ne upravlja zasebni subjekt, ampak sam imenovani organ (pododstavek 2 člena 2(2)). Pri tem se upošteva diskrecijska pravica držav članic glede uvedbe, priznavanja in upravljanja SJV na nacionalni ravni (glej člen 2(18) Direktive).</w:t>
      </w:r>
    </w:p>
    <w:p w:rsidR="001E2AAD" w:rsidRDefault="007B2354">
      <w:pPr>
        <w:rPr>
          <w:noProof/>
        </w:rPr>
      </w:pPr>
      <w:r>
        <w:rPr>
          <w:noProof/>
        </w:rPr>
        <w:t>Če se tesno so</w:t>
      </w:r>
      <w:r>
        <w:rPr>
          <w:noProof/>
        </w:rPr>
        <w:t>delovanje držav članic, ki ne uporabljajo eura, začasno ali trajno prekine, se za sodelujoče SJV, ki so uradno priznani v tej državi članici, in vanje vključene kreditne institucije ne uporablja več uredba EMR niti glede EMR niti ESJV (člen 4). Zgolj v pri</w:t>
      </w:r>
      <w:r>
        <w:rPr>
          <w:noProof/>
        </w:rPr>
        <w:t xml:space="preserve">meru trajne prekinitve je vsak od teh SJV upravičen do deleža razpoložljivih finančnih sredstev, s katerimi v času prekinitve razpolaga jamstveni sklad za vloge. Ta pravica se uporablja za oskrbovanje zadevnih SJV s sredstvi, ki jih potrebuje, da bi lahko </w:t>
      </w:r>
      <w:r>
        <w:rPr>
          <w:noProof/>
        </w:rPr>
        <w:t>izpolnil svoje obveznosti glede financiranja iz direktive. Delež, ki ga lahko zahteva zadevni SJV, se izračuna po metodi za izračun. Ob upoštevanju nižjega praga za zadostno financiranje, določenega v členu 11(5)(a) direktive o SJV, SJV ne more zaprositi z</w:t>
      </w:r>
      <w:r>
        <w:rPr>
          <w:noProof/>
        </w:rPr>
        <w:t>a več sredstev iz jamstvenega sklada za vloge, kot jih je potrebnih, da njegova razpoložljiva finančna sredstva dosežejo dve tretjini njegove ciljne ravni. Odbor bo v soglasju z zadevno državo članico odločil o načinu in pogojih za prenos sredstev zadevnem</w:t>
      </w:r>
      <w:r>
        <w:rPr>
          <w:noProof/>
        </w:rPr>
        <w:t>u SJV v roku treh mesecev.</w:t>
      </w:r>
    </w:p>
    <w:p w:rsidR="001E2AAD" w:rsidRDefault="007B2354">
      <w:pPr>
        <w:pStyle w:val="ManualHeading3"/>
        <w:rPr>
          <w:rFonts w:eastAsia="Arial Unicode MS"/>
          <w:noProof/>
          <w:bdr w:val="none" w:sz="0" w:space="0" w:color="auto" w:frame="1"/>
        </w:rPr>
      </w:pPr>
      <w:r>
        <w:t>5.1.3.</w:t>
      </w:r>
      <w:r>
        <w:tab/>
      </w:r>
      <w:r>
        <w:rPr>
          <w:noProof/>
        </w:rPr>
        <w:t>Splošna načela, ki urejajo ESJV</w:t>
      </w:r>
    </w:p>
    <w:p w:rsidR="001E2AAD" w:rsidRDefault="007B2354">
      <w:pPr>
        <w:rPr>
          <w:noProof/>
        </w:rPr>
      </w:pPr>
      <w:r>
        <w:rPr>
          <w:noProof/>
        </w:rPr>
        <w:t>V členu 6 so določena splošna načela, ki se uporabljajo tako za EMR in ESJV. Ta načela postanejo pomembna, kadar imajo odbor ali drugi javni organi pravico, da odločajo ali ukrepajo po lastn</w:t>
      </w:r>
      <w:r>
        <w:rPr>
          <w:noProof/>
        </w:rPr>
        <w:t xml:space="preserve">i presoji. </w:t>
      </w:r>
    </w:p>
    <w:p w:rsidR="001E2AAD" w:rsidRDefault="007B2354">
      <w:pPr>
        <w:rPr>
          <w:noProof/>
        </w:rPr>
      </w:pPr>
      <w:r>
        <w:rPr>
          <w:noProof/>
        </w:rPr>
        <w:t>Niti odbor niti sodelujoči SJV ne smeta diskriminirati subjektov (vključno s SJV in njihovimi bankami članicami), vlagateljev, investitorjev ali drugih upnikov s sedežem v Uniji na podlagi njihovega državljanstva ali kraja poslovanja (člen 6(1)</w:t>
      </w:r>
      <w:r>
        <w:rPr>
          <w:noProof/>
        </w:rPr>
        <w:t>). To pravilo je temeljno načelo zakonodaje Unije in je zlasti pomembno na finančnih trgih, kjer so zelo razširjene transakcije med strankami z različnimi državljanstvi in različnimi kraji poslovanja.</w:t>
      </w:r>
    </w:p>
    <w:p w:rsidR="001E2AAD" w:rsidRDefault="007B2354">
      <w:pPr>
        <w:rPr>
          <w:noProof/>
        </w:rPr>
      </w:pPr>
      <w:r>
        <w:rPr>
          <w:noProof/>
        </w:rPr>
        <w:t>Odbor in sodelujoči SJV morata pri sprejemanju ukrepov,</w:t>
      </w:r>
      <w:r>
        <w:rPr>
          <w:noProof/>
        </w:rPr>
        <w:t xml:space="preserve"> predlogov ali politik v celoti in z dolžno skrbnostjo upoštevati enotnost in celovitost notranjega trga (člen 6(2)). Odprava finančne razdrobljenosti je ključno gonilo bančne unije in organi, ki upravljajo ESJV, morajo temeljito oceniti učinek vsakega dis</w:t>
      </w:r>
      <w:r>
        <w:rPr>
          <w:noProof/>
        </w:rPr>
        <w:t>krecijskega ukrepa ali odločitve na delovanje notranjega trga.</w:t>
      </w:r>
    </w:p>
    <w:p w:rsidR="001E2AAD" w:rsidRDefault="007B2354">
      <w:pPr>
        <w:rPr>
          <w:noProof/>
        </w:rPr>
      </w:pPr>
      <w:r>
        <w:rPr>
          <w:noProof/>
        </w:rPr>
        <w:t>Medtem ko se odstavki 3 do 5 člena 6 o obravnavi skupin ne uporabljajo v okviru ESJV, člen 6(6) odboru preprečuje, da bi sprejemal odločitve znotraj ESJV, ki od držav članic zahtevajo, da zagot</w:t>
      </w:r>
      <w:r>
        <w:rPr>
          <w:noProof/>
        </w:rPr>
        <w:t>ovijo izredno javno finančno podporo, ali ki posegajo v njihovo proračunsko suverenost in fiskalne odgovornosti.</w:t>
      </w:r>
    </w:p>
    <w:p w:rsidR="001E2AAD" w:rsidRDefault="007B2354">
      <w:pPr>
        <w:rPr>
          <w:noProof/>
        </w:rPr>
      </w:pPr>
      <w:r>
        <w:rPr>
          <w:noProof/>
        </w:rPr>
        <w:t>Odbor lahko v okviru ESJV sprejme odločitve, naslovljene na sodelujoče SJV (člen 74f). Sodelujoči SJV morajo te odločitve upoštevati, vendar ji</w:t>
      </w:r>
      <w:r>
        <w:rPr>
          <w:noProof/>
        </w:rPr>
        <w:t>m člen 6(7) daje pravico podrobneje opredeliti ukrepe, ki jih je treba sprejeti, vse dokler so ti ukrepi v skladu z zadevno odločitvijo odbora.</w:t>
      </w:r>
    </w:p>
    <w:p w:rsidR="001E2AAD" w:rsidRDefault="007B2354">
      <w:pPr>
        <w:pStyle w:val="ManualHeading2"/>
        <w:rPr>
          <w:rFonts w:eastAsia="Arial Unicode MS"/>
          <w:noProof/>
          <w:bdr w:val="none" w:sz="0" w:space="0" w:color="auto" w:frame="1"/>
        </w:rPr>
      </w:pPr>
      <w:r>
        <w:t>5.2.</w:t>
      </w:r>
      <w:r>
        <w:tab/>
      </w:r>
      <w:r>
        <w:rPr>
          <w:noProof/>
        </w:rPr>
        <w:t>Različne faze ESJV</w:t>
      </w:r>
    </w:p>
    <w:p w:rsidR="001E2AAD" w:rsidRDefault="007B2354">
      <w:pPr>
        <w:rPr>
          <w:noProof/>
        </w:rPr>
      </w:pPr>
      <w:r>
        <w:rPr>
          <w:noProof/>
        </w:rPr>
        <w:t>ESJV bi v vseh treh fazah, tj. pozavarovanja, sozavarovanja in polnega jamstva, zagotavl</w:t>
      </w:r>
      <w:r>
        <w:rPr>
          <w:noProof/>
        </w:rPr>
        <w:t xml:space="preserve">jal financiranje in kril izgube sodelujočih SJV. </w:t>
      </w:r>
    </w:p>
    <w:p w:rsidR="001E2AAD" w:rsidRDefault="007B2354">
      <w:pPr>
        <w:rPr>
          <w:noProof/>
        </w:rPr>
      </w:pPr>
      <w:r>
        <w:rPr>
          <w:noProof/>
        </w:rPr>
        <w:t>Financiranje, ki ga zagotavlja ESJV, krije začetne potrebe po likvidnih sredstvih SJV za izplačilo nadomestil vlagateljem v roku za izplačilo, ki ga določa direktiva (navadno sedem delovnih dni) ter za izpo</w:t>
      </w:r>
      <w:r>
        <w:rPr>
          <w:noProof/>
        </w:rPr>
        <w:t>lnitev zahteve za pravočasen prispevek k postopku reševanja. Sodelujoči SJV morajo ta sredstva odboru povrniti.</w:t>
      </w:r>
    </w:p>
    <w:p w:rsidR="001E2AAD" w:rsidRDefault="007B2354">
      <w:pPr>
        <w:rPr>
          <w:noProof/>
        </w:rPr>
      </w:pPr>
      <w:r>
        <w:rPr>
          <w:noProof/>
        </w:rPr>
        <w:t>ESJV bi v vseh fazah tudi kril izgube, ki jih ima sodelujoči SJV zaradi izplačil nadomestil vlagateljem ali prispevka k reševanju. Končni znesek</w:t>
      </w:r>
      <w:r>
        <w:rPr>
          <w:noProof/>
        </w:rPr>
        <w:t xml:space="preserve"> izgube sodelujočega SJV je običajno nižji od izplačil nadomestil vlagateljem ali prispevka k reševanju. Po dogodku, ki povzroči izplačilo, lahko SJV izterja zneske, ki jih je izplačal na podlagi zahtevkov za povračilo (kritih) vlog, ki so jih imeli vlagat</w:t>
      </w:r>
      <w:r>
        <w:rPr>
          <w:noProof/>
        </w:rPr>
        <w:t>elji v propadlih bankah, in ki so bili preneseni na sodelujoči SJV, in sicer v višini zneska, ki ga je izplačal vlagateljem (prvi stavek člena 9(2) direktive o SJV). Če banka postane insolventna in zato ti zahtevki niso v celoti povrnjeni, lahko vsakršni p</w:t>
      </w:r>
      <w:r>
        <w:rPr>
          <w:noProof/>
        </w:rPr>
        <w:t>rihodki iz stečajne mase zmanjšajo končno izgubo SJV.</w:t>
      </w:r>
    </w:p>
    <w:p w:rsidR="001E2AAD" w:rsidRDefault="007B2354">
      <w:pPr>
        <w:rPr>
          <w:noProof/>
        </w:rPr>
      </w:pPr>
      <w:r>
        <w:rPr>
          <w:noProof/>
        </w:rPr>
        <w:t>Če je SJV prispeval k reševanju, je njegova izguba lahko manjša od zneska tega prispevka, zlasti če se znesek, ki ga SJV dolguje kot prispevek, zmanjša na podlagi naknadnega vrednotenja (četrti pododsta</w:t>
      </w:r>
      <w:r>
        <w:rPr>
          <w:noProof/>
        </w:rPr>
        <w:t>vek člena 109(1) v povezavi s členom 75 direktive o sanaciji in reševanju bank).</w:t>
      </w:r>
    </w:p>
    <w:p w:rsidR="001E2AAD" w:rsidRDefault="007B2354">
      <w:pPr>
        <w:rPr>
          <w:noProof/>
        </w:rPr>
      </w:pPr>
      <w:r>
        <w:rPr>
          <w:noProof/>
        </w:rPr>
        <w:t>ESJV izgub ne krije z dodatnimi plačili sodelujočemu SJV. Namesto tega se znesek začetnega financiranja, ki ga mora povrniti SJV, zmanjša za delež izgube, ki jo krije ESJV.</w:t>
      </w:r>
    </w:p>
    <w:p w:rsidR="001E2AAD" w:rsidRDefault="007B2354">
      <w:pPr>
        <w:rPr>
          <w:noProof/>
        </w:rPr>
      </w:pPr>
      <w:r>
        <w:rPr>
          <w:noProof/>
        </w:rPr>
        <w:t>Ra</w:t>
      </w:r>
      <w:r>
        <w:rPr>
          <w:noProof/>
        </w:rPr>
        <w:t xml:space="preserve">ven financiranja, ki ga zagotovi ESJV, in delež izgube, ki jo krije, se z vsako fazo povečujeta. </w:t>
      </w:r>
    </w:p>
    <w:p w:rsidR="001E2AAD" w:rsidRDefault="007B2354">
      <w:pPr>
        <w:pStyle w:val="ManualHeading3"/>
        <w:rPr>
          <w:rFonts w:eastAsia="Arial Unicode MS"/>
          <w:noProof/>
          <w:bdr w:val="none" w:sz="0" w:space="0" w:color="auto" w:frame="1"/>
        </w:rPr>
      </w:pPr>
      <w:r>
        <w:t>5.2.1.</w:t>
      </w:r>
      <w:r>
        <w:tab/>
      </w:r>
      <w:r>
        <w:rPr>
          <w:noProof/>
        </w:rPr>
        <w:t>Pozavarovanje</w:t>
      </w:r>
    </w:p>
    <w:p w:rsidR="001E2AAD" w:rsidRDefault="007B2354">
      <w:pPr>
        <w:rPr>
          <w:noProof/>
        </w:rPr>
      </w:pPr>
      <w:r>
        <w:rPr>
          <w:noProof/>
        </w:rPr>
        <w:t>V fazi pozavarovanja, ki naj bi po predlogu trajala tri leta, lahko ESJV zagotovi omejeno financiranje, ter krije omejen delež izgube sod</w:t>
      </w:r>
      <w:r>
        <w:rPr>
          <w:noProof/>
        </w:rPr>
        <w:t xml:space="preserve">elujočega SJV, ki se sooči z dogodkom, ki povzroči izplačilo, ali mora prispevati k reševanju (člen 41a). </w:t>
      </w:r>
    </w:p>
    <w:p w:rsidR="001E2AAD" w:rsidRDefault="007B2354">
      <w:pPr>
        <w:rPr>
          <w:noProof/>
        </w:rPr>
      </w:pPr>
      <w:r>
        <w:rPr>
          <w:noProof/>
        </w:rPr>
        <w:t>V začetni fazi pozavarovanja je kritje omejeno na postopke reševanja, ki jih izvaja odbor (člen 41a(2) in člen 79). Popolnoma nacionalni postopki reš</w:t>
      </w:r>
      <w:r>
        <w:rPr>
          <w:noProof/>
        </w:rPr>
        <w:t>evanja so kriti le pri sozavarovanju in polnem jamstvu.</w:t>
      </w:r>
    </w:p>
    <w:p w:rsidR="001E2AAD" w:rsidRDefault="007B2354">
      <w:pPr>
        <w:pStyle w:val="ManualHeading4"/>
        <w:rPr>
          <w:rFonts w:eastAsia="Arial Unicode MS"/>
          <w:noProof/>
          <w:bdr w:val="none" w:sz="0" w:space="0" w:color="auto" w:frame="1"/>
        </w:rPr>
      </w:pPr>
      <w:r>
        <w:t>5.2.1.1.</w:t>
      </w:r>
      <w:r>
        <w:tab/>
      </w:r>
      <w:r>
        <w:rPr>
          <w:noProof/>
        </w:rPr>
        <w:t>Zagotavljanje financiranja v fazi pozavarovanja</w:t>
      </w:r>
    </w:p>
    <w:p w:rsidR="001E2AAD" w:rsidRDefault="007B2354">
      <w:pPr>
        <w:rPr>
          <w:noProof/>
        </w:rPr>
      </w:pPr>
      <w:r>
        <w:rPr>
          <w:noProof/>
        </w:rPr>
        <w:t>Financiranje v fazi pozavarovanja bi bilo zagotovljeno, če ima sodelujoči SJV likvidnostni primanjkljaj (člen 41a(2)). Postopek za ugotavljanje</w:t>
      </w:r>
      <w:r>
        <w:rPr>
          <w:noProof/>
        </w:rPr>
        <w:t xml:space="preserve"> likvidnostnega primanjkljaja se razlikuje glede na to, ali (a) se sodelujoči SJV sooči z dogodkom, ki povzroči izplačilo, ali (b) mora prispevati k reševanju.</w:t>
      </w:r>
    </w:p>
    <w:p w:rsidR="001E2AAD" w:rsidRDefault="007B2354">
      <w:pPr>
        <w:pStyle w:val="Point0letter"/>
        <w:numPr>
          <w:ilvl w:val="1"/>
          <w:numId w:val="5"/>
        </w:numPr>
        <w:rPr>
          <w:noProof/>
        </w:rPr>
      </w:pPr>
      <w:r>
        <w:rPr>
          <w:noProof/>
        </w:rPr>
        <w:t>Sodelujoči SJV ima v primeru dogodka, ki povzroči izplačilo (člen 41b(1)), likvidnostni primanjk</w:t>
      </w:r>
      <w:r>
        <w:rPr>
          <w:noProof/>
        </w:rPr>
        <w:t>ljaj, če je znesek kritih vlog v propadli banki višji od vsote (a) zneska razpoložljivih finančnih sredstev, ki bi jih hipotetično moral imeti sodelujoči SJV glede na potek financiranja iz člena 41j, ter (b) zneska izrednih (naknadnih) prispevkov, ki jih s</w:t>
      </w:r>
      <w:r>
        <w:rPr>
          <w:noProof/>
        </w:rPr>
        <w:t>odelujoči SJV lahko zbere v treh dneh po dogodku, ki povzroči izplačilo.</w:t>
      </w:r>
    </w:p>
    <w:p w:rsidR="001E2AAD" w:rsidRDefault="007B2354">
      <w:pPr>
        <w:pStyle w:val="Point1"/>
        <w:ind w:left="840" w:firstLine="10"/>
        <w:rPr>
          <w:noProof/>
        </w:rPr>
      </w:pPr>
      <w:r>
        <w:rPr>
          <w:noProof/>
        </w:rPr>
        <w:t xml:space="preserve">Znesek kritih vlog, uporabljenih za izračun likvidnostnega primanjkljaja, sestavljajo zgolj upravičene vloge do višine standardnega kritja 100 000 EUR ali temu enakovrednega zneska v </w:t>
      </w:r>
      <w:r>
        <w:rPr>
          <w:noProof/>
        </w:rPr>
        <w:t xml:space="preserve">nacionalni valuti (člen 6(1) direktive SJV). </w:t>
      </w:r>
      <w:r>
        <w:rPr>
          <w:noProof/>
          <w:color w:val="000000"/>
          <w:shd w:val="clear" w:color="auto" w:fill="FFFFFF"/>
        </w:rPr>
        <w:t xml:space="preserve">Začasno visoki saldi, kot so opredeljeni v členu 6(2) direktive o SJV, ali </w:t>
      </w:r>
      <w:r>
        <w:rPr>
          <w:noProof/>
        </w:rPr>
        <w:t>vsi odbitki, ki jih SJV lahko opravi v skladu s členoma 7 ali 8 direktive o SJV, preden izplača nadomestila vlagateljem, navadno še niso</w:t>
      </w:r>
      <w:r>
        <w:rPr>
          <w:noProof/>
        </w:rPr>
        <w:t xml:space="preserve"> znani v času dogodka, ki povzroči izplačilo, in se zato ne upoštevajo. </w:t>
      </w:r>
      <w:r>
        <w:rPr>
          <w:i/>
          <w:noProof/>
        </w:rPr>
        <w:t>Hipotetična</w:t>
      </w:r>
      <w:r>
        <w:rPr>
          <w:noProof/>
        </w:rPr>
        <w:t xml:space="preserve"> raven razpoložljivih finančnih sredstev namesto dejanske ravni se uporablja za zmanjšanje morebitne spodbude sodelujočim SJV, da ne bi izpolnili svoje obveznosti glede zbir</w:t>
      </w:r>
      <w:r>
        <w:rPr>
          <w:noProof/>
        </w:rPr>
        <w:t xml:space="preserve">anja </w:t>
      </w:r>
      <w:r>
        <w:rPr>
          <w:i/>
          <w:noProof/>
        </w:rPr>
        <w:t>predhodnih</w:t>
      </w:r>
      <w:r>
        <w:rPr>
          <w:noProof/>
        </w:rPr>
        <w:t xml:space="preserve"> prispevkov v skladu z natančno zastavljenim potekom financiranja. Končno, izredni naknadni prispevki (člen 10(8) direktive) so, v kolikor jih je mogoče zbrati v zelo kratkem času, dodatni vir likvidnosti, ki bi lahko zmanjšal likvidnostni p</w:t>
      </w:r>
      <w:r>
        <w:rPr>
          <w:noProof/>
        </w:rPr>
        <w:t>rimanjkljaj sodelujočega SJV. Tridnevni rok pomeni ustrezno ravnovesje med ciljem najprej izčrpati likvidnostna sredstva v SJV in potrebo po izplačilu nadomestil vlagateljem v sedmih delovnih dneh po dogodku, ki povzroči izplačilo.</w:t>
      </w:r>
    </w:p>
    <w:p w:rsidR="001E2AAD" w:rsidRDefault="007B2354">
      <w:pPr>
        <w:pStyle w:val="Point0letter"/>
        <w:numPr>
          <w:ilvl w:val="1"/>
          <w:numId w:val="5"/>
        </w:numPr>
        <w:rPr>
          <w:noProof/>
        </w:rPr>
      </w:pPr>
      <w:r>
        <w:rPr>
          <w:noProof/>
        </w:rPr>
        <w:t>V primeru reševanja (čle</w:t>
      </w:r>
      <w:r>
        <w:rPr>
          <w:noProof/>
        </w:rPr>
        <w:t>n 41b(2)) je likvidnostni primanjkljaj znesek, ki ga mora sodelujoči SJV prispevati k reševanju, od katerega se odšteje znesek razpoložljivih finančnih sredstev, ki bi jih sodelujoči SJV hipotetično moral imeti glede na potek financiranja iz člena 41j. Hip</w:t>
      </w:r>
      <w:r>
        <w:rPr>
          <w:noProof/>
        </w:rPr>
        <w:t>otetična raven razpoložljivih finančnih sredstev je edini vir likvidnosti, ki ga mora sodelujoči SJV črpati za zmanjšanje svojega likvidnostnega primanjkljaja. Pri reševanju sodelujočemu SJV ni treba zbirati kratkoročnih naknadnih prispevkov, ker člen 10(8</w:t>
      </w:r>
      <w:r>
        <w:rPr>
          <w:noProof/>
        </w:rPr>
        <w:t>) direktive o SJV velja samo za dogodke, ki povzročijo izplačilo.</w:t>
      </w:r>
    </w:p>
    <w:p w:rsidR="001E2AAD" w:rsidRDefault="007B2354">
      <w:pPr>
        <w:pStyle w:val="Point1"/>
        <w:ind w:left="840" w:firstLine="10"/>
        <w:rPr>
          <w:noProof/>
        </w:rPr>
      </w:pPr>
      <w:r>
        <w:rPr>
          <w:noProof/>
        </w:rPr>
        <w:t>Če ima sodelujoči SJV likvidnostni primanjkljaj, lahko zaprosi za financiranje iz jamstvenega sklada za vloge v višini do 20 % tega primanjkljaja. Preostalih 80 % likvidnostnega primanjkljaj</w:t>
      </w:r>
      <w:r>
        <w:rPr>
          <w:noProof/>
        </w:rPr>
        <w:t xml:space="preserve">a mora kriti iz drugih virov financiranja. ESJV z uporabo </w:t>
      </w:r>
      <w:r>
        <w:rPr>
          <w:i/>
          <w:noProof/>
        </w:rPr>
        <w:t>hipotetične</w:t>
      </w:r>
      <w:r>
        <w:rPr>
          <w:noProof/>
        </w:rPr>
        <w:t xml:space="preserve"> ravni razpoložljivih finančnih sredstev za izračun likvidnostnega primanjkljaja sodelujočim SJV, ki imajo ob dogodku, ki povzroči izplačilo, </w:t>
      </w:r>
      <w:r>
        <w:rPr>
          <w:i/>
          <w:noProof/>
        </w:rPr>
        <w:t>več</w:t>
      </w:r>
      <w:r>
        <w:rPr>
          <w:noProof/>
        </w:rPr>
        <w:t xml:space="preserve"> razpoložljivih finančnih sredstev, kot je</w:t>
      </w:r>
      <w:r>
        <w:rPr>
          <w:noProof/>
        </w:rPr>
        <w:t xml:space="preserve"> potrebno, omogoča, da pridobijo finančna sredstva iz ESJV za svoj (tehnični) likvidnostni primanjkljaj ter uporabijo svoja dodatna sredstva za kritje (dela) preostalih 80 % svojega likvidnostnega primanjkljaja. Financiranje, ki ga zagotavlja ESJV, je omej</w:t>
      </w:r>
      <w:r>
        <w:rPr>
          <w:noProof/>
        </w:rPr>
        <w:t xml:space="preserve">eno. </w:t>
      </w:r>
    </w:p>
    <w:p w:rsidR="001E2AAD" w:rsidRDefault="007B2354">
      <w:pPr>
        <w:pStyle w:val="ManualHeading4"/>
        <w:rPr>
          <w:rFonts w:eastAsia="Arial Unicode MS"/>
          <w:noProof/>
          <w:bdr w:val="none" w:sz="0" w:space="0" w:color="auto" w:frame="1"/>
        </w:rPr>
      </w:pPr>
      <w:r>
        <w:t>5.2.1.2.</w:t>
      </w:r>
      <w:r>
        <w:tab/>
      </w:r>
      <w:r>
        <w:rPr>
          <w:noProof/>
        </w:rPr>
        <w:t>Kritje izgube v fazi pozavarovanja</w:t>
      </w:r>
    </w:p>
    <w:p w:rsidR="001E2AAD" w:rsidRDefault="007B2354">
      <w:pPr>
        <w:rPr>
          <w:noProof/>
        </w:rPr>
      </w:pPr>
      <w:r>
        <w:rPr>
          <w:noProof/>
        </w:rPr>
        <w:t xml:space="preserve">V fazi pozavarovanja ESJV poleg financiranja likvidnostnega primanjkljaja v drugem koraku krije tudi 20 % </w:t>
      </w:r>
      <w:r>
        <w:rPr>
          <w:i/>
          <w:noProof/>
        </w:rPr>
        <w:t>presežne</w:t>
      </w:r>
      <w:r>
        <w:rPr>
          <w:noProof/>
        </w:rPr>
        <w:t xml:space="preserve"> </w:t>
      </w:r>
      <w:r>
        <w:rPr>
          <w:i/>
          <w:noProof/>
        </w:rPr>
        <w:t>izgube</w:t>
      </w:r>
      <w:r>
        <w:rPr>
          <w:noProof/>
        </w:rPr>
        <w:t xml:space="preserve"> sodelujočega SJV. Koncept presežne izgube se razlikuje glede na to, ali se sodelujoč</w:t>
      </w:r>
      <w:r>
        <w:rPr>
          <w:noProof/>
        </w:rPr>
        <w:t>i SJV sooči z dogodkom, ki povzroči izplačilo, ali mora prispevati k reševanju.</w:t>
      </w:r>
    </w:p>
    <w:p w:rsidR="001E2AAD" w:rsidRDefault="007B2354">
      <w:pPr>
        <w:rPr>
          <w:noProof/>
        </w:rPr>
      </w:pPr>
      <w:r>
        <w:rPr>
          <w:noProof/>
        </w:rPr>
        <w:t>Če pride do dogodka, ki povzroči izplačilo (člen 41c(1)), sodelujoči SJV beleži presežno izgubo, če skupni znesek, ki ga je povrnil vlagateljem (člen 8 direktive) presega vsoto</w:t>
      </w:r>
      <w:r>
        <w:rPr>
          <w:noProof/>
        </w:rPr>
        <w:t xml:space="preserve"> (a) zneska, ki ga je zbral v okviru postopkov zaradi insolventnosti z zahtevki za izplačilo vlog (prvi stavek člena 9(2) direktive SJV), ki jih pridobi od vlagateljev, potem ko jim izplača nadomestila, (b) zneska razpoložljivih finančnih sredstev, ki bi j</w:t>
      </w:r>
      <w:r>
        <w:rPr>
          <w:noProof/>
        </w:rPr>
        <w:t>ih sodelujoči SJV hipotetično moral imeti glede na potek financiranja iz člena 41j, ter (c) zneska izrednih (</w:t>
      </w:r>
      <w:r>
        <w:rPr>
          <w:i/>
          <w:noProof/>
        </w:rPr>
        <w:t>naknadnih</w:t>
      </w:r>
      <w:r>
        <w:rPr>
          <w:noProof/>
        </w:rPr>
        <w:t>) prispevkov, ki jih sodelujoči SJV lahko zbere v enem letu po dogodku, ki povzroči izplačilo.</w:t>
      </w:r>
    </w:p>
    <w:p w:rsidR="001E2AAD" w:rsidRDefault="007B2354">
      <w:pPr>
        <w:rPr>
          <w:noProof/>
        </w:rPr>
      </w:pPr>
      <w:r>
        <w:rPr>
          <w:noProof/>
        </w:rPr>
        <w:t xml:space="preserve">Medtem ko se likvidnostni primanjkljaj izračuna na podlagi zneska kritih vlog (upravičene so vloge do 100 000 EUR), lahko izračun presežne izgube, ki se izvede pozneje v postopku pozavarovanja, temelji na dejanskih zneskih, izplačanih vlagateljem. Od tega </w:t>
      </w:r>
      <w:r>
        <w:rPr>
          <w:noProof/>
        </w:rPr>
        <w:t xml:space="preserve">zneska se odštejejo prihodki sodelujočega SJV iz stečajne mase. Poleg tega se odšteje tudi </w:t>
      </w:r>
      <w:r>
        <w:rPr>
          <w:i/>
          <w:noProof/>
        </w:rPr>
        <w:t>hipotetični</w:t>
      </w:r>
      <w:r>
        <w:rPr>
          <w:noProof/>
        </w:rPr>
        <w:t xml:space="preserve"> znesek razpoložljivih finančnih sredstev, ki bi jih moral imeti sodelujoči SJV v času dogodka, ki povzroči izplačilo. Nazadnje, predvideva se, da je bil </w:t>
      </w:r>
      <w:r>
        <w:rPr>
          <w:noProof/>
        </w:rPr>
        <w:t>sodelujoči SJV sposoben zbrati znesek naknadnih prispevkov, ki jih lahko zbere v skladu z direktivo o SJV v enem letu od dogodka, ki povzroči izplačilo. To znaša 0,5 % vseh kritih vlog bank članic (člen 10(8) direktive o SJV), kritih z naknadnimi prispevki</w:t>
      </w:r>
      <w:r>
        <w:rPr>
          <w:noProof/>
        </w:rPr>
        <w:t>, ki so bili zbrani v treh dneh po dogodku, ki povzroči izplačilo. Dobljeni znesek je presežna izguba sodelujočega SJV.</w:t>
      </w:r>
    </w:p>
    <w:p w:rsidR="001E2AAD" w:rsidRDefault="007B2354">
      <w:pPr>
        <w:rPr>
          <w:noProof/>
        </w:rPr>
      </w:pPr>
      <w:r>
        <w:rPr>
          <w:noProof/>
        </w:rPr>
        <w:t xml:space="preserve">V primeru reševanja (člen 41c(2)) je presežna izguba znesek, ki ga mora sodelujoči SJV prispevati k reševanju, od katerega se </w:t>
      </w:r>
      <w:r>
        <w:rPr>
          <w:i/>
          <w:noProof/>
        </w:rPr>
        <w:t>odšteje</w:t>
      </w:r>
      <w:r>
        <w:rPr>
          <w:noProof/>
        </w:rPr>
        <w:t xml:space="preserve"> vs</w:t>
      </w:r>
      <w:r>
        <w:rPr>
          <w:noProof/>
        </w:rPr>
        <w:t>ota:</w:t>
      </w:r>
    </w:p>
    <w:p w:rsidR="001E2AAD" w:rsidRDefault="007B2354">
      <w:pPr>
        <w:pStyle w:val="Point1letter"/>
        <w:numPr>
          <w:ilvl w:val="3"/>
          <w:numId w:val="5"/>
        </w:numPr>
        <w:rPr>
          <w:noProof/>
        </w:rPr>
      </w:pPr>
      <w:r>
        <w:rPr>
          <w:noProof/>
        </w:rPr>
        <w:t>zneska, ki je bil morda povrnjen, potem ko se je pri naknadnem vrednotenju ugotovilo, da bi moral biti prispevek SJV nižji od prispevka, ki ga je prvotno zahteval organ za reševanje</w:t>
      </w:r>
      <w:r>
        <w:rPr>
          <w:rStyle w:val="FootnoteReference"/>
          <w:noProof/>
        </w:rPr>
        <w:footnoteReference w:id="7"/>
      </w:r>
      <w:r>
        <w:rPr>
          <w:noProof/>
        </w:rPr>
        <w:t xml:space="preserve">, ter </w:t>
      </w:r>
    </w:p>
    <w:p w:rsidR="001E2AAD" w:rsidRDefault="007B2354">
      <w:pPr>
        <w:pStyle w:val="Point1letter"/>
        <w:numPr>
          <w:ilvl w:val="3"/>
          <w:numId w:val="5"/>
        </w:numPr>
        <w:rPr>
          <w:noProof/>
        </w:rPr>
      </w:pPr>
      <w:r>
        <w:rPr>
          <w:noProof/>
        </w:rPr>
        <w:t>zneska razpoložljivih finančnih sredstev, ki bi jih moral imet</w:t>
      </w:r>
      <w:r>
        <w:rPr>
          <w:noProof/>
        </w:rPr>
        <w:t xml:space="preserve">i sodelujoči SJV glede na potek financiranja iz člena 41j. </w:t>
      </w:r>
    </w:p>
    <w:p w:rsidR="001E2AAD" w:rsidRDefault="007B2354">
      <w:pPr>
        <w:rPr>
          <w:noProof/>
        </w:rPr>
      </w:pPr>
      <w:r>
        <w:rPr>
          <w:noProof/>
        </w:rPr>
        <w:t>Sodelujočemu SJV tudi v tem primeru ni treba zbirati naknadnih prispevkov, ker člen 10(8) direktive SJV velja samo za dogodke, ki povzročijo izplačilo.</w:t>
      </w:r>
    </w:p>
    <w:p w:rsidR="001E2AAD" w:rsidRDefault="007B2354">
      <w:pPr>
        <w:rPr>
          <w:noProof/>
        </w:rPr>
      </w:pPr>
      <w:r>
        <w:rPr>
          <w:noProof/>
        </w:rPr>
        <w:t xml:space="preserve">Kritje izgube v višini 20 % presežne izgube </w:t>
      </w:r>
      <w:r>
        <w:rPr>
          <w:noProof/>
        </w:rPr>
        <w:t xml:space="preserve">se izvede tako, da se znesek financiranja, ki ga mora sodelujoči SJV povrniti ESJV, zmanjša za znesek kritja izgube. Tudi kritje izgube, ki ga zagotovi ESJV, je omejeno. </w:t>
      </w:r>
    </w:p>
    <w:p w:rsidR="001E2AAD" w:rsidRDefault="007B2354">
      <w:pPr>
        <w:pStyle w:val="ManualHeading3"/>
        <w:rPr>
          <w:rFonts w:eastAsia="Arial Unicode MS"/>
          <w:noProof/>
          <w:bdr w:val="none" w:sz="0" w:space="0" w:color="auto" w:frame="1"/>
        </w:rPr>
      </w:pPr>
      <w:r>
        <w:t>5.2.2.</w:t>
      </w:r>
      <w:r>
        <w:tab/>
      </w:r>
      <w:r>
        <w:rPr>
          <w:noProof/>
        </w:rPr>
        <w:t>Sozavarovanje</w:t>
      </w:r>
    </w:p>
    <w:p w:rsidR="001E2AAD" w:rsidRDefault="007B2354">
      <w:pPr>
        <w:rPr>
          <w:noProof/>
        </w:rPr>
      </w:pPr>
      <w:r>
        <w:rPr>
          <w:noProof/>
        </w:rPr>
        <w:t>Po začetni triletni fazi pozavarovanja sledi štiriletno obdobje,</w:t>
      </w:r>
      <w:r>
        <w:rPr>
          <w:noProof/>
        </w:rPr>
        <w:t xml:space="preserve"> ko ESJV sodelujoče SJV sozavaruje. Sodelujoči SJV lahko jamstveni sklad za vloge zaprosijo tako za financiranje kot za kritje izgub, če pride do dogodka, ki povzroči izplačilo, ali morajo prispevati k reševanju (člen 41d). ESJV v tej fazi financira tudi p</w:t>
      </w:r>
      <w:r>
        <w:rPr>
          <w:noProof/>
        </w:rPr>
        <w:t xml:space="preserve">rispevke za </w:t>
      </w:r>
      <w:r>
        <w:rPr>
          <w:i/>
          <w:noProof/>
        </w:rPr>
        <w:t>nacionalne</w:t>
      </w:r>
      <w:r>
        <w:rPr>
          <w:noProof/>
        </w:rPr>
        <w:t xml:space="preserve"> postopke reševanja ter krije izgube, ki nastanejo zaradi teh postopkov.</w:t>
      </w:r>
    </w:p>
    <w:p w:rsidR="001E2AAD" w:rsidRDefault="007B2354">
      <w:pPr>
        <w:rPr>
          <w:noProof/>
        </w:rPr>
      </w:pPr>
      <w:r>
        <w:rPr>
          <w:noProof/>
        </w:rPr>
        <w:t>Razlika glede na fazo pozavarovanja je v tem, da ESJV zagotavlja financiranje in krije izgube vse od prvega eura izgube, delež, ki ga krije, pa bi se skozi obdob</w:t>
      </w:r>
      <w:r>
        <w:rPr>
          <w:noProof/>
        </w:rPr>
        <w:t>je sozavarovanja postopno povečeval.</w:t>
      </w:r>
    </w:p>
    <w:p w:rsidR="001E2AAD" w:rsidRDefault="007B2354">
      <w:pPr>
        <w:rPr>
          <w:noProof/>
        </w:rPr>
      </w:pPr>
      <w:r>
        <w:rPr>
          <w:noProof/>
        </w:rPr>
        <w:t>ESJV zagotavlja financiranje določenega deleža potreb SJV po likvidnih sredstvih, ki nastanejo, ko pride do dogodka, ki povzroči izplačilo, oziroma zahtevka za prispevanje k reševanju. Prav tako krije enak delež izgube,</w:t>
      </w:r>
      <w:r>
        <w:rPr>
          <w:noProof/>
        </w:rPr>
        <w:t xml:space="preserve"> ki jo ima sodelujoči SJV zaradi teh dogodkov. V prvem letu faze sozavarovanja bi ta delež znašal 20 %, vsako naslednje leto bi se povečal za 20 odstotnih točk in bi v zadnjem letu sozavarovanja dosegel 80 %.</w:t>
      </w:r>
    </w:p>
    <w:p w:rsidR="001E2AAD" w:rsidRDefault="007B2354">
      <w:pPr>
        <w:rPr>
          <w:noProof/>
        </w:rPr>
      </w:pPr>
      <w:r>
        <w:rPr>
          <w:noProof/>
        </w:rPr>
        <w:t>V primeru dogodka, ki povzroči izplačilo, je zn</w:t>
      </w:r>
      <w:r>
        <w:rPr>
          <w:noProof/>
        </w:rPr>
        <w:t>esek potrebnih likvidnih sredstev enak skupnemu znesku kritih vlog propadle banke, tj. upravičenih vlog do 100 000 EUR (člen 41f(1)). Izguba se določi z odštetjem prihodkov sodelujočih SJV iz stečajne mase (člen 41g(1)).</w:t>
      </w:r>
    </w:p>
    <w:p w:rsidR="001E2AAD" w:rsidRDefault="007B2354">
      <w:pPr>
        <w:rPr>
          <w:noProof/>
        </w:rPr>
      </w:pPr>
      <w:r>
        <w:rPr>
          <w:noProof/>
        </w:rPr>
        <w:t>V primeru reševanja je znesek potre</w:t>
      </w:r>
      <w:r>
        <w:rPr>
          <w:noProof/>
        </w:rPr>
        <w:t>bnih likvidnih sredstev enak znesku prispevka, ki ga zahtevata odbor oziroma nacionalni organ za reševanje (člen 41f(2)). Izguba se določi z odštetjem razlike, ki jo je sodelujoči SJV morda dobil povrnjeno, potem ko je bilo pri naknadnem vrednotenju ugotov</w:t>
      </w:r>
      <w:r>
        <w:rPr>
          <w:noProof/>
        </w:rPr>
        <w:t>ljeno, da bi moral biti prvotni prispevek nižji (člen 41g(2)).</w:t>
      </w:r>
    </w:p>
    <w:p w:rsidR="001E2AAD" w:rsidRDefault="007B2354">
      <w:pPr>
        <w:rPr>
          <w:noProof/>
        </w:rPr>
      </w:pPr>
      <w:r>
        <w:rPr>
          <w:noProof/>
        </w:rPr>
        <w:t xml:space="preserve">Pri zagotavljanju financiranja ali kritju izgub ne bi bilo omejitev. </w:t>
      </w:r>
    </w:p>
    <w:p w:rsidR="001E2AAD" w:rsidRDefault="007B2354">
      <w:pPr>
        <w:pStyle w:val="ManualHeading3"/>
        <w:rPr>
          <w:noProof/>
        </w:rPr>
      </w:pPr>
      <w:r>
        <w:t>5.2.3.</w:t>
      </w:r>
      <w:r>
        <w:tab/>
      </w:r>
      <w:r>
        <w:rPr>
          <w:noProof/>
        </w:rPr>
        <w:t>Polno jamstvo</w:t>
      </w:r>
    </w:p>
    <w:p w:rsidR="001E2AAD" w:rsidRDefault="007B2354">
      <w:pPr>
        <w:pStyle w:val="ManualHeading2"/>
        <w:tabs>
          <w:tab w:val="left" w:pos="567"/>
        </w:tabs>
        <w:ind w:left="0" w:firstLine="0"/>
        <w:rPr>
          <w:b w:val="0"/>
          <w:noProof/>
        </w:rPr>
      </w:pPr>
      <w:r>
        <w:rPr>
          <w:b w:val="0"/>
          <w:noProof/>
        </w:rPr>
        <w:t>Po izteku štiriletne faze sozvarovanja bi ESJV v celoti jamčil za SJV. Polno jamstvo zagotavlja financ</w:t>
      </w:r>
      <w:r>
        <w:rPr>
          <w:b w:val="0"/>
          <w:noProof/>
        </w:rPr>
        <w:t>iranje celotne potrebe po likvidnih sredstvih in kritje vseh izgub, ki nastanejo v primeru dogodka, ki povzroči izplačilo, ali zahteve po prispevanju k reševanju. Mehanizem je enak kot v fazi sozavarovanja, le da ESJV krije 100-odstotni delež.</w:t>
      </w:r>
    </w:p>
    <w:p w:rsidR="001E2AAD" w:rsidRDefault="007B2354">
      <w:pPr>
        <w:pStyle w:val="ManualHeading3"/>
        <w:rPr>
          <w:rFonts w:eastAsia="Arial Unicode MS"/>
          <w:noProof/>
          <w:bdr w:val="none" w:sz="0" w:space="0" w:color="auto" w:frame="1"/>
        </w:rPr>
      </w:pPr>
      <w:r>
        <w:t>5.2.4.</w:t>
      </w:r>
      <w:r>
        <w:tab/>
      </w:r>
      <w:r>
        <w:rPr>
          <w:noProof/>
        </w:rPr>
        <w:t>Zašči</w:t>
      </w:r>
      <w:r>
        <w:rPr>
          <w:noProof/>
        </w:rPr>
        <w:t>te za kritje iz ESJV</w:t>
      </w:r>
    </w:p>
    <w:p w:rsidR="001E2AAD" w:rsidRDefault="007B2354">
      <w:pPr>
        <w:pStyle w:val="ManualHeading2"/>
        <w:tabs>
          <w:tab w:val="left" w:pos="567"/>
        </w:tabs>
        <w:ind w:left="0" w:firstLine="0"/>
        <w:rPr>
          <w:rFonts w:eastAsia="Arial Unicode MS"/>
          <w:noProof/>
          <w:bdr w:val="none" w:sz="0" w:space="0" w:color="auto" w:frame="1"/>
        </w:rPr>
      </w:pPr>
      <w:r>
        <w:rPr>
          <w:b w:val="0"/>
          <w:noProof/>
        </w:rPr>
        <w:t xml:space="preserve">Predlog vključuje zaščite pred nepravilnim ali neupravičenim dostopom nacionalnih SJV do ESJV. Če ne bodo izpolnjevali obveznosti iz uredbe ali nacionalne zakonodaje o izvajanju ključnih določb direktive, bodo izključeni, prav tako </w:t>
      </w:r>
      <w:r>
        <w:rPr>
          <w:b w:val="0"/>
          <w:noProof/>
        </w:rPr>
        <w:t>bodo izključeni, če zadevna država članica ne bo pravilno izvajala teh členov (člen 41i). ESJV jih bo kril le, če bodo njihova razpoložljiva finančna sredstva znašala vsaj toliko, kot je predvideno v skladu z usklajenim potekom financiranja iz uredbe (člen</w:t>
      </w:r>
      <w:r>
        <w:rPr>
          <w:b w:val="0"/>
          <w:noProof/>
        </w:rPr>
        <w:t xml:space="preserve"> 41j). S tem se zagotovi, da bodo zaščito ESJV lahko koristili le sodelujoči SJV, ki so izpolnjevali svoje obveznosti, kar omejuje tveganje na ravni ESJV. Odbor se lahko odloči za izključitev sodelujočega SJV iz kritja ESJV s posebnimi zahtevami glede glas</w:t>
      </w:r>
      <w:r>
        <w:rPr>
          <w:b w:val="0"/>
          <w:noProof/>
        </w:rPr>
        <w:t>ovanja.</w:t>
      </w:r>
    </w:p>
    <w:p w:rsidR="001E2AAD" w:rsidRDefault="007B2354">
      <w:pPr>
        <w:pStyle w:val="ManualHeading2"/>
        <w:rPr>
          <w:rFonts w:eastAsia="Arial Unicode MS"/>
          <w:noProof/>
          <w:bdr w:val="none" w:sz="0" w:space="0" w:color="auto" w:frame="1"/>
        </w:rPr>
      </w:pPr>
      <w:r>
        <w:t>5.3.</w:t>
      </w:r>
      <w:r>
        <w:tab/>
      </w:r>
      <w:r>
        <w:rPr>
          <w:noProof/>
        </w:rPr>
        <w:t>Ocena državne pomoči</w:t>
      </w:r>
    </w:p>
    <w:p w:rsidR="001E2AAD" w:rsidRDefault="007B2354">
      <w:pPr>
        <w:rPr>
          <w:noProof/>
        </w:rPr>
      </w:pPr>
      <w:r>
        <w:rPr>
          <w:noProof/>
        </w:rPr>
        <w:t>Medtem ko izplačila nadomestil iz SJV vlagateljem niso državna pomoč, prispevki sistema k reševanju, čeprav so namenjeni zagotavljanju, da lahko vlagatelji še naprej dostopajo do svojih vlog, koristijo instituciji v postop</w:t>
      </w:r>
      <w:r>
        <w:rPr>
          <w:noProof/>
        </w:rPr>
        <w:t>ku reševanja. Prispevek se zato lahko šteje za državno pomoč in ga bo morda zato treba priglasiti Komisiji, ki ga mora odobriti. Kadar prispevek izhaja iz skladov na evropski ravni (enotni sklad za reševanje, jamstveni sklad za vloge) se po analogiji upora</w:t>
      </w:r>
      <w:r>
        <w:rPr>
          <w:noProof/>
        </w:rPr>
        <w:t xml:space="preserve">blja postopek glede državne pomoči (člen 19). </w:t>
      </w:r>
    </w:p>
    <w:p w:rsidR="001E2AAD" w:rsidRDefault="007B2354">
      <w:pPr>
        <w:pStyle w:val="ManualHeading2"/>
        <w:rPr>
          <w:rFonts w:eastAsia="Arial Unicode MS"/>
          <w:noProof/>
          <w:bdr w:val="none" w:sz="0" w:space="0" w:color="auto" w:frame="1"/>
        </w:rPr>
      </w:pPr>
      <w:r>
        <w:t>5.4.</w:t>
      </w:r>
      <w:r>
        <w:tab/>
      </w:r>
      <w:r>
        <w:rPr>
          <w:noProof/>
        </w:rPr>
        <w:t>Upravljanje ESJV</w:t>
      </w:r>
    </w:p>
    <w:p w:rsidR="001E2AAD" w:rsidRDefault="007B2354">
      <w:pPr>
        <w:rPr>
          <w:noProof/>
        </w:rPr>
      </w:pPr>
      <w:r>
        <w:rPr>
          <w:noProof/>
        </w:rPr>
        <w:t>ESJV bi upravljal odbor skupaj s sodelujočim SJV (ali imenovanim organom, ki upravlja sodelujoči SJV). Postopek je mogoče okvirno razdeliti v fazo, ki vodi k zagotavljanju financiranja, i</w:t>
      </w:r>
      <w:r>
        <w:rPr>
          <w:noProof/>
        </w:rPr>
        <w:t>n fazo po zagotovitvi financiranja.</w:t>
      </w:r>
    </w:p>
    <w:p w:rsidR="001E2AAD" w:rsidRDefault="007B2354">
      <w:pPr>
        <w:pStyle w:val="ManualHeading3"/>
        <w:rPr>
          <w:rFonts w:eastAsia="Arial Unicode MS"/>
          <w:noProof/>
          <w:bdr w:val="none" w:sz="0" w:space="0" w:color="auto" w:frame="1"/>
        </w:rPr>
      </w:pPr>
      <w:r>
        <w:t>5.4.1.</w:t>
      </w:r>
      <w:r>
        <w:tab/>
      </w:r>
      <w:r>
        <w:rPr>
          <w:noProof/>
        </w:rPr>
        <w:t>Postopek, ki vodi do financiranja</w:t>
      </w:r>
    </w:p>
    <w:p w:rsidR="001E2AAD" w:rsidRDefault="007B2354">
      <w:pPr>
        <w:rPr>
          <w:noProof/>
        </w:rPr>
      </w:pPr>
      <w:r>
        <w:rPr>
          <w:noProof/>
        </w:rPr>
        <w:t>Sodelujoči SJV morajo odbor obvestiti takoj, ko izvejo za okoliščine, ki bodo verjetno sprožile dogodek, ki povzroči izplačilo, ali zahtevo organa za reševanje po prispevku k reše</w:t>
      </w:r>
      <w:r>
        <w:rPr>
          <w:noProof/>
        </w:rPr>
        <w:t>vanju (člen 41i). Odboru morajo predložiti oceno pričakovanega likvidnostnega primanjkljaja (faza pozavarovanja) ali potrebe po likvidnih sredstvih (fazi sozavarovanja in polnega jamstva). To omogoča odboru, da se pripravi na hitro zagotovitev financiranja</w:t>
      </w:r>
      <w:r>
        <w:rPr>
          <w:noProof/>
        </w:rPr>
        <w:t>, če pride do dogodka, ki povzroči izplačilo, ali zahteve po prispevku k reševanju.</w:t>
      </w:r>
    </w:p>
    <w:p w:rsidR="001E2AAD" w:rsidRDefault="007B2354">
      <w:pPr>
        <w:rPr>
          <w:noProof/>
        </w:rPr>
      </w:pPr>
      <w:r>
        <w:rPr>
          <w:noProof/>
        </w:rPr>
        <w:t>Sodelujoči SJV morajo dogodek, ki povzroči izplačilo, ali zahtevo po prispevku k reševanju nemudoma sporočiti odboru (člen 41l). Četudi je odbor sam zahteval prispevek k re</w:t>
      </w:r>
      <w:r>
        <w:rPr>
          <w:noProof/>
        </w:rPr>
        <w:t xml:space="preserve">ševanju (člen 79), je takšno obvestilo še vedno uradno potrebno, ker je sestava odbora v ESJV drugačna od njegove sestave v EMR (glej spodaj), sodelujočemu SJV pa </w:t>
      </w:r>
      <w:r>
        <w:rPr>
          <w:i/>
          <w:noProof/>
        </w:rPr>
        <w:t>ni treba</w:t>
      </w:r>
      <w:r>
        <w:rPr>
          <w:noProof/>
        </w:rPr>
        <w:t xml:space="preserve"> zahtevati financiranja ali kritja izgube iz ESJV. Sodelujoči SJV mora skupaj z uradn</w:t>
      </w:r>
      <w:r>
        <w:rPr>
          <w:noProof/>
        </w:rPr>
        <w:t>im obvestilom odboru predložiti tudi informacije, da lahko ta oceni, ali so izpolnjeni ustrezni pogoji (člen 41k):</w:t>
      </w:r>
    </w:p>
    <w:p w:rsidR="001E2AAD" w:rsidRDefault="007B2354">
      <w:pPr>
        <w:pStyle w:val="Tiret0"/>
        <w:numPr>
          <w:ilvl w:val="0"/>
          <w:numId w:val="24"/>
        </w:numPr>
        <w:rPr>
          <w:noProof/>
        </w:rPr>
      </w:pPr>
      <w:r>
        <w:rPr>
          <w:noProof/>
        </w:rPr>
        <w:t xml:space="preserve">Znesek kritih vlog za izračun likvidnostnega primanjkljaja ali potrebe po likvidnih sredstvih. </w:t>
      </w:r>
    </w:p>
    <w:p w:rsidR="001E2AAD" w:rsidRDefault="007B2354">
      <w:pPr>
        <w:pStyle w:val="Tiret0"/>
        <w:numPr>
          <w:ilvl w:val="0"/>
          <w:numId w:val="24"/>
        </w:numPr>
        <w:rPr>
          <w:noProof/>
        </w:rPr>
      </w:pPr>
      <w:r>
        <w:rPr>
          <w:noProof/>
        </w:rPr>
        <w:t>Razpoložljiva finančna sredstva v času dogodk</w:t>
      </w:r>
      <w:r>
        <w:rPr>
          <w:noProof/>
        </w:rPr>
        <w:t xml:space="preserve">a, ki povzroči izplačilo, ali v času uporabe v postopku reševanja, da se ugotovi raven razpoložljivih finančnih sredstev, ki bi jih sodelujoči SJV </w:t>
      </w:r>
      <w:r>
        <w:rPr>
          <w:i/>
          <w:noProof/>
        </w:rPr>
        <w:t>moral imeti</w:t>
      </w:r>
      <w:r>
        <w:rPr>
          <w:noProof/>
        </w:rPr>
        <w:t xml:space="preserve"> glede na potek financiranja iz člena 41j v času dogodka, ki povzroči izplačilo, ali v času uporab</w:t>
      </w:r>
      <w:r>
        <w:rPr>
          <w:noProof/>
        </w:rPr>
        <w:t>e v postopku reševanja.</w:t>
      </w:r>
    </w:p>
    <w:p w:rsidR="001E2AAD" w:rsidRDefault="007B2354">
      <w:pPr>
        <w:pStyle w:val="Tiret0"/>
        <w:numPr>
          <w:ilvl w:val="0"/>
          <w:numId w:val="24"/>
        </w:numPr>
        <w:rPr>
          <w:noProof/>
        </w:rPr>
      </w:pPr>
      <w:r>
        <w:rPr>
          <w:noProof/>
        </w:rPr>
        <w:t>Ocena izrednih naknadnih prispevkov, ki jih lahko zbere v treh dneh po dogodku, ki povzroči izplačilo, ali uporabi prispevkov pri reševanju.</w:t>
      </w:r>
    </w:p>
    <w:p w:rsidR="001E2AAD" w:rsidRDefault="007B2354">
      <w:pPr>
        <w:pStyle w:val="Tiret0"/>
        <w:numPr>
          <w:ilvl w:val="0"/>
          <w:numId w:val="24"/>
        </w:numPr>
        <w:rPr>
          <w:noProof/>
        </w:rPr>
      </w:pPr>
      <w:r>
        <w:rPr>
          <w:noProof/>
        </w:rPr>
        <w:t>Vsaka resnejša ovira, ki sodelujoči SJV ovira pri izpolnjevanju njegovih obveznosti do vlag</w:t>
      </w:r>
      <w:r>
        <w:rPr>
          <w:noProof/>
        </w:rPr>
        <w:t>ateljev ali organa za reševanje, ter možni popravni ukrepi.</w:t>
      </w:r>
    </w:p>
    <w:p w:rsidR="001E2AAD" w:rsidRDefault="007B2354">
      <w:pPr>
        <w:rPr>
          <w:noProof/>
        </w:rPr>
      </w:pPr>
      <w:r>
        <w:rPr>
          <w:noProof/>
        </w:rPr>
        <w:t>Odbor bi v 24 urah odločil, ali so pogoji za uporabo ESJV, kot so določeni v členu 41a (pozavarovanje), členu 41d (sozavarovanje) ali členu 41h (polno jamstvo), izpolnjeni (člen 41l(1)). Poleg teg</w:t>
      </w:r>
      <w:r>
        <w:rPr>
          <w:noProof/>
        </w:rPr>
        <w:t>a določi, navadno v istem časovnem obdobju, znesek financiranja, ki bi ga zagotovil sodelujočemu SJV (pododstavek 2 člena 41l(2)).</w:t>
      </w:r>
    </w:p>
    <w:p w:rsidR="001E2AAD" w:rsidRDefault="007B2354">
      <w:pPr>
        <w:rPr>
          <w:noProof/>
        </w:rPr>
      </w:pPr>
      <w:r>
        <w:rPr>
          <w:noProof/>
        </w:rPr>
        <w:t>Če se eden ali več sodelujočih SJV istočasno sooči z več dogodki, ki povzročijo izplačilo, ali se od njih zahtevajo prispevki</w:t>
      </w:r>
      <w:r>
        <w:rPr>
          <w:noProof/>
        </w:rPr>
        <w:t xml:space="preserve"> za reševanje, razpoložljiva finančna sredstva jamstvenega sklada za vloge morda ne bodo zadostovala. V tem primeru bo financiranje, ki ga bo lahko vsak sodelujoči SJV pridobil za posamezen dogodek, omejeno na sorazmerno izračunan delež razpoložljivih sred</w:t>
      </w:r>
      <w:r>
        <w:rPr>
          <w:noProof/>
        </w:rPr>
        <w:t>stev jamstvenega sklada za vloge (člen 41l(3).</w:t>
      </w:r>
    </w:p>
    <w:p w:rsidR="001E2AAD" w:rsidRDefault="007B2354">
      <w:pPr>
        <w:rPr>
          <w:noProof/>
        </w:rPr>
      </w:pPr>
      <w:r>
        <w:rPr>
          <w:noProof/>
        </w:rPr>
        <w:t>Odbor mora nemudoma obvestiti sodelujoče SJV, ali so pogoji za kritje iz ESJV izpolnjeni, ter o znesku financiranja, ki bi ga ESJV zagotovil sodelujočemu SJV. Sodelujoči SJV lahko v roku 24 ur zahtevajo pregle</w:t>
      </w:r>
      <w:r>
        <w:rPr>
          <w:noProof/>
        </w:rPr>
        <w:t>d odločitve ali odločitev odbora, odbor pa nato o tem odloči v nadaljnjih 24 urah (člen 41m).</w:t>
      </w:r>
    </w:p>
    <w:p w:rsidR="001E2AAD" w:rsidRDefault="007B2354">
      <w:pPr>
        <w:rPr>
          <w:noProof/>
        </w:rPr>
      </w:pPr>
      <w:r>
        <w:rPr>
          <w:noProof/>
        </w:rPr>
        <w:t>Finančna sredstva se zagotovijo takoj, ko odbor določi znesek, in se izplačajo v obliki denarnega prispevka sodelujočemu SJV (člen 41n). Če odbor po pregledu svoj</w:t>
      </w:r>
      <w:r>
        <w:rPr>
          <w:noProof/>
        </w:rPr>
        <w:t>e odločitve na zahtevo sodelujočega SJV poviša znesek financiranja, se ta znesek da na voljo, ko odbor sprejme odločitev glede zahtevka za pregled.</w:t>
      </w:r>
    </w:p>
    <w:p w:rsidR="001E2AAD" w:rsidRDefault="007B2354">
      <w:pPr>
        <w:pStyle w:val="ManualHeading3"/>
        <w:rPr>
          <w:rFonts w:eastAsia="Arial Unicode MS"/>
          <w:noProof/>
          <w:bdr w:val="none" w:sz="0" w:space="0" w:color="auto" w:frame="1"/>
        </w:rPr>
      </w:pPr>
      <w:r>
        <w:t>5.4.2.</w:t>
      </w:r>
      <w:r>
        <w:tab/>
      </w:r>
      <w:r>
        <w:rPr>
          <w:noProof/>
        </w:rPr>
        <w:t>Postopek po financiranju</w:t>
      </w:r>
    </w:p>
    <w:p w:rsidR="001E2AAD" w:rsidRDefault="007B2354">
      <w:pPr>
        <w:rPr>
          <w:noProof/>
        </w:rPr>
      </w:pPr>
      <w:r>
        <w:rPr>
          <w:noProof/>
        </w:rPr>
        <w:t>Odbor mora po zagotovitvi financiranja določiti presežno izgubo (pozavarovan</w:t>
      </w:r>
      <w:r>
        <w:rPr>
          <w:noProof/>
        </w:rPr>
        <w:t>je) ali izgubo (sozavarovanje, polno jamstvo) sodelujočega SJV, spremljati uporabo zagotovljenih finančnih sredstev za izplačila vlagateljem ali za prispevek k reševanju ter spremljati prizadevanja sodelujočega SJV, da iz stečajne mase pridobi povrnjene zn</w:t>
      </w:r>
      <w:r>
        <w:rPr>
          <w:noProof/>
        </w:rPr>
        <w:t>eske, ki jih je izplačal na podlagi zahtevkov za izplačilo vlog.</w:t>
      </w:r>
    </w:p>
    <w:p w:rsidR="001E2AAD" w:rsidRDefault="007B2354">
      <w:pPr>
        <w:rPr>
          <w:noProof/>
        </w:rPr>
      </w:pPr>
      <w:r>
        <w:rPr>
          <w:noProof/>
        </w:rPr>
        <w:t xml:space="preserve">Po dogodku, ki povzroči izplačilo, se, potem ko sodelujoči SJV zbere naknadne prispevke in občasno prejme prihodke iz stečajne mase, sčasoma izriše znesek (presežne) izgube. Kadar sodelujoči </w:t>
      </w:r>
      <w:r>
        <w:rPr>
          <w:noProof/>
        </w:rPr>
        <w:t xml:space="preserve">SJV prispeva k reševanju in ne more zbirati nobenih naknadnih prispevkov niti ne more uveljavljati nobenih terjatev zoper tretjo stranko, se (presežna) izguba lahko določi že takoj po tem, ko sodelujoči SJV prejme plačilo morebitne razlike, do katerega je </w:t>
      </w:r>
      <w:r>
        <w:rPr>
          <w:noProof/>
        </w:rPr>
        <w:t>upravičen, če se pri naknadnem vrednotenju ugotovi, da bi moral biti njegov prvotni prispevek nižji. Zato mora odbor, zgolj po dogodku, ki povzroči izplačilo, stalno ocenjevati razvoj (presežne) izgube, preden določi končno (presežno) izgubo. Istočasno sod</w:t>
      </w:r>
      <w:r>
        <w:rPr>
          <w:noProof/>
        </w:rPr>
        <w:t>elujoči SJV odboru povrne finančna sredstva, ki jih je prejel, v obrokih, ki ustrezajo naknadnim prispevkom ali prihodkom iz stečajne mase, takoj, ko so mu na voljo (člen 41o).</w:t>
      </w:r>
    </w:p>
    <w:p w:rsidR="001E2AAD" w:rsidRDefault="007B2354">
      <w:pPr>
        <w:rPr>
          <w:noProof/>
        </w:rPr>
      </w:pPr>
      <w:r>
        <w:rPr>
          <w:noProof/>
        </w:rPr>
        <w:t xml:space="preserve">Razlika med začetnim financiranjem, ki ga prejme sodelujoči SJV iz jamstvenega </w:t>
      </w:r>
      <w:r>
        <w:rPr>
          <w:noProof/>
        </w:rPr>
        <w:t>sklada za vloge, in zneskom, ki ga mora povrniti odboru, je (presežna) izguba, ki jo krije ESJV.</w:t>
      </w:r>
    </w:p>
    <w:p w:rsidR="001E2AAD" w:rsidRDefault="007B2354">
      <w:pPr>
        <w:rPr>
          <w:noProof/>
        </w:rPr>
      </w:pPr>
      <w:r>
        <w:rPr>
          <w:noProof/>
        </w:rPr>
        <w:t>Po dogodku, ki povzroči izplačilo, bi odbor tudi strogo spremljal postopek izplačevanja, zlasti uporabo finančnih sredstev, ki jih je za to zagotovil sodelujoč</w:t>
      </w:r>
      <w:r>
        <w:rPr>
          <w:noProof/>
        </w:rPr>
        <w:t>emu SJV, ter kako sodelujoči SJV uveljavlja njegove zahtevke za izplačilo vlog v postopku zaradi insolventnosti. Sodelujoči SJV mora v rednih presledkih, ki jih določi odbor, temu predložiti točne, zanesljive in popolne podatke, zlasti o postopku izplačeva</w:t>
      </w:r>
      <w:r>
        <w:rPr>
          <w:noProof/>
        </w:rPr>
        <w:t xml:space="preserve">nja in uveljavljanju pravic vlagateljev, v katere vstopa v postopkih zaradi insolventnosti (s subrogacijo). Sodelujoči SJV si morajo prizadevati za kar največje prihodke iz stečajne mase. Odbor lahko v primeru malomarnega ravnanja sodelujočega SJV zahteva </w:t>
      </w:r>
      <w:r>
        <w:rPr>
          <w:noProof/>
        </w:rPr>
        <w:t xml:space="preserve">odškodnino, lahko pa se po zaslišanju sodelujočega SJV tudi odloči, da bo sam uveljavljal vse pravice iz zahtevkov za izplačilo vlog, ki so s subrogacijo prešle na sodelujoči SJV. Odbor lahko nato zbrane prihodke nakaže neposredno na svoj račun in si tako </w:t>
      </w:r>
      <w:r>
        <w:rPr>
          <w:noProof/>
        </w:rPr>
        <w:t>povrne sredstva, ki jih je zagotovil sodelujočemu SJV (člen 41q).</w:t>
      </w:r>
    </w:p>
    <w:p w:rsidR="001E2AAD" w:rsidRDefault="007B2354">
      <w:pPr>
        <w:pStyle w:val="ManualHeading2"/>
        <w:rPr>
          <w:rFonts w:eastAsia="Arial Unicode MS"/>
          <w:noProof/>
          <w:bdr w:val="none" w:sz="0" w:space="0" w:color="auto" w:frame="1"/>
        </w:rPr>
      </w:pPr>
      <w:r>
        <w:t>5.5.</w:t>
      </w:r>
      <w:r>
        <w:tab/>
      </w:r>
      <w:r>
        <w:rPr>
          <w:noProof/>
        </w:rPr>
        <w:t>Finančne določbe za ESJV</w:t>
      </w:r>
    </w:p>
    <w:p w:rsidR="001E2AAD" w:rsidRDefault="007B2354">
      <w:pPr>
        <w:rPr>
          <w:noProof/>
        </w:rPr>
      </w:pPr>
      <w:r>
        <w:rPr>
          <w:noProof/>
        </w:rPr>
        <w:t>ESJV za delovanje potrebuje finančna sredstva za kritje upravnih odhodkov in zagotavljanje potrebnega kritja (financiranje in kritje izgub) sodelujočim SJV.</w:t>
      </w:r>
    </w:p>
    <w:p w:rsidR="001E2AAD" w:rsidRDefault="007B2354">
      <w:pPr>
        <w:pStyle w:val="ManualHeading3"/>
        <w:rPr>
          <w:rFonts w:eastAsia="Arial Unicode MS"/>
          <w:noProof/>
          <w:bdr w:val="none" w:sz="0" w:space="0" w:color="auto" w:frame="1"/>
        </w:rPr>
      </w:pPr>
      <w:r>
        <w:t>5.5</w:t>
      </w:r>
      <w:r>
        <w:t>.1.</w:t>
      </w:r>
      <w:r>
        <w:tab/>
      </w:r>
      <w:r>
        <w:rPr>
          <w:noProof/>
        </w:rPr>
        <w:t xml:space="preserve">Splošne proračunske določbe in upravni prispevki </w:t>
      </w:r>
    </w:p>
    <w:p w:rsidR="001E2AAD" w:rsidRDefault="007B2354">
      <w:pPr>
        <w:rPr>
          <w:noProof/>
        </w:rPr>
      </w:pPr>
      <w:r>
        <w:rPr>
          <w:noProof/>
        </w:rPr>
        <w:t>Proračun trenutno vsebuje dva dela: del I za vodenje odbora in del II za enotni sklad za reševanje.</w:t>
      </w:r>
    </w:p>
    <w:p w:rsidR="001E2AAD" w:rsidRDefault="007B2354">
      <w:pPr>
        <w:rPr>
          <w:noProof/>
        </w:rPr>
      </w:pPr>
      <w:r>
        <w:rPr>
          <w:noProof/>
        </w:rPr>
        <w:t>Upravni odhodki ESJV bi se krili z obstoječimi upravnimi prispevki, ki se zbirajo za del I proračuna o</w:t>
      </w:r>
      <w:r>
        <w:rPr>
          <w:noProof/>
        </w:rPr>
        <w:t>dbora, pri čemer bi se upoštevalo dodatno upravno breme, ki ga povzroči ESJV, in dejstvo, da osebni področji uporabe EMR in ESJV nista identični (člen 65(5)).</w:t>
      </w:r>
    </w:p>
    <w:p w:rsidR="001E2AAD" w:rsidRDefault="007B2354">
      <w:pPr>
        <w:rPr>
          <w:noProof/>
        </w:rPr>
      </w:pPr>
      <w:r>
        <w:rPr>
          <w:noProof/>
        </w:rPr>
        <w:t xml:space="preserve">Jamstveni sklad za vloge bi bil zajet v novem delu III proračuna odbora. Njegova struktura </w:t>
      </w:r>
      <w:r>
        <w:rPr>
          <w:noProof/>
        </w:rPr>
        <w:t>prihodkov in odhodkov (člen 60a) ustreza strukturi dela II za enotni sklad za reševanje (člen 60) in je podrobneje pojasnjena v oddelku 5.5.2 spodaj.</w:t>
      </w:r>
    </w:p>
    <w:p w:rsidR="001E2AAD" w:rsidRDefault="007B2354">
      <w:pPr>
        <w:rPr>
          <w:noProof/>
        </w:rPr>
      </w:pPr>
      <w:r>
        <w:rPr>
          <w:noProof/>
        </w:rPr>
        <w:t>Splošne proračunske določbe (členi 57, 58, 61 do 64 in 66) veljajo tudi za del III proračuna.</w:t>
      </w:r>
    </w:p>
    <w:p w:rsidR="001E2AAD" w:rsidRDefault="007B2354">
      <w:pPr>
        <w:rPr>
          <w:noProof/>
        </w:rPr>
      </w:pPr>
      <w:r>
        <w:rPr>
          <w:noProof/>
        </w:rPr>
        <w:t>Odbor bi bil</w:t>
      </w:r>
      <w:r>
        <w:rPr>
          <w:noProof/>
        </w:rPr>
        <w:t xml:space="preserve"> odgovoren za vodenje enotnega sklada za reševanje in jamstvenega sklada za vloge ter vlaganje njunih sredstev v skladu s pravili iz uredbe EMR in delegiranih aktov, ki jih je sprejela Komisija (člen 75).</w:t>
      </w:r>
    </w:p>
    <w:p w:rsidR="001E2AAD" w:rsidRDefault="007B2354">
      <w:pPr>
        <w:pStyle w:val="ManualHeading3"/>
        <w:rPr>
          <w:rFonts w:eastAsia="Arial Unicode MS"/>
          <w:noProof/>
          <w:bdr w:val="none" w:sz="0" w:space="0" w:color="auto" w:frame="1"/>
        </w:rPr>
      </w:pPr>
      <w:r>
        <w:t>5.5.2.</w:t>
      </w:r>
      <w:r>
        <w:tab/>
      </w:r>
      <w:r>
        <w:rPr>
          <w:noProof/>
        </w:rPr>
        <w:t>Predhodni prispevki v jamstveni sklad za vlo</w:t>
      </w:r>
      <w:r>
        <w:rPr>
          <w:noProof/>
        </w:rPr>
        <w:t xml:space="preserve">ge </w:t>
      </w:r>
    </w:p>
    <w:p w:rsidR="001E2AAD" w:rsidRDefault="007B2354">
      <w:pPr>
        <w:rPr>
          <w:noProof/>
        </w:rPr>
      </w:pPr>
      <w:r>
        <w:rPr>
          <w:noProof/>
        </w:rPr>
        <w:t>Jamstveni sklad za vloge bi se napolnil s predhodnimi prispevki, ki jih banke dolgujejo in plačajo neposredno odboru. Te prispevke v imenu odbora izračunajo in zanje izdajo račune sodelujoči SJV (člen 74a(1). Obveznost plačila teh predhodnih prispevkov</w:t>
      </w:r>
      <w:r>
        <w:rPr>
          <w:noProof/>
        </w:rPr>
        <w:t xml:space="preserve"> je ločena od obveznosti plačila predhodnih prispevkov sodelujočim SJV v skladu s pododstavkom 2 člena 10(1) direktive SJV. Da ti prispevki ne bi dodatno obremenjevali bančnega sektorja, se lahko predhodni prispevki, plačani v jamstveni sklad za vloge, izr</w:t>
      </w:r>
      <w:r>
        <w:rPr>
          <w:noProof/>
        </w:rPr>
        <w:t>avnajo na ravni sodelujočega SJV (glej spodaj, oddelek 5.5.2.2)</w:t>
      </w:r>
      <w:r>
        <w:rPr>
          <w:rStyle w:val="FootnoteReference"/>
          <w:noProof/>
        </w:rPr>
        <w:footnoteReference w:id="8"/>
      </w:r>
      <w:r>
        <w:rPr>
          <w:noProof/>
        </w:rPr>
        <w:t>.</w:t>
      </w:r>
    </w:p>
    <w:p w:rsidR="001E2AAD" w:rsidRDefault="007B2354">
      <w:pPr>
        <w:pStyle w:val="ManualHeading4"/>
        <w:rPr>
          <w:rFonts w:eastAsia="Arial Unicode MS"/>
          <w:noProof/>
          <w:bdr w:val="none" w:sz="0" w:space="0" w:color="auto" w:frame="1"/>
        </w:rPr>
      </w:pPr>
      <w:r>
        <w:t>5.5.2.1.</w:t>
      </w:r>
      <w:r>
        <w:tab/>
      </w:r>
      <w:r>
        <w:rPr>
          <w:noProof/>
        </w:rPr>
        <w:t xml:space="preserve">Ciljne ravni jamstvenega sklada za vloge </w:t>
      </w:r>
    </w:p>
    <w:p w:rsidR="001E2AAD" w:rsidRDefault="007B2354">
      <w:pPr>
        <w:rPr>
          <w:noProof/>
        </w:rPr>
      </w:pPr>
      <w:r>
        <w:rPr>
          <w:noProof/>
        </w:rPr>
        <w:t>Razpoložljiva finančna sredstva jamstvenega sklada za vloge morajo doseči dve poznejši ciljni ravni (člen 74b(1) in (2): (a) začetno ciljno</w:t>
      </w:r>
      <w:r>
        <w:rPr>
          <w:noProof/>
        </w:rPr>
        <w:t xml:space="preserve"> raven v višini 20 % štirih devetin vsote vseh nacionalnih minimalnih ciljnih ravni do konca triletnega obdobja pozavarovanja ter (b) končno ciljno raven, ki ustreza vsoti minimalnih ciljnih ravni, ki jih morajo v skladu z direktivo doseči sodelujoči SJV d</w:t>
      </w:r>
      <w:r>
        <w:rPr>
          <w:noProof/>
        </w:rPr>
        <w:t>o konca štiriletnega obdobja sozavarovanja. Minimalne ciljne ravni bi se v celoti uskladile za vse sodelujoče SJV. Skupaj bi se minimalne ciljne ravni jamstvenega sklada za vloge in sodelujočih SJV linearno povečevale, in sicer vsako leto do leta 2024 za e</w:t>
      </w:r>
      <w:r>
        <w:rPr>
          <w:noProof/>
        </w:rPr>
        <w:t>no devetino.</w:t>
      </w:r>
    </w:p>
    <w:p w:rsidR="001E2AAD" w:rsidRDefault="007B2354">
      <w:pPr>
        <w:rPr>
          <w:noProof/>
        </w:rPr>
      </w:pPr>
      <w:r>
        <w:rPr>
          <w:noProof/>
        </w:rPr>
        <w:t>Predhodni prispevki, ki jih morajo plačati banke, se časovno razporedijo kar se da enakomerno, dokler ni dosežena začetna ali končna ciljna raven. Po obdobju pozavarovanja je treba razpoložljiva finančna sredstva, če so bila uporabljena za fin</w:t>
      </w:r>
      <w:r>
        <w:rPr>
          <w:noProof/>
        </w:rPr>
        <w:t>anciranje ali kritje izgub in padejo pod začetno ciljno raven, povečati, dokler ni znova dosežena ciljna raven.</w:t>
      </w:r>
    </w:p>
    <w:p w:rsidR="001E2AAD" w:rsidRDefault="007B2354">
      <w:pPr>
        <w:rPr>
          <w:noProof/>
        </w:rPr>
      </w:pPr>
      <w:r>
        <w:rPr>
          <w:noProof/>
        </w:rPr>
        <w:t>Predhodni prispevki, ki jih odboru dolguje in mora plačati vsaka banka, se vsako leto določijo v dveh korakih: (a) Odbor določi skupni znesek pr</w:t>
      </w:r>
      <w:r>
        <w:rPr>
          <w:noProof/>
        </w:rPr>
        <w:t>edhodnih prispevkov, ki jih lahko zahteva od bank članic vsakega sodelujočega SJV (člen 74d(1)). (b) Vsak sodelujoči SJV nato na podlagi ustreznega skupnega zneska, ki ga določi odbor, izračuna prispevek, ki ga dolguje in mora plačati vsaka njegova banka č</w:t>
      </w:r>
      <w:r>
        <w:rPr>
          <w:noProof/>
        </w:rPr>
        <w:t>lanica (člen 74d(2)) ter v imenu odbora izda račun v višini tega zneska.</w:t>
      </w:r>
    </w:p>
    <w:p w:rsidR="001E2AAD" w:rsidRDefault="007B2354">
      <w:pPr>
        <w:rPr>
          <w:noProof/>
        </w:rPr>
      </w:pPr>
      <w:r>
        <w:rPr>
          <w:noProof/>
        </w:rPr>
        <w:t xml:space="preserve">V fazi pozavarovanja bo sodelujoči SJV za vsako svojo banko članico izračunal predhodni prispevek na podlagi tveganja, ki ga mora plačati posamezna banka članica v jamstveni sklad za </w:t>
      </w:r>
      <w:r>
        <w:rPr>
          <w:noProof/>
        </w:rPr>
        <w:t>vloge v primerjavi z vsemi drugimi bankami članicami. Po fazi pozavarovanja se predhodni prispevki na podlagi tveganja za vsako banko izračunajo glede na vse banke v ESJV. To bi izvedel odbor s pomočjo sodelujočih SJV in s sklopom metod na podlagi tveganja</w:t>
      </w:r>
      <w:r>
        <w:rPr>
          <w:noProof/>
        </w:rPr>
        <w:t>, določenih z delegiranim aktom Komisije.</w:t>
      </w:r>
    </w:p>
    <w:p w:rsidR="001E2AAD" w:rsidRDefault="007B2354">
      <w:pPr>
        <w:rPr>
          <w:noProof/>
        </w:rPr>
      </w:pPr>
      <w:r>
        <w:rPr>
          <w:noProof/>
        </w:rPr>
        <w:t>Predhodni prispevek, za katerega sodelujoči SJV izda račun v imenu odbora, mora banka plačati neposredno odboru, ki znesek knjiži v dobro jamstvenega sklada za vloge (kot prihodek v delu III proračuna sklada).</w:t>
      </w:r>
    </w:p>
    <w:p w:rsidR="001E2AAD" w:rsidRDefault="007B2354">
      <w:pPr>
        <w:pStyle w:val="ManualHeading4"/>
        <w:rPr>
          <w:rFonts w:eastAsia="Arial Unicode MS"/>
          <w:noProof/>
          <w:bdr w:val="none" w:sz="0" w:space="0" w:color="auto" w:frame="1"/>
        </w:rPr>
      </w:pPr>
      <w:r>
        <w:t>5.5.</w:t>
      </w:r>
      <w:r>
        <w:t>2.2.</w:t>
      </w:r>
      <w:r>
        <w:tab/>
      </w:r>
      <w:r>
        <w:rPr>
          <w:noProof/>
        </w:rPr>
        <w:t>Izravnava na ravni sodelujočih SJV</w:t>
      </w:r>
    </w:p>
    <w:p w:rsidR="001E2AAD" w:rsidRDefault="007B2354">
      <w:pPr>
        <w:rPr>
          <w:noProof/>
        </w:rPr>
      </w:pPr>
      <w:r>
        <w:rPr>
          <w:noProof/>
        </w:rPr>
        <w:t>Ta predlog sodelujočim državam članicam omogoča, da dosežejo stroškovno nevtralnost za banke članice sodelujočih SJV. Lahko se odločijo, da oblikovanje ločene obveznosti bank za plačilo predhodnih prispevkov v jamstv</w:t>
      </w:r>
      <w:r>
        <w:rPr>
          <w:noProof/>
        </w:rPr>
        <w:t xml:space="preserve">eni sklad za vloge upravičuje izravnavo na ravni sodelujočega SJV. Pri sprejetju te odločitve morajo države članice ustrezno upoštevati načelo sorazmernosti in preučiti, ali raven zaščite vlog, ki se vzpostavlja s postopnim ustanavljanjem ESJV, upravičuje </w:t>
      </w:r>
      <w:r>
        <w:rPr>
          <w:noProof/>
        </w:rPr>
        <w:t>znižanje finančnih sredstev za zaščito vlog na ravni sodelujočega SJV.</w:t>
      </w:r>
    </w:p>
    <w:p w:rsidR="001E2AAD" w:rsidRDefault="007B2354">
      <w:pPr>
        <w:rPr>
          <w:noProof/>
        </w:rPr>
      </w:pPr>
      <w:r>
        <w:rPr>
          <w:noProof/>
        </w:rPr>
        <w:t>Stroškovna nevtralnost je določena v členu 74c(4): (a) predhodni prispevki, ki jih banke plačajo v jamstveni sklad za vloge, se prištejejo k ciljni ravni, ki jo določa direktiva za zade</w:t>
      </w:r>
      <w:r>
        <w:rPr>
          <w:noProof/>
        </w:rPr>
        <w:t>vni sodelujoči SJV; (b) če je nacionalni SJV do konca faze vzpostavljanja (3. julij 2024 ali pozneje) sledil natančno določenemu poteku financiranja (člen 41j) in so njegove banke članice plačale vse prispevke, ki so jih dolgovale jamstvenemu skladu za vlo</w:t>
      </w:r>
      <w:r>
        <w:rPr>
          <w:noProof/>
        </w:rPr>
        <w:t>ge, ti prispevki tvorijo znesek prispevkov, ki je potreben za dosego nacionalne ciljne ravni v višini 0,8%, in (c) sodelujoče države članice lahko svojim SJV omogočijo, da prispevke, ki so jih njihove banke članice plačale v ESJV, upoštevajo pri izračunu v</w:t>
      </w:r>
      <w:r>
        <w:rPr>
          <w:noProof/>
        </w:rPr>
        <w:t>išine prispevkov in/ali svojim bankam članicam iz svojih razpoložljivih finančnih virov povrnejo znesek, za katerega prispevek teh bank presega zneske, določene v poteku financiranja.</w:t>
      </w:r>
    </w:p>
    <w:p w:rsidR="001E2AAD" w:rsidRDefault="007B2354">
      <w:pPr>
        <w:rPr>
          <w:noProof/>
        </w:rPr>
      </w:pPr>
      <w:r>
        <w:rPr>
          <w:noProof/>
        </w:rPr>
        <w:t>Sodelujoči SJV lahko, odvisno od višine razpoložljivih finančnih sredste</w:t>
      </w:r>
      <w:r>
        <w:rPr>
          <w:noProof/>
        </w:rPr>
        <w:t>v, ki jih je že zbral, izravna prispevke svojih bank članic z znižanjem prispevkov ali s povračilom prispevkov, ki jih je že prejel od svojih bank članic.</w:t>
      </w:r>
    </w:p>
    <w:p w:rsidR="001E2AAD" w:rsidRDefault="007B2354">
      <w:pPr>
        <w:pStyle w:val="ManualHeading3"/>
        <w:rPr>
          <w:rFonts w:eastAsia="Arial Unicode MS"/>
          <w:noProof/>
          <w:bdr w:val="none" w:sz="0" w:space="0" w:color="auto" w:frame="1"/>
        </w:rPr>
      </w:pPr>
      <w:r>
        <w:t>5.5.3.</w:t>
      </w:r>
      <w:r>
        <w:tab/>
      </w:r>
      <w:r>
        <w:rPr>
          <w:noProof/>
        </w:rPr>
        <w:t xml:space="preserve">Izredni naknadni prispevki </w:t>
      </w:r>
    </w:p>
    <w:p w:rsidR="001E2AAD" w:rsidRDefault="007B2354">
      <w:pPr>
        <w:rPr>
          <w:noProof/>
        </w:rPr>
      </w:pPr>
      <w:r>
        <w:rPr>
          <w:noProof/>
        </w:rPr>
        <w:t>Odbor lahko od začetka faze pozavarovanja od bank, vključenih v na</w:t>
      </w:r>
      <w:r>
        <w:rPr>
          <w:noProof/>
        </w:rPr>
        <w:t>cionalne SJV, zahteva tudi plačilo izrednih naknadnih prispevkov, če jamstveni sklad za vloge nima dovolj razpoložljivih sredstev za financiranje in kritje izgube. Nacionalni SJV bi ostali odgovorni za zbiranje naknadnih prispevkov nacionalnega bančnega se</w:t>
      </w:r>
      <w:r>
        <w:rPr>
          <w:noProof/>
        </w:rPr>
        <w:t xml:space="preserve">ktorja, da po dogodku, ki povzroči izplačilo, ali prispevku k reševanju ponovno napolnijo svoj nacionalni sistem. </w:t>
      </w:r>
    </w:p>
    <w:p w:rsidR="001E2AAD" w:rsidRDefault="007B2354">
      <w:pPr>
        <w:rPr>
          <w:noProof/>
        </w:rPr>
      </w:pPr>
      <w:r>
        <w:rPr>
          <w:noProof/>
        </w:rPr>
        <w:t>Naknadne prispevke banke dolgujejo in plačajo neposredno odboru, v fazi sozavarovanja pa jih v imenu odbora izračuna in zanje izda račun zade</w:t>
      </w:r>
      <w:r>
        <w:rPr>
          <w:noProof/>
        </w:rPr>
        <w:t xml:space="preserve">vni sodelujoči SJV. Odbor določi skupni znesek naknadnih prispevkov, ki ga lahko zahteva od bank članic vsakega sodelujočega SJV, znotraj omejitev, ki so določene v delegiranem aktu Komisije. Sodelujoči SJV izračuna naknadni prispevek, ki ga dolguje vsaka </w:t>
      </w:r>
      <w:r>
        <w:rPr>
          <w:noProof/>
        </w:rPr>
        <w:t>njegova banka članica, na podlagi skupnega zneska, ki ga določi odbor, pri čemer uporabi isto metodo na podlagi tveganja kot za izračun predhodnega prispevka v skladu s členom 10(1) direktive.</w:t>
      </w:r>
    </w:p>
    <w:p w:rsidR="001E2AAD" w:rsidRDefault="007B2354">
      <w:pPr>
        <w:rPr>
          <w:noProof/>
        </w:rPr>
      </w:pPr>
      <w:r>
        <w:rPr>
          <w:noProof/>
        </w:rPr>
        <w:t>Po fazi sozavarovanja naknadni prispevek, ki ga dolguje posamez</w:t>
      </w:r>
      <w:r>
        <w:rPr>
          <w:noProof/>
        </w:rPr>
        <w:t>na banka, izračuna odbor po metodah na podlagi tveganja, določenih v delegiranem aktu Komisije, ki se uporablja tudi za izračun predhodnih prispevkov po fazi sozavarovanja. Sodelujoči SJV v imenu odbora izdajo račun za naknadne prispevke.</w:t>
      </w:r>
    </w:p>
    <w:p w:rsidR="001E2AAD" w:rsidRDefault="007B2354">
      <w:pPr>
        <w:rPr>
          <w:noProof/>
        </w:rPr>
      </w:pPr>
      <w:r>
        <w:rPr>
          <w:noProof/>
        </w:rPr>
        <w:t xml:space="preserve">Odbor lahko tako </w:t>
      </w:r>
      <w:r>
        <w:rPr>
          <w:noProof/>
        </w:rPr>
        <w:t xml:space="preserve">v fazi sozavarovanja kot polnega jamstva na lastno pobudo ali na predlog zadevnega pristojnega organa, delno ali v celoti odloži plačilo naknadnega prispevka posamezne banke. Odlog mora biti nujen za zaščito finančnega položaja banke in ne sme biti daljši </w:t>
      </w:r>
      <w:r>
        <w:rPr>
          <w:noProof/>
        </w:rPr>
        <w:t>od šest mesecev, vendar ga je na prošnjo banke mogoče obnoviti.</w:t>
      </w:r>
    </w:p>
    <w:p w:rsidR="001E2AAD" w:rsidRDefault="007B2354">
      <w:pPr>
        <w:rPr>
          <w:noProof/>
        </w:rPr>
      </w:pPr>
      <w:r>
        <w:rPr>
          <w:noProof/>
        </w:rPr>
        <w:t xml:space="preserve">V delegiranem aktu Komisije bodo določeni najvišji zneski, ki jih ESJV lahko zbere naknadno, pri čemer se upoštevajo nacionalni naknadni prispevki. </w:t>
      </w:r>
    </w:p>
    <w:p w:rsidR="001E2AAD" w:rsidRDefault="007B2354">
      <w:pPr>
        <w:pStyle w:val="ManualHeading3"/>
        <w:rPr>
          <w:rFonts w:eastAsia="Arial Unicode MS"/>
          <w:noProof/>
          <w:bdr w:val="none" w:sz="0" w:space="0" w:color="auto" w:frame="1"/>
        </w:rPr>
      </w:pPr>
      <w:r>
        <w:t>5.5.4.</w:t>
      </w:r>
      <w:r>
        <w:tab/>
      </w:r>
      <w:r>
        <w:rPr>
          <w:noProof/>
        </w:rPr>
        <w:t>Dodatna finančna sredstva za jamstve</w:t>
      </w:r>
      <w:r>
        <w:rPr>
          <w:noProof/>
        </w:rPr>
        <w:t xml:space="preserve">ni sklad za vloge </w:t>
      </w:r>
    </w:p>
    <w:p w:rsidR="001E2AAD" w:rsidRDefault="007B2354">
      <w:pPr>
        <w:rPr>
          <w:noProof/>
        </w:rPr>
      </w:pPr>
      <w:r>
        <w:rPr>
          <w:noProof/>
        </w:rPr>
        <w:t>Poleg zbiranja predhodnih in naknadnih prispevkov lahko odbor pridobi dodatna finančna sredstva za jamstveni sklad za vloge. S postopnim nadomeščanjem financiranja na ravni sodelujočih SJV lahko zaprosi za posojilo iz sistemov jamstva za</w:t>
      </w:r>
      <w:r>
        <w:rPr>
          <w:noProof/>
        </w:rPr>
        <w:t xml:space="preserve"> vloge, priznanih v nesodelujoči državi članici, ki o takšni prošnji odloča v skladu s členom 12 direktive (člen 74g). Odbor lahko, zaradi vzajemnosti, prav tako odobri posojilo sistemu jamstva za vloge iz nesodelujoče države članice.</w:t>
      </w:r>
    </w:p>
    <w:p w:rsidR="001E2AAD" w:rsidRDefault="007B2354">
      <w:pPr>
        <w:rPr>
          <w:noProof/>
        </w:rPr>
      </w:pPr>
      <w:r>
        <w:rPr>
          <w:noProof/>
        </w:rPr>
        <w:t>Odbor lahko za jamstv</w:t>
      </w:r>
      <w:r>
        <w:rPr>
          <w:noProof/>
        </w:rPr>
        <w:t>eni sklad za vloge pridobi tudi druge alternativne načine financiranja s strani tretjih oseb, zlasti če sredstva, ki jih odbor lahko zbere s predhodnimi in naknadnimi prispevki niso (takoj) na voljo (člen 74h). Vračljivi načini financiranja se v obdobju za</w:t>
      </w:r>
      <w:r>
        <w:rPr>
          <w:noProof/>
        </w:rPr>
        <w:t>padlosti povrnejo z zbranimi predhodnimi in naknadnimi prispevki.</w:t>
      </w:r>
    </w:p>
    <w:p w:rsidR="001E2AAD" w:rsidRDefault="007B2354">
      <w:pPr>
        <w:pStyle w:val="ManualHeading3"/>
        <w:rPr>
          <w:rFonts w:eastAsia="Arial Unicode MS"/>
          <w:noProof/>
          <w:bdr w:val="none" w:sz="0" w:space="0" w:color="auto" w:frame="1"/>
        </w:rPr>
      </w:pPr>
      <w:r>
        <w:t>5.5.5.</w:t>
      </w:r>
      <w:r>
        <w:tab/>
      </w:r>
      <w:r>
        <w:rPr>
          <w:noProof/>
        </w:rPr>
        <w:t xml:space="preserve">ESJV – odločanje </w:t>
      </w:r>
    </w:p>
    <w:p w:rsidR="001E2AAD" w:rsidRDefault="007B2354">
      <w:pPr>
        <w:rPr>
          <w:noProof/>
        </w:rPr>
      </w:pPr>
      <w:r>
        <w:rPr>
          <w:noProof/>
        </w:rPr>
        <w:t xml:space="preserve">ESJV bi na njegovih izvršnih in plenarnih sejah vodil odbor. Na izvršni seji bi isti člani sprejemali odločitve in opravljali naloge tako za ESJV kot tudi za EMR. </w:t>
      </w:r>
      <w:r>
        <w:rPr>
          <w:noProof/>
        </w:rPr>
        <w:t>Posebne naloge v zvezi z ESJV bi zahtevale posebno sestavo na plenarni seji za sprejemanje odločitev, ki se nanašajo zgolj na ESJV. Člane, ki zastopajo nacionalne organe za reševanje na plenarni seji, bi nadomestili člani, ki zastopajo nacionalne imenovane</w:t>
      </w:r>
      <w:r>
        <w:rPr>
          <w:noProof/>
        </w:rPr>
        <w:t xml:space="preserve"> organe.</w:t>
      </w:r>
    </w:p>
    <w:p w:rsidR="001E2AAD" w:rsidRDefault="007B2354">
      <w:pPr>
        <w:rPr>
          <w:noProof/>
        </w:rPr>
      </w:pPr>
      <w:r>
        <w:rPr>
          <w:noProof/>
        </w:rPr>
        <w:t>Plenarna seja bi izvajala posebne naloge.</w:t>
      </w:r>
    </w:p>
    <w:p w:rsidR="001E2AAD" w:rsidRDefault="007B2354">
      <w:pPr>
        <w:rPr>
          <w:noProof/>
        </w:rPr>
      </w:pPr>
      <w:r>
        <w:rPr>
          <w:noProof/>
        </w:rPr>
        <w:t>Ker nekatere odločitve odbora zadevajo odbor kot celoto ali EMR in ESJV, bi se sprejemale na novi skupni plenarni seji s posebnimi predstavniki in glasovalnimi postopki.</w:t>
      </w:r>
    </w:p>
    <w:p w:rsidR="001E2AAD" w:rsidRDefault="007B2354">
      <w:pPr>
        <w:rPr>
          <w:noProof/>
        </w:rPr>
      </w:pPr>
      <w:r>
        <w:rPr>
          <w:noProof/>
        </w:rPr>
        <w:t>Vse druge odločitve glede ESJV bi b</w:t>
      </w:r>
      <w:r>
        <w:rPr>
          <w:noProof/>
        </w:rPr>
        <w:t>ile sprejete na izvršni seji odbora.</w:t>
      </w:r>
    </w:p>
    <w:p w:rsidR="001E2AAD" w:rsidRDefault="007B2354">
      <w:pPr>
        <w:pStyle w:val="ManualHeading2"/>
        <w:rPr>
          <w:rFonts w:eastAsia="Arial Unicode MS"/>
          <w:noProof/>
          <w:bdr w:val="none" w:sz="0" w:space="0" w:color="auto" w:frame="1"/>
        </w:rPr>
      </w:pPr>
      <w:r>
        <w:t>5.6.</w:t>
      </w:r>
      <w:r>
        <w:tab/>
      </w:r>
      <w:r>
        <w:rPr>
          <w:noProof/>
        </w:rPr>
        <w:t>Druga pravila</w:t>
      </w:r>
    </w:p>
    <w:p w:rsidR="001E2AAD" w:rsidRDefault="007B2354">
      <w:pPr>
        <w:rPr>
          <w:noProof/>
        </w:rPr>
      </w:pPr>
      <w:r>
        <w:rPr>
          <w:noProof/>
        </w:rPr>
        <w:t xml:space="preserve">Določbe o specifičnih vprašanjih, ki veljajo za EMR, bi veljale tudi za odbor pri opravljanju njegovih funkcij v okviru ESJV: privilegiji in imunitete, jezikovne ureditve, osebje in menjava osebja, </w:t>
      </w:r>
      <w:r>
        <w:rPr>
          <w:noProof/>
        </w:rPr>
        <w:t>notranji odbori, pritožbena komisija, tožbe pred sodiščem, odgovornost odbora, poslovna tajnost in izmenjava informacij, varstvo podatkov, dostop do dokumentov, varnostna pravila za občutljive ali zaupne informacije, Računsko sodišče.</w:t>
      </w:r>
    </w:p>
    <w:p w:rsidR="001E2AAD" w:rsidRDefault="007B2354">
      <w:pPr>
        <w:rPr>
          <w:noProof/>
        </w:rPr>
      </w:pPr>
      <w:r>
        <w:rPr>
          <w:noProof/>
        </w:rPr>
        <w:t>Spremembe, ki uvajajo</w:t>
      </w:r>
      <w:r>
        <w:rPr>
          <w:noProof/>
        </w:rPr>
        <w:t xml:space="preserve"> ESJV, bi se začele uporabljati z začetkom veljavnosti uredbe o spremembi. </w:t>
      </w:r>
    </w:p>
    <w:p w:rsidR="001E2AAD" w:rsidRDefault="001E2AAD">
      <w:pPr>
        <w:spacing w:before="0" w:after="0"/>
        <w:jc w:val="left"/>
        <w:rPr>
          <w:noProof/>
        </w:rPr>
        <w:sectPr w:rsidR="001E2AAD" w:rsidSect="007B2354">
          <w:footerReference w:type="default" r:id="rId14"/>
          <w:footerReference w:type="first" r:id="rId15"/>
          <w:pgSz w:w="11907" w:h="16839"/>
          <w:pgMar w:top="1134" w:right="1417" w:bottom="1134" w:left="1417" w:header="709" w:footer="709" w:gutter="0"/>
          <w:cols w:space="720"/>
          <w:docGrid w:linePitch="326"/>
        </w:sectPr>
      </w:pPr>
    </w:p>
    <w:p w:rsidR="001E2AAD" w:rsidRDefault="007B2354">
      <w:pPr>
        <w:jc w:val="center"/>
        <w:rPr>
          <w:b/>
          <w:noProof/>
        </w:rPr>
      </w:pPr>
      <w:r>
        <w:rPr>
          <w:b/>
          <w:noProof/>
        </w:rPr>
        <w:t>Predlog</w:t>
      </w:r>
    </w:p>
    <w:p w:rsidR="001E2AAD" w:rsidRDefault="007B2354">
      <w:pPr>
        <w:jc w:val="center"/>
        <w:rPr>
          <w:b/>
          <w:noProof/>
        </w:rPr>
      </w:pPr>
      <w:r>
        <w:rPr>
          <w:b/>
          <w:noProof/>
        </w:rPr>
        <w:t>UREDBA EVROPSKEGA PARLAMENTA IN SVETA</w:t>
      </w:r>
    </w:p>
    <w:p w:rsidR="001E2AAD" w:rsidRDefault="007B2354">
      <w:pPr>
        <w:jc w:val="center"/>
        <w:rPr>
          <w:b/>
          <w:noProof/>
        </w:rPr>
      </w:pPr>
      <w:r>
        <w:rPr>
          <w:b/>
          <w:noProof/>
        </w:rPr>
        <w:t>o spremembi Uredbe (EU) št. 806/20</w:t>
      </w:r>
      <w:r>
        <w:rPr>
          <w:b/>
          <w:noProof/>
        </w:rPr>
        <w:t>14 za vzpostavitev evropskega sistema jamstva za vloge</w:t>
      </w:r>
    </w:p>
    <w:p w:rsidR="001E2AAD" w:rsidRDefault="001E2AAD">
      <w:pPr>
        <w:rPr>
          <w:noProof/>
        </w:rPr>
      </w:pPr>
    </w:p>
    <w:p w:rsidR="001E2AAD" w:rsidRDefault="007B2354">
      <w:pPr>
        <w:rPr>
          <w:noProof/>
        </w:rPr>
      </w:pPr>
      <w:r>
        <w:rPr>
          <w:noProof/>
        </w:rPr>
        <w:t>EVROPSKI PARLAMENT IN SVET EVROPSKE UNIJE STA –</w:t>
      </w:r>
    </w:p>
    <w:p w:rsidR="001E2AAD" w:rsidRDefault="007B2354">
      <w:pPr>
        <w:rPr>
          <w:noProof/>
        </w:rPr>
      </w:pPr>
      <w:r>
        <w:rPr>
          <w:noProof/>
        </w:rPr>
        <w:t>ob upoštevanju Pogodbe o delovanju Evropske unije, zlasti člena 114 Pogodbe,</w:t>
      </w:r>
    </w:p>
    <w:p w:rsidR="001E2AAD" w:rsidRDefault="007B2354">
      <w:pPr>
        <w:rPr>
          <w:noProof/>
        </w:rPr>
      </w:pPr>
      <w:r>
        <w:rPr>
          <w:noProof/>
        </w:rPr>
        <w:t>ob upoštevanju predloga Evropske komisije,</w:t>
      </w:r>
    </w:p>
    <w:p w:rsidR="001E2AAD" w:rsidRDefault="007B2354">
      <w:pPr>
        <w:rPr>
          <w:noProof/>
        </w:rPr>
      </w:pPr>
      <w:r>
        <w:rPr>
          <w:noProof/>
        </w:rPr>
        <w:t>po posredovanju osnutka zakonoda</w:t>
      </w:r>
      <w:r>
        <w:rPr>
          <w:noProof/>
        </w:rPr>
        <w:t>jnega akta nacionalnim parlamentom,</w:t>
      </w:r>
    </w:p>
    <w:p w:rsidR="001E2AAD" w:rsidRDefault="007B2354">
      <w:pPr>
        <w:rPr>
          <w:noProof/>
        </w:rPr>
      </w:pPr>
      <w:r>
        <w:rPr>
          <w:noProof/>
        </w:rPr>
        <w:t>ob upoštevanju mnenja Evropske centralne banke</w:t>
      </w:r>
      <w:r>
        <w:rPr>
          <w:rStyle w:val="FootnoteReference"/>
          <w:noProof/>
        </w:rPr>
        <w:footnoteReference w:id="9"/>
      </w:r>
      <w:r>
        <w:rPr>
          <w:noProof/>
        </w:rPr>
        <w:t>,</w:t>
      </w:r>
    </w:p>
    <w:p w:rsidR="001E2AAD" w:rsidRDefault="007B2354">
      <w:pPr>
        <w:rPr>
          <w:noProof/>
        </w:rPr>
      </w:pPr>
      <w:r>
        <w:rPr>
          <w:noProof/>
        </w:rPr>
        <w:t>ob upoštevanju mnenja Evropskega ekonomsko-socialnega odbora</w:t>
      </w:r>
      <w:r>
        <w:rPr>
          <w:rStyle w:val="FootnoteReference"/>
          <w:noProof/>
        </w:rPr>
        <w:footnoteReference w:id="10"/>
      </w:r>
      <w:r>
        <w:rPr>
          <w:noProof/>
        </w:rPr>
        <w:t xml:space="preserve">, </w:t>
      </w:r>
    </w:p>
    <w:p w:rsidR="001E2AAD" w:rsidRDefault="007B2354">
      <w:pPr>
        <w:rPr>
          <w:noProof/>
        </w:rPr>
      </w:pPr>
      <w:r>
        <w:rPr>
          <w:noProof/>
        </w:rPr>
        <w:t>v skladu z rednim zakonodajnim postopkom,</w:t>
      </w:r>
    </w:p>
    <w:p w:rsidR="001E2AAD" w:rsidRDefault="007B2354">
      <w:pPr>
        <w:rPr>
          <w:noProof/>
        </w:rPr>
      </w:pPr>
      <w:r>
        <w:rPr>
          <w:noProof/>
        </w:rPr>
        <w:t>ob upoštevanju naslednjega:</w:t>
      </w:r>
    </w:p>
    <w:p w:rsidR="001E2AAD" w:rsidRDefault="007B2354">
      <w:pPr>
        <w:pStyle w:val="Point0number"/>
        <w:numPr>
          <w:ilvl w:val="0"/>
          <w:numId w:val="26"/>
        </w:numPr>
        <w:rPr>
          <w:noProof/>
        </w:rPr>
      </w:pPr>
      <w:r>
        <w:rPr>
          <w:noProof/>
        </w:rPr>
        <w:t xml:space="preserve">Unija je v zadnjih letih napredovala </w:t>
      </w:r>
      <w:r>
        <w:rPr>
          <w:noProof/>
        </w:rPr>
        <w:t xml:space="preserve">pri vzpostavljanju notranjega trga bančnih storitev. Bolje povezan notranji trg za bančne storitve je bistvenega pomena za spodbujanje gospodarske rasti v Uniji, varovanje stabilnosti bančnega sistema in zaščito vlagateljev. </w:t>
      </w:r>
    </w:p>
    <w:p w:rsidR="001E2AAD" w:rsidRDefault="007B2354">
      <w:pPr>
        <w:pStyle w:val="Point0number"/>
        <w:numPr>
          <w:ilvl w:val="0"/>
          <w:numId w:val="5"/>
        </w:numPr>
        <w:rPr>
          <w:noProof/>
        </w:rPr>
      </w:pPr>
      <w:r>
        <w:rPr>
          <w:noProof/>
        </w:rPr>
        <w:t>Evropski svet je 18. oktobra 2</w:t>
      </w:r>
      <w:r>
        <w:rPr>
          <w:noProof/>
        </w:rPr>
        <w:t>012 sklenil, da je treba ekonomsko in monetarno unijo „glede na temeljne izzive, s katerimi se sooča, okrepiti, da bi zagotovili ekonomsko in socialno blaginjo ter stabilnost in trajno blaginjo“ ter „da bi poglabljanje ekonomske in monetarne unije moralo i</w:t>
      </w:r>
      <w:r>
        <w:rPr>
          <w:noProof/>
        </w:rPr>
        <w:t>zhajati iz institucionalnega in pravnega okvira EU, njegova značilnost pa bi morali biti tudi odprtost in preglednost do držav članic, ki niso v euroobmočju, in spoštovanje celovitosti notranjega trga“. V ta namen je ustanovljena bančna unija, ki temelji n</w:t>
      </w:r>
      <w:r>
        <w:rPr>
          <w:noProof/>
        </w:rPr>
        <w:t>a celovitem in podrobnem enotnem pravilniku za finančne storitve, ki velja za celoten notranji trg. Proces vzpostavljanja bančne unije zaznamujejo odprtost in preglednost v odnosu do nesodelujočih držav članic ter spoštovanje celovitosti notranjega trga.</w:t>
      </w:r>
    </w:p>
    <w:p w:rsidR="001E2AAD" w:rsidRDefault="007B2354">
      <w:pPr>
        <w:pStyle w:val="Point0number"/>
        <w:numPr>
          <w:ilvl w:val="0"/>
          <w:numId w:val="5"/>
        </w:numPr>
        <w:rPr>
          <w:noProof/>
        </w:rPr>
      </w:pPr>
      <w:r>
        <w:rPr>
          <w:noProof/>
        </w:rPr>
        <w:t>E</w:t>
      </w:r>
      <w:r>
        <w:rPr>
          <w:noProof/>
        </w:rPr>
        <w:t>vropski parlament je v svoji resoluciji z dne 20. novembra 2012 „Na poti k pravi ekonomski in monetarni uniji“, izjavil tudi, da je prekinitev negativnih povratnih učinkov med državami, bankami in realnim gospodarstvom bistvena za nemoteno delovanje evrops</w:t>
      </w:r>
      <w:r>
        <w:rPr>
          <w:noProof/>
        </w:rPr>
        <w:t xml:space="preserve">ke monetarne unije, ter poudaril nujno potrebo po dodatnih in daljnosežnih ukrepih za realizacijo v celoti delujoče bančne unije ob hkratnem zagotavljanju stalnega pravilnega delovanja notranjega trga za finančne storitve in prosti pretok kapitala. </w:t>
      </w:r>
    </w:p>
    <w:p w:rsidR="001E2AAD" w:rsidRDefault="007B2354">
      <w:pPr>
        <w:pStyle w:val="Point0number"/>
        <w:numPr>
          <w:ilvl w:val="0"/>
          <w:numId w:val="5"/>
        </w:numPr>
        <w:rPr>
          <w:noProof/>
        </w:rPr>
      </w:pPr>
      <w:r>
        <w:rPr>
          <w:noProof/>
        </w:rPr>
        <w:t>Medtem</w:t>
      </w:r>
      <w:r>
        <w:rPr>
          <w:noProof/>
        </w:rPr>
        <w:t xml:space="preserve"> ko so bili opravljeni ključni koraki za zagotovitev učinkovitega delovanja bančne unije, pri čemer enotni mehanizem nadzora (EMN), ustanovljen z Uredbo Sveta (EU) št. 1024/2013</w:t>
      </w:r>
      <w:r>
        <w:rPr>
          <w:rStyle w:val="FootnoteReference"/>
          <w:noProof/>
        </w:rPr>
        <w:footnoteReference w:id="11"/>
      </w:r>
      <w:r>
        <w:rPr>
          <w:noProof/>
        </w:rPr>
        <w:t>, zagotavlja, da se politika Unije v zvezi z bonitetnim nadzorom kreditnih ins</w:t>
      </w:r>
      <w:r>
        <w:rPr>
          <w:noProof/>
        </w:rPr>
        <w:t>titucij v državah članicah euroobmočja in tistih državah članicah, ki niso v euroobmočju, vendar želijo sodelovati v EMN (sodelujoče države članice), izvaja skladno in učinkovito, enotni mehanizem za reševanje (EMR), ustanovljen z Uredbo (EU) št. 806/2014,</w:t>
      </w:r>
      <w:r>
        <w:rPr>
          <w:noProof/>
        </w:rPr>
        <w:t xml:space="preserve"> pa zagotavlja skladen okvir za reševanje bank v težavah ali tistih, ki bodo verjetno prišle v težave, v sodelujočih državah članicah, pa so za dokončanje bančne unije še vedno potrebni dodatni ukrepi.</w:t>
      </w:r>
    </w:p>
    <w:p w:rsidR="001E2AAD" w:rsidRDefault="007B2354">
      <w:pPr>
        <w:pStyle w:val="Point0number"/>
        <w:numPr>
          <w:ilvl w:val="0"/>
          <w:numId w:val="5"/>
        </w:numPr>
        <w:rPr>
          <w:noProof/>
        </w:rPr>
      </w:pPr>
      <w:r>
        <w:rPr>
          <w:noProof/>
        </w:rPr>
        <w:t>V poročilu petih predsednikov o dokončanju evropske ek</w:t>
      </w:r>
      <w:r>
        <w:rPr>
          <w:noProof/>
        </w:rPr>
        <w:t>onomske in monetarne unije iz junija 2015 je poudarjeno, da je enotni bančni sistem lahko resnično enoten le, če je zaupanje v varnost bančnih vlog enako ne glede na državo članico, v kateri posluje banka. Za to so potrebni enoten nadzor nad bankami, enote</w:t>
      </w:r>
      <w:r>
        <w:rPr>
          <w:noProof/>
        </w:rPr>
        <w:t>n sistem za reševanje bank in enoten sistem jamstva za vloge. V poročilu petih predsednikov se zatorej predlaga dokončanje bančne unije z ustanovitvijo evropskega sistema jamstva za vloge (ESJV), tretjega stebra popolnoma delujoče bančne unije poleg nadzor</w:t>
      </w:r>
      <w:r>
        <w:rPr>
          <w:noProof/>
        </w:rPr>
        <w:t>a in reševanja bank. Konkretni ukrepi za to bi že morali biti prednostno sprejeti, in sicer s sistemom pozavarovanja na evropski ravni za nacionalne sisteme jamstva za vloge kot prvim korakom k popolnoma vzajemnemu pristopu. Področje uporabe tega sistema p</w:t>
      </w:r>
      <w:r>
        <w:rPr>
          <w:noProof/>
        </w:rPr>
        <w:t>ozavarovanja bi moralo sovpadati s področjem uporabe EMN.</w:t>
      </w:r>
    </w:p>
    <w:p w:rsidR="001E2AAD" w:rsidRDefault="007B2354">
      <w:pPr>
        <w:pStyle w:val="Point0number"/>
        <w:numPr>
          <w:ilvl w:val="0"/>
          <w:numId w:val="5"/>
        </w:numPr>
        <w:rPr>
          <w:noProof/>
        </w:rPr>
      </w:pPr>
      <w:r>
        <w:rPr>
          <w:noProof/>
        </w:rPr>
        <w:t>Nedavna kriza je pokazala, da je delovanje notranjega trga morda ogroženo in da je tveganje finančne razdrobljenosti vse večje. Propad banke, ki je razmeroma velika v primerjavi z nacionalnim bančni</w:t>
      </w:r>
      <w:r>
        <w:rPr>
          <w:noProof/>
        </w:rPr>
        <w:t>m sektorjem, ali sočasni propad dela nacionalnega bančnega sektorja lahko nacionalne SJV izpostavi velikim lokalnim pretresom kljub dodatnim mehanizmom financiranja, ki jih določa Direktiva 2014/49/EU Evropskega parlamenta in Sveta</w:t>
      </w:r>
      <w:r>
        <w:rPr>
          <w:rStyle w:val="FootnoteReference"/>
          <w:noProof/>
        </w:rPr>
        <w:footnoteReference w:id="12"/>
      </w:r>
      <w:r>
        <w:rPr>
          <w:noProof/>
        </w:rPr>
        <w:t xml:space="preserve">. Ta izpostavljenost </w:t>
      </w:r>
      <w:r>
        <w:rPr>
          <w:noProof/>
        </w:rPr>
        <w:t>nacionalnih SJV velikim lokalnim pretresom lahko prispeva k negativnim povratnim učinkom med bankami in njihovimi državami, kar ogroža homogenost zaščite vlog in prispeva k pomanjkanju zaupanja med vlagatelji ter posledično vodi v nestabilnost trga.</w:t>
      </w:r>
    </w:p>
    <w:p w:rsidR="001E2AAD" w:rsidRDefault="007B2354">
      <w:pPr>
        <w:pStyle w:val="Point0number"/>
        <w:numPr>
          <w:ilvl w:val="0"/>
          <w:numId w:val="5"/>
        </w:numPr>
        <w:rPr>
          <w:noProof/>
        </w:rPr>
      </w:pPr>
      <w:r>
        <w:rPr>
          <w:noProof/>
        </w:rPr>
        <w:t>Odsotn</w:t>
      </w:r>
      <w:r>
        <w:rPr>
          <w:noProof/>
        </w:rPr>
        <w:t>ost homogene ravni zaščite vlagateljev lahko izkrivlja konkurenco in dejansko ovira kreditne institucije pri uveljavljanju svobode ustanavljanja in prostega opravljanja storitev na notranjem trgu. Skupni sistem jamstva za vloge je zato bistven za dokončanj</w:t>
      </w:r>
      <w:r>
        <w:rPr>
          <w:noProof/>
        </w:rPr>
        <w:t>e notranjega trga za finančne storitve.</w:t>
      </w:r>
    </w:p>
    <w:p w:rsidR="001E2AAD" w:rsidRDefault="007B2354">
      <w:pPr>
        <w:pStyle w:val="Point0number"/>
        <w:numPr>
          <w:ilvl w:val="0"/>
          <w:numId w:val="5"/>
        </w:numPr>
        <w:rPr>
          <w:noProof/>
        </w:rPr>
      </w:pPr>
      <w:r>
        <w:rPr>
          <w:noProof/>
        </w:rPr>
        <w:t>Čeprav Direktiva 2014/49/EU znatno izboljšuje zmogljivost nacionalnih shem za izplačilo nadomestil vlagateljem, so potrebne učinkovitejše ureditve jamstva za vloge na ravni bančne unije, da se zagotovijo zadostna fin</w:t>
      </w:r>
      <w:r>
        <w:rPr>
          <w:noProof/>
        </w:rPr>
        <w:t>ančna sredstva za utrditev zaupanja vseh vlagateljev in s tem zaščiti finančna stabilnost. ESJV bi okrepil odpornost bančne unije na prihodnje krize z bolj razširjeno delitvijo tveganja ter ponudil enako zaščito zavarovanim vlagateljem, kar bi podprlo ustr</w:t>
      </w:r>
      <w:r>
        <w:rPr>
          <w:noProof/>
        </w:rPr>
        <w:t xml:space="preserve">ezno delovanje notranjega trga. </w:t>
      </w:r>
    </w:p>
    <w:p w:rsidR="001E2AAD" w:rsidRDefault="007B2354">
      <w:pPr>
        <w:pStyle w:val="Point0number"/>
        <w:numPr>
          <w:ilvl w:val="0"/>
          <w:numId w:val="5"/>
        </w:numPr>
        <w:rPr>
          <w:noProof/>
        </w:rPr>
      </w:pPr>
      <w:r>
        <w:rPr>
          <w:noProof/>
        </w:rPr>
        <w:t xml:space="preserve">Sredstva, ki jih sistemi jamstva za vloge uporabljajo za izplačilo nadomestil vlagateljem za nerazpoložljive krite vloge v skladu s členom 8 Direktive 2014/49/EU o sistemih jamstva za vloge niso državna pomoč ali pomoč </w:t>
      </w:r>
      <w:r>
        <w:rPr>
          <w:noProof/>
        </w:rPr>
        <w:t>sklada. Vendar morajo biti ta sredstva, kadar se uporabijo za prestrukturiranje kreditnih institucij in predstavljajo državno pomoč ali pomoč sklada, v skladu s členom 108 Pogodbe o delovanju Evropske unije oziroma členom 19 Uredbe (EU) št. 806/2014 Evrops</w:t>
      </w:r>
      <w:r>
        <w:rPr>
          <w:noProof/>
        </w:rPr>
        <w:t>kega parlamenta in Sveta</w:t>
      </w:r>
      <w:r>
        <w:rPr>
          <w:rStyle w:val="FootnoteReference"/>
          <w:noProof/>
        </w:rPr>
        <w:footnoteReference w:id="13"/>
      </w:r>
      <w:r>
        <w:rPr>
          <w:noProof/>
        </w:rPr>
        <w:t>, ki bi se moral spremeniti v ta namen.</w:t>
      </w:r>
    </w:p>
    <w:p w:rsidR="001E2AAD" w:rsidRDefault="007B2354">
      <w:pPr>
        <w:pStyle w:val="Point0number"/>
        <w:numPr>
          <w:ilvl w:val="0"/>
          <w:numId w:val="5"/>
        </w:numPr>
        <w:rPr>
          <w:noProof/>
        </w:rPr>
      </w:pPr>
      <w:r>
        <w:rPr>
          <w:noProof/>
        </w:rPr>
        <w:t>Kljub nadaljnji uskladitvi, ki jo uvaja Direktiva 2014/49/EU, nacionalni sistemi jamstva za vloge ohranjajo določene možnosti in diskrecijo, vključno v zvezi z nekaterimi bistvenimi elementi,</w:t>
      </w:r>
      <w:r>
        <w:rPr>
          <w:noProof/>
        </w:rPr>
        <w:t xml:space="preserve"> kot so ciljne ravni, dejavniki tveganja, ki se uporabijo pri ocenjevanju prispevkov kreditnih institucij, obdobja za povračilo ali uporaba sredstev. Te razlike med nacionalnimi pravili lahko ovirajo prosto opravljanje storitev in izkrivljajo konkurenco. V</w:t>
      </w:r>
      <w:r>
        <w:rPr>
          <w:noProof/>
        </w:rPr>
        <w:t xml:space="preserve"> močno povezanem bančnem sektorju so potrebni enotna pravila in pristopi, da se zagotovi dosledno trdna raven zaščite vlagateljev v celotni Uniji in tako zajamči cilj finančne stabilnosti.</w:t>
      </w:r>
    </w:p>
    <w:p w:rsidR="001E2AAD" w:rsidRDefault="007B2354">
      <w:pPr>
        <w:pStyle w:val="Point0number"/>
        <w:numPr>
          <w:ilvl w:val="0"/>
          <w:numId w:val="5"/>
        </w:numPr>
        <w:rPr>
          <w:noProof/>
        </w:rPr>
      </w:pPr>
      <w:r>
        <w:rPr>
          <w:noProof/>
        </w:rPr>
        <w:t>Vzpostavitev ESJV s centraliziranim odločanjem, spremljanjem in poo</w:t>
      </w:r>
      <w:r>
        <w:rPr>
          <w:noProof/>
        </w:rPr>
        <w:t xml:space="preserve">blastili za izvrševanje, ki se zaupajo enotnemu odboru za reševanje in jamstvo za vloge (odbor), bo bistvena pri doseganju cilja usklajenega okvira jamstva za vloge. Enotno izvajanje zahtev jamstva za vloge v sodelujočih državah članicah se bo izboljšalo, </w:t>
      </w:r>
      <w:r>
        <w:rPr>
          <w:noProof/>
        </w:rPr>
        <w:t>ker bo za to pooblaščen centralni organ. Na ta način bi moralo delovanje ESJV z zagotavljanjem podpore in okvira za vzpostavitev in nadaljnje izvajanje enotnih pravil o ureditvah jamstva za vloge olajšati postopek usklajevanja na področju finančnih storite</w:t>
      </w:r>
      <w:r>
        <w:rPr>
          <w:noProof/>
        </w:rPr>
        <w:t>v.</w:t>
      </w:r>
    </w:p>
    <w:p w:rsidR="001E2AAD" w:rsidRDefault="007B2354">
      <w:pPr>
        <w:pStyle w:val="Point0number"/>
        <w:numPr>
          <w:ilvl w:val="0"/>
          <w:numId w:val="5"/>
        </w:numPr>
        <w:rPr>
          <w:noProof/>
        </w:rPr>
      </w:pPr>
      <w:r>
        <w:rPr>
          <w:noProof/>
        </w:rPr>
        <w:t>Poleg tega je ESJV del širših pravil EU o usklajevanju bonitetnega nadzora, sanacije in reševanja, ki so dopolnilni vidiki notranjega trga za bančne storitve. Nadzor je lahko učinkovit in smiseln le, če se ustvari ustrezen sistem jamstva za vloge, ki us</w:t>
      </w:r>
      <w:r>
        <w:rPr>
          <w:noProof/>
        </w:rPr>
        <w:t>treza razvoju na področju nadzora. ESJV je zato bistvenega pomena za širši proces usklajevanja, njegovi cilji pa so tesno povezani z okvirom Unije o bonitetnem nadzoru, sanaciji in reševanju, ki so zaradi centralizirane uporabe medsebojno odvisni. Na prime</w:t>
      </w:r>
      <w:r>
        <w:rPr>
          <w:noProof/>
        </w:rPr>
        <w:t>r, ustrezno usklajevanje na ravni nadzora in jamstva za vloge je potrebno v primerih, ko Evropska centralna banka (ECB) načrtuje odvzem dovoljenja kreditni instituciji ali ko kreditna institucija ne izpolnjuje obveznosti za članstvo v SJV. Na podobno visok</w:t>
      </w:r>
      <w:r>
        <w:rPr>
          <w:noProof/>
        </w:rPr>
        <w:t>i ravni je treba povezati ukrepe reševanja in naloge v zvezi z jamstvom za vloge, ki so dodeljene odboru.</w:t>
      </w:r>
    </w:p>
    <w:p w:rsidR="001E2AAD" w:rsidRDefault="007B2354">
      <w:pPr>
        <w:pStyle w:val="Point0number"/>
        <w:numPr>
          <w:ilvl w:val="0"/>
          <w:numId w:val="5"/>
        </w:numPr>
        <w:rPr>
          <w:noProof/>
        </w:rPr>
      </w:pPr>
      <w:r>
        <w:rPr>
          <w:noProof/>
        </w:rPr>
        <w:t xml:space="preserve">Ta uredba se uporablja le za banke, katerih matični nadzornik je ECB ali pristojni nacionalni organ v državah članicah, katerih valuta je euro, ali v </w:t>
      </w:r>
      <w:r>
        <w:rPr>
          <w:noProof/>
        </w:rPr>
        <w:t>državah članicah, katerih valuta ni euro, a so vzpostavile tesno sodelovanje v skladu s členom 7 Uredbe (EU) št. 1024/2013. Področje uporabe te uredbe je povezano s področjem uporabe Uredbe (EU) št. 1024/2013. Če upoštevamo znatno raven prepletanja nadzorn</w:t>
      </w:r>
      <w:r>
        <w:rPr>
          <w:noProof/>
        </w:rPr>
        <w:t>ih nalog, dodeljenih EMN, in ukrepov v zvezi z jamstvom za vloge, je vzpostavitev centraliziranega sistema nadzora, ki deluje v skladu s členom 127(6) Pogodbe o delovanju Evropske unije, ključnega pomena za proces usklajevanja jamstva za vloge v sodelujoči</w:t>
      </w:r>
      <w:r>
        <w:rPr>
          <w:noProof/>
        </w:rPr>
        <w:t>h državah članicah. Dejstvo, da so subjekti pod nadzorom EMN, je torej posebna značilnost, zaradi katere so subjekti, ki spadajo v področje uporabe Uredbe (EU) št. 1024/2013, v objektivno in značilno drugačnem položaju glede jamstva za vloge. Treba je spre</w:t>
      </w:r>
      <w:r>
        <w:rPr>
          <w:noProof/>
        </w:rPr>
        <w:t>jeti ukrepe za vzpostavitev enotnega sistema jamstva za vloge za vse države članice, ki sodelujejo v EMN, da se olajša pravilno in stabilno delovanje notranjega trga.</w:t>
      </w:r>
    </w:p>
    <w:p w:rsidR="001E2AAD" w:rsidRDefault="007B2354">
      <w:pPr>
        <w:pStyle w:val="Point0number"/>
        <w:numPr>
          <w:ilvl w:val="0"/>
          <w:numId w:val="5"/>
        </w:numPr>
        <w:rPr>
          <w:noProof/>
        </w:rPr>
      </w:pPr>
      <w:r>
        <w:rPr>
          <w:noProof/>
        </w:rPr>
        <w:t>Za zagotovitev vzporednosti z EMN in EMR bi se moral ESJV uporabljati za sodelujoče držav</w:t>
      </w:r>
      <w:r>
        <w:rPr>
          <w:noProof/>
        </w:rPr>
        <w:t>e članice. Banke s sedežem v državah članicah, ki ne sodelujejo v EMN, ne bi smele biti vključene v ESJV. Dokler je nadzor v državi članici zunaj EMN, bi morala ta država članica ostati odgovorna za zagotavljanje zaščite vlagateljev pred posledicami insolv</w:t>
      </w:r>
      <w:r>
        <w:rPr>
          <w:noProof/>
        </w:rPr>
        <w:t>entnosti kreditne institucije. Ko se država članica pridruži EMN, bi morala avtomatsko postati vključena v ESJV. V končni fazi bi se lahko ESJV razširil na celotni notranji trg.</w:t>
      </w:r>
    </w:p>
    <w:p w:rsidR="001E2AAD" w:rsidRDefault="007B2354">
      <w:pPr>
        <w:pStyle w:val="Point0number"/>
        <w:numPr>
          <w:ilvl w:val="0"/>
          <w:numId w:val="5"/>
        </w:numPr>
        <w:rPr>
          <w:noProof/>
        </w:rPr>
      </w:pPr>
      <w:r>
        <w:rPr>
          <w:noProof/>
        </w:rPr>
        <w:t>Da se zagotovijo enaki konkurenčni pogoji znotraj celotnega notranjega trga, j</w:t>
      </w:r>
      <w:r>
        <w:rPr>
          <w:noProof/>
        </w:rPr>
        <w:t>e ta uredba skladna z Direktivo 2014/49/EU. Dopolnjuje pravila in načela iz navedene direktive, da se zagotovi pravilno delovanje ESJV ter da je zanj na voljo ustrezno financiranje. Materialno pravo o jamstvu vlog, ki se bo uporabljalo v okviru ESJV, bo za</w:t>
      </w:r>
      <w:r>
        <w:rPr>
          <w:noProof/>
        </w:rPr>
        <w:t>to v skladu s pravom, ki ga uporabljajo nacionalni SJV ali imenovani organi nesodelujočih držav članic, usklajenim z Direktivo 2014/49/EU.</w:t>
      </w:r>
    </w:p>
    <w:p w:rsidR="001E2AAD" w:rsidRDefault="007B2354">
      <w:pPr>
        <w:pStyle w:val="Point0number"/>
        <w:numPr>
          <w:ilvl w:val="0"/>
          <w:numId w:val="5"/>
        </w:numPr>
        <w:rPr>
          <w:noProof/>
        </w:rPr>
      </w:pPr>
      <w:r>
        <w:rPr>
          <w:noProof/>
        </w:rPr>
        <w:t>Na povezanih finančnih trgih vsaka finančna pomoč za povračilo vlagateljem s preprečevanjem širjenja bančnih kriz v n</w:t>
      </w:r>
      <w:r>
        <w:rPr>
          <w:noProof/>
        </w:rPr>
        <w:t xml:space="preserve">esodelujoče države članice izboljšuje finančno stabilnost ne le v zadevni sodelujoči državi članici, ampak tudi v drugih državah članicah. Pooblastitev odbora za izvajanje nalog v zvezi z jamstvom vlog ne bi smela nikakor ovirati delovanja notranjega trga </w:t>
      </w:r>
      <w:r>
        <w:rPr>
          <w:noProof/>
        </w:rPr>
        <w:t>finančnih storitev. Zato bi moral evropski bančni organ (EBA) ohraniti svojo vlogo in obdržati svoje pristojnosti in naloge: moral bi razvijati zakonodajo Unije, ki velja za vse države članice, in prispevati k njeni dosledni uporabi ter krepiti zbliževanje</w:t>
      </w:r>
      <w:r>
        <w:rPr>
          <w:noProof/>
        </w:rPr>
        <w:t xml:space="preserve"> praks jamstva za vloge v vsej Uniji. </w:t>
      </w:r>
    </w:p>
    <w:p w:rsidR="001E2AAD" w:rsidRDefault="007B2354">
      <w:pPr>
        <w:pStyle w:val="Point0number"/>
        <w:numPr>
          <w:ilvl w:val="0"/>
          <w:numId w:val="5"/>
        </w:numPr>
        <w:rPr>
          <w:noProof/>
        </w:rPr>
      </w:pPr>
      <w:r>
        <w:rPr>
          <w:noProof/>
        </w:rPr>
        <w:t xml:space="preserve">ESJV bi se moral v nekaj letih postopno razviti iz sistema pozavarovanja v popolnoma vzajemen sistem sozavarovanja. V okviru prizadevanj za poglobitev ekonomske in monetarne unije je ta korak skupaj s prizadevanji za </w:t>
      </w:r>
      <w:r>
        <w:rPr>
          <w:noProof/>
        </w:rPr>
        <w:t xml:space="preserve">uvedbo ureditev za premostitveno financiranje enotnega sklada za reševanje ter za razvoj skupnega fiskalnega varovalnega mehanizma potreben za zmanjšanje povezav med bankami in državo v posameznih državah članicah, in sicer s sprejetjem ukrepov za delitev </w:t>
      </w:r>
      <w:r>
        <w:rPr>
          <w:noProof/>
        </w:rPr>
        <w:t>tveganja med vsemi državami članicami v bančni uniji, s čimer bi se bančna unija okrepila pri doseganju svojega ključnega cilja. Vendar je treba takšno delitev tveganja, kot jo uvajajo ukrepi za okrepitev bančne unije, uvajati vzporedno z ukrepi za zmanjša</w:t>
      </w:r>
      <w:r>
        <w:rPr>
          <w:noProof/>
        </w:rPr>
        <w:t xml:space="preserve">nje tveganja, oblikovanimi za bolj neposredno prekinitev povezave med bankami in državo. </w:t>
      </w:r>
    </w:p>
    <w:p w:rsidR="001E2AAD" w:rsidRDefault="007B2354">
      <w:pPr>
        <w:pStyle w:val="Point0number"/>
        <w:numPr>
          <w:ilvl w:val="0"/>
          <w:numId w:val="5"/>
        </w:numPr>
        <w:rPr>
          <w:noProof/>
        </w:rPr>
      </w:pPr>
      <w:r>
        <w:rPr>
          <w:noProof/>
        </w:rPr>
        <w:t>ESJV bi moral biti ustanovljen v treh zaporednih fazah, najprej kot sistem pozavarovanja, ki pokriva del likvidnostnega primanjkljaja in presežnih izgub sodelujočih S</w:t>
      </w:r>
      <w:r>
        <w:rPr>
          <w:noProof/>
        </w:rPr>
        <w:t>JV, temu sledi sistem sozavarovanja, ki pokriva postopno vse višji delež likvidnostnega primanjkljaja in izgub sodelujočih SJV, nato pa sledi sistem polnega jamstva, ki pokriva vse potrebe po likvidnih sredstvih in izgube sodelujočih sistemov jamstva za vl</w:t>
      </w:r>
      <w:r>
        <w:rPr>
          <w:noProof/>
        </w:rPr>
        <w:t>oge.</w:t>
      </w:r>
    </w:p>
    <w:p w:rsidR="001E2AAD" w:rsidRDefault="007B2354">
      <w:pPr>
        <w:pStyle w:val="Point0number"/>
        <w:numPr>
          <w:ilvl w:val="0"/>
          <w:numId w:val="5"/>
        </w:numPr>
        <w:rPr>
          <w:noProof/>
        </w:rPr>
      </w:pPr>
      <w:r>
        <w:rPr>
          <w:noProof/>
        </w:rPr>
        <w:t>V fazi pozavarovanja in za omejitev odgovornosti evropskega jamstvenega sklada za vloge (jamstveni sklad za vloge) ter zmanjšanje moralnega tveganja na nacionalni ravni je mogoče za pomoč iz jamstvenega sklada za vloge zaprositi le, če je nacionalni S</w:t>
      </w:r>
      <w:r>
        <w:rPr>
          <w:noProof/>
        </w:rPr>
        <w:t xml:space="preserve">JV zbral dovolj predhodnih prispevkov v skladu z natančno določenim potekom financiranja ter če je že izčrpal ta sredstva. Če pa je nacionalni SJV zbral sredstva, ki presegajo znesek, ki se zahteva v skladu s potekom financiranja, lahko porabi le sredstva </w:t>
      </w:r>
      <w:r>
        <w:rPr>
          <w:noProof/>
        </w:rPr>
        <w:t>do zneska, ki ga je moral zbrati za skladnost s potekom financiranja, preden je upravičen do kritja iz ESJV. Zato SJV, ki so zbrali več sredstev, kot se zahteva za skladnost s potekom financiranja, ne bi smeli biti v slabšem položaju kot tisti, katerih zbr</w:t>
      </w:r>
      <w:r>
        <w:rPr>
          <w:noProof/>
        </w:rPr>
        <w:t xml:space="preserve">ana sredstva ne presegajo zneskov, določenih v poteku financiranja. </w:t>
      </w:r>
    </w:p>
    <w:p w:rsidR="001E2AAD" w:rsidRDefault="007B2354">
      <w:pPr>
        <w:pStyle w:val="Point0number"/>
        <w:numPr>
          <w:ilvl w:val="0"/>
          <w:numId w:val="5"/>
        </w:numPr>
        <w:rPr>
          <w:noProof/>
        </w:rPr>
      </w:pPr>
      <w:r>
        <w:rPr>
          <w:noProof/>
        </w:rPr>
        <w:t>Ker bi jamstveni sklad za vloge v fazi pozavarovanja zagotovil le dodatni vir financiranja in bi zgolj oslabil povezavo med bankami in njihovimi nacionalnimi državami, ne da bi vsem vlaga</w:t>
      </w:r>
      <w:r>
        <w:rPr>
          <w:noProof/>
        </w:rPr>
        <w:t>teljem v bančni uniji zagotovil enako raven zaščite, bi moral sistem pozavarovanja po treh letih postopno preiti v sistem sozavarovanja in končno v popolnoma vzajemni sistem jamstva za vloge.</w:t>
      </w:r>
    </w:p>
    <w:p w:rsidR="001E2AAD" w:rsidRDefault="007B2354">
      <w:pPr>
        <w:pStyle w:val="Point0number"/>
        <w:numPr>
          <w:ilvl w:val="0"/>
          <w:numId w:val="5"/>
        </w:numPr>
        <w:rPr>
          <w:noProof/>
        </w:rPr>
      </w:pPr>
      <w:r>
        <w:rPr>
          <w:noProof/>
        </w:rPr>
        <w:t xml:space="preserve">Medtem ko bi imeli fazi pozavarovanja in sozavarovanja številne </w:t>
      </w:r>
      <w:r>
        <w:rPr>
          <w:noProof/>
        </w:rPr>
        <w:t>skupne značilnosti, ki bi zagotavljale nemoten postopni razvoj, bi se izplačila v fazi sozavarovanja vse od prvega eura izgube delila med nacionalnim SJV in jamstvenim skladom za vloge. Sorazmerni prispevek iz jamstvenega sklada za vloge bi se postopno pov</w:t>
      </w:r>
      <w:r>
        <w:rPr>
          <w:noProof/>
        </w:rPr>
        <w:t xml:space="preserve">ečal na 100 %, kar bi po štirih letih prineslo popolno vzajemnost tveganja vlagateljev po vsej bančni uniji. </w:t>
      </w:r>
    </w:p>
    <w:p w:rsidR="001E2AAD" w:rsidRDefault="007B2354">
      <w:pPr>
        <w:pStyle w:val="Point0number"/>
        <w:numPr>
          <w:ilvl w:val="0"/>
          <w:numId w:val="5"/>
        </w:numPr>
        <w:rPr>
          <w:noProof/>
        </w:rPr>
      </w:pPr>
      <w:r>
        <w:rPr>
          <w:noProof/>
        </w:rPr>
        <w:t>V ESJV bi bilo treba vgraditi zaščite, da se omeji moralno tveganje in zagotovi, da se kritje iz ESJV zagotovi le, če nacionalni SJV delujejo preu</w:t>
      </w:r>
      <w:r>
        <w:rPr>
          <w:noProof/>
        </w:rPr>
        <w:t>darno. Prvič, nacionalni SJV bi morali izpolnjevati svoje obveznosti iz te uredbe, Direktive 2014/49/EU in druge zadevne zakonodaje EU, zlasti obveznost zbiranja sredstev v skladu s členom 10 Direktive 2014/49/EU, kot je podrobneje določeno v tej uredbi. D</w:t>
      </w:r>
      <w:r>
        <w:rPr>
          <w:noProof/>
        </w:rPr>
        <w:t>a bi lahko izkoristili kritje iz ESJV, morajo sodelujoči SJV zbirati predhodne prispevke v skladu s natančnim potekom financiranja. To pomeni tudi, da možnost znižanja ciljne ravni v skladu s členom 10(6) Direktive 2014/49/EU ni več na voljo, če želi SJV i</w:t>
      </w:r>
      <w:r>
        <w:rPr>
          <w:noProof/>
        </w:rPr>
        <w:t>zkoristiti ESJV. Drugič, nacionalni SJV bi moral v primeru dogodka, ki povzroči izplačilo, ali kadar se njegova sredstva uporabijo pri reševanju, sam kriti pošten delež izgube. Zato bi moral zbrati naknadne prispevke svojih članic, da napolni svoj sklad in</w:t>
      </w:r>
      <w:r>
        <w:rPr>
          <w:noProof/>
        </w:rPr>
        <w:t xml:space="preserve"> povrne ESJV tolikšen znesek, da prvotno prejeto financiranje preseže delež izgube, ki jo mora kriti ESJV. Tretjič, nacionalni SJV bi moral po dogodku, ki povzroči izplačilo, izterjati kar največ prihodkov iz stečajne mase ter povrniti sredstva odboru, odb</w:t>
      </w:r>
      <w:r>
        <w:rPr>
          <w:noProof/>
        </w:rPr>
        <w:t xml:space="preserve">or pa bi moral imeti dovolj pooblastil, da zaščiti svoje pravice. Četrtič, odbor bi moral imeti pooblastila, da od sodelujočega SJV delno ali v celoti izterja financiranje, če ta ne izpolnjuje ključnih obveznosti. </w:t>
      </w:r>
    </w:p>
    <w:p w:rsidR="001E2AAD" w:rsidRDefault="007B2354">
      <w:pPr>
        <w:pStyle w:val="Point0number"/>
        <w:numPr>
          <w:ilvl w:val="0"/>
          <w:numId w:val="5"/>
        </w:numPr>
        <w:rPr>
          <w:noProof/>
        </w:rPr>
      </w:pPr>
      <w:r>
        <w:rPr>
          <w:noProof/>
        </w:rPr>
        <w:t>Jamstveni sklad za vloge je bistveni elem</w:t>
      </w:r>
      <w:r>
        <w:rPr>
          <w:noProof/>
        </w:rPr>
        <w:t>ent, brez katerega ne bi bila mogoča postopna ustanovitev ESJV. Različni nacionalni sistemi financiranja ne bi zagotovili homogenega jamstva za vloge v bančni uniji. Jamstveni sklad za vloge bi moral v vseh fazah pomagati zagotavljati zagotoviti stabilizac</w:t>
      </w:r>
      <w:r>
        <w:rPr>
          <w:noProof/>
        </w:rPr>
        <w:t>ijsko vlogo SJV, enotno raven zaščite vsem vlagateljem znotraj usklajenega okvira po vsej Uniji ter preprečevati nastajanje ovir za izvajanje temeljnih svoboščin ali izkrivljanje konkurence na notranjem trgu zaradi različnih ravni zaščite na nacionalni rav</w:t>
      </w:r>
      <w:r>
        <w:rPr>
          <w:noProof/>
        </w:rPr>
        <w:t xml:space="preserve">ni. </w:t>
      </w:r>
    </w:p>
    <w:p w:rsidR="001E2AAD" w:rsidRDefault="007B2354">
      <w:pPr>
        <w:pStyle w:val="Point0number"/>
        <w:numPr>
          <w:ilvl w:val="0"/>
          <w:numId w:val="5"/>
        </w:numPr>
        <w:rPr>
          <w:noProof/>
        </w:rPr>
      </w:pPr>
      <w:r>
        <w:rPr>
          <w:noProof/>
        </w:rPr>
        <w:t>Jamstveni sklad za vloge bi se moral financirati neposredno s prispevki bank. Odločitve, sprejete v ESJV, ki zahtevajo uporabo jamstvenega sklada za vloge ali nacionalnega jamstvenega sklada, ne bi smele vplivati na fiskalne odgovornosti držav članic.</w:t>
      </w:r>
      <w:r>
        <w:rPr>
          <w:noProof/>
        </w:rPr>
        <w:t xml:space="preserve"> V zvezi s tem bi bilo treba kot vpliv na proračunsko suverenost in fiskalne odgovornosti držav članic upoštevati samo izredno javno finančno podporo.</w:t>
      </w:r>
    </w:p>
    <w:p w:rsidR="001E2AAD" w:rsidRDefault="007B2354">
      <w:pPr>
        <w:pStyle w:val="Point0number"/>
        <w:numPr>
          <w:ilvl w:val="0"/>
          <w:numId w:val="5"/>
        </w:numPr>
        <w:rPr>
          <w:noProof/>
        </w:rPr>
      </w:pPr>
      <w:r>
        <w:rPr>
          <w:noProof/>
        </w:rPr>
        <w:t xml:space="preserve">Ta uredba določa načine za uporabo jamstvenega sklada za vloge in splošna merila za določitev in izračun </w:t>
      </w:r>
      <w:r>
        <w:rPr>
          <w:noProof/>
        </w:rPr>
        <w:t>predhodnih in naknadnih prispevkov ter pooblastila odbora za uporabo in upravljaje jamstvenega sklada za vloge.</w:t>
      </w:r>
    </w:p>
    <w:p w:rsidR="001E2AAD" w:rsidRDefault="007B2354">
      <w:pPr>
        <w:pStyle w:val="Point0number"/>
        <w:numPr>
          <w:ilvl w:val="0"/>
          <w:numId w:val="5"/>
        </w:numPr>
        <w:rPr>
          <w:noProof/>
        </w:rPr>
      </w:pPr>
      <w:r>
        <w:rPr>
          <w:noProof/>
        </w:rPr>
        <w:t>Prispevki bi se neposredno zaračunavali bankam za financiranje jamstvenega sklada za vloge. Odbor bi zbiral prispevke in vodil jamstveni sklad z</w:t>
      </w:r>
      <w:r>
        <w:rPr>
          <w:noProof/>
        </w:rPr>
        <w:t xml:space="preserve">a vloge, nacionalni SJV pa bi še naprej zbirali nacionalne prispevke in upravljali nacionalne sklade. Za zagotovitev poštenih in usklajenih prispevkov za sodelujoče banke in zagotovitev spodbud za delovanje znotraj modela, ki predstavlja manj tveganja, bi </w:t>
      </w:r>
      <w:r>
        <w:rPr>
          <w:noProof/>
        </w:rPr>
        <w:t>bilo treba prispevke v ESJV in v nacionalne SJV izračunati za vsako banko glede na njene krite vloge in faktor prilagoditve tveganju. V obdobju pozavarovanja bi faktor prilagoditve tveganju moral upoštevati stopnjo tveganja, ki ji je izpostavljena banka gl</w:t>
      </w:r>
      <w:r>
        <w:rPr>
          <w:noProof/>
        </w:rPr>
        <w:t xml:space="preserve">ede na vse druge banke, vključene v isti sodelujoči SJV. Ko se doseže faza sozavarovanja, bi faktor prilagoditve tveganju moral upoštevati stopnjo tveganja, ki mu je izpostavljena banka glede na vse druge banke s sedežem v sodelujočih državah članicah. To </w:t>
      </w:r>
      <w:r>
        <w:rPr>
          <w:noProof/>
        </w:rPr>
        <w:t xml:space="preserve">bi na splošno zagotovilo, da ESJV ne ustvarja dodatnih stroškov za banke in nacionalne SJV, hkrati pa bi se izognili prerazporejanju prispevkov v fazi vzpostavljanja jamstvenega sklada za vloge. </w:t>
      </w:r>
    </w:p>
    <w:p w:rsidR="001E2AAD" w:rsidRDefault="007B2354">
      <w:pPr>
        <w:pStyle w:val="Point0number"/>
        <w:numPr>
          <w:ilvl w:val="0"/>
          <w:numId w:val="5"/>
        </w:numPr>
        <w:rPr>
          <w:noProof/>
        </w:rPr>
      </w:pPr>
      <w:r>
        <w:rPr>
          <w:noProof/>
        </w:rPr>
        <w:t>Načeloma bi bilo treba prispevke zbrati v sektorju pred kakr</w:t>
      </w:r>
      <w:r>
        <w:rPr>
          <w:noProof/>
        </w:rPr>
        <w:t>šnim koli ukrepom v zvezi z jamstvom za vloge in neodvisno od njega. Če s predhodnim financiranjem ni mogoče pokriti izgub ali stroškov, ki nastanejo zaradi uporabe jamstvenega sklada za vloge, bi bilo treba za pokrivanje dodatnih stroškov ali izgub zbrati</w:t>
      </w:r>
      <w:r>
        <w:rPr>
          <w:noProof/>
        </w:rPr>
        <w:t xml:space="preserve"> dodatne prispevke. Poleg tega bi moral imeti jamstveni sklad za vloge možnost pridobiti posojila ali druge oblike pomoči od kreditnih institucij, finančnih institucij ali drugih tretjih oseb, kadar predhodni in naknadni prispevki niso takoj dostopni ali n</w:t>
      </w:r>
      <w:r>
        <w:rPr>
          <w:noProof/>
        </w:rPr>
        <w:t>e zadoščajo za kritje izdatkov, ki nastanejo z uporabo jamstvenega sklada za vloge v zvezi z ukrepi jamstvi za vloge.</w:t>
      </w:r>
    </w:p>
    <w:p w:rsidR="001E2AAD" w:rsidRDefault="007B2354">
      <w:pPr>
        <w:pStyle w:val="Point0number"/>
        <w:numPr>
          <w:ilvl w:val="0"/>
          <w:numId w:val="5"/>
        </w:numPr>
        <w:rPr>
          <w:noProof/>
        </w:rPr>
      </w:pPr>
      <w:r>
        <w:rPr>
          <w:noProof/>
        </w:rPr>
        <w:t>Da bi dosegli kritično maso in se izognili procikličnim učinkom, ki bi se pojavili, če bi se moral jamstveni sklad za vloge v sistemski kr</w:t>
      </w:r>
      <w:r>
        <w:rPr>
          <w:noProof/>
        </w:rPr>
        <w:t>izi zanašati le na naknadne prispevke, je nujno, da predhodno razpoložljiva finančna sredstva jamstvenega sklada za vloge dosegajo vsaj določeno minimalno ciljno raven.</w:t>
      </w:r>
    </w:p>
    <w:p w:rsidR="001E2AAD" w:rsidRDefault="007B2354">
      <w:pPr>
        <w:pStyle w:val="Point0number"/>
        <w:numPr>
          <w:ilvl w:val="0"/>
          <w:numId w:val="5"/>
        </w:numPr>
        <w:rPr>
          <w:noProof/>
        </w:rPr>
      </w:pPr>
      <w:r>
        <w:rPr>
          <w:noProof/>
        </w:rPr>
        <w:t>Začetna in končna ciljna raven sredstev jamstvenega sklada za vloge bi morala biti dolo</w:t>
      </w:r>
      <w:r>
        <w:rPr>
          <w:noProof/>
        </w:rPr>
        <w:t>čena kot odstotek skupnih minimalnih ciljnih ravni sodelujočih SJV. Postopno bi morala do konca obdobja pozavarovanja doseči 20 % štirih devetin skupnih minimalnih ciljnih ravni, do konca obdobja sozavarovanja pa vsoto vseh minimalnih ciljnih ravni. Pri do</w:t>
      </w:r>
      <w:r>
        <w:rPr>
          <w:noProof/>
        </w:rPr>
        <w:t>ločanju začetne ali končne ciljne ravni jamstvenega sklada za vloge se ne bi smelo upoštevati možnosti, da se zaprosi za odobritev nižje ciljne ravni v skladu s členom 10(6) Direktive 2014/49/EU. Določiti bi bilo treba ustrezen časovni okvir za dosego cilj</w:t>
      </w:r>
      <w:r>
        <w:rPr>
          <w:noProof/>
        </w:rPr>
        <w:t>ne ravni jamstvenega sklada za vloge.</w:t>
      </w:r>
    </w:p>
    <w:p w:rsidR="001E2AAD" w:rsidRDefault="007B2354">
      <w:pPr>
        <w:pStyle w:val="Point0number"/>
        <w:numPr>
          <w:ilvl w:val="0"/>
          <w:numId w:val="5"/>
        </w:numPr>
        <w:rPr>
          <w:noProof/>
        </w:rPr>
      </w:pPr>
      <w:r>
        <w:rPr>
          <w:noProof/>
        </w:rPr>
        <w:t>Zagotovitev učinkovitega in zadostnega financiranja jamstvenega sklada za vloge je nadvse pomembna za verodostojnost ESJV. Sposobnost odbora, da pridobi alternativna sredstva financiranja za jamstveni sklad za vloge, b</w:t>
      </w:r>
      <w:r>
        <w:rPr>
          <w:noProof/>
        </w:rPr>
        <w:t>i bilo treba okrepiti tako, da bi se omogočila optimizacija stroškov financiranja in ohranila kreditna sposobnost jamstvenega sklada za vloge. Takoj po začetku veljavnosti te uredbe bi moral odbor v sodelovanju s sodelujočimi državami članicami sprejeti po</w:t>
      </w:r>
      <w:r>
        <w:rPr>
          <w:noProof/>
        </w:rPr>
        <w:t>trebne ukrepe za razvoj ustreznih metod in načinov, s katerimi bi se izboljšala posojilna sposobnost jamstvenega sklada za vloge, vzpostaviti pa bi jih bilo treba do datuma začetka uporabe te uredbe.</w:t>
      </w:r>
    </w:p>
    <w:p w:rsidR="001E2AAD" w:rsidRDefault="007B2354">
      <w:pPr>
        <w:pStyle w:val="Point0number"/>
        <w:numPr>
          <w:ilvl w:val="0"/>
          <w:numId w:val="5"/>
        </w:numPr>
        <w:rPr>
          <w:noProof/>
        </w:rPr>
      </w:pPr>
      <w:r>
        <w:rPr>
          <w:noProof/>
        </w:rPr>
        <w:t>Zagotoviti je treba, da je jamstveni sklad za vloge v ce</w:t>
      </w:r>
      <w:r>
        <w:rPr>
          <w:noProof/>
        </w:rPr>
        <w:t xml:space="preserve">loti na voljo za zagotavljanje jamstva za vloge. Zato bi bilo treba jamstveni sklad za vloge primarno uporabljati za učinkovito izvajanje zahtev in ukrepov v zvezi z jamstvom za vloge. Poleg tega bi ga bilo treba uporabljati le v skladu z veljavnimi cilji </w:t>
      </w:r>
      <w:r>
        <w:rPr>
          <w:noProof/>
        </w:rPr>
        <w:t>in načeli jamstva za vloge. Pod določenimi pogoji bi lahko jamstveni sklad za vloge tudi zagotavljal financiranje v primerih, ko se razpoložljiva sredstva SJV uporabijo pri reševanju v skladu s členom 79 te uredbe.</w:t>
      </w:r>
    </w:p>
    <w:p w:rsidR="001E2AAD" w:rsidRDefault="007B2354">
      <w:pPr>
        <w:pStyle w:val="Point0number"/>
        <w:numPr>
          <w:ilvl w:val="0"/>
          <w:numId w:val="5"/>
        </w:numPr>
        <w:rPr>
          <w:noProof/>
        </w:rPr>
      </w:pPr>
      <w:r>
        <w:rPr>
          <w:noProof/>
        </w:rPr>
        <w:t>Za zaščito vrednosti zneskov v jamstvenem</w:t>
      </w:r>
      <w:r>
        <w:rPr>
          <w:noProof/>
        </w:rPr>
        <w:t xml:space="preserve"> skladu za vloge bi bilo treba te zneske vložiti v dovolj varna, razpršena in likvidna sredstva.</w:t>
      </w:r>
    </w:p>
    <w:p w:rsidR="001E2AAD" w:rsidRDefault="007B2354">
      <w:pPr>
        <w:pStyle w:val="Point0number"/>
        <w:numPr>
          <w:ilvl w:val="0"/>
          <w:numId w:val="5"/>
        </w:numPr>
        <w:rPr>
          <w:noProof/>
        </w:rPr>
      </w:pPr>
      <w:r>
        <w:rPr>
          <w:noProof/>
        </w:rPr>
        <w:t>Kadar se tesno sodelovanje sodelujoče države članice, katere valuta ni euro, z ECB dokončno prekine v skladu s členom 7 Uredbe (EU) št. 1024/2013, bi bilo treb</w:t>
      </w:r>
      <w:r>
        <w:rPr>
          <w:noProof/>
        </w:rPr>
        <w:t>a določiti pošteno razdelitev zbranih prispevkov zadevne sodelujoče države članice ob upoštevanju njenih interesov in interesov jamstvenega sklada za vloge.</w:t>
      </w:r>
    </w:p>
    <w:p w:rsidR="001E2AAD" w:rsidRDefault="007B2354">
      <w:pPr>
        <w:pStyle w:val="Point0number"/>
        <w:numPr>
          <w:ilvl w:val="0"/>
          <w:numId w:val="5"/>
        </w:numPr>
        <w:rPr>
          <w:noProof/>
        </w:rPr>
      </w:pPr>
      <w:r>
        <w:rPr>
          <w:noProof/>
        </w:rPr>
        <w:t>Za zagotovitev popolne samostojnosti in neodvisnosti odbora pri izvajanju ukrepov v zvezi z jamstvo</w:t>
      </w:r>
      <w:r>
        <w:rPr>
          <w:noProof/>
        </w:rPr>
        <w:t>m za vloge v skladu s to uredbo bi moral ta imeti samostojen proračun, katerega prihodki bi izhajali iz obveznih prispevkov institucij v sodelujočih državah članicah. Ta uredba ne bi smela posegati v možnost držav članic, da zaračunavajo pristojbine za kri</w:t>
      </w:r>
      <w:r>
        <w:rPr>
          <w:noProof/>
        </w:rPr>
        <w:t>tje upravnih stroškov nacionalnih SJV ali imenovanih organov.</w:t>
      </w:r>
    </w:p>
    <w:p w:rsidR="001E2AAD" w:rsidRDefault="007B2354">
      <w:pPr>
        <w:pStyle w:val="Point0number"/>
        <w:numPr>
          <w:ilvl w:val="0"/>
          <w:numId w:val="5"/>
        </w:numPr>
        <w:rPr>
          <w:noProof/>
        </w:rPr>
      </w:pPr>
      <w:r>
        <w:rPr>
          <w:noProof/>
        </w:rPr>
        <w:t xml:space="preserve">Odbor bi moral nacionalnim SJV zagotoviti ustrezno financiranje in kritje izgub, kadar so izpolnjena vsa merila v zvezi z uporabo jamstvenega sklada za vloge. </w:t>
      </w:r>
    </w:p>
    <w:p w:rsidR="001E2AAD" w:rsidRDefault="007B2354">
      <w:pPr>
        <w:pStyle w:val="Point0number"/>
        <w:numPr>
          <w:ilvl w:val="0"/>
          <w:numId w:val="5"/>
        </w:numPr>
        <w:rPr>
          <w:noProof/>
        </w:rPr>
      </w:pPr>
      <w:r>
        <w:rPr>
          <w:noProof/>
        </w:rPr>
        <w:t>Odbor bi moral delovati na skupnih</w:t>
      </w:r>
      <w:r>
        <w:rPr>
          <w:noProof/>
        </w:rPr>
        <w:t xml:space="preserve"> plenarnih, plenarnih in izvršnih sejah Odbor bi moral na izvršni seji pripraviti vse odločitve v zvezi s postopki izplačila in jih sprejeti v čim večjem obsegu. Pri uporabi jamstvenega sklada za vloge je pomembno, da ne pride do prednosti prvega in da se </w:t>
      </w:r>
      <w:r>
        <w:rPr>
          <w:noProof/>
        </w:rPr>
        <w:t>spremljajo odlivi iz sklada. Ko neto združena uporaba jamstvenega sklada za vloge v predhodnih zaporednih 12 mesecih doseže prag 25 % končne ciljne ravni, se bi bilo treba na plenarni seji oceniti izvajanje ukrepov jamstva za vloge ali udeležbo pri ukrepih</w:t>
      </w:r>
      <w:r>
        <w:rPr>
          <w:noProof/>
        </w:rPr>
        <w:t xml:space="preserve"> reševanja in uporabo jamstvenega sklada za vloge, ter hkrati pripraviti navodila, ki bi jih izvršna seja morala upoštevati pri naslednjih odločitvah. Navodila za izvršno sejo bi morala biti predvsem osredotočena na zagotavljanje nediskriminatornega izvaja</w:t>
      </w:r>
      <w:r>
        <w:rPr>
          <w:noProof/>
        </w:rPr>
        <w:t>nja ukrepov jamstva za vloge ali udeležbe pri ukrepih reševanja ter na ukrepe, sprejete za preprečevanje izčrpanja jamstvenega sklada za vloge.</w:t>
      </w:r>
    </w:p>
    <w:p w:rsidR="001E2AAD" w:rsidRDefault="007B2354">
      <w:pPr>
        <w:pStyle w:val="Point0number"/>
        <w:numPr>
          <w:ilvl w:val="0"/>
          <w:numId w:val="5"/>
        </w:numPr>
        <w:rPr>
          <w:noProof/>
        </w:rPr>
      </w:pPr>
      <w:r>
        <w:rPr>
          <w:noProof/>
        </w:rPr>
        <w:t>Učinkovitost in enotnost ukrepov jamstva za vloge bi morali biti zagotovljeni v vseh sodelujočih državah članica</w:t>
      </w:r>
      <w:r>
        <w:rPr>
          <w:noProof/>
        </w:rPr>
        <w:t>h. V ta namen, kadar sodelujoči SJV ni izvajal ali upošteval odločitve odbora v skladu s to uredbo ali jo je izvajal na način, ki ogroža katerega koli izmed ciljev sistema jamstva za vloge ali učinkovito izvajanje ukrepa v zvezi z jamstvom za vloge, bi mor</w:t>
      </w:r>
      <w:r>
        <w:rPr>
          <w:noProof/>
        </w:rPr>
        <w:t xml:space="preserve">al biti odbor pooblaščen, da uvede vsak potreben ukrep, ki odločno obravnava zaskrbljujoče vprašanje ali grožnjo ciljem ESJV. Vsak ukrep sodelujočega SJV, ki bi omejil izvajanje pooblastil ali funkcij odbora ali vplival nanje, bi bilo treba izključiti. </w:t>
      </w:r>
    </w:p>
    <w:p w:rsidR="001E2AAD" w:rsidRDefault="007B2354">
      <w:pPr>
        <w:pStyle w:val="Point0number"/>
        <w:numPr>
          <w:ilvl w:val="0"/>
          <w:numId w:val="5"/>
        </w:numPr>
        <w:rPr>
          <w:noProof/>
        </w:rPr>
      </w:pPr>
      <w:r>
        <w:rPr>
          <w:noProof/>
        </w:rPr>
        <w:t>Pri sprejemanju odločitev ali ukrepov, zlasti glede subjektov, ki imajo sedež tako v sodelujočih državah članicah kot v nesodelujočih državah članicah, bi bilo treba upoštevati tudi možne škodljive učinke na te države članice, kot so grožnje za finančno st</w:t>
      </w:r>
      <w:r>
        <w:rPr>
          <w:noProof/>
        </w:rPr>
        <w:t>abilnost njihovih finančnih trgov, in na druge subjekte s sedežem v teh državah članicah.</w:t>
      </w:r>
    </w:p>
    <w:p w:rsidR="001E2AAD" w:rsidRDefault="007B2354">
      <w:pPr>
        <w:pStyle w:val="Point0number"/>
        <w:numPr>
          <w:ilvl w:val="0"/>
          <w:numId w:val="5"/>
        </w:numPr>
        <w:rPr>
          <w:noProof/>
        </w:rPr>
      </w:pPr>
      <w:r>
        <w:rPr>
          <w:noProof/>
        </w:rPr>
        <w:t>Odbor, imenovani organi, pristojni organi, tudi ECB, in organi za reševanje bi morali po potrebi skleniti memorandum o soglasju, v katerem bi bili navedeni splošni po</w:t>
      </w:r>
      <w:r>
        <w:rPr>
          <w:noProof/>
        </w:rPr>
        <w:t>goji njihovega sodelovanja pri opravljanju nalog v okviru prava Unije. Memorandum o soglasju bi bilo treba redno pregledovati.</w:t>
      </w:r>
    </w:p>
    <w:p w:rsidR="001E2AAD" w:rsidRDefault="007B2354">
      <w:pPr>
        <w:pStyle w:val="Point0number"/>
        <w:numPr>
          <w:ilvl w:val="0"/>
          <w:numId w:val="5"/>
        </w:numPr>
        <w:rPr>
          <w:noProof/>
        </w:rPr>
      </w:pPr>
      <w:r>
        <w:rPr>
          <w:noProof/>
        </w:rPr>
        <w:t>Zadevni subjekti, telesa in organi, ki so vključeni v uporabo te uredbe, bi morali sodelovati v skladu z dolžnostjo lojalnega sod</w:t>
      </w:r>
      <w:r>
        <w:rPr>
          <w:noProof/>
        </w:rPr>
        <w:t>elovanja, ki je določena v Pogodbah.</w:t>
      </w:r>
    </w:p>
    <w:p w:rsidR="001E2AAD" w:rsidRDefault="007B2354">
      <w:pPr>
        <w:pStyle w:val="Point0number"/>
        <w:numPr>
          <w:ilvl w:val="0"/>
          <w:numId w:val="5"/>
        </w:numPr>
        <w:rPr>
          <w:noProof/>
        </w:rPr>
      </w:pPr>
      <w:r>
        <w:rPr>
          <w:noProof/>
        </w:rPr>
        <w:t>Odbor, imenovani organi in pristojni organi nesodelujočih držav članic bi morali prav tako skleniti memorandume o soglasju, v katerih bi na splošno opisali, kako bodo sodelovali med seboj pri opravljanju svojih nalog na</w:t>
      </w:r>
      <w:r>
        <w:rPr>
          <w:noProof/>
        </w:rPr>
        <w:t xml:space="preserve"> podlagi Direktive 2014/49/EU. V memorandumih o soglasju bi lahko bilo med drugim pojasnjeno posvetovanje v zvezi z odločitvami odbora, ki vplivajo na podružnice v nesodelujočih državah članicah, če ima kreditna institucija sedež v sodelujoči državi članic</w:t>
      </w:r>
      <w:r>
        <w:rPr>
          <w:noProof/>
        </w:rPr>
        <w:t>i. Memorandume o soglasju bi bilo treba redno pregledovati.</w:t>
      </w:r>
    </w:p>
    <w:p w:rsidR="001E2AAD" w:rsidRDefault="007B2354">
      <w:pPr>
        <w:pStyle w:val="Point0number"/>
        <w:numPr>
          <w:ilvl w:val="0"/>
          <w:numId w:val="5"/>
        </w:numPr>
        <w:rPr>
          <w:noProof/>
        </w:rPr>
      </w:pPr>
      <w:r>
        <w:rPr>
          <w:noProof/>
        </w:rPr>
        <w:t xml:space="preserve">Postopek v zvezi s sprejemanjem odločitev odbora spoštuje načelo prenosa pooblastil na agencije, kot to razlaga Sodišče Evropske unije. </w:t>
      </w:r>
    </w:p>
    <w:p w:rsidR="001E2AAD" w:rsidRDefault="007B2354">
      <w:pPr>
        <w:pStyle w:val="Point0number"/>
        <w:numPr>
          <w:ilvl w:val="0"/>
          <w:numId w:val="5"/>
        </w:numPr>
        <w:rPr>
          <w:noProof/>
        </w:rPr>
      </w:pPr>
      <w:r>
        <w:rPr>
          <w:noProof/>
        </w:rPr>
        <w:t>Ta uredba spoštuje temeljne pravice ter upošteva pravice, s</w:t>
      </w:r>
      <w:r>
        <w:rPr>
          <w:noProof/>
        </w:rPr>
        <w:t>voboščine in načela, priznana predvsem v Listini, zlasti lastninsko pravico, pravico do varstva osebnih podatkov, svobodo gospodarske pobude ter pravico do učinkovitega pravnega sredstva in nepristranskega sodišča ter pravico do obrambe, in bi jo zato bilo</w:t>
      </w:r>
      <w:r>
        <w:rPr>
          <w:noProof/>
        </w:rPr>
        <w:t xml:space="preserve"> treba izvajati v skladu z navedenimi pravicami in načeli.</w:t>
      </w:r>
    </w:p>
    <w:p w:rsidR="001E2AAD" w:rsidRDefault="007B2354">
      <w:pPr>
        <w:pStyle w:val="Point0number"/>
        <w:numPr>
          <w:ilvl w:val="0"/>
          <w:numId w:val="5"/>
        </w:numPr>
        <w:rPr>
          <w:noProof/>
        </w:rPr>
      </w:pPr>
      <w:r>
        <w:rPr>
          <w:noProof/>
        </w:rPr>
        <w:t>Ker ciljev te uredbe, in sicer vzpostavitve učinkovitejšega in uspešnejšega okvira jamstva za vloge ter zagotavljanja skladne uporabe pravil glede jamstva za vloge, države članice ne morejo zadovol</w:t>
      </w:r>
      <w:r>
        <w:rPr>
          <w:noProof/>
        </w:rPr>
        <w:t>jivo doseči, temveč se lažje dosežejo na ravni Unije, lahko Unija sprejme ukrepe v skladu z načelom subsidiarnosti iz člena 5 Pogodbe o Evropski uniji. V skladu z načelom sorazmernosti iz navedenega člena ta uredba ne presega tistega, kar je potrebno za do</w:t>
      </w:r>
      <w:r>
        <w:rPr>
          <w:noProof/>
        </w:rPr>
        <w:t>seganje navedenih ciljev.</w:t>
      </w:r>
    </w:p>
    <w:p w:rsidR="001E2AAD" w:rsidRDefault="007B2354">
      <w:pPr>
        <w:pStyle w:val="Point0number"/>
        <w:numPr>
          <w:ilvl w:val="0"/>
          <w:numId w:val="5"/>
        </w:numPr>
        <w:rPr>
          <w:noProof/>
        </w:rPr>
      </w:pPr>
      <w:r>
        <w:rPr>
          <w:noProof/>
        </w:rPr>
        <w:t>Komisija bi morala pregledati uporabo te uredbe, da bi ocenila njen učinek na notranji trg ter ugotovila, ali jo je treba spremeniti ali nadgraditi, da bi se izboljšali učinkovitost in uspešnost ESJV.</w:t>
      </w:r>
    </w:p>
    <w:p w:rsidR="001E2AAD" w:rsidRDefault="007B2354">
      <w:pPr>
        <w:pStyle w:val="Point0number"/>
        <w:numPr>
          <w:ilvl w:val="0"/>
          <w:numId w:val="5"/>
        </w:numPr>
        <w:rPr>
          <w:noProof/>
        </w:rPr>
      </w:pPr>
      <w:r>
        <w:rPr>
          <w:noProof/>
        </w:rPr>
        <w:t>Da bi ESJV lahko učinkovito d</w:t>
      </w:r>
      <w:r>
        <w:rPr>
          <w:noProof/>
        </w:rPr>
        <w:t>eloval od dne [….], bi morale določbe v zvezi s plačili prispevkov v jamstveni sklad za vloge, vzpostavitvi vseh zadevnih postopkov in vsemi drugimi operativnimi in institucionalnimi vidiki veljati od XX.</w:t>
      </w:r>
    </w:p>
    <w:p w:rsidR="001E2AAD" w:rsidRDefault="007B2354">
      <w:pPr>
        <w:pStyle w:val="Point0number"/>
        <w:numPr>
          <w:ilvl w:val="0"/>
          <w:numId w:val="5"/>
        </w:numPr>
        <w:rPr>
          <w:noProof/>
        </w:rPr>
      </w:pPr>
      <w:r>
        <w:rPr>
          <w:noProof/>
        </w:rPr>
        <w:t>Uredbo (EU) No 806/2014 bi bilo treba spremeniti, d</w:t>
      </w:r>
      <w:r>
        <w:rPr>
          <w:noProof/>
        </w:rPr>
        <w:t>a se vanjo vključi in v njej upošteva ustanovitev ESJV –</w:t>
      </w:r>
    </w:p>
    <w:p w:rsidR="001E2AAD" w:rsidRDefault="001E2AAD">
      <w:pPr>
        <w:rPr>
          <w:noProof/>
        </w:rPr>
      </w:pPr>
    </w:p>
    <w:p w:rsidR="001E2AAD" w:rsidRDefault="007B2354">
      <w:pPr>
        <w:spacing w:before="0" w:after="200" w:line="276" w:lineRule="auto"/>
        <w:jc w:val="left"/>
        <w:rPr>
          <w:noProof/>
        </w:rPr>
      </w:pPr>
      <w:r>
        <w:rPr>
          <w:noProof/>
        </w:rPr>
        <w:br w:type="page"/>
      </w:r>
    </w:p>
    <w:p w:rsidR="001E2AAD" w:rsidRDefault="007B2354">
      <w:pPr>
        <w:rPr>
          <w:noProof/>
        </w:rPr>
      </w:pPr>
      <w:r>
        <w:rPr>
          <w:noProof/>
        </w:rPr>
        <w:t>SPREJELA NASLEDNJO UREDBO:</w:t>
      </w:r>
    </w:p>
    <w:p w:rsidR="001E2AAD" w:rsidRDefault="007B2354">
      <w:pPr>
        <w:pStyle w:val="Titrearticle"/>
        <w:spacing w:before="0" w:after="0"/>
        <w:rPr>
          <w:noProof/>
        </w:rPr>
      </w:pPr>
      <w:r>
        <w:rPr>
          <w:noProof/>
        </w:rPr>
        <w:t>Člen 1</w:t>
      </w:r>
    </w:p>
    <w:p w:rsidR="001E2AAD" w:rsidRDefault="007B2354">
      <w:pPr>
        <w:pStyle w:val="Titrearticle"/>
        <w:spacing w:before="0" w:after="0"/>
        <w:rPr>
          <w:noProof/>
        </w:rPr>
      </w:pPr>
      <w:r>
        <w:rPr>
          <w:noProof/>
        </w:rPr>
        <w:t>Spremembe Uredbe (EU) št. 806/2014</w:t>
      </w:r>
    </w:p>
    <w:p w:rsidR="001E2AAD" w:rsidRDefault="007B2354">
      <w:pPr>
        <w:spacing w:before="150" w:after="0"/>
        <w:jc w:val="left"/>
        <w:rPr>
          <w:noProof/>
        </w:rPr>
      </w:pPr>
      <w:r>
        <w:rPr>
          <w:noProof/>
        </w:rPr>
        <w:t>Uredba (EU) 806/2014 se spremeni:</w:t>
      </w:r>
    </w:p>
    <w:p w:rsidR="001E2AAD" w:rsidRDefault="007B2354">
      <w:pPr>
        <w:pStyle w:val="ManualNumPar1"/>
        <w:rPr>
          <w:noProof/>
        </w:rPr>
      </w:pPr>
      <w:r>
        <w:t>1.</w:t>
      </w:r>
      <w:r>
        <w:tab/>
      </w:r>
      <w:r>
        <w:rPr>
          <w:noProof/>
        </w:rPr>
        <w:t>naslov se nadomesti z naslednjim:</w:t>
      </w:r>
    </w:p>
    <w:p w:rsidR="001E2AAD" w:rsidRDefault="007B2354">
      <w:pPr>
        <w:pStyle w:val="Text1"/>
        <w:rPr>
          <w:noProof/>
        </w:rPr>
      </w:pPr>
      <w:r>
        <w:rPr>
          <w:noProof/>
        </w:rPr>
        <w:t>„UREDBA (EU) št. 806/2014 EVROPSKEGA PARLAMENTA IN SVETA</w:t>
      </w:r>
      <w:r>
        <w:rPr>
          <w:noProof/>
        </w:rPr>
        <w:t xml:space="preserve"> z dne 15. julija 2014 o enotnem mehanizmu za reševanje in evropskem jamstvenem skladu za vloge ter o spremembi Uredbe (EU) št. 1093/2010“;</w:t>
      </w:r>
    </w:p>
    <w:p w:rsidR="001E2AAD" w:rsidRDefault="007B2354">
      <w:pPr>
        <w:pStyle w:val="ManualNumPar1"/>
        <w:rPr>
          <w:noProof/>
        </w:rPr>
      </w:pPr>
      <w:r>
        <w:t>2.</w:t>
      </w:r>
      <w:r>
        <w:tab/>
      </w:r>
      <w:r>
        <w:rPr>
          <w:noProof/>
        </w:rPr>
        <w:t>člen 1 se nadomesti z naslednjim:</w:t>
      </w:r>
    </w:p>
    <w:p w:rsidR="001E2AAD" w:rsidRDefault="007B2354">
      <w:pPr>
        <w:pStyle w:val="Titrearticle"/>
        <w:rPr>
          <w:noProof/>
        </w:rPr>
      </w:pPr>
      <w:r>
        <w:rPr>
          <w:noProof/>
        </w:rPr>
        <w:t>„Člen 1</w:t>
      </w:r>
      <w:r>
        <w:rPr>
          <w:noProof/>
        </w:rPr>
        <w:br/>
        <w:t>Predmet urejanja</w:t>
      </w:r>
    </w:p>
    <w:p w:rsidR="001E2AAD" w:rsidRDefault="007B2354">
      <w:pPr>
        <w:pStyle w:val="ListNumber3"/>
        <w:numPr>
          <w:ilvl w:val="0"/>
          <w:numId w:val="16"/>
        </w:numPr>
        <w:rPr>
          <w:noProof/>
        </w:rPr>
      </w:pPr>
      <w:r>
        <w:rPr>
          <w:noProof/>
        </w:rPr>
        <w:t xml:space="preserve">Ta uredba določa enotna pravila in enotni postopek za </w:t>
      </w:r>
      <w:r>
        <w:rPr>
          <w:noProof/>
        </w:rPr>
        <w:t>reševanje subjektov iz člena 2 s sedežem v sodelujočih državah članicah iz člena 4.</w:t>
      </w:r>
    </w:p>
    <w:p w:rsidR="001E2AAD" w:rsidRDefault="007B2354">
      <w:pPr>
        <w:pStyle w:val="ListNumberLevel2"/>
        <w:tabs>
          <w:tab w:val="num" w:pos="960"/>
        </w:tabs>
        <w:ind w:left="960" w:firstLine="0"/>
        <w:rPr>
          <w:noProof/>
        </w:rPr>
      </w:pPr>
      <w:r>
        <w:rPr>
          <w:noProof/>
        </w:rPr>
        <w:t>Ta enotna pravila in ta enotni postopek izvaja enotni odbor za reševanje, ustanovljen v skladu s členom 42 (odbor), skupaj s Svetom in Komisijo ter nacionalnimi organi za r</w:t>
      </w:r>
      <w:r>
        <w:rPr>
          <w:noProof/>
        </w:rPr>
        <w:t>eševanje v okviru enotnega mehanizma za reševanje (EMR), ustanovljenega s to uredbo. EMR je podprt z enotnim skladom za reševanje (ESR).</w:t>
      </w:r>
    </w:p>
    <w:p w:rsidR="001E2AAD" w:rsidRDefault="007B2354">
      <w:pPr>
        <w:pStyle w:val="ListNumberLevel2"/>
        <w:tabs>
          <w:tab w:val="num" w:pos="960"/>
        </w:tabs>
        <w:ind w:left="960" w:firstLine="0"/>
        <w:rPr>
          <w:noProof/>
        </w:rPr>
      </w:pPr>
      <w:r>
        <w:rPr>
          <w:noProof/>
        </w:rPr>
        <w:t xml:space="preserve">Uporaba ESR je vezana na začetek veljavnosti sporazuma med sodelujočimi državami članicami (sporazum) o prenosu </w:t>
      </w:r>
      <w:r>
        <w:rPr>
          <w:noProof/>
        </w:rPr>
        <w:t>sredstev, zbranih na nacionalni ravni, v ESR, ter o postopnem združevanju različnih sredstev, zbranih na nacionalni ravni, ki se dodelijo nacionalnim razdelkom sklada.</w:t>
      </w:r>
    </w:p>
    <w:p w:rsidR="001E2AAD" w:rsidRDefault="007B2354">
      <w:pPr>
        <w:pStyle w:val="ListNumber3"/>
        <w:numPr>
          <w:ilvl w:val="0"/>
          <w:numId w:val="16"/>
        </w:numPr>
        <w:rPr>
          <w:noProof/>
        </w:rPr>
      </w:pPr>
      <w:r>
        <w:rPr>
          <w:noProof/>
        </w:rPr>
        <w:t>Poleg tega ta uredba ustanavlja evropski sistem jamstva za vloge (ESJV) v treh zaporedni</w:t>
      </w:r>
      <w:r>
        <w:rPr>
          <w:noProof/>
        </w:rPr>
        <w:t>h fazah:</w:t>
      </w:r>
    </w:p>
    <w:p w:rsidR="001E2AAD" w:rsidRDefault="007B2354">
      <w:pPr>
        <w:pStyle w:val="ListDash2"/>
        <w:numPr>
          <w:ilvl w:val="0"/>
          <w:numId w:val="23"/>
        </w:numPr>
        <w:rPr>
          <w:noProof/>
        </w:rPr>
      </w:pPr>
      <w:r>
        <w:rPr>
          <w:noProof/>
        </w:rPr>
        <w:t>sistem pozavarovanja, ki v skladu s členom 41a v določenem obsegu zagotavlja financiranje in krije del izgub sodelujočega sistema jamstva za vloge;</w:t>
      </w:r>
    </w:p>
    <w:p w:rsidR="001E2AAD" w:rsidRDefault="007B2354">
      <w:pPr>
        <w:pStyle w:val="ListDash2"/>
        <w:numPr>
          <w:ilvl w:val="0"/>
          <w:numId w:val="23"/>
        </w:numPr>
        <w:rPr>
          <w:noProof/>
        </w:rPr>
      </w:pPr>
      <w:r>
        <w:rPr>
          <w:noProof/>
        </w:rPr>
        <w:t>sistem sozavarovanja, ki v skladu s členom 41c v postopno vse večjem obsegu zagotavlja financiranje</w:t>
      </w:r>
      <w:r>
        <w:rPr>
          <w:noProof/>
        </w:rPr>
        <w:t xml:space="preserve"> in krije izgube sodelujočega sistema jamstva za vloge;</w:t>
      </w:r>
    </w:p>
    <w:p w:rsidR="001E2AAD" w:rsidRDefault="007B2354">
      <w:pPr>
        <w:pStyle w:val="ListDash2"/>
        <w:numPr>
          <w:ilvl w:val="0"/>
          <w:numId w:val="23"/>
        </w:numPr>
        <w:rPr>
          <w:noProof/>
        </w:rPr>
      </w:pPr>
      <w:r>
        <w:rPr>
          <w:noProof/>
        </w:rPr>
        <w:t>sistem polnega jamstva, ki v skladu s členom 41e zagotavlja financiranje in krije izgube sodelujočega sistema jamstva za vloge.</w:t>
      </w:r>
    </w:p>
    <w:p w:rsidR="001E2AAD" w:rsidRDefault="007B2354">
      <w:pPr>
        <w:pStyle w:val="Text1"/>
        <w:rPr>
          <w:noProof/>
        </w:rPr>
      </w:pPr>
      <w:r>
        <w:rPr>
          <w:noProof/>
        </w:rPr>
        <w:t>ESJV vodi odbor v sodelovanju s sodelujočimi SJV in imenovanimi organi v</w:t>
      </w:r>
      <w:r>
        <w:rPr>
          <w:noProof/>
        </w:rPr>
        <w:t xml:space="preserve"> skladu z delom IIa. ESJV je podprt z jamstvenim skladom za vloge.“</w:t>
      </w:r>
    </w:p>
    <w:p w:rsidR="001E2AAD" w:rsidRDefault="007B2354">
      <w:pPr>
        <w:pStyle w:val="ManualNumPar1"/>
        <w:rPr>
          <w:noProof/>
        </w:rPr>
      </w:pPr>
      <w:r>
        <w:t>3.</w:t>
      </w:r>
      <w:r>
        <w:tab/>
      </w:r>
      <w:r>
        <w:rPr>
          <w:noProof/>
        </w:rPr>
        <w:t>člen 2 se nadomesti z naslednjim:</w:t>
      </w:r>
    </w:p>
    <w:p w:rsidR="001E2AAD" w:rsidRDefault="007B2354">
      <w:pPr>
        <w:pStyle w:val="Titrearticle"/>
        <w:rPr>
          <w:noProof/>
        </w:rPr>
      </w:pPr>
      <w:r>
        <w:rPr>
          <w:noProof/>
        </w:rPr>
        <w:t>„Člen 2</w:t>
      </w:r>
    </w:p>
    <w:p w:rsidR="001E2AAD" w:rsidRDefault="007B2354">
      <w:pPr>
        <w:pStyle w:val="Titrearticle"/>
        <w:rPr>
          <w:noProof/>
        </w:rPr>
      </w:pPr>
      <w:r>
        <w:rPr>
          <w:noProof/>
        </w:rPr>
        <w:t>Področje uporabe</w:t>
      </w:r>
    </w:p>
    <w:p w:rsidR="001E2AAD" w:rsidRDefault="007B2354">
      <w:pPr>
        <w:pStyle w:val="Text2"/>
        <w:ind w:left="720"/>
        <w:rPr>
          <w:noProof/>
        </w:rPr>
      </w:pPr>
      <w:r>
        <w:rPr>
          <w:noProof/>
        </w:rPr>
        <w:t>1.</w:t>
      </w:r>
      <w:r>
        <w:rPr>
          <w:noProof/>
        </w:rPr>
        <w:tab/>
        <w:t>Za namene EMR se ta uredba uporablja za naslednje subjekte:</w:t>
      </w:r>
    </w:p>
    <w:p w:rsidR="001E2AAD" w:rsidRDefault="007B2354">
      <w:pPr>
        <w:pStyle w:val="Point2letter"/>
        <w:numPr>
          <w:ilvl w:val="5"/>
          <w:numId w:val="5"/>
        </w:numPr>
        <w:rPr>
          <w:noProof/>
        </w:rPr>
      </w:pPr>
      <w:r>
        <w:rPr>
          <w:noProof/>
        </w:rPr>
        <w:t>kreditne institucije s sedežem v eni od sodelujočih držav člani</w:t>
      </w:r>
      <w:r>
        <w:rPr>
          <w:noProof/>
        </w:rPr>
        <w:t>c;</w:t>
      </w:r>
    </w:p>
    <w:p w:rsidR="001E2AAD" w:rsidRDefault="007B2354">
      <w:pPr>
        <w:pStyle w:val="Point2letter"/>
        <w:numPr>
          <w:ilvl w:val="5"/>
          <w:numId w:val="5"/>
        </w:numPr>
        <w:rPr>
          <w:noProof/>
        </w:rPr>
      </w:pPr>
      <w:r>
        <w:rPr>
          <w:noProof/>
        </w:rPr>
        <w:t>nadrejene družbe, vključno s finančnimi holdingi in mešanimi finančnimi holdingi, s sedežem v eni od sodelujočih držav članic, kadar so predmet konsolidiranega nadzora, ki ga izvaja ECB v skladu s členom 4(1)(g) Uredbe (EU) št. 1024/2013;</w:t>
      </w:r>
    </w:p>
    <w:p w:rsidR="001E2AAD" w:rsidRDefault="007B2354">
      <w:pPr>
        <w:pStyle w:val="Point2letter"/>
        <w:numPr>
          <w:ilvl w:val="5"/>
          <w:numId w:val="5"/>
        </w:numPr>
        <w:rPr>
          <w:noProof/>
        </w:rPr>
      </w:pPr>
      <w:r>
        <w:rPr>
          <w:noProof/>
        </w:rPr>
        <w:t xml:space="preserve">investicijska </w:t>
      </w:r>
      <w:r>
        <w:rPr>
          <w:noProof/>
        </w:rPr>
        <w:t>podjetja in finančne institucije s sedežem v eni od sodelujočih držav članic, kadar so zajete pod konsolidiran nadzor nadrejene družbe, ki ga izvaja ECB v skladu s členom 4(1)(g) Uredbe (EU) št. 1024/2013.</w:t>
      </w:r>
    </w:p>
    <w:p w:rsidR="001E2AAD" w:rsidRDefault="007B2354">
      <w:pPr>
        <w:pStyle w:val="Text2"/>
        <w:ind w:left="720"/>
        <w:rPr>
          <w:noProof/>
        </w:rPr>
      </w:pPr>
      <w:r>
        <w:rPr>
          <w:noProof/>
        </w:rPr>
        <w:t xml:space="preserve"> 2.</w:t>
      </w:r>
      <w:r>
        <w:rPr>
          <w:noProof/>
        </w:rPr>
        <w:tab/>
        <w:t>Za namene ESJV se ta uredba uporablja za nasle</w:t>
      </w:r>
      <w:r>
        <w:rPr>
          <w:noProof/>
        </w:rPr>
        <w:t>dnje subjekte:</w:t>
      </w:r>
    </w:p>
    <w:p w:rsidR="001E2AAD" w:rsidRDefault="007B2354">
      <w:pPr>
        <w:pStyle w:val="Point2letter"/>
        <w:numPr>
          <w:ilvl w:val="5"/>
          <w:numId w:val="71"/>
        </w:numPr>
        <w:rPr>
          <w:noProof/>
        </w:rPr>
      </w:pPr>
      <w:r>
        <w:rPr>
          <w:noProof/>
        </w:rPr>
        <w:t xml:space="preserve">sodelujoče sisteme jamstva za vloge, kot so opredeljeni v točki (1) člena 3(1a); </w:t>
      </w:r>
    </w:p>
    <w:p w:rsidR="001E2AAD" w:rsidRDefault="007B2354">
      <w:pPr>
        <w:pStyle w:val="Point2letter"/>
        <w:numPr>
          <w:ilvl w:val="5"/>
          <w:numId w:val="5"/>
        </w:numPr>
        <w:rPr>
          <w:noProof/>
        </w:rPr>
      </w:pPr>
      <w:r>
        <w:rPr>
          <w:noProof/>
        </w:rPr>
        <w:t>kreditne institucije, vključene v sodelujoče sisteme jamstva za vloge.</w:t>
      </w:r>
    </w:p>
    <w:p w:rsidR="001E2AAD" w:rsidRDefault="007B2354">
      <w:pPr>
        <w:pStyle w:val="Text2"/>
        <w:ind w:left="720"/>
        <w:rPr>
          <w:noProof/>
        </w:rPr>
      </w:pPr>
      <w:r>
        <w:rPr>
          <w:noProof/>
        </w:rPr>
        <w:t>Kadar ta uredba ustvarja pravice ali obveznosti za sodelujoči SJV, ki ga upravlja imenov</w:t>
      </w:r>
      <w:r>
        <w:rPr>
          <w:noProof/>
        </w:rPr>
        <w:t>ani organ, kot je opredeljeno v točki (18) člena 2(1) Direktive 2014/49/EU, se šteje, da so pravice in obveznosti enake kot za imenovane organe.“;</w:t>
      </w:r>
    </w:p>
    <w:p w:rsidR="001E2AAD" w:rsidRDefault="007B2354">
      <w:pPr>
        <w:pStyle w:val="ManualNumPar1"/>
        <w:rPr>
          <w:noProof/>
        </w:rPr>
      </w:pPr>
      <w:r>
        <w:t>4.</w:t>
      </w:r>
      <w:r>
        <w:tab/>
      </w:r>
      <w:r>
        <w:rPr>
          <w:noProof/>
        </w:rPr>
        <w:t>člen 3 se spremeni:</w:t>
      </w:r>
    </w:p>
    <w:p w:rsidR="001E2AAD" w:rsidRDefault="007B2354">
      <w:pPr>
        <w:pStyle w:val="Point1letter"/>
        <w:numPr>
          <w:ilvl w:val="3"/>
          <w:numId w:val="72"/>
        </w:numPr>
        <w:rPr>
          <w:noProof/>
        </w:rPr>
      </w:pPr>
      <w:r>
        <w:rPr>
          <w:noProof/>
        </w:rPr>
        <w:t>v odstavku 1 se dodajo naslednje točke (55), (56) in (57):</w:t>
      </w:r>
    </w:p>
    <w:p w:rsidR="001E2AAD" w:rsidRDefault="007B2354">
      <w:pPr>
        <w:pStyle w:val="Point2"/>
        <w:rPr>
          <w:noProof/>
        </w:rPr>
      </w:pPr>
      <w:r>
        <w:rPr>
          <w:noProof/>
        </w:rPr>
        <w:t>„(55)</w:t>
      </w:r>
      <w:r>
        <w:rPr>
          <w:noProof/>
        </w:rPr>
        <w:tab/>
        <w:t>„sodelujoči sistemi j</w:t>
      </w:r>
      <w:r>
        <w:rPr>
          <w:noProof/>
        </w:rPr>
        <w:t>amstva za vloge“ ali „sodelujoči SJV“ pomeni sisteme jamstva za vloge, kot so opredeljeni v točki (1) člena 2(1) Direktive 2014/49/EU, ki so vzpostavljeni in uradno priznani v sodelujoči državi članici;</w:t>
      </w:r>
    </w:p>
    <w:p w:rsidR="001E2AAD" w:rsidRDefault="007B2354">
      <w:pPr>
        <w:pStyle w:val="Point2"/>
        <w:rPr>
          <w:noProof/>
        </w:rPr>
      </w:pPr>
      <w:r>
        <w:rPr>
          <w:noProof/>
        </w:rPr>
        <w:t>(56)</w:t>
      </w:r>
      <w:r>
        <w:rPr>
          <w:noProof/>
        </w:rPr>
        <w:tab/>
        <w:t>„dogodek, ki povzroči izplačilo“ pomeni pojav ne</w:t>
      </w:r>
      <w:r>
        <w:rPr>
          <w:noProof/>
        </w:rPr>
        <w:t>razpoložljive vloge, kot je opredeljena v točki (8) člena 2(1) Direktive 2014/49/EU, v povezavi s kreditno institucijo, vključeno v sodelujoči SJV;</w:t>
      </w:r>
    </w:p>
    <w:p w:rsidR="001E2AAD" w:rsidRDefault="007B2354">
      <w:pPr>
        <w:pStyle w:val="Point2"/>
        <w:rPr>
          <w:noProof/>
        </w:rPr>
      </w:pPr>
      <w:r>
        <w:rPr>
          <w:noProof/>
        </w:rPr>
        <w:t>(57)</w:t>
      </w:r>
      <w:r>
        <w:rPr>
          <w:noProof/>
        </w:rPr>
        <w:tab/>
        <w:t>„razpoložljiva finančna sredstva jamstvenega sklada za vloge“ pomeni gotovino, vloge in sredstva z nizk</w:t>
      </w:r>
      <w:r>
        <w:rPr>
          <w:noProof/>
        </w:rPr>
        <w:t>im tveganjem, ki se lahko unovčijo v obdobju, ki ne presega obdobja iz člena 8(1) Direktive 2014/49/EU.“;</w:t>
      </w:r>
    </w:p>
    <w:p w:rsidR="001E2AAD" w:rsidRDefault="007B2354">
      <w:pPr>
        <w:pStyle w:val="Point1letter"/>
        <w:numPr>
          <w:ilvl w:val="3"/>
          <w:numId w:val="5"/>
        </w:numPr>
        <w:rPr>
          <w:noProof/>
        </w:rPr>
      </w:pPr>
      <w:r>
        <w:rPr>
          <w:noProof/>
        </w:rPr>
        <w:t>odstavek 2 se nadomesti z naslednjim:</w:t>
      </w:r>
    </w:p>
    <w:p w:rsidR="001E2AAD" w:rsidRDefault="007B2354">
      <w:pPr>
        <w:pStyle w:val="Text2"/>
        <w:rPr>
          <w:noProof/>
        </w:rPr>
      </w:pPr>
      <w:r>
        <w:rPr>
          <w:noProof/>
        </w:rPr>
        <w:t>„2.</w:t>
      </w:r>
      <w:r>
        <w:rPr>
          <w:noProof/>
        </w:rPr>
        <w:tab/>
      </w:r>
      <w:r>
        <w:rPr>
          <w:noProof/>
        </w:rPr>
        <w:t xml:space="preserve">Če ni ustrezne opredelitve pojma v prejšnjih odstavkih, se uporabijo opredelitve pojmov iz člena 2 Direktive 2014/49/EU in člena 2 Direktive 2014/59/EU. </w:t>
      </w:r>
    </w:p>
    <w:p w:rsidR="001E2AAD" w:rsidRDefault="007B2354">
      <w:pPr>
        <w:pStyle w:val="Text2"/>
        <w:rPr>
          <w:noProof/>
        </w:rPr>
      </w:pPr>
      <w:r>
        <w:rPr>
          <w:noProof/>
        </w:rPr>
        <w:t>Če ni ustrezne opredelitve pojma v členu 2 Direktive 2014/49/EU in členu 2 Direktive 2014/59/EU, se up</w:t>
      </w:r>
      <w:r>
        <w:rPr>
          <w:noProof/>
        </w:rPr>
        <w:t>orabijo opredelitve pojmov iz člena 3 Direktive 2013/36/EU.“;</w:t>
      </w:r>
    </w:p>
    <w:p w:rsidR="001E2AAD" w:rsidRDefault="007B2354">
      <w:pPr>
        <w:pStyle w:val="ManualNumPar1"/>
        <w:rPr>
          <w:noProof/>
        </w:rPr>
      </w:pPr>
      <w:r>
        <w:t>5.</w:t>
      </w:r>
      <w:r>
        <w:tab/>
      </w:r>
      <w:r>
        <w:rPr>
          <w:noProof/>
        </w:rPr>
        <w:t>v členu 4 se odstavki 2, 3 in 4 nadomestijo z naslednjim:</w:t>
      </w:r>
    </w:p>
    <w:p w:rsidR="001E2AAD" w:rsidRDefault="007B2354">
      <w:pPr>
        <w:pStyle w:val="Text2"/>
        <w:ind w:left="720"/>
        <w:rPr>
          <w:noProof/>
        </w:rPr>
      </w:pPr>
      <w:r>
        <w:rPr>
          <w:noProof/>
        </w:rPr>
        <w:t xml:space="preserve">„2. Kadar se tesno sodelovanje med državo članico in ECB začasno ali dokončno prekine v skladu s členom 7 Uredbe (EU) št. 1024/2013, </w:t>
      </w:r>
      <w:r>
        <w:rPr>
          <w:noProof/>
        </w:rPr>
        <w:t xml:space="preserve">se ta uredba od datuma začetka uporabe odločitve o začasni ali dokončni prekinitvi tesnega sodelovanja ne uporablja več za subjekte iz člena 2 te uredbe s sedežem v tej državi članici ali ki so priznani v tej državi članici. </w:t>
      </w:r>
    </w:p>
    <w:p w:rsidR="001E2AAD" w:rsidRDefault="007B2354">
      <w:pPr>
        <w:pStyle w:val="Text2"/>
        <w:ind w:left="720"/>
        <w:rPr>
          <w:noProof/>
        </w:rPr>
      </w:pPr>
      <w:r>
        <w:rPr>
          <w:noProof/>
        </w:rPr>
        <w:t>3. V primeru, da se tesno sode</w:t>
      </w:r>
      <w:r>
        <w:rPr>
          <w:noProof/>
        </w:rPr>
        <w:t>lovanje države članice, katere valuta ni euro, z ECB dokončno prekine v skladu s členom 7 Uredbe (EU) št. 1024/2013, odbor ob soglasju te države članice v treh mesecih po datumu sprejetja odločitve o dokončni prekinitvi tesnega sodelovanja določi načine in</w:t>
      </w:r>
      <w:r>
        <w:rPr>
          <w:noProof/>
        </w:rPr>
        <w:t xml:space="preserve"> morebitne druge veljavne pogoje za: </w:t>
      </w:r>
    </w:p>
    <w:p w:rsidR="001E2AAD" w:rsidRDefault="007B2354">
      <w:pPr>
        <w:pStyle w:val="Point2letter"/>
        <w:numPr>
          <w:ilvl w:val="5"/>
          <w:numId w:val="5"/>
        </w:numPr>
        <w:rPr>
          <w:noProof/>
        </w:rPr>
      </w:pPr>
      <w:r>
        <w:rPr>
          <w:noProof/>
        </w:rPr>
        <w:t>povračilo prispevkov, ki jih je zadevna država članica prenesla v enotni sklad za reševanje;</w:t>
      </w:r>
    </w:p>
    <w:p w:rsidR="001E2AAD" w:rsidRDefault="007B2354">
      <w:pPr>
        <w:pStyle w:val="Point2letter"/>
        <w:numPr>
          <w:ilvl w:val="5"/>
          <w:numId w:val="5"/>
        </w:numPr>
        <w:rPr>
          <w:noProof/>
        </w:rPr>
      </w:pPr>
      <w:r>
        <w:rPr>
          <w:noProof/>
        </w:rPr>
        <w:t xml:space="preserve">prenos prispevkov v SJV, ki so uradno priznani v zadevni državi članici, ki so jih kreditne institucije, vključene v te SJV, </w:t>
      </w:r>
      <w:r>
        <w:rPr>
          <w:noProof/>
        </w:rPr>
        <w:t>plačale v jamstveni sklad za vloge.</w:t>
      </w:r>
    </w:p>
    <w:p w:rsidR="001E2AAD" w:rsidRDefault="007B2354">
      <w:pPr>
        <w:pStyle w:val="Text2"/>
        <w:ind w:left="720"/>
        <w:rPr>
          <w:noProof/>
        </w:rPr>
      </w:pPr>
      <w:r>
        <w:rPr>
          <w:noProof/>
        </w:rPr>
        <w:t xml:space="preserve">Za namene točke (a) prvega pododstavka povračila vključujejo del razdelka zadevne države članice, ki ni postal vzajemen. Če med prehodnim obdobjem, kot je določeno v sporazumu, povračila nevzajemnega dela ne zadostujejo </w:t>
      </w:r>
      <w:r>
        <w:rPr>
          <w:noProof/>
        </w:rPr>
        <w:t>za financiranje vzpostavitve nacionalne sheme financiranja v zadevni državi članici v skladu z Direktivo 2014/59/EU, povračila vključujejo tudi celoten del razdelka te države članice, ki je postal vzajemen v skladu s sporazumom, ali njegov del, po prehodne</w:t>
      </w:r>
      <w:r>
        <w:rPr>
          <w:noProof/>
        </w:rPr>
        <w:t>m obdobju pa celoto ali del prispevkov, ki jih je zadevna država članica prenesla v času tesnega sodelovanja, in sicer v znesku, ki zadostuje za financiranje navedene nacionalne sheme financiranja.</w:t>
      </w:r>
    </w:p>
    <w:p w:rsidR="001E2AAD" w:rsidRDefault="007B2354">
      <w:pPr>
        <w:pStyle w:val="Text2"/>
        <w:ind w:left="720"/>
        <w:rPr>
          <w:noProof/>
        </w:rPr>
      </w:pPr>
      <w:r>
        <w:rPr>
          <w:noProof/>
        </w:rPr>
        <w:t xml:space="preserve">Pri ocenjevanju zneska finančnih sredstev, ki ga je treba </w:t>
      </w:r>
      <w:r>
        <w:rPr>
          <w:noProof/>
        </w:rPr>
        <w:t>povrniti iz vzajemnega dela oziroma po prehodnem obdobju iz sklada, se upoštevajo naslednja dodatna merila:</w:t>
      </w:r>
    </w:p>
    <w:p w:rsidR="001E2AAD" w:rsidRDefault="007B2354">
      <w:pPr>
        <w:pStyle w:val="Point2letter"/>
        <w:numPr>
          <w:ilvl w:val="5"/>
          <w:numId w:val="27"/>
        </w:numPr>
        <w:rPr>
          <w:noProof/>
        </w:rPr>
      </w:pPr>
      <w:r>
        <w:rPr>
          <w:noProof/>
        </w:rPr>
        <w:t>kako je bila izvedena dokončna prekinitev tesnega sodelovanja z ECB, ali je bila prostovoljna v skladu s členom 7(6) Uredbe (EU) št. 1024/2013 ali n</w:t>
      </w:r>
      <w:r>
        <w:rPr>
          <w:noProof/>
        </w:rPr>
        <w:t>e;</w:t>
      </w:r>
    </w:p>
    <w:p w:rsidR="001E2AAD" w:rsidRDefault="007B2354">
      <w:pPr>
        <w:pStyle w:val="Point2letter"/>
        <w:numPr>
          <w:ilvl w:val="5"/>
          <w:numId w:val="5"/>
        </w:numPr>
        <w:rPr>
          <w:noProof/>
        </w:rPr>
      </w:pPr>
      <w:r>
        <w:rPr>
          <w:noProof/>
        </w:rPr>
        <w:t>obstoj ukrepov za reševanje, ki so v teku na datum dokončne prekinitve;</w:t>
      </w:r>
    </w:p>
    <w:p w:rsidR="001E2AAD" w:rsidRDefault="007B2354">
      <w:pPr>
        <w:pStyle w:val="Point2letter"/>
        <w:numPr>
          <w:ilvl w:val="5"/>
          <w:numId w:val="5"/>
        </w:numPr>
        <w:rPr>
          <w:noProof/>
        </w:rPr>
      </w:pPr>
      <w:r>
        <w:rPr>
          <w:noProof/>
        </w:rPr>
        <w:t>gospodarski cikel države članice, ki jo zadeva dokončna prekinitev.</w:t>
      </w:r>
    </w:p>
    <w:p w:rsidR="001E2AAD" w:rsidRDefault="007B2354">
      <w:pPr>
        <w:pStyle w:val="Text2"/>
        <w:ind w:left="720"/>
        <w:rPr>
          <w:noProof/>
        </w:rPr>
      </w:pPr>
      <w:r>
        <w:rPr>
          <w:noProof/>
        </w:rPr>
        <w:t>Povračila se porazdelijo v omejenem obdobju, ki je sorazmerno s časom trajanja tesnega sodelovanja. Delež finančn</w:t>
      </w:r>
      <w:r>
        <w:rPr>
          <w:noProof/>
        </w:rPr>
        <w:t>ih sredstev zadevne države članice, ki je bil iz enotnega sklada za reševanje uporabljen za ukrepe za reševanje med obdobjem tesnega sodelovanja, se odšteje od povračila.</w:t>
      </w:r>
    </w:p>
    <w:p w:rsidR="001E2AAD" w:rsidRDefault="007B2354">
      <w:pPr>
        <w:pStyle w:val="Text2"/>
        <w:ind w:left="720"/>
        <w:rPr>
          <w:noProof/>
        </w:rPr>
      </w:pPr>
      <w:r>
        <w:rPr>
          <w:noProof/>
        </w:rPr>
        <w:t>Za namene točke (b) prvega pododstavka je znesek, prenesen vsakemu sistemu jamstva za</w:t>
      </w:r>
      <w:r>
        <w:rPr>
          <w:noProof/>
        </w:rPr>
        <w:t xml:space="preserve"> vloge, ki je uradno priznan v zadevni državi članici, enak razpoložljivim finančnim sredstvom jamstvenega sklada za vloge, pomnoženim z razmerjem med (a) in (b):</w:t>
      </w:r>
    </w:p>
    <w:p w:rsidR="001E2AAD" w:rsidRDefault="007B2354">
      <w:pPr>
        <w:pStyle w:val="Point2letter"/>
        <w:numPr>
          <w:ilvl w:val="5"/>
          <w:numId w:val="28"/>
        </w:numPr>
        <w:rPr>
          <w:noProof/>
        </w:rPr>
      </w:pPr>
      <w:r>
        <w:rPr>
          <w:noProof/>
        </w:rPr>
        <w:t xml:space="preserve">zneskom vseh predhodnih prispevkov, ki so jih kreditne institucije, vključene v zadevni SJV, </w:t>
      </w:r>
      <w:r>
        <w:rPr>
          <w:noProof/>
        </w:rPr>
        <w:t>plačale v jamstveni sklad za vloge;</w:t>
      </w:r>
    </w:p>
    <w:p w:rsidR="001E2AAD" w:rsidRDefault="007B2354">
      <w:pPr>
        <w:pStyle w:val="Point2letter"/>
        <w:numPr>
          <w:ilvl w:val="5"/>
          <w:numId w:val="5"/>
        </w:numPr>
        <w:rPr>
          <w:noProof/>
        </w:rPr>
      </w:pPr>
      <w:r>
        <w:rPr>
          <w:noProof/>
        </w:rPr>
        <w:t>zneskom vseh predhodnih prispevkov, plačanih v jamstveni sklad za vloge.</w:t>
      </w:r>
      <w:r>
        <w:rPr>
          <w:noProof/>
        </w:rPr>
        <w:br/>
      </w:r>
      <w:r>
        <w:rPr>
          <w:noProof/>
        </w:rPr>
        <w:br/>
        <w:t xml:space="preserve">Preneseni znesek ne presega zneska, ki je potreben, da razpoložljiva finančna sredstva zadevnega SJV dosežejo dve tretjini njegove ciljne ravni, </w:t>
      </w:r>
      <w:r>
        <w:rPr>
          <w:noProof/>
        </w:rPr>
        <w:t>kot je opredeljena v prvem pododstavku člena 10(2) Direktive 2014/49/EU.</w:t>
      </w:r>
    </w:p>
    <w:p w:rsidR="001E2AAD" w:rsidRDefault="007B2354">
      <w:pPr>
        <w:pStyle w:val="Text2"/>
        <w:keepNext/>
        <w:ind w:left="720"/>
        <w:rPr>
          <w:noProof/>
        </w:rPr>
      </w:pPr>
      <w:r>
        <w:rPr>
          <w:noProof/>
        </w:rPr>
        <w:t>4. Ta uredba se še naprej uporablja za postopke reševanja in postopke v zvezi z jamstvom za vloge, ki so v teku na datum začetka uporabe odločitve iz odstavka 2.“;</w:t>
      </w:r>
    </w:p>
    <w:p w:rsidR="001E2AAD" w:rsidRDefault="007B2354">
      <w:pPr>
        <w:pStyle w:val="ManualNumPar1"/>
        <w:rPr>
          <w:noProof/>
        </w:rPr>
      </w:pPr>
      <w:r>
        <w:t>6.</w:t>
      </w:r>
      <w:r>
        <w:tab/>
      </w:r>
      <w:r>
        <w:rPr>
          <w:noProof/>
        </w:rPr>
        <w:t xml:space="preserve">v členu 5(2) se </w:t>
      </w:r>
      <w:r>
        <w:rPr>
          <w:noProof/>
        </w:rPr>
        <w:t>prvi pododstavek nadomesti z naslednjim:</w:t>
      </w:r>
    </w:p>
    <w:p w:rsidR="001E2AAD" w:rsidRDefault="007B2354">
      <w:pPr>
        <w:pStyle w:val="Text2"/>
        <w:keepNext/>
        <w:ind w:left="720"/>
        <w:rPr>
          <w:noProof/>
        </w:rPr>
      </w:pPr>
      <w:r>
        <w:rPr>
          <w:noProof/>
        </w:rPr>
        <w:t>„Odbor, Svet in Komisija ter, kadar je to ustrezno, nacionalni organi za reševanje in sodelujoči SJV, sprejmejo odločitve ob upoštevanju zadevnega prava Unije, zlasti pa vseh zakonodajnih in nezakonodajnih aktov, vk</w:t>
      </w:r>
      <w:r>
        <w:rPr>
          <w:noProof/>
        </w:rPr>
        <w:t>ljučno z akti iz členov 290 in 291 Pogodbe o delovanju Evropske unije, ter v skladu z njim.“;</w:t>
      </w:r>
    </w:p>
    <w:p w:rsidR="001E2AAD" w:rsidRDefault="007B2354">
      <w:pPr>
        <w:pStyle w:val="ManualNumPar1"/>
        <w:rPr>
          <w:noProof/>
        </w:rPr>
      </w:pPr>
      <w:r>
        <w:t>7.</w:t>
      </w:r>
      <w:r>
        <w:tab/>
      </w:r>
      <w:r>
        <w:rPr>
          <w:noProof/>
        </w:rPr>
        <w:t>člen 6 se spremeni:</w:t>
      </w:r>
    </w:p>
    <w:p w:rsidR="001E2AAD" w:rsidRDefault="007B2354">
      <w:pPr>
        <w:pStyle w:val="Point1letter"/>
        <w:numPr>
          <w:ilvl w:val="3"/>
          <w:numId w:val="29"/>
        </w:numPr>
        <w:rPr>
          <w:noProof/>
        </w:rPr>
      </w:pPr>
      <w:r>
        <w:rPr>
          <w:noProof/>
        </w:rPr>
        <w:t>odstavka 1 in 2 se nadomestita z naslednjim:</w:t>
      </w:r>
    </w:p>
    <w:p w:rsidR="001E2AAD" w:rsidRDefault="007B2354">
      <w:pPr>
        <w:pStyle w:val="Text2"/>
        <w:rPr>
          <w:noProof/>
        </w:rPr>
      </w:pPr>
      <w:r>
        <w:rPr>
          <w:noProof/>
        </w:rPr>
        <w:t>„1. Noben ukrep, predlog ali politika odbora, Sveta, Komisije, nacionalnega organa za reševanj</w:t>
      </w:r>
      <w:r>
        <w:rPr>
          <w:noProof/>
        </w:rPr>
        <w:t>e ali sodelujočega SJV ne diskriminira subjektov, vlagateljev, investitorjev ali drugih upnikov s sedežem v Uniji na podlagi njihovega državljanstva ali kraja poslovanja.</w:t>
      </w:r>
    </w:p>
    <w:p w:rsidR="001E2AAD" w:rsidRDefault="007B2354">
      <w:pPr>
        <w:pStyle w:val="Text2"/>
        <w:rPr>
          <w:noProof/>
        </w:rPr>
      </w:pPr>
      <w:r>
        <w:rPr>
          <w:noProof/>
        </w:rPr>
        <w:t>2. Pri sprejemanju ukrepov, predlogov ali politik odbora, Sveta, Komisije, nacionalne</w:t>
      </w:r>
      <w:r>
        <w:rPr>
          <w:noProof/>
        </w:rPr>
        <w:t>ga organa za reševanje ali sodelujočega SJV v okviru EMR ali ESJV se v celoti in z dolžno skrbnostjo upoštevata enotnost in celovitost notranjega trga.“;</w:t>
      </w:r>
    </w:p>
    <w:p w:rsidR="001E2AAD" w:rsidRDefault="007B2354">
      <w:pPr>
        <w:pStyle w:val="Point1letter"/>
        <w:numPr>
          <w:ilvl w:val="3"/>
          <w:numId w:val="5"/>
        </w:numPr>
        <w:rPr>
          <w:noProof/>
        </w:rPr>
      </w:pPr>
      <w:r>
        <w:rPr>
          <w:noProof/>
        </w:rPr>
        <w:t xml:space="preserve">odstavek 7 se nadomesti z naslednjim: </w:t>
      </w:r>
    </w:p>
    <w:p w:rsidR="001E2AAD" w:rsidRDefault="007B2354">
      <w:pPr>
        <w:ind w:left="1440" w:hanging="23"/>
        <w:rPr>
          <w:noProof/>
        </w:rPr>
      </w:pPr>
      <w:r>
        <w:rPr>
          <w:noProof/>
        </w:rPr>
        <w:t xml:space="preserve">„7. Kadar odbor sprejme odločitev, ki se nanaša na nacionalni </w:t>
      </w:r>
      <w:r>
        <w:rPr>
          <w:noProof/>
        </w:rPr>
        <w:t>organ za reševanje ali sodelujoči SJV, ima nacionalni organ za reševanje ali sodelujoči SJV pravico podrobneje določiti ukrepe, ki jih je treba sprejeti. Taka podrobnejša določitev je v skladu z zadevno odločitvijo odbora.“;</w:t>
      </w:r>
    </w:p>
    <w:p w:rsidR="001E2AAD" w:rsidRDefault="007B2354">
      <w:pPr>
        <w:pStyle w:val="ManualNumPar1"/>
        <w:rPr>
          <w:noProof/>
        </w:rPr>
      </w:pPr>
      <w:r>
        <w:t>8.</w:t>
      </w:r>
      <w:r>
        <w:tab/>
      </w:r>
      <w:r>
        <w:rPr>
          <w:noProof/>
        </w:rPr>
        <w:t xml:space="preserve">naslov dela II se nadomesti </w:t>
      </w:r>
      <w:r>
        <w:rPr>
          <w:noProof/>
        </w:rPr>
        <w:t>z naslednjim: „Enotni mehanizem za reševanje“;</w:t>
      </w:r>
    </w:p>
    <w:p w:rsidR="001E2AAD" w:rsidRDefault="007B2354">
      <w:pPr>
        <w:pStyle w:val="ManualNumPar1"/>
        <w:rPr>
          <w:noProof/>
        </w:rPr>
      </w:pPr>
      <w:r>
        <w:t>9.</w:t>
      </w:r>
      <w:r>
        <w:tab/>
      </w:r>
      <w:r>
        <w:rPr>
          <w:noProof/>
        </w:rPr>
        <w:t xml:space="preserve">člen 19 se spremeni: </w:t>
      </w:r>
    </w:p>
    <w:p w:rsidR="001E2AAD" w:rsidRDefault="007B2354">
      <w:pPr>
        <w:pStyle w:val="Point1letter"/>
        <w:numPr>
          <w:ilvl w:val="3"/>
          <w:numId w:val="30"/>
        </w:numPr>
        <w:rPr>
          <w:noProof/>
        </w:rPr>
      </w:pPr>
      <w:r>
        <w:rPr>
          <w:noProof/>
        </w:rPr>
        <w:t>v odstavku 3 se prvi pododstavek nadomesti z naslednjim:</w:t>
      </w:r>
    </w:p>
    <w:p w:rsidR="001E2AAD" w:rsidRDefault="007B2354">
      <w:pPr>
        <w:ind w:left="1417"/>
        <w:rPr>
          <w:noProof/>
        </w:rPr>
      </w:pPr>
      <w:r>
        <w:rPr>
          <w:noProof/>
        </w:rPr>
        <w:t>„V kolikor ukrep za reševanje, ki ga predlaga odbor, vključuje uporabo skladov (enotnega sklada za reševanje ali jamstvenega sk</w:t>
      </w:r>
      <w:r>
        <w:rPr>
          <w:noProof/>
        </w:rPr>
        <w:t>lada za vloge), odbor obvesti Komisijo o predlagani uporabi skladov. Obvestilo odbora vključuje vse informacije, ki jih Komisija potrebuje, da v skladu s tem odstavkom pripravi svoje ocene.“;</w:t>
      </w:r>
    </w:p>
    <w:p w:rsidR="001E2AAD" w:rsidRDefault="007B2354">
      <w:pPr>
        <w:pStyle w:val="Point1letter"/>
        <w:numPr>
          <w:ilvl w:val="3"/>
          <w:numId w:val="5"/>
        </w:numPr>
        <w:rPr>
          <w:noProof/>
        </w:rPr>
      </w:pPr>
      <w:r>
        <w:rPr>
          <w:noProof/>
        </w:rPr>
        <w:t>v tretjem, petem in sedmem pododstavku odstavka 3 se beseda „skl</w:t>
      </w:r>
      <w:r>
        <w:rPr>
          <w:noProof/>
        </w:rPr>
        <w:t>ad“ nadomesti z besedo „sklada“, skupaj s potrebnimi slovničnimi spremembami;</w:t>
      </w:r>
    </w:p>
    <w:p w:rsidR="001E2AAD" w:rsidRDefault="007B2354">
      <w:pPr>
        <w:pStyle w:val="Point1letter"/>
        <w:numPr>
          <w:ilvl w:val="3"/>
          <w:numId w:val="5"/>
        </w:numPr>
        <w:rPr>
          <w:noProof/>
        </w:rPr>
      </w:pPr>
      <w:r>
        <w:rPr>
          <w:noProof/>
        </w:rPr>
        <w:t xml:space="preserve">v odstavku 5 se drugi pododstavek nadomesti z naslednjim: </w:t>
      </w:r>
    </w:p>
    <w:p w:rsidR="001E2AAD" w:rsidRDefault="007B2354">
      <w:pPr>
        <w:ind w:left="1417"/>
        <w:rPr>
          <w:noProof/>
        </w:rPr>
      </w:pPr>
      <w:r>
        <w:rPr>
          <w:noProof/>
        </w:rPr>
        <w:t>„Odbor vse zneske, prejete na podlagi prvega pododstavka, vplača v zadevni sklad (enotni sklad za reševanje ali jamstve</w:t>
      </w:r>
      <w:r>
        <w:rPr>
          <w:noProof/>
        </w:rPr>
        <w:t>ni sklad za vloge) in jih upošteva, ko določa prispevke v skladu s členi 70, 71, 74c in 74d.“;</w:t>
      </w:r>
    </w:p>
    <w:p w:rsidR="001E2AAD" w:rsidRDefault="007B2354">
      <w:pPr>
        <w:pStyle w:val="Point1letter"/>
        <w:numPr>
          <w:ilvl w:val="3"/>
          <w:numId w:val="5"/>
        </w:numPr>
        <w:rPr>
          <w:noProof/>
        </w:rPr>
      </w:pPr>
      <w:r>
        <w:rPr>
          <w:noProof/>
        </w:rPr>
        <w:t>v odstavkih 7 in 10 se beseda „sklad“ nadomesti z besedo „sklada“, skupaj s potrebnimi slovničnimi spremembami;</w:t>
      </w:r>
    </w:p>
    <w:p w:rsidR="001E2AAD" w:rsidRDefault="007B2354">
      <w:pPr>
        <w:pStyle w:val="ManualNumPar1"/>
        <w:rPr>
          <w:noProof/>
        </w:rPr>
      </w:pPr>
      <w:r>
        <w:t>10.</w:t>
      </w:r>
      <w:r>
        <w:tab/>
      </w:r>
      <w:r>
        <w:rPr>
          <w:noProof/>
        </w:rPr>
        <w:t>doda se del IIa:</w:t>
      </w:r>
    </w:p>
    <w:p w:rsidR="001E2AAD" w:rsidRDefault="007B2354">
      <w:pPr>
        <w:pStyle w:val="Title"/>
        <w:rPr>
          <w:rFonts w:ascii="Times New Roman" w:hAnsi="Times New Roman"/>
          <w:noProof/>
        </w:rPr>
      </w:pPr>
      <w:r>
        <w:rPr>
          <w:rFonts w:ascii="Times New Roman" w:hAnsi="Times New Roman"/>
          <w:noProof/>
        </w:rPr>
        <w:t>„</w:t>
      </w:r>
      <w:r>
        <w:rPr>
          <w:rFonts w:ascii="Times New Roman" w:hAnsi="Times New Roman"/>
          <w:b w:val="0"/>
          <w:noProof/>
          <w:sz w:val="36"/>
        </w:rPr>
        <w:t>DEL IIa</w:t>
      </w:r>
      <w:r>
        <w:rPr>
          <w:rFonts w:ascii="Times New Roman" w:hAnsi="Times New Roman"/>
          <w:b w:val="0"/>
          <w:noProof/>
          <w:sz w:val="36"/>
          <w:szCs w:val="24"/>
        </w:rPr>
        <w:br/>
      </w:r>
      <w:r>
        <w:rPr>
          <w:rFonts w:ascii="Times New Roman" w:hAnsi="Times New Roman"/>
          <w:b w:val="0"/>
          <w:noProof/>
          <w:sz w:val="36"/>
        </w:rPr>
        <w:t>EVROPSKI SISTEM JAM</w:t>
      </w:r>
      <w:r>
        <w:rPr>
          <w:rFonts w:ascii="Times New Roman" w:hAnsi="Times New Roman"/>
          <w:b w:val="0"/>
          <w:noProof/>
          <w:sz w:val="36"/>
        </w:rPr>
        <w:t>STVA ZA VLOGE (ESJV)</w:t>
      </w:r>
    </w:p>
    <w:p w:rsidR="001E2AAD" w:rsidRDefault="007B2354">
      <w:pPr>
        <w:pStyle w:val="Title"/>
        <w:rPr>
          <w:rFonts w:ascii="Times New Roman" w:hAnsi="Times New Roman"/>
          <w:noProof/>
        </w:rPr>
      </w:pPr>
      <w:r>
        <w:rPr>
          <w:rFonts w:ascii="Times New Roman" w:hAnsi="Times New Roman"/>
          <w:noProof/>
        </w:rPr>
        <w:t>NASLOV I: FAZE ESJV</w:t>
      </w:r>
    </w:p>
    <w:p w:rsidR="001E2AAD" w:rsidRDefault="007B2354">
      <w:pPr>
        <w:pStyle w:val="ChapterTitle"/>
        <w:spacing w:line="360" w:lineRule="auto"/>
        <w:rPr>
          <w:rFonts w:eastAsia="Times New Roman"/>
          <w:noProof/>
          <w:szCs w:val="24"/>
        </w:rPr>
      </w:pPr>
      <w:r>
        <w:rPr>
          <w:noProof/>
        </w:rPr>
        <w:t>Poglavje 1</w:t>
      </w:r>
      <w:r>
        <w:rPr>
          <w:noProof/>
        </w:rPr>
        <w:br/>
        <w:t>Pozavarovanje</w:t>
      </w:r>
    </w:p>
    <w:p w:rsidR="001E2AAD" w:rsidRDefault="007B2354">
      <w:pPr>
        <w:pStyle w:val="Titrearticle"/>
        <w:rPr>
          <w:noProof/>
        </w:rPr>
      </w:pPr>
      <w:bookmarkStart w:id="1" w:name="_Toc431379650"/>
      <w:bookmarkStart w:id="2" w:name="_Toc431379896"/>
      <w:bookmarkStart w:id="3" w:name="_Toc431380513"/>
      <w:bookmarkStart w:id="4" w:name="_Toc431393016"/>
      <w:bookmarkStart w:id="5" w:name="_Toc431473647"/>
      <w:bookmarkStart w:id="6" w:name="_Toc432693559"/>
      <w:bookmarkStart w:id="7" w:name="_Toc432694850"/>
      <w:r>
        <w:rPr>
          <w:noProof/>
        </w:rPr>
        <w:t>Člen 41a</w:t>
      </w:r>
      <w:r>
        <w:rPr>
          <w:noProof/>
        </w:rPr>
        <w:br/>
      </w:r>
      <w:bookmarkEnd w:id="1"/>
      <w:bookmarkEnd w:id="2"/>
      <w:bookmarkEnd w:id="3"/>
      <w:r>
        <w:rPr>
          <w:noProof/>
        </w:rPr>
        <w:t xml:space="preserve">Delno </w:t>
      </w:r>
      <w:bookmarkEnd w:id="4"/>
      <w:bookmarkEnd w:id="5"/>
      <w:bookmarkEnd w:id="6"/>
      <w:bookmarkEnd w:id="7"/>
      <w:r>
        <w:rPr>
          <w:noProof/>
        </w:rPr>
        <w:t>financiranje in kritje presežne izgube</w:t>
      </w:r>
    </w:p>
    <w:p w:rsidR="001E2AAD" w:rsidRDefault="007B2354">
      <w:pPr>
        <w:pStyle w:val="ListNumber3"/>
        <w:numPr>
          <w:ilvl w:val="0"/>
          <w:numId w:val="31"/>
        </w:numPr>
        <w:rPr>
          <w:noProof/>
        </w:rPr>
      </w:pPr>
      <w:r>
        <w:rPr>
          <w:noProof/>
        </w:rPr>
        <w:t xml:space="preserve">Od datuma začetka uporabe iz člena 99(5a) so sodelujoči SJV pozavarovani pri ESJV v skladu s tem poglavjem za obdobje treh let (obdobje </w:t>
      </w:r>
      <w:r>
        <w:rPr>
          <w:noProof/>
        </w:rPr>
        <w:t>pozavarovanja).</w:t>
      </w:r>
    </w:p>
    <w:p w:rsidR="001E2AAD" w:rsidRDefault="007B2354">
      <w:pPr>
        <w:pStyle w:val="ListNumber3"/>
        <w:numPr>
          <w:ilvl w:val="0"/>
          <w:numId w:val="16"/>
        </w:numPr>
        <w:rPr>
          <w:noProof/>
        </w:rPr>
      </w:pPr>
      <w:r>
        <w:rPr>
          <w:noProof/>
        </w:rPr>
        <w:t>Če se sodelujoči SJV sooči z dogodkom, ki povzroči izplačilo, ali se uporabi za reševanje v skladu s členom 79 te uredbe, lahko zaprosi za financiranje iz jamstvenega sklada za vloge v višini do 20 % likvidnostnega primanjkljaja, kot je dol</w:t>
      </w:r>
      <w:r>
        <w:rPr>
          <w:noProof/>
        </w:rPr>
        <w:t xml:space="preserve">očeno v členu 41b. </w:t>
      </w:r>
    </w:p>
    <w:p w:rsidR="001E2AAD" w:rsidRDefault="007B2354">
      <w:pPr>
        <w:pStyle w:val="ListNumber3"/>
        <w:numPr>
          <w:ilvl w:val="0"/>
          <w:numId w:val="16"/>
        </w:numPr>
        <w:rPr>
          <w:noProof/>
        </w:rPr>
      </w:pPr>
      <w:r>
        <w:rPr>
          <w:noProof/>
        </w:rPr>
        <w:t xml:space="preserve">Jamstveni sklad za vloge pokrije tudi 20 % presežne izgube sodelujočega SJV, kot je določeno v členu 41c. Sodelujoči SJV povrne znesek financiranja, ki ga je prejel na podlagi odstavka 2 tega člena, od katerega se odšteje znesek kritja </w:t>
      </w:r>
      <w:r>
        <w:rPr>
          <w:noProof/>
        </w:rPr>
        <w:t>presežne izgube v skladu s postopkom iz člena 41o.</w:t>
      </w:r>
    </w:p>
    <w:p w:rsidR="001E2AAD" w:rsidRDefault="007B2354">
      <w:pPr>
        <w:pStyle w:val="ListNumber3"/>
        <w:numPr>
          <w:ilvl w:val="0"/>
          <w:numId w:val="16"/>
        </w:numPr>
        <w:rPr>
          <w:noProof/>
        </w:rPr>
      </w:pPr>
      <w:r>
        <w:rPr>
          <w:noProof/>
        </w:rPr>
        <w:t>Niti financiranje niti kritje presežne izgube ne presegata nižjega od naslednjih dveh zneskov: 20 % začetne ciljne ravni jamstvenega sklada za vloge, kot je določeno v členu 74b(1) te uredbe, ali 10-kratni</w:t>
      </w:r>
      <w:r>
        <w:rPr>
          <w:noProof/>
        </w:rPr>
        <w:t>ka ciljne ravni sodelujočega SJV, kot je opredeljeno v prvem pododstavku člena 10(2) Direktive 2014/49/EU.</w:t>
      </w:r>
    </w:p>
    <w:p w:rsidR="001E2AAD" w:rsidRDefault="007B2354">
      <w:pPr>
        <w:pStyle w:val="Titrearticle"/>
        <w:rPr>
          <w:b/>
          <w:noProof/>
        </w:rPr>
      </w:pPr>
      <w:bookmarkStart w:id="8" w:name="_Toc431379652"/>
      <w:bookmarkStart w:id="9" w:name="_Toc431379898"/>
      <w:bookmarkStart w:id="10" w:name="_Toc431380515"/>
      <w:bookmarkStart w:id="11" w:name="_Toc431393018"/>
      <w:bookmarkStart w:id="12" w:name="_Toc431473648"/>
      <w:bookmarkStart w:id="13" w:name="_Toc432693560"/>
      <w:bookmarkStart w:id="14" w:name="_Toc432694851"/>
      <w:r>
        <w:rPr>
          <w:noProof/>
        </w:rPr>
        <w:t>Člen 41b</w:t>
      </w:r>
      <w:r>
        <w:rPr>
          <w:noProof/>
        </w:rPr>
        <w:br/>
        <w:t>Likvidnostni primanjkljaj</w:t>
      </w:r>
    </w:p>
    <w:p w:rsidR="001E2AAD" w:rsidRDefault="007B2354">
      <w:pPr>
        <w:pStyle w:val="ListNumber3"/>
        <w:numPr>
          <w:ilvl w:val="0"/>
          <w:numId w:val="32"/>
        </w:numPr>
        <w:rPr>
          <w:noProof/>
        </w:rPr>
      </w:pPr>
      <w:r>
        <w:rPr>
          <w:noProof/>
        </w:rPr>
        <w:t>Če se sodelujoči SJV sooči z dogodkom, ki povzroči izplačilo, se njegov likvidnostni primanjkljaj izračuna kot sku</w:t>
      </w:r>
      <w:r>
        <w:rPr>
          <w:noProof/>
        </w:rPr>
        <w:t>pni znesek kritih vlog v smislu člena 6(1) Direktive 2014/49/EU, ki ga ima kreditna institucija v času dogodka, ki povzroči izplačilo, od katerega se odštejeta:</w:t>
      </w:r>
    </w:p>
    <w:p w:rsidR="001E2AAD" w:rsidRDefault="007B2354">
      <w:pPr>
        <w:pStyle w:val="Point1"/>
        <w:rPr>
          <w:noProof/>
        </w:rPr>
      </w:pPr>
      <w:r>
        <w:rPr>
          <w:noProof/>
        </w:rPr>
        <w:t>(a)</w:t>
      </w:r>
      <w:r>
        <w:rPr>
          <w:noProof/>
        </w:rPr>
        <w:tab/>
        <w:t>znesek razpoložljivih finančnih sredstev, ki bi ga moral imeti sodelujoči SJV v času dogodk</w:t>
      </w:r>
      <w:r>
        <w:rPr>
          <w:noProof/>
        </w:rPr>
        <w:t xml:space="preserve">a, ki povzroči izplačilo, če bi zbral predhodne prispevke v skladu s členom 41j; </w:t>
      </w:r>
    </w:p>
    <w:p w:rsidR="001E2AAD" w:rsidRDefault="007B2354">
      <w:pPr>
        <w:pStyle w:val="Point1"/>
        <w:rPr>
          <w:noProof/>
        </w:rPr>
      </w:pPr>
      <w:r>
        <w:rPr>
          <w:noProof/>
        </w:rPr>
        <w:t>(b)</w:t>
      </w:r>
      <w:r>
        <w:rPr>
          <w:noProof/>
        </w:rPr>
        <w:tab/>
        <w:t>znesek izrednih prispevkov, kot so opredeljeni v členu 10(8) Direktive 2014/49/EU, ki ga lahko sodelujoči SJV zbere v treh dneh od dogodka, ki povzroči izplačilo.</w:t>
      </w:r>
    </w:p>
    <w:p w:rsidR="001E2AAD" w:rsidRDefault="007B2354">
      <w:pPr>
        <w:pStyle w:val="ListNumber3"/>
        <w:numPr>
          <w:ilvl w:val="0"/>
          <w:numId w:val="16"/>
        </w:numPr>
        <w:rPr>
          <w:noProof/>
        </w:rPr>
      </w:pPr>
      <w:r>
        <w:rPr>
          <w:noProof/>
        </w:rPr>
        <w:t xml:space="preserve">Če se </w:t>
      </w:r>
      <w:r>
        <w:rPr>
          <w:noProof/>
        </w:rPr>
        <w:t>sodelujoči SJV uporabi v postopkih reševanja, je njegov likvidnostni primanjkljaj znesek, ki ga določi organ za reševanje v skladu s členom 79, od katerega se odšteje znesek razpoložljivih finančnih sredstev, ki bi jih moral imeti sodelujoči SJV v času dol</w:t>
      </w:r>
      <w:r>
        <w:rPr>
          <w:noProof/>
        </w:rPr>
        <w:t>očitve zneska, če bi zbral predhodne prispevke v skladu s členom 41j.</w:t>
      </w:r>
    </w:p>
    <w:bookmarkEnd w:id="8"/>
    <w:bookmarkEnd w:id="9"/>
    <w:bookmarkEnd w:id="10"/>
    <w:bookmarkEnd w:id="11"/>
    <w:bookmarkEnd w:id="12"/>
    <w:bookmarkEnd w:id="13"/>
    <w:bookmarkEnd w:id="14"/>
    <w:p w:rsidR="001E2AAD" w:rsidRDefault="007B2354">
      <w:pPr>
        <w:pStyle w:val="Titrearticle"/>
        <w:rPr>
          <w:b/>
          <w:noProof/>
        </w:rPr>
      </w:pPr>
      <w:r>
        <w:rPr>
          <w:noProof/>
        </w:rPr>
        <w:t>Člen 41c</w:t>
      </w:r>
      <w:r>
        <w:rPr>
          <w:noProof/>
        </w:rPr>
        <w:br/>
        <w:t>Presežna izguba</w:t>
      </w:r>
    </w:p>
    <w:p w:rsidR="001E2AAD" w:rsidRDefault="007B2354">
      <w:pPr>
        <w:pStyle w:val="ListNumber3"/>
        <w:numPr>
          <w:ilvl w:val="0"/>
          <w:numId w:val="33"/>
        </w:numPr>
        <w:rPr>
          <w:noProof/>
        </w:rPr>
      </w:pPr>
      <w:r>
        <w:rPr>
          <w:noProof/>
        </w:rPr>
        <w:t>Če se sodelujoči SJV sooči z dogodkom, ki povzroči izplačilo, se njegova presežna izguba izračuna kot skupni znesek, ki ga je izplačal vlagateljem v skladu s čle</w:t>
      </w:r>
      <w:r>
        <w:rPr>
          <w:noProof/>
        </w:rPr>
        <w:t>nom 8 Direktive 2014/49/EU, od katerega se odštejejo:</w:t>
      </w:r>
    </w:p>
    <w:p w:rsidR="001E2AAD" w:rsidRDefault="007B2354">
      <w:pPr>
        <w:pStyle w:val="Point1"/>
        <w:rPr>
          <w:noProof/>
        </w:rPr>
      </w:pPr>
      <w:r>
        <w:rPr>
          <w:noProof/>
        </w:rPr>
        <w:t xml:space="preserve">(a) </w:t>
      </w:r>
      <w:r>
        <w:rPr>
          <w:noProof/>
        </w:rPr>
        <w:tab/>
        <w:t>znesek sodelujočega SJV, izterjan na podlagi subrogacije v postopku likvidacije ali reorganizacije v skladu s prvim stavkom člena 9(2) Direktive 2014/49/EU;</w:t>
      </w:r>
    </w:p>
    <w:p w:rsidR="001E2AAD" w:rsidRDefault="007B2354">
      <w:pPr>
        <w:pStyle w:val="Point1"/>
        <w:rPr>
          <w:noProof/>
        </w:rPr>
      </w:pPr>
      <w:r>
        <w:rPr>
          <w:noProof/>
        </w:rPr>
        <w:t>(b)</w:t>
      </w:r>
      <w:r>
        <w:rPr>
          <w:noProof/>
        </w:rPr>
        <w:tab/>
        <w:t>znesek razpoložljivih finančnih sred</w:t>
      </w:r>
      <w:r>
        <w:rPr>
          <w:noProof/>
        </w:rPr>
        <w:t xml:space="preserve">stev, ki bi ga moral imeti sodelujoči SJV v času dogodka, ki povzroči izplačilo, če bi zbral predhodne prispevke v skladu s členom 41j; </w:t>
      </w:r>
    </w:p>
    <w:p w:rsidR="001E2AAD" w:rsidRDefault="007B2354">
      <w:pPr>
        <w:pStyle w:val="Point1"/>
        <w:rPr>
          <w:noProof/>
        </w:rPr>
      </w:pPr>
      <w:r>
        <w:rPr>
          <w:noProof/>
        </w:rPr>
        <w:t>(c)</w:t>
      </w:r>
      <w:r>
        <w:rPr>
          <w:noProof/>
        </w:rPr>
        <w:tab/>
        <w:t>znesek naknadnih prispevkov, ki ga lahko sodelujoči SJV zbere v skladu s prvim stavkom prvega pododstavka člena 10(</w:t>
      </w:r>
      <w:r>
        <w:rPr>
          <w:noProof/>
        </w:rPr>
        <w:t>8) Direktive 2014/49/EU v enem koledarskem letu, ki vsebuje znesek, zbran v skladu s točko (b) člena 41b(1) te uredbe.</w:t>
      </w:r>
    </w:p>
    <w:p w:rsidR="001E2AAD" w:rsidRDefault="007B2354">
      <w:pPr>
        <w:pStyle w:val="ListNumber3"/>
        <w:numPr>
          <w:ilvl w:val="0"/>
          <w:numId w:val="16"/>
        </w:numPr>
        <w:rPr>
          <w:noProof/>
        </w:rPr>
      </w:pPr>
      <w:r>
        <w:rPr>
          <w:noProof/>
        </w:rPr>
        <w:t>Če se sredstva sodelujočega SJV uporabijo v postopkih reševanja, je njegova presežna izguba znesek, ki ga določi organ za reševanje v skl</w:t>
      </w:r>
      <w:r>
        <w:rPr>
          <w:noProof/>
        </w:rPr>
        <w:t>adu s členom 79, od katerega se odštejeta:</w:t>
      </w:r>
    </w:p>
    <w:p w:rsidR="001E2AAD" w:rsidRDefault="007B2354">
      <w:pPr>
        <w:pStyle w:val="Point1"/>
        <w:rPr>
          <w:noProof/>
        </w:rPr>
      </w:pPr>
      <w:r>
        <w:rPr>
          <w:noProof/>
        </w:rPr>
        <w:t>(a)</w:t>
      </w:r>
      <w:r>
        <w:rPr>
          <w:noProof/>
        </w:rPr>
        <w:tab/>
        <w:t xml:space="preserve">znesek morebitne razlike, ki je bil sodelujočemu SJV plačan v skladu s členom 75 Direktive 2014/59/EU; </w:t>
      </w:r>
    </w:p>
    <w:p w:rsidR="001E2AAD" w:rsidRDefault="007B2354">
      <w:pPr>
        <w:pStyle w:val="Point1"/>
        <w:rPr>
          <w:noProof/>
        </w:rPr>
      </w:pPr>
      <w:r>
        <w:rPr>
          <w:noProof/>
        </w:rPr>
        <w:t xml:space="preserve">(b) </w:t>
      </w:r>
      <w:r>
        <w:rPr>
          <w:noProof/>
        </w:rPr>
        <w:tab/>
        <w:t>znesek razpoložljivih finančnih sredstev, ki bi ga moral imeti sodelujoči SJV v času določitve znesk</w:t>
      </w:r>
      <w:r>
        <w:rPr>
          <w:noProof/>
        </w:rPr>
        <w:t>a, če bi zbral predhodne prispevke v skladu s členom 41j.</w:t>
      </w:r>
    </w:p>
    <w:p w:rsidR="001E2AAD" w:rsidRDefault="001E2AAD">
      <w:pPr>
        <w:pStyle w:val="ChapterTitle"/>
        <w:rPr>
          <w:noProof/>
        </w:rPr>
      </w:pPr>
    </w:p>
    <w:p w:rsidR="001E2AAD" w:rsidRDefault="007B2354">
      <w:pPr>
        <w:pStyle w:val="ChapterTitle"/>
        <w:rPr>
          <w:noProof/>
        </w:rPr>
      </w:pPr>
      <w:r>
        <w:rPr>
          <w:noProof/>
        </w:rPr>
        <w:t>Poglavje 2</w:t>
      </w:r>
      <w:r>
        <w:rPr>
          <w:noProof/>
        </w:rPr>
        <w:br/>
        <w:t>Sozavarovanje</w:t>
      </w:r>
    </w:p>
    <w:p w:rsidR="001E2AAD" w:rsidRDefault="007B2354">
      <w:pPr>
        <w:pStyle w:val="Titrearticle"/>
        <w:rPr>
          <w:noProof/>
        </w:rPr>
      </w:pPr>
      <w:bookmarkStart w:id="15" w:name="_Toc431379654"/>
      <w:bookmarkStart w:id="16" w:name="_Toc431379900"/>
      <w:bookmarkStart w:id="17" w:name="_Toc431380517"/>
      <w:bookmarkStart w:id="18" w:name="_Toc431393020"/>
      <w:bookmarkStart w:id="19" w:name="_Toc431473650"/>
      <w:bookmarkStart w:id="20" w:name="_Toc432693562"/>
      <w:bookmarkStart w:id="21" w:name="_Toc432694853"/>
      <w:r>
        <w:rPr>
          <w:noProof/>
        </w:rPr>
        <w:t>Člen 41d</w:t>
      </w:r>
      <w:r>
        <w:rPr>
          <w:noProof/>
        </w:rPr>
        <w:br/>
      </w:r>
      <w:bookmarkEnd w:id="15"/>
      <w:bookmarkEnd w:id="16"/>
      <w:bookmarkEnd w:id="17"/>
      <w:bookmarkEnd w:id="18"/>
      <w:bookmarkEnd w:id="19"/>
      <w:bookmarkEnd w:id="20"/>
      <w:bookmarkEnd w:id="21"/>
      <w:r>
        <w:rPr>
          <w:noProof/>
        </w:rPr>
        <w:t xml:space="preserve">Financiranje in kritje izgube </w:t>
      </w:r>
    </w:p>
    <w:p w:rsidR="001E2AAD" w:rsidRDefault="007B2354">
      <w:pPr>
        <w:pStyle w:val="ListNumber3"/>
        <w:numPr>
          <w:ilvl w:val="0"/>
          <w:numId w:val="34"/>
        </w:numPr>
        <w:rPr>
          <w:noProof/>
        </w:rPr>
      </w:pPr>
      <w:r>
        <w:rPr>
          <w:noProof/>
        </w:rPr>
        <w:t>Od izteka obdobja pozavarovanja je sodelujoči SJV sozavarovan pri ESJV v skladu s tem poglavjem za obdobje štirih let (obdobje sozav</w:t>
      </w:r>
      <w:r>
        <w:rPr>
          <w:noProof/>
        </w:rPr>
        <w:t>arovanja).</w:t>
      </w:r>
    </w:p>
    <w:p w:rsidR="001E2AAD" w:rsidRDefault="007B2354">
      <w:pPr>
        <w:pStyle w:val="ListNumber3"/>
        <w:numPr>
          <w:ilvl w:val="0"/>
          <w:numId w:val="16"/>
        </w:numPr>
        <w:rPr>
          <w:noProof/>
        </w:rPr>
      </w:pPr>
      <w:r>
        <w:rPr>
          <w:noProof/>
        </w:rPr>
        <w:t>Če se sodelujoči SJV sooči z dogodkom, ki povzroči izplačilo, ali se uporabi za reševanje v skladu s členom 109 Direktive 2014/59/EU ali členom 79 te uredbe, lahko zaprosi za financiranje deleža svojih potreb po likvidnih sredstvih iz jamstveneg</w:t>
      </w:r>
      <w:r>
        <w:rPr>
          <w:noProof/>
        </w:rPr>
        <w:t>a sklada za vloge, kot je določeno v členu 41f te uredbe. Delež se povečuje v skladu s členom 41e.</w:t>
      </w:r>
    </w:p>
    <w:p w:rsidR="001E2AAD" w:rsidRDefault="007B2354">
      <w:pPr>
        <w:pStyle w:val="ListNumber3"/>
        <w:numPr>
          <w:ilvl w:val="0"/>
          <w:numId w:val="16"/>
        </w:numPr>
        <w:rPr>
          <w:noProof/>
        </w:rPr>
      </w:pPr>
      <w:r>
        <w:rPr>
          <w:noProof/>
        </w:rPr>
        <w:t>Jamstveni sklad za vloge krije tudi delež izgub sodelujočega SJV, kot je določeno v členu 41g. Delež se povečuje v skladu s členom 41e. Sodelujoči SJV povrne</w:t>
      </w:r>
      <w:r>
        <w:rPr>
          <w:noProof/>
        </w:rPr>
        <w:t xml:space="preserve"> znesek financiranja, ki ga je prejel na podlagi odstavka 2, od katerega se odšteje znesek kritja izgube v skladu s postopkom iz člena 41o.</w:t>
      </w:r>
    </w:p>
    <w:p w:rsidR="001E2AAD" w:rsidRDefault="007B2354">
      <w:pPr>
        <w:pStyle w:val="Titrearticle"/>
        <w:rPr>
          <w:noProof/>
        </w:rPr>
      </w:pPr>
      <w:bookmarkStart w:id="22" w:name="_Toc431379655"/>
      <w:bookmarkStart w:id="23" w:name="_Toc431379901"/>
      <w:bookmarkStart w:id="24" w:name="_Toc431380518"/>
      <w:bookmarkStart w:id="25" w:name="_Toc431393021"/>
      <w:bookmarkStart w:id="26" w:name="_Toc431473651"/>
      <w:bookmarkStart w:id="27" w:name="_Toc432693563"/>
      <w:bookmarkStart w:id="28" w:name="_Toc432694854"/>
      <w:r>
        <w:rPr>
          <w:noProof/>
        </w:rPr>
        <w:t>Člen 41e</w:t>
      </w:r>
      <w:r>
        <w:rPr>
          <w:noProof/>
        </w:rPr>
        <w:br/>
        <w:t xml:space="preserve">Povečanje </w:t>
      </w:r>
      <w:bookmarkEnd w:id="22"/>
      <w:bookmarkEnd w:id="23"/>
      <w:bookmarkEnd w:id="24"/>
      <w:bookmarkEnd w:id="25"/>
      <w:bookmarkEnd w:id="26"/>
      <w:bookmarkEnd w:id="27"/>
      <w:bookmarkEnd w:id="28"/>
      <w:r>
        <w:rPr>
          <w:noProof/>
        </w:rPr>
        <w:t xml:space="preserve">financiranja in kritje izgube </w:t>
      </w:r>
    </w:p>
    <w:p w:rsidR="001E2AAD" w:rsidRDefault="007B2354">
      <w:pPr>
        <w:rPr>
          <w:noProof/>
        </w:rPr>
      </w:pPr>
      <w:r>
        <w:rPr>
          <w:noProof/>
        </w:rPr>
        <w:t xml:space="preserve">Delež kritja v okviru drugega in tretjega odstavka člena 41d se v </w:t>
      </w:r>
      <w:r>
        <w:rPr>
          <w:noProof/>
        </w:rPr>
        <w:t>obdobju sozavarovanja povečuje, kot sledi:</w:t>
      </w:r>
    </w:p>
    <w:p w:rsidR="001E2AAD" w:rsidRDefault="007B2354">
      <w:pPr>
        <w:pStyle w:val="Tiret0"/>
        <w:numPr>
          <w:ilvl w:val="0"/>
          <w:numId w:val="18"/>
        </w:numPr>
        <w:tabs>
          <w:tab w:val="clear" w:pos="850"/>
        </w:tabs>
        <w:ind w:left="1145" w:hanging="425"/>
        <w:rPr>
          <w:noProof/>
        </w:rPr>
      </w:pPr>
      <w:r>
        <w:rPr>
          <w:noProof/>
        </w:rPr>
        <w:t xml:space="preserve">v prvem letu obdobja sozavarovanja znaša 20 %; </w:t>
      </w:r>
    </w:p>
    <w:p w:rsidR="001E2AAD" w:rsidRDefault="007B2354">
      <w:pPr>
        <w:pStyle w:val="Tiret0"/>
        <w:numPr>
          <w:ilvl w:val="0"/>
          <w:numId w:val="19"/>
        </w:numPr>
        <w:tabs>
          <w:tab w:val="clear" w:pos="850"/>
        </w:tabs>
        <w:ind w:left="1145" w:hanging="425"/>
        <w:rPr>
          <w:noProof/>
        </w:rPr>
      </w:pPr>
      <w:r>
        <w:rPr>
          <w:noProof/>
        </w:rPr>
        <w:t>v drugem letu obdobja sozavarovanja znaša 40 %;</w:t>
      </w:r>
    </w:p>
    <w:p w:rsidR="001E2AAD" w:rsidRDefault="007B2354">
      <w:pPr>
        <w:pStyle w:val="Tiret0"/>
        <w:numPr>
          <w:ilvl w:val="0"/>
          <w:numId w:val="19"/>
        </w:numPr>
        <w:tabs>
          <w:tab w:val="clear" w:pos="850"/>
        </w:tabs>
        <w:ind w:left="1145" w:hanging="425"/>
        <w:rPr>
          <w:noProof/>
        </w:rPr>
      </w:pPr>
      <w:r>
        <w:rPr>
          <w:noProof/>
        </w:rPr>
        <w:t>v tretjem letu obdobja sozavarovanja znaša 60 %;</w:t>
      </w:r>
    </w:p>
    <w:p w:rsidR="001E2AAD" w:rsidRDefault="007B2354">
      <w:pPr>
        <w:pStyle w:val="Tiret0"/>
        <w:numPr>
          <w:ilvl w:val="0"/>
          <w:numId w:val="19"/>
        </w:numPr>
        <w:tabs>
          <w:tab w:val="clear" w:pos="850"/>
        </w:tabs>
        <w:ind w:left="1145" w:hanging="425"/>
        <w:rPr>
          <w:noProof/>
        </w:rPr>
      </w:pPr>
      <w:r>
        <w:rPr>
          <w:noProof/>
        </w:rPr>
        <w:t>v četrtem letu obdobja sozavarovanja znaša 80 %.</w:t>
      </w:r>
    </w:p>
    <w:p w:rsidR="001E2AAD" w:rsidRDefault="001E2AAD">
      <w:pPr>
        <w:pStyle w:val="ManualNumPar1"/>
        <w:ind w:left="0" w:firstLine="0"/>
        <w:rPr>
          <w:noProof/>
        </w:rPr>
      </w:pPr>
    </w:p>
    <w:p w:rsidR="001E2AAD" w:rsidRDefault="007B2354">
      <w:pPr>
        <w:pStyle w:val="Titrearticle"/>
        <w:rPr>
          <w:b/>
          <w:noProof/>
        </w:rPr>
      </w:pPr>
      <w:r>
        <w:rPr>
          <w:noProof/>
        </w:rPr>
        <w:t>Člen 41f</w:t>
      </w:r>
      <w:r>
        <w:rPr>
          <w:noProof/>
        </w:rPr>
        <w:br/>
        <w:t xml:space="preserve">Potreba </w:t>
      </w:r>
      <w:r>
        <w:rPr>
          <w:noProof/>
        </w:rPr>
        <w:t>po likvidnih sredstvih</w:t>
      </w:r>
    </w:p>
    <w:p w:rsidR="001E2AAD" w:rsidRDefault="007B2354">
      <w:pPr>
        <w:pStyle w:val="ListNumber3"/>
        <w:numPr>
          <w:ilvl w:val="0"/>
          <w:numId w:val="35"/>
        </w:numPr>
        <w:rPr>
          <w:noProof/>
        </w:rPr>
      </w:pPr>
      <w:r>
        <w:rPr>
          <w:noProof/>
        </w:rPr>
        <w:t>Če se sodelujoči SJV sooči z dogodkom, ki povzroči izplačilo, je njegova potreba po likvidnih sredstvih skupni znesek kritih vlog v smislu člena 6(1) Direktive 2014/49/EU, ki ga ima kreditna institucija v času dogodka, ki povzroči iz</w:t>
      </w:r>
      <w:r>
        <w:rPr>
          <w:noProof/>
        </w:rPr>
        <w:t>plačilo.</w:t>
      </w:r>
    </w:p>
    <w:p w:rsidR="001E2AAD" w:rsidRDefault="007B2354">
      <w:pPr>
        <w:pStyle w:val="ListNumber3"/>
        <w:numPr>
          <w:ilvl w:val="0"/>
          <w:numId w:val="16"/>
        </w:numPr>
        <w:rPr>
          <w:noProof/>
        </w:rPr>
      </w:pPr>
      <w:r>
        <w:rPr>
          <w:noProof/>
        </w:rPr>
        <w:t>Če se sodelujoči SJV uporabi v postopkih reševanja, je njegova potreba po likvidnih sredstvih znesek, ki ga določi organ za reševanje v skladu s členom 109 Direktive 2014/59/EU ali členom 79 te uredbe.</w:t>
      </w:r>
    </w:p>
    <w:p w:rsidR="001E2AAD" w:rsidRDefault="007B2354">
      <w:pPr>
        <w:pStyle w:val="Titrearticle"/>
        <w:rPr>
          <w:b/>
          <w:noProof/>
        </w:rPr>
      </w:pPr>
      <w:r>
        <w:rPr>
          <w:noProof/>
        </w:rPr>
        <w:t>Člen 41g</w:t>
      </w:r>
      <w:r>
        <w:rPr>
          <w:noProof/>
        </w:rPr>
        <w:br/>
        <w:t>Izguba</w:t>
      </w:r>
    </w:p>
    <w:p w:rsidR="001E2AAD" w:rsidRDefault="007B2354">
      <w:pPr>
        <w:pStyle w:val="ListNumber3"/>
        <w:numPr>
          <w:ilvl w:val="0"/>
          <w:numId w:val="36"/>
        </w:numPr>
        <w:rPr>
          <w:noProof/>
        </w:rPr>
      </w:pPr>
      <w:r>
        <w:rPr>
          <w:noProof/>
        </w:rPr>
        <w:t xml:space="preserve">Če se sodelujoči SJV sooči z </w:t>
      </w:r>
      <w:r>
        <w:rPr>
          <w:noProof/>
        </w:rPr>
        <w:t>dogodkom, ki povzroči izplačilo, je njegova izguba skupni znesek, ki ga je izplačal vlagateljem v skladu s členom 8 Direktive 2014/49/EU, od katerega se odšteje znesek, ki ga je sodelujoči SJV izterjal na podlagi subrogacije v postopku likvidacije ali reor</w:t>
      </w:r>
      <w:r>
        <w:rPr>
          <w:noProof/>
        </w:rPr>
        <w:t>ganizacije v skladu s prvim stavkom člena 9(2) Direktive 2014/49/EU.</w:t>
      </w:r>
    </w:p>
    <w:p w:rsidR="001E2AAD" w:rsidRDefault="007B2354">
      <w:pPr>
        <w:pStyle w:val="ListNumber3"/>
        <w:numPr>
          <w:ilvl w:val="0"/>
          <w:numId w:val="16"/>
        </w:numPr>
        <w:rPr>
          <w:noProof/>
        </w:rPr>
      </w:pPr>
      <w:r>
        <w:rPr>
          <w:noProof/>
        </w:rPr>
        <w:t>Če se sodelujoči SJV uporabi v postopkih reševanja, je njegova izguba znesek, ki ga določi organ za reševanje v skladu s členom 109 Direktive 2014/59/EU ali členom 79 te uredbe, od katere</w:t>
      </w:r>
      <w:r>
        <w:rPr>
          <w:noProof/>
        </w:rPr>
        <w:t>ga se odšteje znesek morebitne razlike, ki je bil sodelujočemu SJV plačan v skladu s členom 75 Direktive 2014/59/EU.</w:t>
      </w:r>
    </w:p>
    <w:p w:rsidR="001E2AAD" w:rsidRDefault="001E2AAD">
      <w:pPr>
        <w:pStyle w:val="Text1"/>
        <w:rPr>
          <w:noProof/>
        </w:rPr>
      </w:pPr>
    </w:p>
    <w:p w:rsidR="001E2AAD" w:rsidRDefault="007B2354">
      <w:pPr>
        <w:pStyle w:val="ChapterTitle"/>
        <w:rPr>
          <w:noProof/>
        </w:rPr>
      </w:pPr>
      <w:r>
        <w:rPr>
          <w:noProof/>
        </w:rPr>
        <w:t>Poglavje 3</w:t>
      </w:r>
      <w:r>
        <w:rPr>
          <w:noProof/>
        </w:rPr>
        <w:br/>
        <w:t>Polno jamstvo</w:t>
      </w:r>
    </w:p>
    <w:p w:rsidR="001E2AAD" w:rsidRDefault="007B2354">
      <w:pPr>
        <w:pStyle w:val="Titrearticle"/>
        <w:rPr>
          <w:noProof/>
        </w:rPr>
      </w:pPr>
      <w:bookmarkStart w:id="29" w:name="_Toc431473653"/>
      <w:bookmarkStart w:id="30" w:name="_Toc431550507"/>
      <w:r>
        <w:rPr>
          <w:noProof/>
        </w:rPr>
        <w:t xml:space="preserve">Člen </w:t>
      </w:r>
      <w:bookmarkEnd w:id="29"/>
      <w:bookmarkEnd w:id="30"/>
      <w:r>
        <w:rPr>
          <w:noProof/>
        </w:rPr>
        <w:t>41h</w:t>
      </w:r>
      <w:r>
        <w:rPr>
          <w:noProof/>
        </w:rPr>
        <w:br/>
        <w:t>Financiranje in kritje izgube</w:t>
      </w:r>
    </w:p>
    <w:p w:rsidR="001E2AAD" w:rsidRDefault="007B2354">
      <w:pPr>
        <w:pStyle w:val="ListNumber3"/>
        <w:numPr>
          <w:ilvl w:val="0"/>
          <w:numId w:val="37"/>
        </w:numPr>
        <w:rPr>
          <w:noProof/>
        </w:rPr>
      </w:pPr>
      <w:r>
        <w:rPr>
          <w:noProof/>
        </w:rPr>
        <w:t xml:space="preserve">Od izteka obdobja sozavarovanja ima sodelujoči SJV polno jamstvo pri EDIS </w:t>
      </w:r>
      <w:r>
        <w:rPr>
          <w:noProof/>
        </w:rPr>
        <w:t>v skladu s tem poglavjem.</w:t>
      </w:r>
    </w:p>
    <w:p w:rsidR="001E2AAD" w:rsidRDefault="007B2354">
      <w:pPr>
        <w:pStyle w:val="ListNumber3"/>
        <w:numPr>
          <w:ilvl w:val="0"/>
          <w:numId w:val="16"/>
        </w:numPr>
        <w:rPr>
          <w:noProof/>
        </w:rPr>
      </w:pPr>
      <w:r>
        <w:rPr>
          <w:noProof/>
        </w:rPr>
        <w:t>Če se sodelujoči SJV sooči z dogodkom, ki povzroči izplačilo, ali se uporabi za reševanje v skladu s členom 109 Direktive 2014/59/EU ali členom 79 te uredbe, lahko zaprosi za financiranje iz jamstvenega sklada za vloge za kritje s</w:t>
      </w:r>
      <w:r>
        <w:rPr>
          <w:noProof/>
        </w:rPr>
        <w:t>voje potrebe po likvidnih sredstvih, kot je določeno v členu 41f te uredbe.</w:t>
      </w:r>
    </w:p>
    <w:p w:rsidR="001E2AAD" w:rsidRDefault="007B2354">
      <w:pPr>
        <w:pStyle w:val="ListNumber3"/>
        <w:rPr>
          <w:noProof/>
        </w:rPr>
      </w:pPr>
      <w:r>
        <w:rPr>
          <w:noProof/>
        </w:rPr>
        <w:t>Jamstveni sklad za vloge pokrije tudi izgubo sodelujočega SJV, kot je določeno v členu 41g. Sodelujoči SJV povrne znesek financiranja, ki ga je prejel na podlagi odstavka 2, od kat</w:t>
      </w:r>
      <w:r>
        <w:rPr>
          <w:noProof/>
        </w:rPr>
        <w:t>erega se odšteje znesek kritja izgube v skladu s postopkom iz člena 41o.</w:t>
      </w:r>
    </w:p>
    <w:p w:rsidR="001E2AAD" w:rsidRDefault="007B2354">
      <w:pPr>
        <w:pStyle w:val="ChapterTitle"/>
        <w:rPr>
          <w:noProof/>
        </w:rPr>
      </w:pPr>
      <w:r>
        <w:rPr>
          <w:noProof/>
        </w:rPr>
        <w:t>Poglavje 4</w:t>
      </w:r>
      <w:r>
        <w:rPr>
          <w:noProof/>
        </w:rPr>
        <w:br/>
        <w:t>Skupne določbe</w:t>
      </w:r>
    </w:p>
    <w:p w:rsidR="001E2AAD" w:rsidRDefault="007B2354">
      <w:pPr>
        <w:pStyle w:val="Titrearticle"/>
        <w:rPr>
          <w:noProof/>
        </w:rPr>
      </w:pPr>
      <w:r>
        <w:rPr>
          <w:noProof/>
        </w:rPr>
        <w:t>Člen 41i</w:t>
      </w:r>
      <w:r>
        <w:rPr>
          <w:noProof/>
        </w:rPr>
        <w:br/>
        <w:t>Izključitev iz kritja ESJV</w:t>
      </w:r>
    </w:p>
    <w:p w:rsidR="001E2AAD" w:rsidRDefault="007B2354">
      <w:pPr>
        <w:pStyle w:val="ListNumber3"/>
        <w:numPr>
          <w:ilvl w:val="0"/>
          <w:numId w:val="38"/>
        </w:numPr>
        <w:rPr>
          <w:noProof/>
        </w:rPr>
      </w:pPr>
      <w:r>
        <w:rPr>
          <w:noProof/>
        </w:rPr>
        <w:t xml:space="preserve">ESJV ne krije sodelujočega SJV v obdobju pozavarovanja, obdobju sozavarovanja ali v času polnega jamstva, če Komisija na </w:t>
      </w:r>
      <w:r>
        <w:rPr>
          <w:noProof/>
        </w:rPr>
        <w:t xml:space="preserve">lastno pobudo ali na zahtevo odbora ali sodelujoče države članice ugotovi, da je izpolnjen najmanj eden od naslednjih pogojev za izključitev, in o tem ustrezno obvesti odbor: </w:t>
      </w:r>
    </w:p>
    <w:p w:rsidR="001E2AAD" w:rsidRDefault="007B2354">
      <w:pPr>
        <w:pStyle w:val="Point1letter"/>
        <w:numPr>
          <w:ilvl w:val="3"/>
          <w:numId w:val="39"/>
        </w:numPr>
        <w:rPr>
          <w:noProof/>
        </w:rPr>
      </w:pPr>
      <w:r>
        <w:rPr>
          <w:noProof/>
        </w:rPr>
        <w:t>sodelujoči SJV ni izpolnil obveznosti iz te uredbe ali členov 4, 6, 7 ali 10 Dir</w:t>
      </w:r>
      <w:r>
        <w:rPr>
          <w:noProof/>
        </w:rPr>
        <w:t>ektive 2014/49/EU;</w:t>
      </w:r>
    </w:p>
    <w:p w:rsidR="001E2AAD" w:rsidRDefault="007B2354">
      <w:pPr>
        <w:pStyle w:val="Point1letter"/>
        <w:numPr>
          <w:ilvl w:val="3"/>
          <w:numId w:val="21"/>
        </w:numPr>
        <w:rPr>
          <w:noProof/>
        </w:rPr>
      </w:pPr>
      <w:r>
        <w:rPr>
          <w:noProof/>
        </w:rPr>
        <w:t>sodelujoči SJV, zadevni upravni organ v smislu člena 3 Direktive 2014/49/EU ali kateri koli drug zadevni organ v državi članici je v zvezi s posameznim zahtevkom za kritje ESJV ravnal v nasprotju z načelom lojalnega sodelovanja, kot je d</w:t>
      </w:r>
      <w:r>
        <w:rPr>
          <w:noProof/>
        </w:rPr>
        <w:t>oločeno v členu 4(3) Pogodbe o Evropski uniji.</w:t>
      </w:r>
    </w:p>
    <w:p w:rsidR="001E2AAD" w:rsidRDefault="007B2354">
      <w:pPr>
        <w:pStyle w:val="ListNumber3"/>
        <w:numPr>
          <w:ilvl w:val="0"/>
          <w:numId w:val="16"/>
        </w:numPr>
        <w:rPr>
          <w:noProof/>
        </w:rPr>
      </w:pPr>
      <w:r>
        <w:rPr>
          <w:noProof/>
        </w:rPr>
        <w:t>Če je sodelujoči SJV že prejel financiranje in je v zvezi z dogodkom, ki povzroči izplačilo, ali uporabo v postopkih reševanja izpolnjen najmanj eden od pogojev za izključitev iz odstavka 1, lahko Komisija SJV</w:t>
      </w:r>
      <w:r>
        <w:rPr>
          <w:noProof/>
        </w:rPr>
        <w:t xml:space="preserve"> naloži, da mora jamstvenemu skladu za vloge delno ali v celoti vrniti sredstva, ki jih je prejel. </w:t>
      </w:r>
    </w:p>
    <w:p w:rsidR="001E2AAD" w:rsidRDefault="001E2AAD">
      <w:pPr>
        <w:rPr>
          <w:noProof/>
        </w:rPr>
      </w:pPr>
    </w:p>
    <w:p w:rsidR="001E2AAD" w:rsidRDefault="007B2354">
      <w:pPr>
        <w:pStyle w:val="Titrearticle"/>
        <w:rPr>
          <w:noProof/>
        </w:rPr>
      </w:pPr>
      <w:r>
        <w:rPr>
          <w:noProof/>
        </w:rPr>
        <w:t>Člen 41j</w:t>
      </w:r>
      <w:r>
        <w:rPr>
          <w:noProof/>
        </w:rPr>
        <w:br/>
        <w:t>Potek financiranja, ki ga upoštevajo sodelujoči sistemi jamstva za vloge</w:t>
      </w:r>
    </w:p>
    <w:p w:rsidR="001E2AAD" w:rsidRDefault="007B2354">
      <w:pPr>
        <w:pStyle w:val="ListNumber3"/>
        <w:numPr>
          <w:ilvl w:val="0"/>
          <w:numId w:val="40"/>
        </w:numPr>
        <w:rPr>
          <w:noProof/>
        </w:rPr>
      </w:pPr>
      <w:r>
        <w:rPr>
          <w:noProof/>
        </w:rPr>
        <w:t xml:space="preserve">ESJV sodelujoči SJV pozavaruje, sozavaruje ali mu zagotovi polno jamstvo </w:t>
      </w:r>
      <w:r>
        <w:rPr>
          <w:noProof/>
        </w:rPr>
        <w:t>v letu, ki sledi kateremu koli spodaj navedenih datumov, če do tega datuma razpoložljiva finančna sredstva, ki jih je SJV zbral s prispevki iz člena 10(1) Direktive 2014/49/EU, znašajo najmanj naslednje deleže skupnega zneska kritih vlog vseh kreditnih ins</w:t>
      </w:r>
      <w:r>
        <w:rPr>
          <w:noProof/>
        </w:rPr>
        <w:t>titucij, vključenih v sodelujoči SJV:</w:t>
      </w:r>
    </w:p>
    <w:p w:rsidR="001E2AAD" w:rsidRDefault="007B2354">
      <w:pPr>
        <w:pStyle w:val="ListDash2"/>
        <w:rPr>
          <w:noProof/>
        </w:rPr>
      </w:pPr>
      <w:r>
        <w:rPr>
          <w:noProof/>
        </w:rPr>
        <w:t xml:space="preserve">do 3. julija 2017: 0,14 %; </w:t>
      </w:r>
    </w:p>
    <w:p w:rsidR="001E2AAD" w:rsidRDefault="007B2354">
      <w:pPr>
        <w:pStyle w:val="ListDash2"/>
        <w:rPr>
          <w:noProof/>
        </w:rPr>
      </w:pPr>
      <w:r>
        <w:rPr>
          <w:noProof/>
        </w:rPr>
        <w:t>do 3. julija 2018: 0,21 %;</w:t>
      </w:r>
    </w:p>
    <w:p w:rsidR="001E2AAD" w:rsidRDefault="007B2354">
      <w:pPr>
        <w:pStyle w:val="ListDash2"/>
        <w:rPr>
          <w:noProof/>
        </w:rPr>
      </w:pPr>
      <w:r>
        <w:rPr>
          <w:noProof/>
        </w:rPr>
        <w:t>do 3. julija 2019: 0,28 %;</w:t>
      </w:r>
    </w:p>
    <w:p w:rsidR="001E2AAD" w:rsidRDefault="007B2354">
      <w:pPr>
        <w:pStyle w:val="ListDash2"/>
        <w:rPr>
          <w:noProof/>
        </w:rPr>
      </w:pPr>
      <w:r>
        <w:rPr>
          <w:noProof/>
        </w:rPr>
        <w:t>do 3. julija 2020: 0,28 %;</w:t>
      </w:r>
    </w:p>
    <w:p w:rsidR="001E2AAD" w:rsidRDefault="007B2354">
      <w:pPr>
        <w:pStyle w:val="ListDash2"/>
        <w:rPr>
          <w:noProof/>
        </w:rPr>
      </w:pPr>
      <w:r>
        <w:rPr>
          <w:noProof/>
        </w:rPr>
        <w:t>do 3. julija 2021: 0,26 %;</w:t>
      </w:r>
    </w:p>
    <w:p w:rsidR="001E2AAD" w:rsidRDefault="007B2354">
      <w:pPr>
        <w:pStyle w:val="ListDash2"/>
        <w:rPr>
          <w:noProof/>
        </w:rPr>
      </w:pPr>
      <w:r>
        <w:rPr>
          <w:noProof/>
        </w:rPr>
        <w:t>do 3. julija 2022: 0,20 %;</w:t>
      </w:r>
    </w:p>
    <w:p w:rsidR="001E2AAD" w:rsidRDefault="007B2354">
      <w:pPr>
        <w:pStyle w:val="ListDash2"/>
        <w:rPr>
          <w:noProof/>
        </w:rPr>
      </w:pPr>
      <w:r>
        <w:rPr>
          <w:noProof/>
        </w:rPr>
        <w:t>do 3. julija 2023: 0,11 %;</w:t>
      </w:r>
    </w:p>
    <w:p w:rsidR="001E2AAD" w:rsidRDefault="007B2354">
      <w:pPr>
        <w:pStyle w:val="ListDash2"/>
        <w:rPr>
          <w:noProof/>
        </w:rPr>
      </w:pPr>
      <w:r>
        <w:rPr>
          <w:noProof/>
        </w:rPr>
        <w:t>do 3. julija 2024: 0 %.</w:t>
      </w:r>
    </w:p>
    <w:p w:rsidR="001E2AAD" w:rsidRDefault="001E2AAD">
      <w:pPr>
        <w:pStyle w:val="Point0"/>
        <w:ind w:hanging="10"/>
        <w:rPr>
          <w:noProof/>
        </w:rPr>
      </w:pPr>
    </w:p>
    <w:p w:rsidR="001E2AAD" w:rsidRDefault="007B2354">
      <w:pPr>
        <w:pStyle w:val="ListNumber3"/>
        <w:rPr>
          <w:noProof/>
        </w:rPr>
      </w:pPr>
      <w:r>
        <w:rPr>
          <w:noProof/>
        </w:rPr>
        <w:t xml:space="preserve">Komisija lahko po posvetovanju z odborom odobri odstopanje od zahtev iz odstavka 1 na podlagi ustrezno utemeljenih razlogov, povezanih s poslovnim ciklom v zadevni državi članici, učinkom, ki ga lahko imajo prociklični prispevki, ali dogodkom, ki povzroči </w:t>
      </w:r>
      <w:r>
        <w:rPr>
          <w:noProof/>
        </w:rPr>
        <w:t>izplačilo in se je zgodil na nacionalni ravni. Ta odstopanja morajo biti začasna in so lahko pogojena z izpolnjevanjem določenih pogojev.</w:t>
      </w:r>
    </w:p>
    <w:p w:rsidR="001E2AAD" w:rsidRDefault="001E2AAD">
      <w:pPr>
        <w:pStyle w:val="ChapterTitle"/>
        <w:rPr>
          <w:noProof/>
        </w:rPr>
      </w:pPr>
    </w:p>
    <w:p w:rsidR="001E2AAD" w:rsidRDefault="007B2354">
      <w:pPr>
        <w:jc w:val="center"/>
        <w:rPr>
          <w:b/>
          <w:noProof/>
        </w:rPr>
      </w:pPr>
      <w:r>
        <w:rPr>
          <w:b/>
          <w:noProof/>
        </w:rPr>
        <w:t>NASLOV II</w:t>
      </w:r>
    </w:p>
    <w:p w:rsidR="001E2AAD" w:rsidRDefault="007B2354">
      <w:pPr>
        <w:jc w:val="center"/>
        <w:rPr>
          <w:b/>
          <w:noProof/>
        </w:rPr>
      </w:pPr>
      <w:r>
        <w:rPr>
          <w:b/>
          <w:noProof/>
        </w:rPr>
        <w:t>POSTOPKOVNE DOLOČBE</w:t>
      </w:r>
    </w:p>
    <w:p w:rsidR="001E2AAD" w:rsidRDefault="007B2354">
      <w:pPr>
        <w:pStyle w:val="Titrearticle"/>
        <w:rPr>
          <w:noProof/>
        </w:rPr>
      </w:pPr>
      <w:bookmarkStart w:id="31" w:name="_Toc431473676"/>
      <w:bookmarkStart w:id="32" w:name="_Toc432693578"/>
      <w:bookmarkStart w:id="33" w:name="_Toc432694869"/>
      <w:r>
        <w:rPr>
          <w:noProof/>
        </w:rPr>
        <w:t>Člen 41k</w:t>
      </w:r>
      <w:r>
        <w:rPr>
          <w:noProof/>
        </w:rPr>
        <w:br/>
      </w:r>
      <w:bookmarkEnd w:id="31"/>
      <w:bookmarkEnd w:id="32"/>
      <w:bookmarkEnd w:id="33"/>
      <w:r>
        <w:rPr>
          <w:noProof/>
        </w:rPr>
        <w:t>Predhodne informacije</w:t>
      </w:r>
    </w:p>
    <w:p w:rsidR="001E2AAD" w:rsidRDefault="007B2354">
      <w:pPr>
        <w:pStyle w:val="ManualNumPar1"/>
        <w:rPr>
          <w:noProof/>
        </w:rPr>
      </w:pPr>
      <w:r>
        <w:rPr>
          <w:noProof/>
        </w:rPr>
        <w:tab/>
        <w:t>Če je sodelujoči SJV prejel obvestilo pristojnega organ</w:t>
      </w:r>
      <w:r>
        <w:rPr>
          <w:noProof/>
        </w:rPr>
        <w:t>a ali bil kako drugače seznanjen z okoliščinami v zvezi s kreditno institucijo, vključeno v ta sodelujoči SJV, ki bodo verjetno privedle do dogodka, ki povzroči izplačilo, ali uporabe v postopkih reševanja, o teh okoliščinah nemudoma obvesti odbor, če name</w:t>
      </w:r>
      <w:r>
        <w:rPr>
          <w:noProof/>
        </w:rPr>
        <w:t>rava zaprositi za kritje ESJV. V tem primeru sodelujoči SJV odboru predloži tudi oceno pričakovanega likvidnostnega primanjkljaja ali potrebe po likvidnih sredstvih.</w:t>
      </w:r>
    </w:p>
    <w:p w:rsidR="001E2AAD" w:rsidRDefault="007B2354">
      <w:pPr>
        <w:pStyle w:val="Titrearticle"/>
        <w:rPr>
          <w:noProof/>
        </w:rPr>
      </w:pPr>
      <w:r>
        <w:rPr>
          <w:noProof/>
        </w:rPr>
        <w:t>Člen 41l</w:t>
      </w:r>
      <w:r>
        <w:rPr>
          <w:noProof/>
        </w:rPr>
        <w:br/>
        <w:t xml:space="preserve">Dolžnost obveščanja </w:t>
      </w:r>
    </w:p>
    <w:p w:rsidR="001E2AAD" w:rsidRDefault="007B2354">
      <w:pPr>
        <w:pStyle w:val="ListNumber3"/>
        <w:numPr>
          <w:ilvl w:val="0"/>
          <w:numId w:val="41"/>
        </w:numPr>
        <w:rPr>
          <w:noProof/>
        </w:rPr>
      </w:pPr>
      <w:r>
        <w:rPr>
          <w:noProof/>
        </w:rPr>
        <w:t>Če se sodelujoči SJV sooči z dogodkom, ki povzroči izplačilo</w:t>
      </w:r>
      <w:r>
        <w:rPr>
          <w:noProof/>
        </w:rPr>
        <w:t>, ali se uporabi v postopkih reševanja v skladu s členom 109 Direktive 2014/59/EU ali členom 79 te uredbe, o tem nemudoma obvesti odbor in predloži vse potrebne informacije, da lahko odbor oceni, ali so izpolnjeni pogoji za zagotovitev financiranja in krit</w:t>
      </w:r>
      <w:r>
        <w:rPr>
          <w:noProof/>
        </w:rPr>
        <w:t>je izgube v skladu s členi 41a, 41d in 41h te uredbe.</w:t>
      </w:r>
    </w:p>
    <w:p w:rsidR="001E2AAD" w:rsidRDefault="007B2354">
      <w:pPr>
        <w:pStyle w:val="ListNumber3"/>
        <w:numPr>
          <w:ilvl w:val="0"/>
          <w:numId w:val="16"/>
        </w:numPr>
        <w:rPr>
          <w:noProof/>
        </w:rPr>
      </w:pPr>
      <w:r>
        <w:rPr>
          <w:noProof/>
        </w:rPr>
        <w:t>Sodelujoči SJV odbor obvesti zlasti o:</w:t>
      </w:r>
    </w:p>
    <w:p w:rsidR="001E2AAD" w:rsidRDefault="007B2354">
      <w:pPr>
        <w:pStyle w:val="Point2letter"/>
        <w:numPr>
          <w:ilvl w:val="5"/>
          <w:numId w:val="21"/>
        </w:numPr>
        <w:rPr>
          <w:noProof/>
        </w:rPr>
      </w:pPr>
      <w:r>
        <w:rPr>
          <w:noProof/>
        </w:rPr>
        <w:t>znesku kritih vlog zadevne kreditne institucije;</w:t>
      </w:r>
    </w:p>
    <w:p w:rsidR="001E2AAD" w:rsidRDefault="007B2354">
      <w:pPr>
        <w:pStyle w:val="Point2letter"/>
        <w:numPr>
          <w:ilvl w:val="5"/>
          <w:numId w:val="21"/>
        </w:numPr>
        <w:rPr>
          <w:noProof/>
        </w:rPr>
      </w:pPr>
      <w:r>
        <w:rPr>
          <w:noProof/>
        </w:rPr>
        <w:t>svojih razpoložljivih finančnih sredstvih v času dogodka, ki povzroči izplačilo, ali uporabe v reševanju;</w:t>
      </w:r>
    </w:p>
    <w:p w:rsidR="001E2AAD" w:rsidRDefault="007B2354">
      <w:pPr>
        <w:pStyle w:val="Point2letter"/>
        <w:numPr>
          <w:ilvl w:val="5"/>
          <w:numId w:val="21"/>
        </w:numPr>
        <w:rPr>
          <w:noProof/>
        </w:rPr>
      </w:pPr>
      <w:r>
        <w:rPr>
          <w:noProof/>
        </w:rPr>
        <w:t>v primer</w:t>
      </w:r>
      <w:r>
        <w:rPr>
          <w:noProof/>
        </w:rPr>
        <w:t xml:space="preserve">u dogodka, ki povzroči izplačilo, oceno izrednih prispevkov, ki jih lahko zbere v treh dneh od nastanka dogodka; </w:t>
      </w:r>
    </w:p>
    <w:p w:rsidR="001E2AAD" w:rsidRDefault="007B2354">
      <w:pPr>
        <w:pStyle w:val="Point2letter"/>
        <w:numPr>
          <w:ilvl w:val="5"/>
          <w:numId w:val="21"/>
        </w:numPr>
        <w:rPr>
          <w:noProof/>
        </w:rPr>
      </w:pPr>
      <w:r>
        <w:rPr>
          <w:noProof/>
        </w:rPr>
        <w:t>vseh okoliščinah, ki bi mu preprečile izpolnitev njegovih obveznosti v skladu z nacionalno zakonodajo, s katero je prenesena Direktiva 2014/49</w:t>
      </w:r>
      <w:r>
        <w:rPr>
          <w:noProof/>
        </w:rPr>
        <w:t>/EU, in morebitnih rešitvah.</w:t>
      </w:r>
    </w:p>
    <w:p w:rsidR="001E2AAD" w:rsidRDefault="007B2354">
      <w:pPr>
        <w:pStyle w:val="Titrearticle"/>
        <w:rPr>
          <w:noProof/>
        </w:rPr>
      </w:pPr>
      <w:bookmarkStart w:id="34" w:name="_Toc431473677"/>
      <w:bookmarkStart w:id="35" w:name="_Toc432693579"/>
      <w:bookmarkStart w:id="36" w:name="_Toc432694870"/>
      <w:r>
        <w:rPr>
          <w:noProof/>
        </w:rPr>
        <w:t>Člen 41m</w:t>
      </w:r>
    </w:p>
    <w:bookmarkEnd w:id="34"/>
    <w:bookmarkEnd w:id="35"/>
    <w:bookmarkEnd w:id="36"/>
    <w:p w:rsidR="001E2AAD" w:rsidRDefault="007B2354">
      <w:pPr>
        <w:pStyle w:val="Titrearticle"/>
        <w:spacing w:before="120"/>
        <w:rPr>
          <w:noProof/>
        </w:rPr>
      </w:pPr>
      <w:r>
        <w:rPr>
          <w:noProof/>
        </w:rPr>
        <w:t>Določitev zneska financiranja</w:t>
      </w:r>
    </w:p>
    <w:p w:rsidR="001E2AAD" w:rsidRDefault="007B2354">
      <w:pPr>
        <w:pStyle w:val="ListNumber3"/>
        <w:numPr>
          <w:ilvl w:val="0"/>
          <w:numId w:val="42"/>
        </w:numPr>
        <w:rPr>
          <w:noProof/>
        </w:rPr>
      </w:pPr>
      <w:r>
        <w:rPr>
          <w:noProof/>
        </w:rPr>
        <w:t xml:space="preserve">Odbor v 24 urah po prejemu obvestila iz člena 41k na izvršni seji odloči, ali so pogoji za kritje s strani ESJV izpolnjeni, ter določi znesek financiranja, ki ga bo zagotovil sodelujočemu SJV. </w:t>
      </w:r>
    </w:p>
    <w:p w:rsidR="001E2AAD" w:rsidRDefault="007B2354">
      <w:pPr>
        <w:pStyle w:val="ListNumber3"/>
        <w:numPr>
          <w:ilvl w:val="0"/>
          <w:numId w:val="16"/>
        </w:numPr>
        <w:rPr>
          <w:noProof/>
        </w:rPr>
      </w:pPr>
      <w:r>
        <w:rPr>
          <w:noProof/>
        </w:rPr>
        <w:t>Če je bil odbor obveščen v skladu s členom 41k pred ali hkrati</w:t>
      </w:r>
      <w:r>
        <w:rPr>
          <w:noProof/>
        </w:rPr>
        <w:t xml:space="preserve"> s prejemom obvestila iz odstavka 1 o enem ali več drugih verjetnih dogodkih, ki povzročijo izplačilo, ali uporabah v postopkih reševanja, lahko obdobje iz odstavka 1 podaljša do največ sedem dni. Če je odbor v tem podaljšanem obdobju obveščen o dodatnih d</w:t>
      </w:r>
      <w:r>
        <w:rPr>
          <w:noProof/>
        </w:rPr>
        <w:t>ogodkih, ki povzročijo izplačilo, ali uporabah v postopkih reševanja v skladu s členom 41k in bi skupni znesek financiranja, ki ga je mogoče zahtevati iz jamstvenega sklada za vloge, lahko presegel njegova razpoložljiva finančna sredstva, je financiranje z</w:t>
      </w:r>
      <w:r>
        <w:rPr>
          <w:noProof/>
        </w:rPr>
        <w:t>a vsak priglašen dogodek, ki povzroči izplačilo, ali uporabo v postopkih reševanja enako znesku razpoložljivih finančnih sredstev jamstvenega sklada za vloge, pomnoženemu z razmerjem med (a) in (b):</w:t>
      </w:r>
    </w:p>
    <w:p w:rsidR="001E2AAD" w:rsidRDefault="007B2354">
      <w:pPr>
        <w:pStyle w:val="Point1"/>
        <w:rPr>
          <w:noProof/>
        </w:rPr>
      </w:pPr>
      <w:r>
        <w:rPr>
          <w:noProof/>
        </w:rPr>
        <w:t>(a)</w:t>
      </w:r>
      <w:r>
        <w:rPr>
          <w:noProof/>
        </w:rPr>
        <w:tab/>
        <w:t>znesek financiranja, za katerega bi zadevni sodelujoč</w:t>
      </w:r>
      <w:r>
        <w:rPr>
          <w:noProof/>
        </w:rPr>
        <w:t>i SJV lahko zaprosil jamstveni sklad za vloge za dogodek, ki povzroči izplačilo, ali uporabo v postopkih reševanja, če ne bi bilo nobenih drugih priglašenih dogodkov, ki povzročijo izplačilo, ali uporab v postopkih reševanja;</w:t>
      </w:r>
    </w:p>
    <w:p w:rsidR="001E2AAD" w:rsidRDefault="007B2354">
      <w:pPr>
        <w:pStyle w:val="Point1"/>
        <w:rPr>
          <w:noProof/>
        </w:rPr>
      </w:pPr>
      <w:r>
        <w:rPr>
          <w:noProof/>
        </w:rPr>
        <w:t>(b)</w:t>
      </w:r>
      <w:r>
        <w:rPr>
          <w:noProof/>
        </w:rPr>
        <w:tab/>
        <w:t>vsota vseh zneskov financi</w:t>
      </w:r>
      <w:r>
        <w:rPr>
          <w:noProof/>
        </w:rPr>
        <w:t>ranja, za katere bi lahko vsak zadevni sodelujoči SJV zaprosil jamstveni sklad za vloge za vsak dogodek, ki povzroči izplačilo, ali uporabo v postopkih reševanja, če ne bi bilo nobenih drugih priglašenih dogodkov, ki povzročijo izplačilo, ali uporab v post</w:t>
      </w:r>
      <w:r>
        <w:rPr>
          <w:noProof/>
        </w:rPr>
        <w:t>opkih reševanja.</w:t>
      </w:r>
    </w:p>
    <w:p w:rsidR="001E2AAD" w:rsidRDefault="007B2354">
      <w:pPr>
        <w:pStyle w:val="ListNumber3"/>
        <w:numPr>
          <w:ilvl w:val="0"/>
          <w:numId w:val="16"/>
        </w:numPr>
        <w:rPr>
          <w:noProof/>
        </w:rPr>
      </w:pPr>
      <w:r>
        <w:rPr>
          <w:noProof/>
        </w:rPr>
        <w:t>Odbor nemudoma obvesti sodelujoči SJV o svoji odločitvi na podlagi odstavkov 1 in 2. Sodelujoči SJV lahko zahteva pregled odločitve odbora v 24 urah po tem, ko je bil o njej obveščen. Pri tem navede razloge, zakaj bi bilo treba po njegovem</w:t>
      </w:r>
      <w:r>
        <w:rPr>
          <w:noProof/>
        </w:rPr>
        <w:t xml:space="preserve"> mnenju odločitev odbora spremeniti, zlasti glede obsega kritja ESJV. Odbor sprejme odločitev o zahtevi v naslednjih 24 urah.</w:t>
      </w:r>
    </w:p>
    <w:p w:rsidR="001E2AAD" w:rsidRDefault="007B2354">
      <w:pPr>
        <w:pStyle w:val="Titrearticle"/>
        <w:rPr>
          <w:noProof/>
        </w:rPr>
      </w:pPr>
      <w:r>
        <w:rPr>
          <w:noProof/>
        </w:rPr>
        <w:t>Člen 41n</w:t>
      </w:r>
      <w:r>
        <w:rPr>
          <w:noProof/>
        </w:rPr>
        <w:br/>
        <w:t>Zagotavljanje financiranja</w:t>
      </w:r>
    </w:p>
    <w:p w:rsidR="001E2AAD" w:rsidRDefault="007B2354">
      <w:pPr>
        <w:pStyle w:val="ManualNumPar1"/>
        <w:rPr>
          <w:noProof/>
        </w:rPr>
      </w:pPr>
      <w:r>
        <w:rPr>
          <w:noProof/>
        </w:rPr>
        <w:tab/>
        <w:t>Odbor zagotovi financiranje na podlagi členov 41a(2), 41d(2) in 41h(2) v skladu z naslednjima</w:t>
      </w:r>
      <w:r>
        <w:rPr>
          <w:noProof/>
        </w:rPr>
        <w:t xml:space="preserve"> določbama:</w:t>
      </w:r>
    </w:p>
    <w:p w:rsidR="001E2AAD" w:rsidRDefault="007B2354">
      <w:pPr>
        <w:pStyle w:val="Point1letter"/>
        <w:numPr>
          <w:ilvl w:val="3"/>
          <w:numId w:val="43"/>
        </w:numPr>
        <w:rPr>
          <w:noProof/>
        </w:rPr>
      </w:pPr>
      <w:r>
        <w:rPr>
          <w:noProof/>
        </w:rPr>
        <w:t>financiranje se zagotovi v obliki gotovinskega prispevka sodelujočemu SJV;</w:t>
      </w:r>
    </w:p>
    <w:p w:rsidR="001E2AAD" w:rsidRDefault="007B2354">
      <w:pPr>
        <w:pStyle w:val="Point1letter"/>
        <w:numPr>
          <w:ilvl w:val="3"/>
          <w:numId w:val="21"/>
        </w:numPr>
        <w:rPr>
          <w:noProof/>
        </w:rPr>
      </w:pPr>
      <w:r>
        <w:rPr>
          <w:noProof/>
        </w:rPr>
        <w:t>sredstva se izplačajo takoj, ko odbor določi znesek v skladu s členom 41m.</w:t>
      </w:r>
    </w:p>
    <w:p w:rsidR="001E2AAD" w:rsidRDefault="007B2354">
      <w:pPr>
        <w:pStyle w:val="Titrearticle"/>
        <w:rPr>
          <w:noProof/>
        </w:rPr>
      </w:pPr>
      <w:r>
        <w:rPr>
          <w:noProof/>
        </w:rPr>
        <w:t>Člen 41o</w:t>
      </w:r>
      <w:r>
        <w:rPr>
          <w:noProof/>
        </w:rPr>
        <w:br/>
        <w:t>Povračilo financiranja ter določitev presežne izgube in izgube</w:t>
      </w:r>
    </w:p>
    <w:p w:rsidR="001E2AAD" w:rsidRDefault="007B2354">
      <w:pPr>
        <w:pStyle w:val="ListNumber3"/>
        <w:numPr>
          <w:ilvl w:val="0"/>
          <w:numId w:val="44"/>
        </w:numPr>
        <w:spacing w:after="240"/>
        <w:rPr>
          <w:noProof/>
        </w:rPr>
      </w:pPr>
      <w:r>
        <w:rPr>
          <w:noProof/>
        </w:rPr>
        <w:t xml:space="preserve">Sodelujoči SJV povrne </w:t>
      </w:r>
      <w:r>
        <w:rPr>
          <w:noProof/>
        </w:rPr>
        <w:t xml:space="preserve">financiranje, ki ga je zagotovil odbor v skladu s členom 41n, zmanjšano za znesek vsakega kritja presežne izgube v primeru kritja v skladu s členom 41a ali vsakega kritja izgube v primeru kritja v skladu s členom 41d ali členom 41h. </w:t>
      </w:r>
    </w:p>
    <w:p w:rsidR="001E2AAD" w:rsidRDefault="007B2354">
      <w:pPr>
        <w:pStyle w:val="ListNumber3"/>
        <w:numPr>
          <w:ilvl w:val="0"/>
          <w:numId w:val="16"/>
        </w:numPr>
        <w:spacing w:after="240"/>
        <w:rPr>
          <w:noProof/>
        </w:rPr>
      </w:pPr>
      <w:r>
        <w:rPr>
          <w:noProof/>
        </w:rPr>
        <w:t xml:space="preserve">Do zaključka postopka </w:t>
      </w:r>
      <w:r>
        <w:rPr>
          <w:noProof/>
        </w:rPr>
        <w:t>zaradi insolventnosti ali postopka reševanja odbor na letni ravni določi znesek, ki ga je sodelujoči SJV že izterjal v okviru postopka zaradi insolventnosti ali ki je že bil plačan v skladu s členom 75 Direktive 2014/59/EU. Sodelujoči SJV odboru zagotovi v</w:t>
      </w:r>
      <w:r>
        <w:rPr>
          <w:noProof/>
        </w:rPr>
        <w:t>se potrebne informacije za določitev tega zneska. Sodelujoči SJV odboru plača delež zneska v višini deleža, ki ga krije ESJV v skladu s členom 41a, členom 41d ali členom 41h.</w:t>
      </w:r>
    </w:p>
    <w:p w:rsidR="001E2AAD" w:rsidRDefault="007B2354">
      <w:pPr>
        <w:pStyle w:val="ListNumber3"/>
        <w:numPr>
          <w:ilvl w:val="0"/>
          <w:numId w:val="16"/>
        </w:numPr>
        <w:spacing w:after="240"/>
        <w:rPr>
          <w:noProof/>
        </w:rPr>
      </w:pPr>
      <w:r>
        <w:rPr>
          <w:noProof/>
        </w:rPr>
        <w:t>V primeru kritja v skladu s členom 41a sodelujoči SJV odboru do konca prvega kole</w:t>
      </w:r>
      <w:r>
        <w:rPr>
          <w:noProof/>
        </w:rPr>
        <w:t>darskega leta po zagotovitvi financiranja plača tudi znesek, ki je enak znesku naknadnih prispevkov, ki jih sodelujoči SJV lahko zbere v enem koledarskem letu v skladu s prvim stavkom prvega pododstavka člena 10(8) Direktive 2014/49/EU, zmanjšanemu za znes</w:t>
      </w:r>
      <w:r>
        <w:rPr>
          <w:noProof/>
        </w:rPr>
        <w:t>ek naknadnih prispevkov, ki jih je zbral v skladu s točko (b) člena 41b(1) te uredbe.</w:t>
      </w:r>
    </w:p>
    <w:p w:rsidR="001E2AAD" w:rsidRDefault="007B2354">
      <w:pPr>
        <w:pStyle w:val="ListNumber3"/>
        <w:numPr>
          <w:ilvl w:val="0"/>
          <w:numId w:val="16"/>
        </w:numPr>
        <w:rPr>
          <w:noProof/>
        </w:rPr>
      </w:pPr>
      <w:r>
        <w:rPr>
          <w:noProof/>
        </w:rPr>
        <w:t>Odbor po zaključku postopka zaradi insolventnosti ali postopka reševanja za zadevno kreditno institucijo brez odlašanja določi presežno izgubo v skladu s členom 41d ali i</w:t>
      </w:r>
      <w:r>
        <w:rPr>
          <w:noProof/>
        </w:rPr>
        <w:t>zgubo v skladu s členom 41h. Če določitev te izgube povzroči, da mora sodelujoči SJV povrniti znesek, ki se razlikuje od zneskov, povrnjenih v skladu z drugim in tretjim odstavkom, se razlika nemudoma poravna med odborom in sodelujočim SJV.</w:t>
      </w:r>
    </w:p>
    <w:p w:rsidR="001E2AAD" w:rsidRDefault="007B2354">
      <w:pPr>
        <w:pStyle w:val="Titrearticle"/>
        <w:rPr>
          <w:noProof/>
        </w:rPr>
      </w:pPr>
      <w:r>
        <w:rPr>
          <w:noProof/>
        </w:rPr>
        <w:t>Člen 41p</w:t>
      </w:r>
      <w:r>
        <w:rPr>
          <w:noProof/>
        </w:rPr>
        <w:br/>
        <w:t>Spreml</w:t>
      </w:r>
      <w:r>
        <w:rPr>
          <w:noProof/>
        </w:rPr>
        <w:t>janje izplačil vlagateljem in uporabe v reševanju</w:t>
      </w:r>
    </w:p>
    <w:p w:rsidR="001E2AAD" w:rsidRDefault="007B2354">
      <w:pPr>
        <w:pStyle w:val="ListNumber3"/>
        <w:numPr>
          <w:ilvl w:val="0"/>
          <w:numId w:val="45"/>
        </w:numPr>
        <w:rPr>
          <w:noProof/>
        </w:rPr>
      </w:pPr>
      <w:r>
        <w:rPr>
          <w:noProof/>
        </w:rPr>
        <w:t>Po zagotovitvi sredstev v primeru dogodka, ki povzroči izplačilo, v skladu s členom 41n, odbor natančno spremlja postopek izplačevanja, ki ga izvaja sodelujoči SJV, in zlasti njegovo uporabo gotovinskega pr</w:t>
      </w:r>
      <w:r>
        <w:rPr>
          <w:noProof/>
        </w:rPr>
        <w:t>ispevka.</w:t>
      </w:r>
    </w:p>
    <w:p w:rsidR="001E2AAD" w:rsidRDefault="007B2354">
      <w:pPr>
        <w:pStyle w:val="ListNumber3"/>
        <w:numPr>
          <w:ilvl w:val="0"/>
          <w:numId w:val="16"/>
        </w:numPr>
        <w:rPr>
          <w:noProof/>
        </w:rPr>
      </w:pPr>
      <w:r>
        <w:rPr>
          <w:noProof/>
        </w:rPr>
        <w:t>Sodelujoči SJV v rednih časovnih razmikih, ki jih določi odbor, zagotavlja točne, zanesljive in popolne informacije o postopku izplačevanja, uresničevanju nanj prenesenih pravic vlagateljev na podlagi subrogacije ali vsaki drugi zadevi, ki je pome</w:t>
      </w:r>
      <w:r>
        <w:rPr>
          <w:noProof/>
        </w:rPr>
        <w:t>mbna za učinkovito izvajanje dejavnosti odbora, določenih v tej uredbi, ali za izvajanje pristojnosti sodelujočega SJV iz Direktive 2014/49/EU ali te uredbe. Sodelujoči SJV dnevno obvešča odbor o skupnem znesku, izplačanem vlagateljem, uporabi gotovinskega</w:t>
      </w:r>
      <w:r>
        <w:rPr>
          <w:noProof/>
        </w:rPr>
        <w:t xml:space="preserve"> prispevka in morebitnih težavah, ki so se pojavile.</w:t>
      </w:r>
    </w:p>
    <w:p w:rsidR="001E2AAD" w:rsidRDefault="007B2354">
      <w:pPr>
        <w:pStyle w:val="Titrearticle"/>
        <w:rPr>
          <w:noProof/>
        </w:rPr>
      </w:pPr>
      <w:r>
        <w:rPr>
          <w:noProof/>
        </w:rPr>
        <w:t>Člen 41q</w:t>
      </w:r>
      <w:r>
        <w:rPr>
          <w:noProof/>
        </w:rPr>
        <w:br/>
        <w:t>Spremljanje postopka zaradi insolventnosti</w:t>
      </w:r>
    </w:p>
    <w:p w:rsidR="001E2AAD" w:rsidRDefault="007B2354">
      <w:pPr>
        <w:pStyle w:val="ListNumber3"/>
        <w:numPr>
          <w:ilvl w:val="0"/>
          <w:numId w:val="46"/>
        </w:numPr>
        <w:rPr>
          <w:noProof/>
        </w:rPr>
      </w:pPr>
      <w:r>
        <w:rPr>
          <w:noProof/>
        </w:rPr>
        <w:t>Po zagotovitvi sredstev v primeru dogodka, ki povzroči izplačilo, v skladu s členom 41n te uredbe, odbor spremlja postopek zaradi insolventnosti v zvez</w:t>
      </w:r>
      <w:r>
        <w:rPr>
          <w:noProof/>
        </w:rPr>
        <w:t>i z zadevno kreditno institucijo in zlasti prizadevanja sodelujočega SJV za zbiranje sredstev iz terjatev za izplačilo vlog, ki so prešle nanj s subrogacijo v skladu s prvim stavkom člena 9(2) Direktive 2014/49/EU.</w:t>
      </w:r>
    </w:p>
    <w:p w:rsidR="001E2AAD" w:rsidRDefault="007B2354">
      <w:pPr>
        <w:pStyle w:val="ListNumber3"/>
        <w:numPr>
          <w:ilvl w:val="0"/>
          <w:numId w:val="16"/>
        </w:numPr>
        <w:rPr>
          <w:noProof/>
        </w:rPr>
      </w:pPr>
      <w:r>
        <w:rPr>
          <w:noProof/>
        </w:rPr>
        <w:t>Sodelujoči SJV kar najbolj poveča svoje p</w:t>
      </w:r>
      <w:r>
        <w:rPr>
          <w:noProof/>
        </w:rPr>
        <w:t>rihodke iz stečajne mase in odboru odgovarja za vse zneske, ki niso bili izterjani zaradi pomanjkanja skrbnosti. Odbor se lahko po zaslišanju sodelujočega SJV odloči, da bo sam uveljavljal vse pravice, ki izhajajo iz zahtevkov za izplačilo vlog iz odstavka</w:t>
      </w:r>
      <w:r>
        <w:rPr>
          <w:noProof/>
        </w:rPr>
        <w:t xml:space="preserve"> 1.“;</w:t>
      </w:r>
    </w:p>
    <w:p w:rsidR="001E2AAD" w:rsidRDefault="007B2354">
      <w:pPr>
        <w:pStyle w:val="ManualNumPar1"/>
        <w:rPr>
          <w:noProof/>
        </w:rPr>
      </w:pPr>
      <w:r>
        <w:t>11.</w:t>
      </w:r>
      <w:r>
        <w:tab/>
      </w:r>
      <w:r>
        <w:rPr>
          <w:noProof/>
        </w:rPr>
        <w:t>člen 43 se spremeni:</w:t>
      </w:r>
    </w:p>
    <w:p w:rsidR="001E2AAD" w:rsidRDefault="007B2354">
      <w:pPr>
        <w:pStyle w:val="Point1letter"/>
        <w:numPr>
          <w:ilvl w:val="3"/>
          <w:numId w:val="47"/>
        </w:numPr>
        <w:rPr>
          <w:noProof/>
        </w:rPr>
      </w:pPr>
      <w:r>
        <w:rPr>
          <w:noProof/>
        </w:rPr>
        <w:t>v odstavku 1 se pika za točko (c) nadomesti s podpičjem in doda točka (d):</w:t>
      </w:r>
    </w:p>
    <w:p w:rsidR="001E2AAD" w:rsidRDefault="007B2354">
      <w:pPr>
        <w:pStyle w:val="Text2"/>
        <w:rPr>
          <w:noProof/>
        </w:rPr>
      </w:pPr>
      <w:r>
        <w:rPr>
          <w:noProof/>
        </w:rPr>
        <w:t>„(d) član, ki ga imenuje vsaka sodelujoča država članica in zastopa njen imenovani organ.“;</w:t>
      </w:r>
    </w:p>
    <w:p w:rsidR="001E2AAD" w:rsidRDefault="007B2354">
      <w:pPr>
        <w:pStyle w:val="Point1letter"/>
        <w:numPr>
          <w:ilvl w:val="3"/>
          <w:numId w:val="5"/>
        </w:numPr>
        <w:rPr>
          <w:noProof/>
        </w:rPr>
      </w:pPr>
      <w:r>
        <w:rPr>
          <w:noProof/>
        </w:rPr>
        <w:t>odstavek 2 se nadomesti z naslednjim:</w:t>
      </w:r>
    </w:p>
    <w:p w:rsidR="001E2AAD" w:rsidRDefault="007B2354">
      <w:pPr>
        <w:pStyle w:val="Text2"/>
        <w:rPr>
          <w:noProof/>
        </w:rPr>
      </w:pPr>
      <w:r>
        <w:rPr>
          <w:noProof/>
        </w:rPr>
        <w:t xml:space="preserve">„2. Vsak član, tudi </w:t>
      </w:r>
      <w:r>
        <w:rPr>
          <w:noProof/>
        </w:rPr>
        <w:t>predsednik, ima en glas, razen kadar se odbor sestane na skupni plenarni seji v skladu s členom 49b, ko imata člana, ki ju sodelujoča država članica imenuje v skladu z odstavkom 1(c) in (d), skupaj en glas.“;</w:t>
      </w:r>
    </w:p>
    <w:p w:rsidR="001E2AAD" w:rsidRDefault="007B2354">
      <w:pPr>
        <w:pStyle w:val="Point1letter"/>
        <w:numPr>
          <w:ilvl w:val="3"/>
          <w:numId w:val="5"/>
        </w:numPr>
        <w:rPr>
          <w:noProof/>
        </w:rPr>
      </w:pPr>
      <w:r>
        <w:rPr>
          <w:noProof/>
        </w:rPr>
        <w:t>v odstavku 3 se prvi pododstavek nadomesti z na</w:t>
      </w:r>
      <w:r>
        <w:rPr>
          <w:noProof/>
        </w:rPr>
        <w:t xml:space="preserve">slednjim: </w:t>
      </w:r>
    </w:p>
    <w:p w:rsidR="001E2AAD" w:rsidRDefault="007B2354">
      <w:pPr>
        <w:pStyle w:val="Text2"/>
        <w:rPr>
          <w:noProof/>
        </w:rPr>
      </w:pPr>
      <w:r>
        <w:rPr>
          <w:noProof/>
        </w:rPr>
        <w:t>„Komisija in ECB imenujeta predstavnika, ki ima pravico, da kot stalni opazovalec sodeluje na izvršnih, plenarnih in skupnih plenarnih sejah.“;</w:t>
      </w:r>
    </w:p>
    <w:p w:rsidR="001E2AAD" w:rsidRDefault="007B2354">
      <w:pPr>
        <w:pStyle w:val="Point1letter"/>
        <w:numPr>
          <w:ilvl w:val="3"/>
          <w:numId w:val="5"/>
        </w:numPr>
        <w:rPr>
          <w:noProof/>
        </w:rPr>
      </w:pPr>
      <w:r>
        <w:rPr>
          <w:noProof/>
        </w:rPr>
        <w:t>odstavka 4 in 5 se nadomestita z naslednjim:</w:t>
      </w:r>
    </w:p>
    <w:p w:rsidR="001E2AAD" w:rsidRDefault="007B2354">
      <w:pPr>
        <w:ind w:left="1440"/>
        <w:rPr>
          <w:noProof/>
        </w:rPr>
      </w:pPr>
      <w:r>
        <w:rPr>
          <w:noProof/>
        </w:rPr>
        <w:t>„4. Če je v sodelujoči državi članici več kot en naciona</w:t>
      </w:r>
      <w:r>
        <w:rPr>
          <w:noProof/>
        </w:rPr>
        <w:t>lni organ za reševanje oziroma več kot en nacionalni imenovani organ, lahko kot opazovalec brez glasovalne pravice sodeluje še en predstavnik.</w:t>
      </w:r>
    </w:p>
    <w:p w:rsidR="001E2AAD" w:rsidRDefault="007B2354">
      <w:pPr>
        <w:pStyle w:val="Text2"/>
        <w:rPr>
          <w:noProof/>
        </w:rPr>
      </w:pPr>
      <w:r>
        <w:rPr>
          <w:noProof/>
        </w:rPr>
        <w:t>5. Upravna in vodstvena struktura odbora zajema:</w:t>
      </w:r>
    </w:p>
    <w:p w:rsidR="001E2AAD" w:rsidRDefault="007B2354">
      <w:pPr>
        <w:pStyle w:val="Point3letter"/>
        <w:numPr>
          <w:ilvl w:val="7"/>
          <w:numId w:val="21"/>
        </w:numPr>
        <w:rPr>
          <w:noProof/>
        </w:rPr>
      </w:pPr>
      <w:r>
        <w:rPr>
          <w:noProof/>
        </w:rPr>
        <w:t>skupno plenarno sejo, ki opravlja naloge iz člena 49b;</w:t>
      </w:r>
    </w:p>
    <w:p w:rsidR="001E2AAD" w:rsidRDefault="007B2354">
      <w:pPr>
        <w:pStyle w:val="Point3letter"/>
        <w:numPr>
          <w:ilvl w:val="7"/>
          <w:numId w:val="21"/>
        </w:numPr>
        <w:rPr>
          <w:noProof/>
        </w:rPr>
      </w:pPr>
      <w:r>
        <w:rPr>
          <w:noProof/>
        </w:rPr>
        <w:t xml:space="preserve">plenarno </w:t>
      </w:r>
      <w:r>
        <w:rPr>
          <w:noProof/>
        </w:rPr>
        <w:t>sejo odbora v skladu s členoma 49 in 49a, ki opravlja naloge iz člena 50 oziroma člena 50a;</w:t>
      </w:r>
    </w:p>
    <w:p w:rsidR="001E2AAD" w:rsidRDefault="007B2354">
      <w:pPr>
        <w:pStyle w:val="Point3letter"/>
        <w:numPr>
          <w:ilvl w:val="7"/>
          <w:numId w:val="21"/>
        </w:numPr>
        <w:rPr>
          <w:noProof/>
        </w:rPr>
      </w:pPr>
      <w:r>
        <w:rPr>
          <w:noProof/>
        </w:rPr>
        <w:t>izvršno sejo odbora, ki opravlja naloge iz člena 54;</w:t>
      </w:r>
    </w:p>
    <w:p w:rsidR="001E2AAD" w:rsidRDefault="007B2354">
      <w:pPr>
        <w:pStyle w:val="Point3letter"/>
        <w:numPr>
          <w:ilvl w:val="7"/>
          <w:numId w:val="21"/>
        </w:numPr>
        <w:rPr>
          <w:noProof/>
        </w:rPr>
      </w:pPr>
      <w:r>
        <w:rPr>
          <w:noProof/>
        </w:rPr>
        <w:t>predsednika, ki opravlja naloge iz člena 56;</w:t>
      </w:r>
    </w:p>
    <w:p w:rsidR="001E2AAD" w:rsidRDefault="007B2354">
      <w:pPr>
        <w:pStyle w:val="Point3letter"/>
        <w:numPr>
          <w:ilvl w:val="7"/>
          <w:numId w:val="21"/>
        </w:numPr>
        <w:rPr>
          <w:noProof/>
        </w:rPr>
      </w:pPr>
      <w:r>
        <w:rPr>
          <w:noProof/>
        </w:rPr>
        <w:t>sekretariat, ki zagotavlja potrebno upravno in tehnično podporo pr</w:t>
      </w:r>
      <w:r>
        <w:rPr>
          <w:noProof/>
        </w:rPr>
        <w:t>i izvajanju vseh, odboru dodeljenih nalog.“;</w:t>
      </w:r>
    </w:p>
    <w:p w:rsidR="001E2AAD" w:rsidRDefault="007B2354">
      <w:pPr>
        <w:pStyle w:val="ManualNumPar1"/>
        <w:rPr>
          <w:noProof/>
        </w:rPr>
      </w:pPr>
      <w:r>
        <w:t>12.</w:t>
      </w:r>
      <w:r>
        <w:tab/>
      </w:r>
      <w:r>
        <w:rPr>
          <w:noProof/>
        </w:rPr>
        <w:t>Člen 45 se spremeni:</w:t>
      </w:r>
    </w:p>
    <w:p w:rsidR="001E2AAD" w:rsidRDefault="007B2354">
      <w:pPr>
        <w:pStyle w:val="Point1letter"/>
        <w:numPr>
          <w:ilvl w:val="3"/>
          <w:numId w:val="48"/>
        </w:numPr>
        <w:rPr>
          <w:noProof/>
        </w:rPr>
      </w:pPr>
      <w:r>
        <w:rPr>
          <w:noProof/>
        </w:rPr>
        <w:t>v odstavkih 4 in 5 se besedna zveza „nalog reševanja“ nadomesti z besedno zvezo „nalog reševanja in nalog povezanih z jamstvom za vloge“, skupaj s potrebnimi slovničnimi spremembami;</w:t>
      </w:r>
    </w:p>
    <w:p w:rsidR="001E2AAD" w:rsidRDefault="007B2354">
      <w:pPr>
        <w:pStyle w:val="Point1letter"/>
        <w:numPr>
          <w:ilvl w:val="3"/>
          <w:numId w:val="5"/>
        </w:numPr>
        <w:rPr>
          <w:noProof/>
        </w:rPr>
      </w:pPr>
      <w:r>
        <w:rPr>
          <w:noProof/>
        </w:rPr>
        <w:t>v o</w:t>
      </w:r>
      <w:r>
        <w:rPr>
          <w:noProof/>
        </w:rPr>
        <w:t>dstavku 7 se besedna zveza „v vlogi nacionalnega organa za reševanje“ nadomesti z besedno zvezo „v vlogi nacionalnega organa za reševanje ali nacionalnega SJV ali imenovanega organa“, skupaj s potrebnimi slovničnimi spremembami;</w:t>
      </w:r>
    </w:p>
    <w:p w:rsidR="001E2AAD" w:rsidRDefault="007B2354">
      <w:pPr>
        <w:pStyle w:val="ManualNumPar1"/>
        <w:rPr>
          <w:noProof/>
        </w:rPr>
      </w:pPr>
      <w:r>
        <w:t>13.</w:t>
      </w:r>
      <w:r>
        <w:tab/>
      </w:r>
      <w:r>
        <w:rPr>
          <w:noProof/>
        </w:rPr>
        <w:t>v členu 46(4) se besedn</w:t>
      </w:r>
      <w:r>
        <w:rPr>
          <w:noProof/>
        </w:rPr>
        <w:t>a zveza „nacionalnih organov za reševanje“ nadomesti z besedno zvezo „nacionalnih organov za reševanje ali nacionalnega SJV ali imenovanih organov“, skupaj s potrebnimi slovničnimi spremembami;</w:t>
      </w:r>
    </w:p>
    <w:p w:rsidR="001E2AAD" w:rsidRDefault="007B2354">
      <w:pPr>
        <w:pStyle w:val="ManualNumPar1"/>
        <w:rPr>
          <w:noProof/>
        </w:rPr>
      </w:pPr>
      <w:r>
        <w:t>14.</w:t>
      </w:r>
      <w:r>
        <w:tab/>
      </w:r>
      <w:r>
        <w:rPr>
          <w:noProof/>
        </w:rPr>
        <w:t>v členu 47 se odstavek 1 nadomesti z naslednjim:</w:t>
      </w:r>
    </w:p>
    <w:p w:rsidR="001E2AAD" w:rsidRDefault="007B2354">
      <w:pPr>
        <w:pStyle w:val="Text1"/>
        <w:rPr>
          <w:noProof/>
        </w:rPr>
      </w:pPr>
      <w:r>
        <w:rPr>
          <w:noProof/>
        </w:rPr>
        <w:t>„1. Odbor</w:t>
      </w:r>
      <w:r>
        <w:rPr>
          <w:noProof/>
        </w:rPr>
        <w:t>, nacionalni organi za reševanje, nacionalni SJV ali imenovani organi pri opravljanju nalog, prenesenih nanje s to uredbo, delujejo neodvisno in v splošnem interesu.“;</w:t>
      </w:r>
    </w:p>
    <w:p w:rsidR="001E2AAD" w:rsidRDefault="007B2354">
      <w:pPr>
        <w:pStyle w:val="ManualNumPar1"/>
        <w:rPr>
          <w:noProof/>
        </w:rPr>
      </w:pPr>
      <w:r>
        <w:t>15.</w:t>
      </w:r>
      <w:r>
        <w:tab/>
      </w:r>
      <w:r>
        <w:rPr>
          <w:noProof/>
        </w:rPr>
        <w:t xml:space="preserve">v delu III se naslov II „Plenarna seja odbora“ nadomesti s „Skupna plenarna seja in </w:t>
      </w:r>
      <w:r>
        <w:rPr>
          <w:noProof/>
        </w:rPr>
        <w:t>plenarne seje odbora“;</w:t>
      </w:r>
    </w:p>
    <w:p w:rsidR="001E2AAD" w:rsidRDefault="007B2354">
      <w:pPr>
        <w:pStyle w:val="ManualNumPar1"/>
        <w:rPr>
          <w:noProof/>
        </w:rPr>
      </w:pPr>
      <w:r>
        <w:t>16.</w:t>
      </w:r>
      <w:r>
        <w:tab/>
      </w:r>
      <w:r>
        <w:rPr>
          <w:noProof/>
        </w:rPr>
        <w:t>vstavi se naslednji člen 48a:</w:t>
      </w:r>
    </w:p>
    <w:p w:rsidR="001E2AAD" w:rsidRDefault="007B2354">
      <w:pPr>
        <w:pStyle w:val="Titrearticle"/>
        <w:spacing w:before="0" w:after="0"/>
        <w:rPr>
          <w:noProof/>
        </w:rPr>
      </w:pPr>
      <w:bookmarkStart w:id="37" w:name="_Toc432693595"/>
      <w:bookmarkStart w:id="38" w:name="_Toc432694884"/>
      <w:r>
        <w:rPr>
          <w:noProof/>
        </w:rPr>
        <w:t>„Člen 48a</w:t>
      </w:r>
      <w:bookmarkEnd w:id="37"/>
      <w:bookmarkEnd w:id="38"/>
    </w:p>
    <w:p w:rsidR="001E2AAD" w:rsidRDefault="007B2354">
      <w:pPr>
        <w:pStyle w:val="Titrearticle"/>
        <w:spacing w:before="0" w:after="0"/>
        <w:rPr>
          <w:noProof/>
        </w:rPr>
      </w:pPr>
      <w:bookmarkStart w:id="39" w:name="_Toc432693596"/>
      <w:bookmarkStart w:id="40" w:name="_Toc432694885"/>
      <w:r>
        <w:rPr>
          <w:noProof/>
        </w:rPr>
        <w:t>Sodelovanje na skupnih plenarnih sejah</w:t>
      </w:r>
      <w:bookmarkEnd w:id="39"/>
      <w:bookmarkEnd w:id="40"/>
    </w:p>
    <w:p w:rsidR="001E2AAD" w:rsidRDefault="007B2354">
      <w:pPr>
        <w:pStyle w:val="Text1"/>
        <w:rPr>
          <w:noProof/>
        </w:rPr>
      </w:pPr>
      <w:r>
        <w:rPr>
          <w:noProof/>
        </w:rPr>
        <w:t>Na skupnih plenarnih sejah odbora sodelujejo vsi člani odbora iz člena 43(1).“;</w:t>
      </w:r>
    </w:p>
    <w:p w:rsidR="001E2AAD" w:rsidRDefault="007B2354">
      <w:pPr>
        <w:pStyle w:val="ManualNumPar1"/>
        <w:rPr>
          <w:noProof/>
        </w:rPr>
      </w:pPr>
      <w:r>
        <w:t>17.</w:t>
      </w:r>
      <w:r>
        <w:tab/>
      </w:r>
      <w:r>
        <w:rPr>
          <w:noProof/>
        </w:rPr>
        <w:t>člen 49 se nadomesti z naslednjim:</w:t>
      </w:r>
    </w:p>
    <w:p w:rsidR="001E2AAD" w:rsidRDefault="007B2354">
      <w:pPr>
        <w:pStyle w:val="Titrearticle"/>
        <w:spacing w:before="0" w:after="0"/>
        <w:rPr>
          <w:noProof/>
        </w:rPr>
      </w:pPr>
      <w:bookmarkStart w:id="41" w:name="_Toc432693597"/>
      <w:bookmarkStart w:id="42" w:name="_Toc432694886"/>
      <w:r>
        <w:rPr>
          <w:noProof/>
        </w:rPr>
        <w:t>„Člen 49</w:t>
      </w:r>
      <w:bookmarkEnd w:id="41"/>
      <w:bookmarkEnd w:id="42"/>
    </w:p>
    <w:p w:rsidR="001E2AAD" w:rsidRDefault="007B2354">
      <w:pPr>
        <w:pStyle w:val="Titrearticle"/>
        <w:spacing w:before="0" w:after="0"/>
        <w:rPr>
          <w:noProof/>
        </w:rPr>
      </w:pPr>
      <w:bookmarkStart w:id="43" w:name="_Toc432693598"/>
      <w:bookmarkStart w:id="44" w:name="_Toc432694887"/>
      <w:r>
        <w:rPr>
          <w:noProof/>
        </w:rPr>
        <w:t xml:space="preserve">Sodelovanje na plenarnih sejah </w:t>
      </w:r>
      <w:bookmarkEnd w:id="43"/>
      <w:bookmarkEnd w:id="44"/>
      <w:r>
        <w:rPr>
          <w:noProof/>
        </w:rPr>
        <w:t>v zvezi z enotnim mehanizmom za reševanje</w:t>
      </w:r>
    </w:p>
    <w:p w:rsidR="001E2AAD" w:rsidRDefault="007B2354">
      <w:pPr>
        <w:ind w:left="720"/>
        <w:rPr>
          <w:noProof/>
        </w:rPr>
      </w:pPr>
      <w:r>
        <w:rPr>
          <w:noProof/>
        </w:rPr>
        <w:t>Člani odbora iz točk (a), (b) in (c) člena 43(1) sodelujejo na plenarnih sejah odbora v zvezi z enotnim mehanizmom za reševanje (plenarna seja EMR).“;</w:t>
      </w:r>
    </w:p>
    <w:p w:rsidR="001E2AAD" w:rsidRDefault="007B2354">
      <w:pPr>
        <w:pStyle w:val="ManualNumPar1"/>
        <w:rPr>
          <w:noProof/>
        </w:rPr>
      </w:pPr>
      <w:r>
        <w:t>18.</w:t>
      </w:r>
      <w:r>
        <w:tab/>
      </w:r>
      <w:r>
        <w:rPr>
          <w:noProof/>
        </w:rPr>
        <w:t xml:space="preserve">Vstavita se naslednja člena </w:t>
      </w:r>
      <w:r>
        <w:rPr>
          <w:noProof/>
        </w:rPr>
        <w:t>49a in 49b:</w:t>
      </w:r>
    </w:p>
    <w:p w:rsidR="001E2AAD" w:rsidRDefault="007B2354">
      <w:pPr>
        <w:pStyle w:val="Titrearticle"/>
        <w:spacing w:before="0" w:after="0"/>
        <w:rPr>
          <w:noProof/>
        </w:rPr>
      </w:pPr>
      <w:bookmarkStart w:id="45" w:name="_Toc432693599"/>
      <w:bookmarkStart w:id="46" w:name="_Toc432694888"/>
      <w:r>
        <w:rPr>
          <w:noProof/>
        </w:rPr>
        <w:t>„Člen 49a</w:t>
      </w:r>
      <w:bookmarkEnd w:id="45"/>
      <w:bookmarkEnd w:id="46"/>
    </w:p>
    <w:p w:rsidR="001E2AAD" w:rsidRDefault="007B2354">
      <w:pPr>
        <w:pStyle w:val="Titrearticle"/>
        <w:spacing w:before="0" w:after="0"/>
        <w:rPr>
          <w:noProof/>
        </w:rPr>
      </w:pPr>
      <w:bookmarkStart w:id="47" w:name="_Toc432693600"/>
      <w:bookmarkStart w:id="48" w:name="_Toc432694889"/>
      <w:r>
        <w:rPr>
          <w:noProof/>
        </w:rPr>
        <w:t xml:space="preserve">Sodelovanje na plenarnih sejah </w:t>
      </w:r>
      <w:bookmarkEnd w:id="47"/>
      <w:bookmarkEnd w:id="48"/>
      <w:r>
        <w:rPr>
          <w:noProof/>
        </w:rPr>
        <w:t>v zvezi z evropskim sistemom jamstva za vloge</w:t>
      </w:r>
    </w:p>
    <w:p w:rsidR="001E2AAD" w:rsidRDefault="007B2354">
      <w:pPr>
        <w:pStyle w:val="Text1"/>
        <w:ind w:left="720"/>
        <w:rPr>
          <w:noProof/>
        </w:rPr>
      </w:pPr>
      <w:r>
        <w:rPr>
          <w:noProof/>
        </w:rPr>
        <w:t>Člani odbora iz točk (a), (b) in (d) člena 43(1) sodelujejo na plenarnih sejah odbora v zvezi z evropskim sistemom jamstva za vloge (plenarna seja ESJV).“;</w:t>
      </w:r>
    </w:p>
    <w:p w:rsidR="001E2AAD" w:rsidRDefault="007B2354">
      <w:pPr>
        <w:pStyle w:val="Titrearticle"/>
        <w:spacing w:before="0" w:after="0"/>
        <w:rPr>
          <w:noProof/>
        </w:rPr>
      </w:pPr>
      <w:bookmarkStart w:id="49" w:name="_Toc432693601"/>
      <w:bookmarkStart w:id="50" w:name="_Toc432694890"/>
      <w:r>
        <w:rPr>
          <w:noProof/>
        </w:rPr>
        <w:t>Č</w:t>
      </w:r>
      <w:r>
        <w:rPr>
          <w:noProof/>
        </w:rPr>
        <w:t>len 49b</w:t>
      </w:r>
      <w:bookmarkEnd w:id="49"/>
      <w:bookmarkEnd w:id="50"/>
    </w:p>
    <w:p w:rsidR="001E2AAD" w:rsidRDefault="007B2354">
      <w:pPr>
        <w:pStyle w:val="Titrearticle"/>
        <w:spacing w:before="0" w:after="0"/>
        <w:rPr>
          <w:noProof/>
        </w:rPr>
      </w:pPr>
      <w:bookmarkStart w:id="51" w:name="_Toc432693602"/>
      <w:bookmarkStart w:id="52" w:name="_Toc432694891"/>
      <w:r>
        <w:rPr>
          <w:noProof/>
        </w:rPr>
        <w:t>Naloge skupne plenarne seje odbora</w:t>
      </w:r>
      <w:bookmarkEnd w:id="51"/>
      <w:bookmarkEnd w:id="52"/>
    </w:p>
    <w:p w:rsidR="001E2AAD" w:rsidRDefault="007B2354">
      <w:pPr>
        <w:pStyle w:val="ListNumber3"/>
        <w:numPr>
          <w:ilvl w:val="0"/>
          <w:numId w:val="49"/>
        </w:numPr>
        <w:rPr>
          <w:noProof/>
        </w:rPr>
      </w:pPr>
      <w:r>
        <w:rPr>
          <w:noProof/>
        </w:rPr>
        <w:t>Na skupni plenarni seji odbora se:</w:t>
      </w:r>
    </w:p>
    <w:p w:rsidR="001E2AAD" w:rsidRDefault="007B2354">
      <w:pPr>
        <w:pStyle w:val="Point1letter"/>
        <w:numPr>
          <w:ilvl w:val="3"/>
          <w:numId w:val="50"/>
        </w:numPr>
        <w:rPr>
          <w:noProof/>
        </w:rPr>
      </w:pPr>
      <w:r>
        <w:rPr>
          <w:noProof/>
        </w:rPr>
        <w:t>vsako leto do 30. novembra sprejme letni delovni program odbora za naslednje leto na podlagi osnutka, ki ga predloži predsednik, in v vednost posreduje Evropskemu parlamentu, Sve</w:t>
      </w:r>
      <w:r>
        <w:rPr>
          <w:noProof/>
        </w:rPr>
        <w:t>tu, Komisiji in ECB;</w:t>
      </w:r>
    </w:p>
    <w:p w:rsidR="001E2AAD" w:rsidRDefault="007B2354">
      <w:pPr>
        <w:pStyle w:val="Point1letter"/>
        <w:numPr>
          <w:ilvl w:val="3"/>
          <w:numId w:val="21"/>
        </w:numPr>
        <w:rPr>
          <w:noProof/>
        </w:rPr>
      </w:pPr>
      <w:r>
        <w:rPr>
          <w:noProof/>
        </w:rPr>
        <w:t>sprejme in spremlja letni proračun odbora v skladu s členom 61(2) ter odobrijo končni računovodski izkazi odbora in podeli razrešnica predsedniku v skladu s členom 63(4) in (8);</w:t>
      </w:r>
    </w:p>
    <w:p w:rsidR="001E2AAD" w:rsidRDefault="007B2354">
      <w:pPr>
        <w:pStyle w:val="Point1letter"/>
        <w:numPr>
          <w:ilvl w:val="3"/>
          <w:numId w:val="21"/>
        </w:numPr>
        <w:rPr>
          <w:noProof/>
        </w:rPr>
      </w:pPr>
      <w:r>
        <w:rPr>
          <w:noProof/>
        </w:rPr>
        <w:t>odloči o naložbah v skladu s členom 75;</w:t>
      </w:r>
    </w:p>
    <w:p w:rsidR="001E2AAD" w:rsidRDefault="007B2354">
      <w:pPr>
        <w:pStyle w:val="Point1letter"/>
        <w:numPr>
          <w:ilvl w:val="3"/>
          <w:numId w:val="21"/>
        </w:numPr>
        <w:rPr>
          <w:noProof/>
        </w:rPr>
      </w:pPr>
      <w:r>
        <w:rPr>
          <w:noProof/>
        </w:rPr>
        <w:t>sprejme letno por</w:t>
      </w:r>
      <w:r>
        <w:rPr>
          <w:noProof/>
        </w:rPr>
        <w:t>očilo o dejavnostih odbora iz člena 45, ki vsebuje podrobne obrazložitve v zvezi z izvajanjem proračuna;</w:t>
      </w:r>
    </w:p>
    <w:p w:rsidR="001E2AAD" w:rsidRDefault="007B2354">
      <w:pPr>
        <w:pStyle w:val="Point1letter"/>
        <w:numPr>
          <w:ilvl w:val="3"/>
          <w:numId w:val="21"/>
        </w:numPr>
        <w:rPr>
          <w:noProof/>
        </w:rPr>
      </w:pPr>
      <w:r>
        <w:rPr>
          <w:noProof/>
        </w:rPr>
        <w:t>sprejmejo finančna pravila, ki se uporabljajo za odbor v skladu s členom 64;</w:t>
      </w:r>
    </w:p>
    <w:p w:rsidR="001E2AAD" w:rsidRDefault="007B2354">
      <w:pPr>
        <w:pStyle w:val="Point1letter"/>
        <w:numPr>
          <w:ilvl w:val="3"/>
          <w:numId w:val="21"/>
        </w:numPr>
        <w:rPr>
          <w:noProof/>
        </w:rPr>
      </w:pPr>
      <w:r>
        <w:rPr>
          <w:noProof/>
        </w:rPr>
        <w:t>sprejme strategijo za boj proti goljufijam, ki je sorazmerna s tveganji za</w:t>
      </w:r>
      <w:r>
        <w:rPr>
          <w:noProof/>
        </w:rPr>
        <w:t xml:space="preserve"> goljufije, ob upoštevanju stroškov in koristi ukrepov, ki jih je treba izvesti;</w:t>
      </w:r>
    </w:p>
    <w:p w:rsidR="001E2AAD" w:rsidRDefault="007B2354">
      <w:pPr>
        <w:pStyle w:val="Point1letter"/>
        <w:numPr>
          <w:ilvl w:val="3"/>
          <w:numId w:val="21"/>
        </w:numPr>
        <w:rPr>
          <w:noProof/>
        </w:rPr>
      </w:pPr>
      <w:r>
        <w:rPr>
          <w:noProof/>
        </w:rPr>
        <w:t>sprejmejo pravila za preprečevanje in upravljanje nasprotij interesov v zvezi z njegovimi člani;</w:t>
      </w:r>
    </w:p>
    <w:p w:rsidR="001E2AAD" w:rsidRDefault="007B2354">
      <w:pPr>
        <w:pStyle w:val="Point1letter"/>
        <w:numPr>
          <w:ilvl w:val="3"/>
          <w:numId w:val="21"/>
        </w:numPr>
        <w:rPr>
          <w:noProof/>
        </w:rPr>
      </w:pPr>
      <w:r>
        <w:rPr>
          <w:noProof/>
        </w:rPr>
        <w:t xml:space="preserve">sprejme poslovnik skupne plenarne seje ter poslovnik plenarne in izvršne seje </w:t>
      </w:r>
      <w:r>
        <w:rPr>
          <w:noProof/>
        </w:rPr>
        <w:t>odbora v skladu s to uredbo;</w:t>
      </w:r>
    </w:p>
    <w:p w:rsidR="001E2AAD" w:rsidRDefault="007B2354">
      <w:pPr>
        <w:pStyle w:val="Point1letter"/>
        <w:numPr>
          <w:ilvl w:val="3"/>
          <w:numId w:val="21"/>
        </w:numPr>
        <w:rPr>
          <w:noProof/>
        </w:rPr>
      </w:pPr>
      <w:r>
        <w:rPr>
          <w:noProof/>
        </w:rPr>
        <w:t>v skladu z odstavkom 3 tega člena v zvezi z uslužbenci odbora izvajajo pooblastila, ki so s kadrovskimi predpisi prenesena na pristojni organ za imenovanja in ki se na podlagi pogojev za zaposlitev drugih uslužbencev Evropske u</w:t>
      </w:r>
      <w:r>
        <w:rPr>
          <w:noProof/>
        </w:rPr>
        <w:t>nije, kot so določeni v Uredbi Sveta (EGS, Euratom, ESPJ) št. 259/68 (pogoji za zaposlitev) podelijo odboru, pooblaščenemu za sklenitev pogodbe o zaposlitvi (pooblastila pristojnega organa za imenovanja);</w:t>
      </w:r>
    </w:p>
    <w:p w:rsidR="001E2AAD" w:rsidRDefault="007B2354">
      <w:pPr>
        <w:pStyle w:val="Point1letter"/>
        <w:numPr>
          <w:ilvl w:val="3"/>
          <w:numId w:val="21"/>
        </w:numPr>
        <w:rPr>
          <w:noProof/>
        </w:rPr>
      </w:pPr>
      <w:r>
        <w:rPr>
          <w:noProof/>
        </w:rPr>
        <w:t>sprejmejo ustrezna izvedbena pravila, da se zagotov</w:t>
      </w:r>
      <w:r>
        <w:rPr>
          <w:noProof/>
        </w:rPr>
        <w:t>i izvajanje kadrovskih predpisov in pogojev za zaposlitev v skladu s členom 110 kadrovskih predpisov;</w:t>
      </w:r>
    </w:p>
    <w:p w:rsidR="001E2AAD" w:rsidRDefault="007B2354">
      <w:pPr>
        <w:pStyle w:val="Point1letter"/>
        <w:numPr>
          <w:ilvl w:val="3"/>
          <w:numId w:val="21"/>
        </w:numPr>
        <w:rPr>
          <w:noProof/>
        </w:rPr>
      </w:pPr>
      <w:r>
        <w:rPr>
          <w:noProof/>
        </w:rPr>
        <w:t>v skladu s kadrovskimi predpisi in pogoji za zaposlitev imenuje računovodja, ki je pri opravljanju svojih nalog funkcionalno neodvisen;</w:t>
      </w:r>
    </w:p>
    <w:p w:rsidR="001E2AAD" w:rsidRDefault="007B2354">
      <w:pPr>
        <w:pStyle w:val="Point1letter"/>
        <w:numPr>
          <w:ilvl w:val="3"/>
          <w:numId w:val="21"/>
        </w:numPr>
        <w:rPr>
          <w:noProof/>
        </w:rPr>
      </w:pPr>
      <w:r>
        <w:rPr>
          <w:noProof/>
        </w:rPr>
        <w:t>zagotovijo ustrezn</w:t>
      </w:r>
      <w:r>
        <w:rPr>
          <w:noProof/>
        </w:rPr>
        <w:t>i ukrepi v odziv na ugotovitve in priporočila, ki izhajajo iz notranjih in zunanjih revizijskih poročil in vrednotenj ter iz preiskav Evropskega urada za boj proti goljufijam (OLAF);</w:t>
      </w:r>
    </w:p>
    <w:p w:rsidR="001E2AAD" w:rsidRDefault="007B2354">
      <w:pPr>
        <w:pStyle w:val="Point1letter"/>
        <w:numPr>
          <w:ilvl w:val="3"/>
          <w:numId w:val="21"/>
        </w:numPr>
        <w:rPr>
          <w:noProof/>
        </w:rPr>
      </w:pPr>
      <w:r>
        <w:rPr>
          <w:noProof/>
        </w:rPr>
        <w:t>sprejmejo vse odločitve v zvezi z vzpostavitvijo notranjih struktur odbor</w:t>
      </w:r>
      <w:r>
        <w:rPr>
          <w:noProof/>
        </w:rPr>
        <w:t>a in po potrebi njihovimi spremembami.</w:t>
      </w:r>
    </w:p>
    <w:p w:rsidR="001E2AAD" w:rsidRDefault="007B2354">
      <w:pPr>
        <w:pStyle w:val="ListNumber3"/>
        <w:numPr>
          <w:ilvl w:val="0"/>
          <w:numId w:val="16"/>
        </w:numPr>
        <w:rPr>
          <w:noProof/>
        </w:rPr>
      </w:pPr>
      <w:r>
        <w:rPr>
          <w:noProof/>
        </w:rPr>
        <w:t>Na skupni plenarni seji odbora se pri sprejemanju odločitev ravna v skladu s cilji, kot so navedeni v členih 6 in 14.</w:t>
      </w:r>
    </w:p>
    <w:p w:rsidR="001E2AAD" w:rsidRDefault="007B2354">
      <w:pPr>
        <w:pStyle w:val="ListNumber3"/>
        <w:numPr>
          <w:ilvl w:val="0"/>
          <w:numId w:val="16"/>
        </w:numPr>
        <w:rPr>
          <w:noProof/>
        </w:rPr>
      </w:pPr>
      <w:r>
        <w:rPr>
          <w:noProof/>
        </w:rPr>
        <w:t>Odbor na skupni plenarni seji v skladu s členom 110 kadrovskih predpisov sprejme sklep na podlagi č</w:t>
      </w:r>
      <w:r>
        <w:rPr>
          <w:noProof/>
        </w:rPr>
        <w:t>lena 2(1) kadrovskih predpisov in člena 6 pogojev za zaposlitev, pri čemer zadevna pooblastila pristojnega organa za imenovanja prenese na predsednika in določi pogoje, pod katerimi se prenos pooblastil lahko začasno prekine. Predsednik lahko navedena poob</w:t>
      </w:r>
      <w:r>
        <w:rPr>
          <w:noProof/>
        </w:rPr>
        <w:t xml:space="preserve">lastila prenese naprej. </w:t>
      </w:r>
    </w:p>
    <w:p w:rsidR="001E2AAD" w:rsidRDefault="007B2354">
      <w:pPr>
        <w:pStyle w:val="Point1"/>
        <w:ind w:left="851" w:hanging="1"/>
        <w:rPr>
          <w:noProof/>
        </w:rPr>
      </w:pPr>
      <w:r>
        <w:rPr>
          <w:noProof/>
        </w:rPr>
        <w:t xml:space="preserve">V izjemnih okoliščinah lahko odbor na skupni plenarni seji s sklepom začasno prekine prenos pooblastil pristojnega organa za imenovanja na predsednika in na osebe, na katere jih je prenesel slednji, ter jih izvaja sam ali jih </w:t>
      </w:r>
      <w:r>
        <w:rPr>
          <w:noProof/>
        </w:rPr>
        <w:t>prenese na enega od svojih članov ali na uslužbenca, ki ni predsednik.“;</w:t>
      </w:r>
    </w:p>
    <w:p w:rsidR="001E2AAD" w:rsidRDefault="007B2354">
      <w:pPr>
        <w:pStyle w:val="ManualNumPar1"/>
        <w:rPr>
          <w:noProof/>
        </w:rPr>
      </w:pPr>
      <w:r>
        <w:t>19.</w:t>
      </w:r>
      <w:r>
        <w:tab/>
      </w:r>
      <w:r>
        <w:rPr>
          <w:noProof/>
        </w:rPr>
        <w:t>člen 50 se nadomesti z naslednjim:</w:t>
      </w:r>
    </w:p>
    <w:p w:rsidR="001E2AAD" w:rsidRDefault="007B2354">
      <w:pPr>
        <w:pStyle w:val="Titrearticle"/>
        <w:spacing w:before="0" w:after="0"/>
        <w:rPr>
          <w:noProof/>
        </w:rPr>
      </w:pPr>
      <w:bookmarkStart w:id="53" w:name="_Toc432693603"/>
      <w:bookmarkStart w:id="54" w:name="_Toc432694892"/>
      <w:r>
        <w:rPr>
          <w:noProof/>
        </w:rPr>
        <w:t>„Člen 50</w:t>
      </w:r>
      <w:bookmarkEnd w:id="53"/>
      <w:bookmarkEnd w:id="54"/>
    </w:p>
    <w:p w:rsidR="001E2AAD" w:rsidRDefault="007B2354">
      <w:pPr>
        <w:pStyle w:val="Titrearticle"/>
        <w:spacing w:before="0" w:after="0"/>
        <w:rPr>
          <w:noProof/>
        </w:rPr>
      </w:pPr>
      <w:bookmarkStart w:id="55" w:name="_Toc432693604"/>
      <w:bookmarkStart w:id="56" w:name="_Toc432694893"/>
      <w:r>
        <w:rPr>
          <w:noProof/>
        </w:rPr>
        <w:t>Naloge odbora na plenarni seji EMR</w:t>
      </w:r>
      <w:bookmarkEnd w:id="55"/>
      <w:bookmarkEnd w:id="56"/>
      <w:r>
        <w:rPr>
          <w:noProof/>
        </w:rPr>
        <w:t xml:space="preserve"> </w:t>
      </w:r>
    </w:p>
    <w:p w:rsidR="001E2AAD" w:rsidRDefault="007B2354">
      <w:pPr>
        <w:pStyle w:val="ListNumber3"/>
        <w:numPr>
          <w:ilvl w:val="0"/>
          <w:numId w:val="51"/>
        </w:numPr>
        <w:rPr>
          <w:noProof/>
        </w:rPr>
      </w:pPr>
      <w:r>
        <w:rPr>
          <w:noProof/>
        </w:rPr>
        <w:t>Na plenarni seji EMR se:</w:t>
      </w:r>
    </w:p>
    <w:p w:rsidR="001E2AAD" w:rsidRDefault="007B2354">
      <w:pPr>
        <w:pStyle w:val="Point1letter"/>
        <w:numPr>
          <w:ilvl w:val="3"/>
          <w:numId w:val="52"/>
        </w:numPr>
        <w:rPr>
          <w:noProof/>
        </w:rPr>
      </w:pPr>
      <w:r>
        <w:rPr>
          <w:noProof/>
        </w:rPr>
        <w:t xml:space="preserve">po postopku iz odstavka 2 odloči o uporabi sklada, če je za konkreten </w:t>
      </w:r>
      <w:r>
        <w:rPr>
          <w:noProof/>
        </w:rPr>
        <w:t>ukrep za reševanje potrebna podpora sklada nad pragom 5 000 000 000 EUR, za katero je tehtanje likvidnostne podpore 0,5;</w:t>
      </w:r>
    </w:p>
    <w:p w:rsidR="001E2AAD" w:rsidRDefault="007B2354">
      <w:pPr>
        <w:pStyle w:val="Point1letter"/>
        <w:numPr>
          <w:ilvl w:val="3"/>
          <w:numId w:val="21"/>
        </w:numPr>
        <w:rPr>
          <w:noProof/>
        </w:rPr>
      </w:pPr>
      <w:r>
        <w:rPr>
          <w:noProof/>
        </w:rPr>
        <w:t>ko skupna neto uporaba sklada v zadnjih zaporednih 12 mesecih doseže prag 5 000 000 000 EUR, oceni uporaba instrumentov za reševanje, z</w:t>
      </w:r>
      <w:r>
        <w:rPr>
          <w:noProof/>
        </w:rPr>
        <w:t>lasti uporaba sklada, ter pripravijo navodila, ki jih izvršna seja upošteva pri naslednjih odločitvah o reševanju, zlasti z razlikovanjem med likvidnostno podporo in drugimi oblikami podpore, če je to ustrezno;</w:t>
      </w:r>
    </w:p>
    <w:p w:rsidR="001E2AAD" w:rsidRDefault="007B2354">
      <w:pPr>
        <w:pStyle w:val="Point1letter"/>
        <w:numPr>
          <w:ilvl w:val="3"/>
          <w:numId w:val="21"/>
        </w:numPr>
        <w:rPr>
          <w:noProof/>
        </w:rPr>
      </w:pPr>
      <w:r>
        <w:rPr>
          <w:noProof/>
        </w:rPr>
        <w:t>odloči o tem, ali je potrebno zvišanje naknad</w:t>
      </w:r>
      <w:r>
        <w:rPr>
          <w:noProof/>
        </w:rPr>
        <w:t>nih izrednih prispevkov v skladu s členom 71, o prostovoljnem izposojanju med shemami financiranja v skladu s členom 72, o alternativnih sredstvih financiranja v skladu s členoma 73 in 74 in o združevanju nacionalnih shem financiranja v skladu s členom 78,</w:t>
      </w:r>
      <w:r>
        <w:rPr>
          <w:noProof/>
        </w:rPr>
        <w:t xml:space="preserve"> ki vključujejo podporo iz sklada nad pragom iz točke (c) tega odstavka;</w:t>
      </w:r>
    </w:p>
    <w:p w:rsidR="001E2AAD" w:rsidRDefault="007B2354">
      <w:pPr>
        <w:pStyle w:val="Point1letter"/>
        <w:numPr>
          <w:ilvl w:val="3"/>
          <w:numId w:val="21"/>
        </w:numPr>
        <w:rPr>
          <w:noProof/>
        </w:rPr>
      </w:pPr>
      <w:r>
        <w:rPr>
          <w:noProof/>
        </w:rPr>
        <w:t>odobri okvir iz člena 31(1) za praktično ureditev sodelovanja z nacionalnimi organi za reševanje.</w:t>
      </w:r>
    </w:p>
    <w:p w:rsidR="001E2AAD" w:rsidRDefault="007B2354">
      <w:pPr>
        <w:pStyle w:val="ListNumber3"/>
        <w:numPr>
          <w:ilvl w:val="0"/>
          <w:numId w:val="16"/>
        </w:numPr>
        <w:rPr>
          <w:noProof/>
        </w:rPr>
      </w:pPr>
      <w:r>
        <w:rPr>
          <w:noProof/>
        </w:rPr>
        <w:t>Na plenarni seji odbora se pri sprejemanju odločitev ravna v skladu s cilji, kot so n</w:t>
      </w:r>
      <w:r>
        <w:rPr>
          <w:noProof/>
        </w:rPr>
        <w:t>avedeni v členih 6 in 14.</w:t>
      </w:r>
    </w:p>
    <w:p w:rsidR="001E2AAD" w:rsidRDefault="007B2354">
      <w:pPr>
        <w:pStyle w:val="Point0"/>
        <w:ind w:firstLine="1"/>
        <w:rPr>
          <w:noProof/>
        </w:rPr>
      </w:pPr>
      <w:r>
        <w:rPr>
          <w:noProof/>
        </w:rPr>
        <w:t>Za namene točke (a) odstavka 1 se shema za reševanje, pripravljena na izvršni seji, šteje za sprejeto, razen če vsaj en član plenarne seje te ne skliče v treh urah po tem, ko se z izvršne seje plenarni seji predloži osnutek. V tem</w:t>
      </w:r>
      <w:r>
        <w:rPr>
          <w:noProof/>
        </w:rPr>
        <w:t xml:space="preserve"> primeru se odločitev o shemi za reševanje sprejme na plenarni seji.“;</w:t>
      </w:r>
    </w:p>
    <w:p w:rsidR="001E2AAD" w:rsidRDefault="007B2354">
      <w:pPr>
        <w:pStyle w:val="ManualNumPar1"/>
        <w:rPr>
          <w:noProof/>
        </w:rPr>
      </w:pPr>
      <w:r>
        <w:t>20.</w:t>
      </w:r>
      <w:r>
        <w:tab/>
      </w:r>
      <w:r>
        <w:rPr>
          <w:noProof/>
        </w:rPr>
        <w:t>vstavi se naslednji člen 50a:</w:t>
      </w:r>
    </w:p>
    <w:p w:rsidR="001E2AAD" w:rsidRDefault="007B2354">
      <w:pPr>
        <w:pStyle w:val="Titrearticle"/>
        <w:spacing w:before="0" w:after="0"/>
        <w:rPr>
          <w:noProof/>
        </w:rPr>
      </w:pPr>
      <w:bookmarkStart w:id="57" w:name="_Toc432693605"/>
      <w:bookmarkStart w:id="58" w:name="_Toc432694894"/>
      <w:r>
        <w:rPr>
          <w:noProof/>
        </w:rPr>
        <w:t>„Člen 50a</w:t>
      </w:r>
      <w:bookmarkEnd w:id="57"/>
      <w:bookmarkEnd w:id="58"/>
    </w:p>
    <w:p w:rsidR="001E2AAD" w:rsidRDefault="007B2354">
      <w:pPr>
        <w:pStyle w:val="Titrearticle"/>
        <w:spacing w:before="0" w:after="0"/>
        <w:rPr>
          <w:noProof/>
        </w:rPr>
      </w:pPr>
      <w:bookmarkStart w:id="59" w:name="_Toc432693606"/>
      <w:bookmarkStart w:id="60" w:name="_Toc432694895"/>
      <w:r>
        <w:rPr>
          <w:noProof/>
        </w:rPr>
        <w:t>Naloge odbora na plenarni seji ESJV</w:t>
      </w:r>
      <w:bookmarkEnd w:id="59"/>
      <w:bookmarkEnd w:id="60"/>
    </w:p>
    <w:p w:rsidR="001E2AAD" w:rsidRDefault="007B2354">
      <w:pPr>
        <w:pStyle w:val="ListNumber3"/>
        <w:numPr>
          <w:ilvl w:val="0"/>
          <w:numId w:val="53"/>
        </w:numPr>
        <w:rPr>
          <w:noProof/>
        </w:rPr>
      </w:pPr>
      <w:r>
        <w:rPr>
          <w:noProof/>
        </w:rPr>
        <w:t>Na plenarni seji ESJV se:</w:t>
      </w:r>
    </w:p>
    <w:p w:rsidR="001E2AAD" w:rsidRDefault="007B2354">
      <w:pPr>
        <w:pStyle w:val="Point1letter"/>
        <w:numPr>
          <w:ilvl w:val="3"/>
          <w:numId w:val="54"/>
        </w:numPr>
        <w:rPr>
          <w:noProof/>
        </w:rPr>
      </w:pPr>
      <w:r>
        <w:rPr>
          <w:noProof/>
        </w:rPr>
        <w:t>ko skupna neto uporaba jamstvenega sklada za vloge v zadnjih zaporednih 12 mese</w:t>
      </w:r>
      <w:r>
        <w:rPr>
          <w:noProof/>
        </w:rPr>
        <w:t>cih doseže prag 25 % končne ciljne ravni, oceni uporaba ESJV, zlasti uporaba jamstvenega sklada za vloge, ter pripravijo navodila, ki jih izvršna seja upošteva pri naslednjih odločitvah o izplačilih, zlasti z razlikovanjem med zagotavljanjem financiranja i</w:t>
      </w:r>
      <w:r>
        <w:rPr>
          <w:noProof/>
        </w:rPr>
        <w:t>n kritjem izgube, če je to ustrezno;</w:t>
      </w:r>
    </w:p>
    <w:p w:rsidR="001E2AAD" w:rsidRDefault="007B2354">
      <w:pPr>
        <w:pStyle w:val="Point1letter"/>
        <w:numPr>
          <w:ilvl w:val="3"/>
          <w:numId w:val="5"/>
        </w:numPr>
        <w:rPr>
          <w:noProof/>
        </w:rPr>
      </w:pPr>
      <w:r>
        <w:rPr>
          <w:noProof/>
        </w:rPr>
        <w:t>odloči o podaljšanju obdobja iz člena 41m(1) v skladu s členom 41m(2);</w:t>
      </w:r>
    </w:p>
    <w:p w:rsidR="001E2AAD" w:rsidRDefault="007B2354">
      <w:pPr>
        <w:pStyle w:val="Point1letter"/>
        <w:numPr>
          <w:ilvl w:val="3"/>
          <w:numId w:val="5"/>
        </w:numPr>
        <w:rPr>
          <w:noProof/>
        </w:rPr>
      </w:pPr>
      <w:r>
        <w:rPr>
          <w:noProof/>
        </w:rPr>
        <w:t>odloči o prostovoljnem izposojanju med shemami financiranja v skladu s členom 74f, o alternativnih sredstvih financiranja v skladu s členom 74g;</w:t>
      </w:r>
    </w:p>
    <w:p w:rsidR="001E2AAD" w:rsidRDefault="007B2354">
      <w:pPr>
        <w:pStyle w:val="Point1letter"/>
        <w:numPr>
          <w:ilvl w:val="3"/>
          <w:numId w:val="5"/>
        </w:numPr>
        <w:rPr>
          <w:noProof/>
        </w:rPr>
      </w:pPr>
      <w:r>
        <w:rPr>
          <w:noProof/>
        </w:rPr>
        <w:t>odl</w:t>
      </w:r>
      <w:r>
        <w:rPr>
          <w:noProof/>
        </w:rPr>
        <w:t>oči na zaprosilo izvršne seje v primerih iz odstavka 1 ali 2 člena 41i, ali je pogoj za izključitev iz točke (b) člena 41i(1) izpolnjen.</w:t>
      </w:r>
    </w:p>
    <w:p w:rsidR="001E2AAD" w:rsidRDefault="007B2354">
      <w:pPr>
        <w:pStyle w:val="ListNumber3"/>
        <w:numPr>
          <w:ilvl w:val="0"/>
          <w:numId w:val="16"/>
        </w:numPr>
        <w:rPr>
          <w:noProof/>
        </w:rPr>
      </w:pPr>
      <w:r>
        <w:rPr>
          <w:noProof/>
        </w:rPr>
        <w:t>Na plenarni seji odbora se pri sprejemanju odločitev ravna v skladu s cilji, kot so navedeni v členu 6.“;</w:t>
      </w:r>
    </w:p>
    <w:p w:rsidR="001E2AAD" w:rsidRDefault="007B2354">
      <w:pPr>
        <w:pStyle w:val="ManualNumPar1"/>
        <w:rPr>
          <w:noProof/>
        </w:rPr>
      </w:pPr>
      <w:r>
        <w:t>21.</w:t>
      </w:r>
      <w:r>
        <w:tab/>
      </w:r>
      <w:r>
        <w:rPr>
          <w:noProof/>
        </w:rPr>
        <w:t>člen 51 s</w:t>
      </w:r>
      <w:r>
        <w:rPr>
          <w:noProof/>
        </w:rPr>
        <w:t xml:space="preserve">e nadomesti z naslednjim: </w:t>
      </w:r>
    </w:p>
    <w:p w:rsidR="001E2AAD" w:rsidRDefault="007B2354">
      <w:pPr>
        <w:pStyle w:val="Titrearticle"/>
        <w:spacing w:before="0" w:after="0"/>
        <w:rPr>
          <w:noProof/>
        </w:rPr>
      </w:pPr>
      <w:r>
        <w:rPr>
          <w:noProof/>
        </w:rPr>
        <w:t>„Člen 51</w:t>
      </w:r>
      <w:r>
        <w:rPr>
          <w:noProof/>
        </w:rPr>
        <w:br/>
        <w:t>Skupne plenarne seje odbora ter plenarne seje EMR in ESJV</w:t>
      </w:r>
    </w:p>
    <w:p w:rsidR="001E2AAD" w:rsidRDefault="007B2354">
      <w:pPr>
        <w:pStyle w:val="ListNumber3"/>
        <w:numPr>
          <w:ilvl w:val="0"/>
          <w:numId w:val="55"/>
        </w:numPr>
        <w:rPr>
          <w:noProof/>
        </w:rPr>
      </w:pPr>
      <w:r>
        <w:rPr>
          <w:noProof/>
        </w:rPr>
        <w:t>Predsednik skliče skupne plenarne seje odbora ter plenarne seje EMR in plenarne seje ESJV v skladu s točko (a) člena 56(2) ter jim predseduje.</w:t>
      </w:r>
    </w:p>
    <w:p w:rsidR="001E2AAD" w:rsidRDefault="007B2354">
      <w:pPr>
        <w:pStyle w:val="ListNumber3"/>
        <w:numPr>
          <w:ilvl w:val="0"/>
          <w:numId w:val="16"/>
        </w:numPr>
        <w:rPr>
          <w:noProof/>
        </w:rPr>
      </w:pPr>
      <w:r>
        <w:rPr>
          <w:noProof/>
        </w:rPr>
        <w:t xml:space="preserve">Odbor se vsaj </w:t>
      </w:r>
      <w:r>
        <w:rPr>
          <w:noProof/>
        </w:rPr>
        <w:t>dvakrat letno sestane na redni skupni plenarni seji. Poleg tega se sestane na pobudo predsednika ali na zahtevo vsaj tretjine svojih članov. Predstavnik Komisije lahko zahteva, naj predsednik skliče skupno plenarno sejo odbora ali plenarno sejo EMR ali ple</w:t>
      </w:r>
      <w:r>
        <w:rPr>
          <w:noProof/>
        </w:rPr>
        <w:t>narno sejo ESJV. Če predsednik seje ne skliče pravočasno, za to predloži pisno utemeljitev.</w:t>
      </w:r>
    </w:p>
    <w:p w:rsidR="001E2AAD" w:rsidRDefault="007B2354">
      <w:pPr>
        <w:pStyle w:val="ListNumber3"/>
        <w:numPr>
          <w:ilvl w:val="0"/>
          <w:numId w:val="16"/>
        </w:numPr>
        <w:rPr>
          <w:noProof/>
        </w:rPr>
      </w:pPr>
      <w:r>
        <w:rPr>
          <w:noProof/>
        </w:rPr>
        <w:t>Odbor lahko, kadar je to ustrezno, poleg opazovalcev, navedenih v členu 43(3), povabi tudi druge opazovalce, naj občasno sodelujejo na njegovih skupnih plenarnih se</w:t>
      </w:r>
      <w:r>
        <w:rPr>
          <w:noProof/>
        </w:rPr>
        <w:t>jah ali na plenarnih sejah EMR ali plenarnih sejah ESJV, vključno s predstavnikom EBA.</w:t>
      </w:r>
    </w:p>
    <w:p w:rsidR="001E2AAD" w:rsidRDefault="007B2354">
      <w:pPr>
        <w:pStyle w:val="ListNumber3"/>
        <w:numPr>
          <w:ilvl w:val="0"/>
          <w:numId w:val="16"/>
        </w:numPr>
        <w:rPr>
          <w:noProof/>
        </w:rPr>
      </w:pPr>
      <w:r>
        <w:rPr>
          <w:noProof/>
        </w:rPr>
        <w:t>Odbor zagotovi sekretariat skupne plenarne seje ali plenarne seje odbora.“;</w:t>
      </w:r>
    </w:p>
    <w:p w:rsidR="001E2AAD" w:rsidRDefault="007B2354">
      <w:pPr>
        <w:pStyle w:val="ManualNumPar1"/>
        <w:rPr>
          <w:noProof/>
        </w:rPr>
      </w:pPr>
      <w:r>
        <w:t>22.</w:t>
      </w:r>
      <w:r>
        <w:tab/>
      </w:r>
      <w:r>
        <w:rPr>
          <w:noProof/>
        </w:rPr>
        <w:t>člen 52 se nadomesti z naslednjim:</w:t>
      </w:r>
    </w:p>
    <w:p w:rsidR="001E2AAD" w:rsidRDefault="007B2354">
      <w:pPr>
        <w:pStyle w:val="Titrearticle"/>
        <w:spacing w:before="0" w:after="0"/>
        <w:rPr>
          <w:noProof/>
        </w:rPr>
      </w:pPr>
      <w:bookmarkStart w:id="61" w:name="_Toc432693607"/>
      <w:bookmarkStart w:id="62" w:name="_Toc432694896"/>
      <w:r>
        <w:rPr>
          <w:noProof/>
        </w:rPr>
        <w:t>„Člen 52</w:t>
      </w:r>
      <w:r>
        <w:rPr>
          <w:noProof/>
        </w:rPr>
        <w:br/>
        <w:t>Splošne določbe o postopku odločanja</w:t>
      </w:r>
      <w:bookmarkEnd w:id="61"/>
      <w:bookmarkEnd w:id="62"/>
    </w:p>
    <w:p w:rsidR="001E2AAD" w:rsidRDefault="007B2354">
      <w:pPr>
        <w:pStyle w:val="ListNumber3"/>
        <w:keepNext/>
        <w:numPr>
          <w:ilvl w:val="0"/>
          <w:numId w:val="56"/>
        </w:numPr>
        <w:rPr>
          <w:noProof/>
        </w:rPr>
      </w:pPr>
      <w:r>
        <w:rPr>
          <w:noProof/>
        </w:rPr>
        <w:t>Odbor na</w:t>
      </w:r>
      <w:r>
        <w:rPr>
          <w:noProof/>
        </w:rPr>
        <w:t xml:space="preserve"> skupni plenarni seji ali plenarni seji EMR ali plenarni seji ESJV sprejema odločitve z navadno večino članov, razen če ta uredba določa drugače. Vsak član z glasovalno pravico ima en glas. Če je izid glasovanja neodločen, je odločilen glas predsednika.</w:t>
      </w:r>
    </w:p>
    <w:p w:rsidR="001E2AAD" w:rsidRDefault="007B2354">
      <w:pPr>
        <w:pStyle w:val="ListNumber3"/>
        <w:numPr>
          <w:ilvl w:val="0"/>
          <w:numId w:val="16"/>
        </w:numPr>
        <w:rPr>
          <w:b/>
          <w:noProof/>
        </w:rPr>
      </w:pPr>
      <w:r>
        <w:rPr>
          <w:noProof/>
        </w:rPr>
        <w:t xml:space="preserve">Z </w:t>
      </w:r>
      <w:r>
        <w:rPr>
          <w:noProof/>
        </w:rPr>
        <w:t xml:space="preserve">odstopanjem od odstavka 1 se odločitve iz točk (a) in (b) člena 50(1), točke (a) člena 50a(1) ter odločitve o vzajemnosti nacionalnih shem financiranja v skladu s členom 78, ki so omejene na uporabo finančnih sredstev, s katerimi razpolaga enotni sklad za </w:t>
      </w:r>
      <w:r>
        <w:rPr>
          <w:noProof/>
        </w:rPr>
        <w:t>reševanje oziroma jamstveni sklad za vloge, sprejemajo z navadno večino članov odbora, ki predstavljajo vsaj 30 % prispevkov. Vsak član z glasovalno pravico ima en glas. Če je izid glasovanja neodločen, je odločilen glas predsednika.</w:t>
      </w:r>
    </w:p>
    <w:p w:rsidR="001E2AAD" w:rsidRDefault="007B2354">
      <w:pPr>
        <w:pStyle w:val="ListNumber3"/>
        <w:numPr>
          <w:ilvl w:val="0"/>
          <w:numId w:val="16"/>
        </w:numPr>
        <w:rPr>
          <w:noProof/>
        </w:rPr>
      </w:pPr>
      <w:r>
        <w:rPr>
          <w:noProof/>
        </w:rPr>
        <w:t>Z odstopanjem od odsta</w:t>
      </w:r>
      <w:r>
        <w:rPr>
          <w:noProof/>
        </w:rPr>
        <w:t>vka 1 tega člena se odločitve iz člena 50(1) ali člena 50a(1), ki vključujejo zbiranje naknadnih prispevkov v skladu s členom 71 ali členom 74d, prostovoljno izposojanje med shemami financiranja v skladu s členom 72 ali členom 74f, odločitve o alternativni</w:t>
      </w:r>
      <w:r>
        <w:rPr>
          <w:noProof/>
        </w:rPr>
        <w:t>h virih financiranja v skladu s členom 73, členom 74 ali členom 74g, ter odločitve o vzajemnosti nacionalnih shem financiranja v skladu s členom 78, ki presegajo uporabo finančnih sredstev, ki so na voljo v enotnem skladu za reševanje ali v jamstvenem skla</w:t>
      </w:r>
      <w:r>
        <w:rPr>
          <w:noProof/>
        </w:rPr>
        <w:t xml:space="preserve">du za vloge, sprejemajo z dvotretjinsko večino članov odbora, ki v prehodnem obdobju, dokler enotni sklad za reševanje ni povsem vzajemen oziroma jamstveni sklad za vloge ni dosegel svoje končne ciljne ravni, predstavljajo vsaj 50 % prispevkov, zatem pa z </w:t>
      </w:r>
      <w:r>
        <w:rPr>
          <w:noProof/>
        </w:rPr>
        <w:t>dvotretjinsko večino članov odbora, ki predstavljajo vsaj 30 % prispevkov. Vsak član z glasovalno pravico ima en glas. Če je izid glasovanja neodločen, je odločilen glas predsednika.</w:t>
      </w:r>
    </w:p>
    <w:p w:rsidR="001E2AAD" w:rsidRDefault="007B2354">
      <w:pPr>
        <w:pStyle w:val="ListNumber3"/>
        <w:numPr>
          <w:ilvl w:val="0"/>
          <w:numId w:val="16"/>
        </w:numPr>
        <w:rPr>
          <w:noProof/>
        </w:rPr>
      </w:pPr>
      <w:r>
        <w:rPr>
          <w:noProof/>
        </w:rPr>
        <w:t>Z odstopanjem od odstavka 1 tega člena se odločitve iz točke (d) člena 50</w:t>
      </w:r>
      <w:r>
        <w:rPr>
          <w:noProof/>
        </w:rPr>
        <w:t>a(1) sprejemajo z dvotretjinsko večino članov odbora. Vsak član z glasovalno pravico ima en glas. Če je izid glasovanja neodločen, je odločilen glas predsednika.</w:t>
      </w:r>
    </w:p>
    <w:p w:rsidR="001E2AAD" w:rsidRDefault="007B2354">
      <w:pPr>
        <w:pStyle w:val="ListNumber3"/>
        <w:numPr>
          <w:ilvl w:val="0"/>
          <w:numId w:val="16"/>
        </w:numPr>
        <w:rPr>
          <w:noProof/>
        </w:rPr>
      </w:pPr>
      <w:r>
        <w:rPr>
          <w:noProof/>
        </w:rPr>
        <w:t>Odbor sprejme in objavi svoj poslovnik. V poslovniku se določi podrobnejša ureditev glede glas</w:t>
      </w:r>
      <w:r>
        <w:rPr>
          <w:noProof/>
        </w:rPr>
        <w:t>ovanja, zlasti okoliščine, v katerih lahko član deluje v imenu drugega člana, in po potrebi tudi pravila glede sklepčnosti.“;</w:t>
      </w:r>
    </w:p>
    <w:p w:rsidR="001E2AAD" w:rsidRDefault="007B2354">
      <w:pPr>
        <w:pStyle w:val="ManualNumPar1"/>
        <w:rPr>
          <w:noProof/>
        </w:rPr>
      </w:pPr>
      <w:r>
        <w:t>23.</w:t>
      </w:r>
      <w:r>
        <w:tab/>
      </w:r>
      <w:r>
        <w:rPr>
          <w:noProof/>
        </w:rPr>
        <w:t>člen 53 se spremeni:</w:t>
      </w:r>
    </w:p>
    <w:p w:rsidR="001E2AAD" w:rsidRDefault="007B2354">
      <w:pPr>
        <w:pStyle w:val="Point1letter"/>
        <w:numPr>
          <w:ilvl w:val="3"/>
          <w:numId w:val="57"/>
        </w:numPr>
        <w:rPr>
          <w:noProof/>
        </w:rPr>
      </w:pPr>
      <w:r>
        <w:rPr>
          <w:noProof/>
        </w:rPr>
        <w:t>v tretjem pododstavku odstavka 1 se besedna zveza „nacionalne organe za reševanje“ nadomesti z besedno zv</w:t>
      </w:r>
      <w:r>
        <w:rPr>
          <w:noProof/>
        </w:rPr>
        <w:t>ezo „nacionalne organe za reševanje ali nacionalne imenovane organe“, skupaj s potrebnimi slovničnimi spremembami;</w:t>
      </w:r>
    </w:p>
    <w:p w:rsidR="001E2AAD" w:rsidRDefault="007B2354">
      <w:pPr>
        <w:pStyle w:val="Point1letter"/>
        <w:numPr>
          <w:ilvl w:val="3"/>
          <w:numId w:val="21"/>
        </w:numPr>
        <w:rPr>
          <w:noProof/>
        </w:rPr>
      </w:pPr>
      <w:r>
        <w:rPr>
          <w:noProof/>
        </w:rPr>
        <w:t>v odstavku 2 se besedna zveza „iz člena 43(1)(c)“ nadomesti z naslednjim: „iz člena 43(1)(c) ali, kjer je ustrezno, člena 43(1)(d)“;</w:t>
      </w:r>
    </w:p>
    <w:p w:rsidR="001E2AAD" w:rsidRDefault="007B2354">
      <w:pPr>
        <w:pStyle w:val="Point1letter"/>
        <w:numPr>
          <w:ilvl w:val="3"/>
          <w:numId w:val="21"/>
        </w:numPr>
        <w:rPr>
          <w:noProof/>
        </w:rPr>
      </w:pPr>
      <w:r>
        <w:rPr>
          <w:noProof/>
        </w:rPr>
        <w:t>odstavek</w:t>
      </w:r>
      <w:r>
        <w:rPr>
          <w:noProof/>
        </w:rPr>
        <w:t xml:space="preserve"> 3 se nadomesti z naslednjim:</w:t>
      </w:r>
    </w:p>
    <w:p w:rsidR="001E2AAD" w:rsidRDefault="007B2354">
      <w:pPr>
        <w:pStyle w:val="Point1"/>
        <w:ind w:firstLine="0"/>
        <w:rPr>
          <w:noProof/>
        </w:rPr>
      </w:pPr>
      <w:r>
        <w:rPr>
          <w:noProof/>
        </w:rPr>
        <w:t>„3.</w:t>
      </w:r>
      <w:r>
        <w:rPr>
          <w:noProof/>
        </w:rPr>
        <w:tab/>
        <w:t>V razpravah o subjektu iz člena 2 ali skupini subjektov s sedežem v samo eni sodelujoči državi članici ali o odločitvi ali ukrepu v zvezi z jamstvom za vloge v razpravah in postopku odločanja sodeluje tudi zadevni član, ki</w:t>
      </w:r>
      <w:r>
        <w:rPr>
          <w:noProof/>
        </w:rPr>
        <w:t xml:space="preserve"> ga je imenovala ta država članica v skladu s členom 43(1)(c) ali 43(1)(d), uporabljajo pa se pravila iz člena 55(1).“;</w:t>
      </w:r>
    </w:p>
    <w:p w:rsidR="001E2AAD" w:rsidRDefault="007B2354">
      <w:pPr>
        <w:pStyle w:val="Point1letter"/>
        <w:numPr>
          <w:ilvl w:val="3"/>
          <w:numId w:val="21"/>
        </w:numPr>
        <w:rPr>
          <w:noProof/>
        </w:rPr>
      </w:pPr>
      <w:r>
        <w:rPr>
          <w:noProof/>
        </w:rPr>
        <w:t>odstavek 5 se nadomesti z naslednjim:</w:t>
      </w:r>
    </w:p>
    <w:p w:rsidR="001E2AAD" w:rsidRDefault="007B2354">
      <w:pPr>
        <w:pStyle w:val="Point1"/>
        <w:ind w:firstLine="0"/>
        <w:rPr>
          <w:noProof/>
        </w:rPr>
      </w:pPr>
      <w:r>
        <w:rPr>
          <w:noProof/>
        </w:rPr>
        <w:t>„5. Člani odbora iz člena 43(1)(a) in (b) zagotovijo, da so v okviru vseh različnih sestav izvršni</w:t>
      </w:r>
      <w:r>
        <w:rPr>
          <w:noProof/>
        </w:rPr>
        <w:t>h sej odbora odločitve in ukrepi v zvezi z reševanjem in jamstvi za vloge, zlasti glede uporabe enotnega sklada za reševanje oziroma jamstvenega sklada za vloge, skladni, ustrezni in sorazmerni.“;</w:t>
      </w:r>
    </w:p>
    <w:p w:rsidR="001E2AAD" w:rsidRDefault="007B2354">
      <w:pPr>
        <w:pStyle w:val="ManualNumPar1"/>
        <w:rPr>
          <w:noProof/>
        </w:rPr>
      </w:pPr>
      <w:r>
        <w:t>24.</w:t>
      </w:r>
      <w:r>
        <w:tab/>
      </w:r>
      <w:r>
        <w:rPr>
          <w:noProof/>
        </w:rPr>
        <w:t>člen 54 se spremeni:</w:t>
      </w:r>
    </w:p>
    <w:p w:rsidR="001E2AAD" w:rsidRDefault="007B2354">
      <w:pPr>
        <w:pStyle w:val="Point1letter"/>
        <w:numPr>
          <w:ilvl w:val="3"/>
          <w:numId w:val="58"/>
        </w:numPr>
        <w:rPr>
          <w:noProof/>
        </w:rPr>
      </w:pPr>
      <w:r>
        <w:rPr>
          <w:noProof/>
        </w:rPr>
        <w:t>odstavek 1 se nadomesti z naslednj</w:t>
      </w:r>
      <w:r>
        <w:rPr>
          <w:noProof/>
        </w:rPr>
        <w:t>im:</w:t>
      </w:r>
    </w:p>
    <w:p w:rsidR="001E2AAD" w:rsidRDefault="007B2354">
      <w:pPr>
        <w:pStyle w:val="Point1"/>
        <w:ind w:firstLine="0"/>
        <w:rPr>
          <w:noProof/>
        </w:rPr>
      </w:pPr>
      <w:r>
        <w:rPr>
          <w:noProof/>
        </w:rPr>
        <w:t>„1.</w:t>
      </w:r>
      <w:r>
        <w:rPr>
          <w:noProof/>
        </w:rPr>
        <w:tab/>
        <w:t>Odbor na izvršni seji:</w:t>
      </w:r>
    </w:p>
    <w:p w:rsidR="001E2AAD" w:rsidRDefault="007B2354">
      <w:pPr>
        <w:pStyle w:val="Point2letter"/>
        <w:numPr>
          <w:ilvl w:val="5"/>
          <w:numId w:val="21"/>
        </w:numPr>
        <w:rPr>
          <w:noProof/>
        </w:rPr>
      </w:pPr>
      <w:r>
        <w:rPr>
          <w:noProof/>
        </w:rPr>
        <w:t>pripravi vse odločitve, ki jih odbor sprejme na skupni plenarni seji ali na plenarni seji EMR ali plenarni seji ESJV;</w:t>
      </w:r>
    </w:p>
    <w:p w:rsidR="001E2AAD" w:rsidRDefault="007B2354">
      <w:pPr>
        <w:pStyle w:val="Point2letter"/>
        <w:numPr>
          <w:ilvl w:val="5"/>
          <w:numId w:val="21"/>
        </w:numPr>
        <w:rPr>
          <w:noProof/>
        </w:rPr>
      </w:pPr>
      <w:r>
        <w:rPr>
          <w:noProof/>
        </w:rPr>
        <w:t>sprejme vse odločitve za izvajanje te uredbe, razen če ta uredba določa drugače.“;</w:t>
      </w:r>
    </w:p>
    <w:p w:rsidR="001E2AAD" w:rsidRDefault="007B2354">
      <w:pPr>
        <w:pStyle w:val="Point1letter"/>
        <w:numPr>
          <w:ilvl w:val="3"/>
          <w:numId w:val="5"/>
        </w:numPr>
        <w:rPr>
          <w:noProof/>
        </w:rPr>
      </w:pPr>
      <w:r>
        <w:rPr>
          <w:noProof/>
        </w:rPr>
        <w:t xml:space="preserve">v odstavku 2 se pika za </w:t>
      </w:r>
      <w:r>
        <w:rPr>
          <w:noProof/>
        </w:rPr>
        <w:t>točko (e) nadomesti s podpičjem in dodajo naslednje točke:</w:t>
      </w:r>
    </w:p>
    <w:p w:rsidR="001E2AAD" w:rsidRDefault="007B2354">
      <w:pPr>
        <w:pStyle w:val="Point1"/>
        <w:ind w:firstLine="0"/>
        <w:rPr>
          <w:noProof/>
        </w:rPr>
      </w:pPr>
      <w:r>
        <w:rPr>
          <w:noProof/>
        </w:rPr>
        <w:t>„(f)</w:t>
      </w:r>
      <w:r>
        <w:rPr>
          <w:noProof/>
        </w:rPr>
        <w:tab/>
        <w:t>določi znesek financiranja v skladu s členom 41l;</w:t>
      </w:r>
    </w:p>
    <w:p w:rsidR="001E2AAD" w:rsidRDefault="007B2354">
      <w:pPr>
        <w:pStyle w:val="Point1"/>
        <w:ind w:firstLine="0"/>
        <w:rPr>
          <w:noProof/>
        </w:rPr>
      </w:pPr>
      <w:r>
        <w:rPr>
          <w:noProof/>
        </w:rPr>
        <w:t xml:space="preserve">(g) </w:t>
      </w:r>
      <w:r>
        <w:rPr>
          <w:noProof/>
        </w:rPr>
        <w:tab/>
        <w:t>določi izgubo pri izplačilu in kritje izgube v skladu s členom 41o;</w:t>
      </w:r>
    </w:p>
    <w:p w:rsidR="001E2AAD" w:rsidRDefault="007B2354">
      <w:pPr>
        <w:pStyle w:val="Point1"/>
        <w:ind w:firstLine="0"/>
        <w:rPr>
          <w:noProof/>
        </w:rPr>
      </w:pPr>
      <w:r>
        <w:rPr>
          <w:noProof/>
        </w:rPr>
        <w:t>(h)</w:t>
      </w:r>
      <w:r>
        <w:rPr>
          <w:noProof/>
        </w:rPr>
        <w:tab/>
        <w:t>odloči o uveljavljanju pravic iz člena 41q.“;</w:t>
      </w:r>
    </w:p>
    <w:p w:rsidR="001E2AAD" w:rsidRDefault="007B2354">
      <w:pPr>
        <w:pStyle w:val="Point1letter"/>
        <w:numPr>
          <w:ilvl w:val="3"/>
          <w:numId w:val="21"/>
        </w:numPr>
        <w:rPr>
          <w:noProof/>
        </w:rPr>
      </w:pPr>
      <w:r>
        <w:rPr>
          <w:noProof/>
        </w:rPr>
        <w:t xml:space="preserve">odstavka 3 in 4 se </w:t>
      </w:r>
      <w:r>
        <w:rPr>
          <w:noProof/>
        </w:rPr>
        <w:t>nadomestita z naslednjim:</w:t>
      </w:r>
    </w:p>
    <w:p w:rsidR="001E2AAD" w:rsidRDefault="007B2354">
      <w:pPr>
        <w:pStyle w:val="Point1"/>
        <w:ind w:firstLine="0"/>
        <w:rPr>
          <w:noProof/>
        </w:rPr>
      </w:pPr>
      <w:r>
        <w:rPr>
          <w:noProof/>
        </w:rPr>
        <w:t>„3. Kadar je potrebno zaradi nujnosti, lahko odbor na izvršni seji sprejme nekatere začasne odločitve v imenu skupne plenarne seje odbora ali plenarne seje EMR ali plenarne seje ESJV, zlasti z zvezi z upravnim vodenjem, vključno s</w:t>
      </w:r>
      <w:r>
        <w:rPr>
          <w:noProof/>
        </w:rPr>
        <w:t xml:space="preserve"> proračunskimi zadevami.</w:t>
      </w:r>
    </w:p>
    <w:p w:rsidR="001E2AAD" w:rsidRDefault="007B2354">
      <w:pPr>
        <w:pStyle w:val="Point1"/>
        <w:ind w:firstLine="23"/>
        <w:rPr>
          <w:noProof/>
        </w:rPr>
      </w:pPr>
      <w:r>
        <w:rPr>
          <w:noProof/>
        </w:rPr>
        <w:t>4. Izvršna seja odbora obvešča skupno plenarno sejo ali plenarno sejo EMR ali plenarno sejo ESJV o odločitvah, ki jih sprejme glede reševanja ali jamstva za vloge.“;</w:t>
      </w:r>
    </w:p>
    <w:p w:rsidR="001E2AAD" w:rsidRDefault="007B2354">
      <w:pPr>
        <w:pStyle w:val="ManualNumPar1"/>
        <w:rPr>
          <w:noProof/>
        </w:rPr>
      </w:pPr>
      <w:r>
        <w:t>25.</w:t>
      </w:r>
      <w:r>
        <w:tab/>
      </w:r>
      <w:r>
        <w:rPr>
          <w:noProof/>
        </w:rPr>
        <w:t xml:space="preserve">Člen 56 se spremeni: </w:t>
      </w:r>
    </w:p>
    <w:p w:rsidR="001E2AAD" w:rsidRDefault="007B2354">
      <w:pPr>
        <w:pStyle w:val="Point1letter"/>
        <w:numPr>
          <w:ilvl w:val="3"/>
          <w:numId w:val="59"/>
        </w:numPr>
        <w:rPr>
          <w:noProof/>
        </w:rPr>
      </w:pPr>
      <w:r>
        <w:rPr>
          <w:noProof/>
        </w:rPr>
        <w:t>v odstavku 1 se:</w:t>
      </w:r>
    </w:p>
    <w:p w:rsidR="001E2AAD" w:rsidRDefault="007B2354">
      <w:pPr>
        <w:pStyle w:val="Point2"/>
        <w:rPr>
          <w:noProof/>
        </w:rPr>
      </w:pPr>
      <w:r>
        <w:rPr>
          <w:noProof/>
        </w:rPr>
        <w:t>(i) točka (a) nadomest</w:t>
      </w:r>
      <w:r>
        <w:rPr>
          <w:noProof/>
        </w:rPr>
        <w:t>i z naslednjim:</w:t>
      </w:r>
    </w:p>
    <w:p w:rsidR="001E2AAD" w:rsidRDefault="007B2354">
      <w:pPr>
        <w:pStyle w:val="Point1"/>
        <w:ind w:firstLine="0"/>
        <w:rPr>
          <w:noProof/>
        </w:rPr>
      </w:pPr>
      <w:r>
        <w:rPr>
          <w:noProof/>
        </w:rPr>
        <w:t>„(a) pripravo dela odbora za njegove skupne plenarne seje, plenarne seje EMR in plenarne seje ESJV ter sklic in predsedovanje na sejah;“;</w:t>
      </w:r>
    </w:p>
    <w:p w:rsidR="001E2AAD" w:rsidRDefault="007B2354">
      <w:pPr>
        <w:pStyle w:val="Point1"/>
        <w:ind w:firstLine="23"/>
        <w:rPr>
          <w:noProof/>
        </w:rPr>
      </w:pPr>
      <w:r>
        <w:rPr>
          <w:noProof/>
        </w:rPr>
        <w:t>(ii) v točki (g) se besedna zveza „o dejavnostih reševanja“ nadomesti z besedno zvezo „o dejavnostih r</w:t>
      </w:r>
      <w:r>
        <w:rPr>
          <w:noProof/>
        </w:rPr>
        <w:t>eševanja in dejavnostih v zvezi z jamstvom za vloge“, skupaj s potrebnimi slovničnimi spremembami;</w:t>
      </w:r>
    </w:p>
    <w:p w:rsidR="001E2AAD" w:rsidRDefault="007B2354">
      <w:pPr>
        <w:pStyle w:val="Point1letter"/>
        <w:numPr>
          <w:ilvl w:val="3"/>
          <w:numId w:val="21"/>
        </w:numPr>
        <w:rPr>
          <w:noProof/>
        </w:rPr>
      </w:pPr>
      <w:r>
        <w:rPr>
          <w:noProof/>
        </w:rPr>
        <w:t>v prvem stavku odstavka 4 se besedna zveza „reševanje bank“ nadomesti z besedno zvezo „reševanje bank in jamstvo za vloge“, skupaj s potrebnimi slovničnimi s</w:t>
      </w:r>
      <w:r>
        <w:rPr>
          <w:noProof/>
        </w:rPr>
        <w:t>premembami;</w:t>
      </w:r>
    </w:p>
    <w:p w:rsidR="001E2AAD" w:rsidRDefault="007B2354">
      <w:pPr>
        <w:pStyle w:val="ManualNumPar1"/>
        <w:rPr>
          <w:noProof/>
        </w:rPr>
      </w:pPr>
      <w:r>
        <w:t>26.</w:t>
      </w:r>
      <w:r>
        <w:tab/>
      </w:r>
      <w:r>
        <w:rPr>
          <w:noProof/>
        </w:rPr>
        <w:t>v členu 58 se odstavek 3 nadomesti z naslednjim:</w:t>
      </w:r>
    </w:p>
    <w:p w:rsidR="001E2AAD" w:rsidRDefault="007B2354">
      <w:pPr>
        <w:pStyle w:val="Point1"/>
        <w:ind w:firstLine="0"/>
        <w:rPr>
          <w:noProof/>
        </w:rPr>
      </w:pPr>
      <w:r>
        <w:rPr>
          <w:noProof/>
        </w:rPr>
        <w:t>„3.</w:t>
      </w:r>
      <w:r>
        <w:rPr>
          <w:noProof/>
        </w:rPr>
        <w:tab/>
        <w:t>Proračun je sestavljen iz treh delov: dela I za vodenje odbora, dela II za enotni sklad za reševanje in dela III za jamstveni sklad za vloge.“.</w:t>
      </w:r>
    </w:p>
    <w:p w:rsidR="001E2AAD" w:rsidRDefault="007B2354">
      <w:pPr>
        <w:pStyle w:val="ManualNumPar1"/>
        <w:rPr>
          <w:noProof/>
        </w:rPr>
      </w:pPr>
      <w:r>
        <w:t>27.</w:t>
      </w:r>
      <w:r>
        <w:tab/>
      </w:r>
      <w:r>
        <w:rPr>
          <w:noProof/>
        </w:rPr>
        <w:t>v členu 59 se odstavek 3 nadomesti z na</w:t>
      </w:r>
      <w:r>
        <w:rPr>
          <w:noProof/>
        </w:rPr>
        <w:t>slednjim:</w:t>
      </w:r>
    </w:p>
    <w:p w:rsidR="001E2AAD" w:rsidRDefault="007B2354">
      <w:pPr>
        <w:pStyle w:val="Point1"/>
        <w:ind w:firstLine="0"/>
        <w:rPr>
          <w:noProof/>
        </w:rPr>
      </w:pPr>
      <w:r>
        <w:rPr>
          <w:noProof/>
        </w:rPr>
        <w:t xml:space="preserve">„3. Ta člen ne posega v pravico nacionalnih organov za reševanje, sodelujočega SJV in imenovanih organov, da v skladu z nacionalnim pravom zaračunavajo pristojbine za njihove odhodki za vodenje, ki so takšne vrste, kot so tisti iz odstavkov 1 in </w:t>
      </w:r>
      <w:r>
        <w:rPr>
          <w:noProof/>
        </w:rPr>
        <w:t>2, vključno z odhodki za sodelovanje z odborom in pomoč odboru.“;</w:t>
      </w:r>
    </w:p>
    <w:p w:rsidR="001E2AAD" w:rsidRDefault="007B2354">
      <w:pPr>
        <w:pStyle w:val="ManualNumPar1"/>
        <w:rPr>
          <w:noProof/>
        </w:rPr>
      </w:pPr>
      <w:r>
        <w:t>28.</w:t>
      </w:r>
      <w:r>
        <w:tab/>
      </w:r>
      <w:r>
        <w:rPr>
          <w:noProof/>
        </w:rPr>
        <w:t>vstavi se naslednji člen 60a:</w:t>
      </w:r>
    </w:p>
    <w:p w:rsidR="001E2AAD" w:rsidRDefault="007B2354">
      <w:pPr>
        <w:pStyle w:val="Titrearticle"/>
        <w:spacing w:after="0"/>
        <w:rPr>
          <w:noProof/>
        </w:rPr>
      </w:pPr>
      <w:r>
        <w:rPr>
          <w:noProof/>
        </w:rPr>
        <w:t>„Člen 60a</w:t>
      </w:r>
    </w:p>
    <w:p w:rsidR="001E2AAD" w:rsidRDefault="007B2354">
      <w:pPr>
        <w:pStyle w:val="Titrearticle"/>
        <w:spacing w:before="120"/>
        <w:rPr>
          <w:noProof/>
        </w:rPr>
      </w:pPr>
      <w:r>
        <w:rPr>
          <w:noProof/>
        </w:rPr>
        <w:t>Del III proračuna</w:t>
      </w:r>
    </w:p>
    <w:p w:rsidR="001E2AAD" w:rsidRDefault="007B2354">
      <w:pPr>
        <w:pStyle w:val="ListNumber3"/>
        <w:numPr>
          <w:ilvl w:val="0"/>
          <w:numId w:val="60"/>
        </w:numPr>
        <w:rPr>
          <w:noProof/>
        </w:rPr>
      </w:pPr>
      <w:r>
        <w:rPr>
          <w:noProof/>
        </w:rPr>
        <w:t>Prihodki dela III proračuna so sestavljeni zlasti iz naslednjega:</w:t>
      </w:r>
    </w:p>
    <w:p w:rsidR="001E2AAD" w:rsidRDefault="007B2354">
      <w:pPr>
        <w:pStyle w:val="Point1"/>
        <w:rPr>
          <w:noProof/>
        </w:rPr>
      </w:pPr>
      <w:r>
        <w:rPr>
          <w:noProof/>
        </w:rPr>
        <w:t>(a)</w:t>
      </w:r>
      <w:r>
        <w:rPr>
          <w:noProof/>
        </w:rPr>
        <w:tab/>
        <w:t>prispevkov, ki jih plačajo institucije, vključene v sodelu</w:t>
      </w:r>
      <w:r>
        <w:rPr>
          <w:noProof/>
        </w:rPr>
        <w:t>joče SJV, v skladu s členom 74c in členom 74d;</w:t>
      </w:r>
    </w:p>
    <w:p w:rsidR="001E2AAD" w:rsidRDefault="007B2354">
      <w:pPr>
        <w:pStyle w:val="Point1"/>
        <w:rPr>
          <w:noProof/>
        </w:rPr>
      </w:pPr>
      <w:r>
        <w:rPr>
          <w:noProof/>
        </w:rPr>
        <w:t>(b)</w:t>
      </w:r>
      <w:r>
        <w:rPr>
          <w:noProof/>
        </w:rPr>
        <w:tab/>
        <w:t>posojil, prejetih iz sistemov jamstva za vloge v nesodelujočih državah članicah v skladu s členom 74f;</w:t>
      </w:r>
    </w:p>
    <w:p w:rsidR="001E2AAD" w:rsidRDefault="007B2354">
      <w:pPr>
        <w:pStyle w:val="Point1"/>
        <w:rPr>
          <w:noProof/>
        </w:rPr>
      </w:pPr>
      <w:r>
        <w:rPr>
          <w:noProof/>
        </w:rPr>
        <w:t>(c)</w:t>
      </w:r>
      <w:r>
        <w:rPr>
          <w:noProof/>
        </w:rPr>
        <w:tab/>
        <w:t>posojil, prejetih od finančnih institucij ali drugih tretjih oseb v skladu s členom 74g;</w:t>
      </w:r>
    </w:p>
    <w:p w:rsidR="001E2AAD" w:rsidRDefault="007B2354">
      <w:pPr>
        <w:pStyle w:val="Point1"/>
        <w:rPr>
          <w:noProof/>
        </w:rPr>
      </w:pPr>
      <w:r>
        <w:rPr>
          <w:noProof/>
        </w:rPr>
        <w:t>(d)</w:t>
      </w:r>
      <w:r>
        <w:rPr>
          <w:noProof/>
        </w:rPr>
        <w:tab/>
      </w:r>
      <w:r>
        <w:rPr>
          <w:noProof/>
        </w:rPr>
        <w:t>donosov od naložb sredstev, ki jih ima jamstveni sklad za vloge v skladu s členom 75;</w:t>
      </w:r>
    </w:p>
    <w:p w:rsidR="001E2AAD" w:rsidRDefault="007B2354">
      <w:pPr>
        <w:pStyle w:val="Point1"/>
        <w:rPr>
          <w:noProof/>
        </w:rPr>
      </w:pPr>
      <w:r>
        <w:rPr>
          <w:noProof/>
        </w:rPr>
        <w:t>(e)</w:t>
      </w:r>
      <w:r>
        <w:rPr>
          <w:noProof/>
        </w:rPr>
        <w:tab/>
        <w:t>sredstev, ki so jih povrnili sodelujoči SJV v skladu s členom 41o.</w:t>
      </w:r>
    </w:p>
    <w:p w:rsidR="001E2AAD" w:rsidRDefault="007B2354">
      <w:pPr>
        <w:pStyle w:val="ListNumber3"/>
        <w:numPr>
          <w:ilvl w:val="0"/>
          <w:numId w:val="16"/>
        </w:numPr>
        <w:rPr>
          <w:noProof/>
        </w:rPr>
      </w:pPr>
      <w:r>
        <w:rPr>
          <w:noProof/>
        </w:rPr>
        <w:t>Odhodki dela III proračuna so sestavljeni iz naslednjega:</w:t>
      </w:r>
    </w:p>
    <w:p w:rsidR="001E2AAD" w:rsidRDefault="007B2354">
      <w:pPr>
        <w:pStyle w:val="Point1"/>
        <w:rPr>
          <w:noProof/>
        </w:rPr>
      </w:pPr>
      <w:r>
        <w:rPr>
          <w:noProof/>
        </w:rPr>
        <w:t>(a)</w:t>
      </w:r>
      <w:r>
        <w:rPr>
          <w:noProof/>
        </w:rPr>
        <w:tab/>
        <w:t>sredstev, zagotovljenih sodelujočim S</w:t>
      </w:r>
      <w:r>
        <w:rPr>
          <w:noProof/>
        </w:rPr>
        <w:t>JV za namene člena 41a, člena 41d ali člena 41h;</w:t>
      </w:r>
    </w:p>
    <w:p w:rsidR="001E2AAD" w:rsidRDefault="007B2354">
      <w:pPr>
        <w:pStyle w:val="Point1"/>
        <w:rPr>
          <w:noProof/>
        </w:rPr>
      </w:pPr>
      <w:r>
        <w:rPr>
          <w:noProof/>
        </w:rPr>
        <w:t>(b)</w:t>
      </w:r>
      <w:r>
        <w:rPr>
          <w:noProof/>
        </w:rPr>
        <w:tab/>
        <w:t>naložb v skladu s členom 75;</w:t>
      </w:r>
    </w:p>
    <w:p w:rsidR="001E2AAD" w:rsidRDefault="007B2354">
      <w:pPr>
        <w:pStyle w:val="Point1"/>
        <w:rPr>
          <w:noProof/>
        </w:rPr>
      </w:pPr>
      <w:r>
        <w:rPr>
          <w:noProof/>
        </w:rPr>
        <w:t>(c)</w:t>
      </w:r>
      <w:r>
        <w:rPr>
          <w:noProof/>
        </w:rPr>
        <w:tab/>
        <w:t>obresti, plačanih na posojila, prejeta od drugih shem za financiranje jamstva za vloge v nesodelujočih državah članicah v skladu s členom 74f;</w:t>
      </w:r>
    </w:p>
    <w:p w:rsidR="001E2AAD" w:rsidRDefault="007B2354">
      <w:pPr>
        <w:pStyle w:val="Point1"/>
        <w:rPr>
          <w:noProof/>
        </w:rPr>
      </w:pPr>
      <w:r>
        <w:rPr>
          <w:noProof/>
        </w:rPr>
        <w:t>(d)</w:t>
      </w:r>
      <w:r>
        <w:rPr>
          <w:noProof/>
        </w:rPr>
        <w:tab/>
        <w:t>obresti, plačanih na po</w:t>
      </w:r>
      <w:r>
        <w:rPr>
          <w:noProof/>
        </w:rPr>
        <w:t>sojila, prejeta od finančnih institucij ali drugih tretjih oseb v skladu s členom 74g.“;</w:t>
      </w:r>
    </w:p>
    <w:p w:rsidR="001E2AAD" w:rsidRDefault="007B2354">
      <w:pPr>
        <w:pStyle w:val="ManualNumPar1"/>
        <w:rPr>
          <w:noProof/>
        </w:rPr>
      </w:pPr>
      <w:r>
        <w:t>29.</w:t>
      </w:r>
      <w:r>
        <w:tab/>
      </w:r>
      <w:r>
        <w:rPr>
          <w:noProof/>
        </w:rPr>
        <w:t>v členu 61(2) se besedna zveza „na plenarni seji“ nadomesti z besedno zvezo „na skupni plenarni seji“;</w:t>
      </w:r>
    </w:p>
    <w:p w:rsidR="001E2AAD" w:rsidRDefault="007B2354">
      <w:pPr>
        <w:pStyle w:val="ManualNumPar1"/>
        <w:rPr>
          <w:noProof/>
        </w:rPr>
      </w:pPr>
      <w:r>
        <w:t>30.</w:t>
      </w:r>
      <w:r>
        <w:tab/>
      </w:r>
      <w:r>
        <w:rPr>
          <w:noProof/>
        </w:rPr>
        <w:t>v členu 63(8) se besedna zveza „na plenarni seji“ nadome</w:t>
      </w:r>
      <w:r>
        <w:rPr>
          <w:noProof/>
        </w:rPr>
        <w:t>sti z besedno zvezo „na skupni plenarni seji“;</w:t>
      </w:r>
    </w:p>
    <w:p w:rsidR="001E2AAD" w:rsidRDefault="007B2354">
      <w:pPr>
        <w:pStyle w:val="ManualNumPar1"/>
        <w:rPr>
          <w:noProof/>
        </w:rPr>
      </w:pPr>
      <w:r>
        <w:t>31.</w:t>
      </w:r>
      <w:r>
        <w:tab/>
      </w:r>
      <w:r>
        <w:rPr>
          <w:noProof/>
        </w:rPr>
        <w:t>Člen 65 se spremeni:</w:t>
      </w:r>
    </w:p>
    <w:p w:rsidR="001E2AAD" w:rsidRDefault="007B2354">
      <w:pPr>
        <w:pStyle w:val="Point1letter"/>
        <w:numPr>
          <w:ilvl w:val="3"/>
          <w:numId w:val="61"/>
        </w:numPr>
        <w:rPr>
          <w:noProof/>
        </w:rPr>
      </w:pPr>
      <w:r>
        <w:rPr>
          <w:noProof/>
        </w:rPr>
        <w:t>odstavek 1 se nadomesti z naslednjim:</w:t>
      </w:r>
    </w:p>
    <w:p w:rsidR="001E2AAD" w:rsidRDefault="007B2354">
      <w:pPr>
        <w:pStyle w:val="Point1"/>
        <w:ind w:firstLine="0"/>
        <w:rPr>
          <w:noProof/>
        </w:rPr>
      </w:pPr>
      <w:r>
        <w:rPr>
          <w:noProof/>
        </w:rPr>
        <w:t>„1. Subjekti iz člena 2(1) in člena 2(2)(b) prispevajo v del I proračuna odbora v skladu s to uredbo in delegiranimi akti o prispevkih, sprejetimi</w:t>
      </w:r>
      <w:r>
        <w:rPr>
          <w:noProof/>
        </w:rPr>
        <w:t xml:space="preserve"> v skladu z odstavkom 5 tega člena.“;</w:t>
      </w:r>
    </w:p>
    <w:p w:rsidR="001E2AAD" w:rsidRDefault="007B2354">
      <w:pPr>
        <w:pStyle w:val="Point1letter"/>
        <w:numPr>
          <w:ilvl w:val="3"/>
          <w:numId w:val="21"/>
        </w:numPr>
        <w:rPr>
          <w:noProof/>
        </w:rPr>
      </w:pPr>
      <w:r>
        <w:rPr>
          <w:noProof/>
        </w:rPr>
        <w:t>v odstavku 5 se točka (a) nadomesti z naslednjim:</w:t>
      </w:r>
    </w:p>
    <w:p w:rsidR="001E2AAD" w:rsidRDefault="007B2354">
      <w:pPr>
        <w:pStyle w:val="Point1"/>
        <w:ind w:firstLine="0"/>
        <w:rPr>
          <w:noProof/>
        </w:rPr>
      </w:pPr>
      <w:r>
        <w:rPr>
          <w:noProof/>
        </w:rPr>
        <w:t>„(a) se določijo vrste prispevkov in zadeve, za katere se morajo plačati, ob upoštevanju različnih nalog odbora v skladu s to uredbo za namene enotnega sklada za reševa</w:t>
      </w:r>
      <w:r>
        <w:rPr>
          <w:noProof/>
        </w:rPr>
        <w:t>nje in ESJV, način, kako se izračuna znesek prispevkov, ter način, kako se prispevki plačajo;“;</w:t>
      </w:r>
    </w:p>
    <w:p w:rsidR="001E2AAD" w:rsidRDefault="007B2354">
      <w:pPr>
        <w:pStyle w:val="ManualNumPar1"/>
        <w:rPr>
          <w:noProof/>
        </w:rPr>
      </w:pPr>
      <w:r>
        <w:t>32.</w:t>
      </w:r>
      <w:r>
        <w:tab/>
      </w:r>
      <w:r>
        <w:rPr>
          <w:noProof/>
        </w:rPr>
        <w:t>v naslovu V dela III se naslov poglavja 2 nadomesti z „Enotni sklad za reševanje in jamstveni sklad za vloge“;</w:t>
      </w:r>
    </w:p>
    <w:p w:rsidR="001E2AAD" w:rsidRDefault="007B2354">
      <w:pPr>
        <w:pStyle w:val="ManualNumPar1"/>
        <w:rPr>
          <w:noProof/>
        </w:rPr>
      </w:pPr>
      <w:r>
        <w:t>33.</w:t>
      </w:r>
      <w:r>
        <w:tab/>
      </w:r>
      <w:r>
        <w:rPr>
          <w:noProof/>
        </w:rPr>
        <w:t>v poglavju 2 naslova V dela III se naslov</w:t>
      </w:r>
      <w:r>
        <w:rPr>
          <w:noProof/>
        </w:rPr>
        <w:t xml:space="preserve"> oddelka 1 nadomesti z „Ustanovitev enotnega sklada za reševanje“;</w:t>
      </w:r>
    </w:p>
    <w:p w:rsidR="001E2AAD" w:rsidRDefault="007B2354">
      <w:pPr>
        <w:pStyle w:val="ManualNumPar1"/>
        <w:rPr>
          <w:noProof/>
        </w:rPr>
      </w:pPr>
      <w:r>
        <w:t>34.</w:t>
      </w:r>
      <w:r>
        <w:tab/>
      </w:r>
      <w:r>
        <w:rPr>
          <w:noProof/>
        </w:rPr>
        <w:t>v poglavju 2 naslova V dela III se doda naslednji oddelek:</w:t>
      </w:r>
    </w:p>
    <w:p w:rsidR="001E2AAD" w:rsidRDefault="007B2354">
      <w:pPr>
        <w:pStyle w:val="SectionTitle"/>
        <w:rPr>
          <w:noProof/>
        </w:rPr>
      </w:pPr>
      <w:r>
        <w:rPr>
          <w:noProof/>
        </w:rPr>
        <w:t>„ODDELEK 1a“</w:t>
      </w:r>
      <w:r>
        <w:rPr>
          <w:noProof/>
        </w:rPr>
        <w:br/>
        <w:t>USTANOVITEV JAMSTVENEGA SKLADA ZA VLOGE</w:t>
      </w:r>
    </w:p>
    <w:p w:rsidR="001E2AAD" w:rsidRDefault="007B2354">
      <w:pPr>
        <w:pStyle w:val="Titrearticle"/>
        <w:rPr>
          <w:noProof/>
        </w:rPr>
      </w:pPr>
      <w:bookmarkStart w:id="63" w:name="_Toc431379674"/>
      <w:bookmarkStart w:id="64" w:name="_Toc431379920"/>
      <w:bookmarkStart w:id="65" w:name="_Toc431393040"/>
      <w:bookmarkStart w:id="66" w:name="_Toc431473664"/>
      <w:bookmarkStart w:id="67" w:name="_Toc432693568"/>
      <w:bookmarkStart w:id="68" w:name="_Toc432693631"/>
      <w:r>
        <w:rPr>
          <w:noProof/>
        </w:rPr>
        <w:t>Člen 74a</w:t>
      </w:r>
      <w:r>
        <w:rPr>
          <w:noProof/>
        </w:rPr>
        <w:br/>
        <w:t>Splošne določbe</w:t>
      </w:r>
      <w:bookmarkEnd w:id="63"/>
      <w:bookmarkEnd w:id="64"/>
      <w:bookmarkEnd w:id="65"/>
      <w:bookmarkEnd w:id="66"/>
      <w:bookmarkEnd w:id="67"/>
      <w:bookmarkEnd w:id="68"/>
    </w:p>
    <w:p w:rsidR="001E2AAD" w:rsidRDefault="007B2354">
      <w:pPr>
        <w:pStyle w:val="ListNumber3"/>
        <w:numPr>
          <w:ilvl w:val="0"/>
          <w:numId w:val="62"/>
        </w:numPr>
        <w:rPr>
          <w:noProof/>
        </w:rPr>
      </w:pPr>
      <w:r>
        <w:rPr>
          <w:noProof/>
        </w:rPr>
        <w:t>Ustanovi se jamstveni sklad za vloge. Napolni se</w:t>
      </w:r>
      <w:r>
        <w:rPr>
          <w:noProof/>
        </w:rPr>
        <w:t xml:space="preserve"> s prispevki, ki jih odboru dolgujejo kreditne institucije, vključene v sodelujoče SJV. Prispevke izračunajo in v imenu odbora zanje izstavijo račun sodelujoči SJV.</w:t>
      </w:r>
    </w:p>
    <w:p w:rsidR="001E2AAD" w:rsidRDefault="007B2354">
      <w:pPr>
        <w:pStyle w:val="ListNumber3"/>
        <w:numPr>
          <w:ilvl w:val="0"/>
          <w:numId w:val="16"/>
        </w:numPr>
        <w:rPr>
          <w:noProof/>
        </w:rPr>
      </w:pPr>
      <w:r>
        <w:rPr>
          <w:noProof/>
        </w:rPr>
        <w:t xml:space="preserve">Odbor uporablja jamstveni sklad za vloge samo za zagotavljanje sredstev sodelujočim SJV in </w:t>
      </w:r>
      <w:r>
        <w:rPr>
          <w:noProof/>
        </w:rPr>
        <w:t>kritje njihovih izgub v različnih fazah iz člena 1(2) ter v skladu s cilji in načeli, ki urejajo ESJV, iz člena 6. Proračun Unije in nacionalni proračuni v nobenem primeru niso odgovorni za odhodke ali izgube sklada.</w:t>
      </w:r>
    </w:p>
    <w:p w:rsidR="001E2AAD" w:rsidRDefault="007B2354">
      <w:pPr>
        <w:pStyle w:val="ListNumber3"/>
        <w:numPr>
          <w:ilvl w:val="0"/>
          <w:numId w:val="16"/>
        </w:numPr>
        <w:rPr>
          <w:noProof/>
        </w:rPr>
      </w:pPr>
      <w:r>
        <w:rPr>
          <w:noProof/>
        </w:rPr>
        <w:t>Jamstveni sklad za vloge je v lasti odb</w:t>
      </w:r>
      <w:r>
        <w:rPr>
          <w:noProof/>
        </w:rPr>
        <w:t>ora. Dejavnosti odbora v skladu s to uredbo v nobenem primeru ne smejo pomeniti proračunske obveznosti držav članic.</w:t>
      </w:r>
    </w:p>
    <w:p w:rsidR="001E2AAD" w:rsidRDefault="007B2354">
      <w:pPr>
        <w:pStyle w:val="Titrearticle"/>
        <w:rPr>
          <w:noProof/>
        </w:rPr>
      </w:pPr>
      <w:bookmarkStart w:id="69" w:name="_Toc431393041"/>
      <w:bookmarkStart w:id="70" w:name="_Toc431473665"/>
      <w:bookmarkStart w:id="71" w:name="_Toc432693569"/>
      <w:bookmarkStart w:id="72" w:name="_Toc432693632"/>
      <w:r>
        <w:rPr>
          <w:noProof/>
        </w:rPr>
        <w:t xml:space="preserve">Člen </w:t>
      </w:r>
      <w:bookmarkStart w:id="73" w:name="_Toc431379675"/>
      <w:bookmarkStart w:id="74" w:name="_Toc431379921"/>
      <w:r>
        <w:rPr>
          <w:noProof/>
        </w:rPr>
        <w:t>74b</w:t>
      </w:r>
      <w:r>
        <w:rPr>
          <w:noProof/>
        </w:rPr>
        <w:br/>
        <w:t>Ciljne ravni</w:t>
      </w:r>
      <w:bookmarkEnd w:id="69"/>
      <w:bookmarkEnd w:id="70"/>
      <w:bookmarkEnd w:id="73"/>
      <w:bookmarkEnd w:id="74"/>
      <w:r>
        <w:rPr>
          <w:noProof/>
        </w:rPr>
        <w:t xml:space="preserve"> jamstvenega sklada za vloge</w:t>
      </w:r>
      <w:bookmarkEnd w:id="71"/>
      <w:bookmarkEnd w:id="72"/>
    </w:p>
    <w:p w:rsidR="001E2AAD" w:rsidRDefault="007B2354">
      <w:pPr>
        <w:pStyle w:val="ListNumber3"/>
        <w:numPr>
          <w:ilvl w:val="0"/>
          <w:numId w:val="63"/>
        </w:numPr>
        <w:rPr>
          <w:noProof/>
        </w:rPr>
      </w:pPr>
      <w:r>
        <w:rPr>
          <w:noProof/>
        </w:rPr>
        <w:t>Do konca obdobja pozavarovanja razpoložljiva finančna sredstva jamstvenega sklada za vlog</w:t>
      </w:r>
      <w:r>
        <w:rPr>
          <w:noProof/>
        </w:rPr>
        <w:t>e dosežejo začetno ciljno raven v višini 20 % štirih devetin vsote minimalnih ciljnih ravni, ki jih dosežejo sodelujoči SJV v skladu s prvim pododstavkom člena 10(2) Direktive 2014/49/EU.</w:t>
      </w:r>
    </w:p>
    <w:p w:rsidR="001E2AAD" w:rsidRDefault="007B2354">
      <w:pPr>
        <w:pStyle w:val="ListNumber3"/>
        <w:rPr>
          <w:noProof/>
        </w:rPr>
      </w:pPr>
      <w:r>
        <w:rPr>
          <w:noProof/>
        </w:rPr>
        <w:t xml:space="preserve">Do konca obdobja sozavarovanja razpoložljiva finančna sredstva </w:t>
      </w:r>
      <w:r>
        <w:rPr>
          <w:noProof/>
        </w:rPr>
        <w:t>jamstvenega sklada za vloge dosežejo vsoto minimalnih ciljnih ravni, ki jih dosežejo sodelujoči SJV v skladu s prvim pododstavkom člena 10(2) Direktive 2014/49/EU.</w:t>
      </w:r>
    </w:p>
    <w:p w:rsidR="001E2AAD" w:rsidRDefault="007B2354">
      <w:pPr>
        <w:pStyle w:val="ListNumber3"/>
        <w:rPr>
          <w:noProof/>
        </w:rPr>
      </w:pPr>
      <w:r>
        <w:rPr>
          <w:noProof/>
        </w:rPr>
        <w:t>V obdobjih pozavarovanja in sozavarovanja se prispevki v jamstveni sklad za vloge, izračunan</w:t>
      </w:r>
      <w:r>
        <w:rPr>
          <w:noProof/>
        </w:rPr>
        <w:t>i v skladu s členom 74c, časovno razporedijo kar se da enakomerno, dokler ni dosežena zadevna ciljna raven.</w:t>
      </w:r>
    </w:p>
    <w:p w:rsidR="001E2AAD" w:rsidRDefault="007B2354">
      <w:pPr>
        <w:pStyle w:val="ListNumber3"/>
        <w:rPr>
          <w:noProof/>
        </w:rPr>
      </w:pPr>
      <w:r>
        <w:rPr>
          <w:noProof/>
        </w:rPr>
        <w:t>Ko se prvič doseže ciljna raven iz odstavka 2 in kadar se razpoložljiva finančna sredstva nato zmanjšajo na manj kot dve tretjini ciljne ravni, se p</w:t>
      </w:r>
      <w:r>
        <w:rPr>
          <w:noProof/>
        </w:rPr>
        <w:t>rispevki, izračunani v skladu s členom 74c, določijo tako, da se lahko ciljna raven doseže v šestih letih.</w:t>
      </w:r>
    </w:p>
    <w:p w:rsidR="001E2AAD" w:rsidRDefault="007B2354">
      <w:pPr>
        <w:pStyle w:val="ListNumber3"/>
        <w:rPr>
          <w:noProof/>
        </w:rPr>
      </w:pPr>
      <w:r>
        <w:rPr>
          <w:noProof/>
        </w:rPr>
        <w:t>Na Komisijo se prenese pooblastilo za sprejemanje delegiranih aktov v skladu s členom 93, da določi naslednje:</w:t>
      </w:r>
    </w:p>
    <w:p w:rsidR="001E2AAD" w:rsidRDefault="007B2354">
      <w:pPr>
        <w:pStyle w:val="Point1"/>
        <w:rPr>
          <w:noProof/>
        </w:rPr>
      </w:pPr>
      <w:r>
        <w:rPr>
          <w:noProof/>
        </w:rPr>
        <w:t>(a)</w:t>
      </w:r>
      <w:r>
        <w:rPr>
          <w:noProof/>
        </w:rPr>
        <w:tab/>
        <w:t>merila za časovno razporeditev izr</w:t>
      </w:r>
      <w:r>
        <w:rPr>
          <w:noProof/>
        </w:rPr>
        <w:t>ačunanih prispevkov v jamstveni sklad za vloge v skladu z odstavkom 2;</w:t>
      </w:r>
    </w:p>
    <w:p w:rsidR="001E2AAD" w:rsidRDefault="007B2354">
      <w:pPr>
        <w:pStyle w:val="Point1"/>
        <w:rPr>
          <w:noProof/>
        </w:rPr>
      </w:pPr>
      <w:r>
        <w:rPr>
          <w:noProof/>
        </w:rPr>
        <w:t>(b)</w:t>
      </w:r>
      <w:r>
        <w:rPr>
          <w:noProof/>
        </w:rPr>
        <w:tab/>
        <w:t>merila za določitev letnih prispevkov iz odstavka 4.</w:t>
      </w:r>
    </w:p>
    <w:p w:rsidR="001E2AAD" w:rsidRDefault="007B2354">
      <w:pPr>
        <w:pStyle w:val="Titrearticle"/>
        <w:rPr>
          <w:noProof/>
        </w:rPr>
      </w:pPr>
      <w:bookmarkStart w:id="75" w:name="_Toc431379676"/>
      <w:bookmarkStart w:id="76" w:name="_Toc431379922"/>
      <w:bookmarkStart w:id="77" w:name="_Toc431393042"/>
      <w:bookmarkStart w:id="78" w:name="_Toc431473667"/>
      <w:bookmarkStart w:id="79" w:name="_Toc432693571"/>
      <w:bookmarkStart w:id="80" w:name="_Toc432693634"/>
      <w:r>
        <w:rPr>
          <w:noProof/>
        </w:rPr>
        <w:t>Člen 74c</w:t>
      </w:r>
      <w:r>
        <w:rPr>
          <w:noProof/>
        </w:rPr>
        <w:br/>
        <w:t>Predhodni prispevki</w:t>
      </w:r>
      <w:bookmarkEnd w:id="75"/>
      <w:bookmarkEnd w:id="76"/>
      <w:bookmarkEnd w:id="77"/>
      <w:bookmarkEnd w:id="78"/>
      <w:bookmarkEnd w:id="79"/>
      <w:bookmarkEnd w:id="80"/>
    </w:p>
    <w:p w:rsidR="001E2AAD" w:rsidRDefault="007B2354">
      <w:pPr>
        <w:pStyle w:val="ListNumber3"/>
        <w:numPr>
          <w:ilvl w:val="0"/>
          <w:numId w:val="64"/>
        </w:numPr>
        <w:rPr>
          <w:noProof/>
        </w:rPr>
      </w:pPr>
      <w:r>
        <w:rPr>
          <w:noProof/>
        </w:rPr>
        <w:t>Odbor vsako leto v obdobju pozavarovanja in sozavarovanja po posvetovanju z ECB in nacionalnim pris</w:t>
      </w:r>
      <w:r>
        <w:rPr>
          <w:noProof/>
        </w:rPr>
        <w:t>tojnim organom ter v tesnem sodelovanju s sodelujočimi SJV in imenovanimi organi za vsak sodelujoči SJV določi skupni znesek predhodnih prispevkov, ki jih lahko zahteva od kreditnih institucij, vključenih v zadevni sodelujoči SJV, da doseže ciljne ravni iz</w:t>
      </w:r>
      <w:r>
        <w:rPr>
          <w:noProof/>
        </w:rPr>
        <w:t xml:space="preserve"> člena 74b. Skupni znesek prispevkov ne presega ciljnih ravni iz člena 74b(1) in (2).</w:t>
      </w:r>
    </w:p>
    <w:p w:rsidR="001E2AAD" w:rsidRDefault="007B2354">
      <w:pPr>
        <w:pStyle w:val="ListNumber3"/>
        <w:rPr>
          <w:noProof/>
        </w:rPr>
      </w:pPr>
      <w:r>
        <w:rPr>
          <w:noProof/>
        </w:rPr>
        <w:t xml:space="preserve"> V obdobju pozavarovanja vsak sodelujoči SJV na podlagi skupnega zneska, ki ga določi odbor v skladu z odstavkom 1, izračuna prispevek vsake vanj vključene kreditne insti</w:t>
      </w:r>
      <w:r>
        <w:rPr>
          <w:noProof/>
        </w:rPr>
        <w:t>tucije. Pri tem uporabi metodo na podlagi tveganja, ki je določena v delegiranem aktu v skladu z drugim pododstavkom odstavka 5.</w:t>
      </w:r>
    </w:p>
    <w:p w:rsidR="001E2AAD" w:rsidRDefault="007B2354">
      <w:pPr>
        <w:pStyle w:val="Point0"/>
        <w:ind w:left="993" w:firstLine="0"/>
        <w:rPr>
          <w:noProof/>
        </w:rPr>
      </w:pPr>
      <w:r>
        <w:rPr>
          <w:noProof/>
        </w:rPr>
        <w:t>Odbor po obdobju pozavarovanja sam izračuna prispevek vsake kreditne institucije, vključene v sodelujoči SJV. Odbor uporabi met</w:t>
      </w:r>
      <w:r>
        <w:rPr>
          <w:noProof/>
        </w:rPr>
        <w:t>odo na podlagi tveganja, ki je določena v delegiranem aktu v skladu s tretjim pododstavkom odstavka 5.</w:t>
      </w:r>
    </w:p>
    <w:p w:rsidR="001E2AAD" w:rsidRDefault="007B2354">
      <w:pPr>
        <w:pStyle w:val="Point0"/>
        <w:ind w:left="993" w:firstLine="0"/>
        <w:rPr>
          <w:noProof/>
        </w:rPr>
      </w:pPr>
      <w:r>
        <w:rPr>
          <w:noProof/>
        </w:rPr>
        <w:t>V vseh fazah ESJV sodelujoči SJV v imenu odbora letno izstavijo račun vsaki kreditni instituciji. Kreditne institucije plačajo zaračunani znesek neposred</w:t>
      </w:r>
      <w:r>
        <w:rPr>
          <w:noProof/>
        </w:rPr>
        <w:t>no odboru. Prispevki zapadejo v plačilo vsako leto 31. maja.</w:t>
      </w:r>
    </w:p>
    <w:p w:rsidR="001E2AAD" w:rsidRDefault="007B2354">
      <w:pPr>
        <w:pStyle w:val="ListNumber3"/>
        <w:numPr>
          <w:ilvl w:val="0"/>
          <w:numId w:val="16"/>
        </w:numPr>
        <w:rPr>
          <w:noProof/>
        </w:rPr>
      </w:pPr>
      <w:r>
        <w:rPr>
          <w:noProof/>
        </w:rPr>
        <w:t>Ustrezno prejeti prispevki vsake kreditne institucije iz člena 2(2) se tem subjektom ne povrnejo.</w:t>
      </w:r>
    </w:p>
    <w:p w:rsidR="001E2AAD" w:rsidRDefault="007B2354">
      <w:pPr>
        <w:pStyle w:val="ListNumber3"/>
        <w:rPr>
          <w:noProof/>
        </w:rPr>
      </w:pPr>
      <w:r>
        <w:rPr>
          <w:noProof/>
        </w:rPr>
        <w:t>Prispevki, ki jih kreditne institucije, vključene v sodelujoči SJV, vplačajo v jamstveni sklad za</w:t>
      </w:r>
      <w:r>
        <w:rPr>
          <w:noProof/>
        </w:rPr>
        <w:t xml:space="preserve"> vloge v skladu s tem členom, se upoštevajo pri doseganju minimalne ciljne ravni, ki jo sodelujoči SJV doseže v skladu s prvim pododstavkom člena 10(2) Direktive 2014/49/EU. Če je sodelujoči SJV do 3. julija 2024 ali poznejšega datuma upošteval potek finan</w:t>
      </w:r>
      <w:r>
        <w:rPr>
          <w:noProof/>
        </w:rPr>
        <w:t xml:space="preserve">ciranja iz člena 41j in so vanj vključene kreditne institucije v jamstveni sklad za vloge vplačale vse predhodne prispevke, ki jih je bilo treba vplačati v jamstveni sklad za vloge do 3. julija 2024, ti prispevki pomenijo celoten prispevek, ki ga je treba </w:t>
      </w:r>
      <w:r>
        <w:rPr>
          <w:noProof/>
        </w:rPr>
        <w:t>plačati, da bi se dosegla ciljna raven v skladu s prvim pododstavkom člena 10(2) Direktive 2014/49/EU.</w:t>
      </w:r>
    </w:p>
    <w:p w:rsidR="001E2AAD" w:rsidRDefault="007B2354">
      <w:pPr>
        <w:pStyle w:val="Point0"/>
        <w:ind w:left="993" w:firstLine="0"/>
        <w:rPr>
          <w:noProof/>
        </w:rPr>
      </w:pPr>
      <w:r>
        <w:rPr>
          <w:noProof/>
        </w:rPr>
        <w:t>Države članice lahko sodelujočemu SJV dovolijo, da prispevke, ki so jih vanj vključene kreditne institucije vplačale v jamstveni sklad za vloge, upošteva</w:t>
      </w:r>
      <w:r>
        <w:rPr>
          <w:noProof/>
        </w:rPr>
        <w:t xml:space="preserve"> pri določanju višine njihovih predhodnih prispevkov ali da jim iz svojih razpoložljivih finančnih sredstev povrne zneske, ki presegajo zneske, določene v členu 41j na zadevni datum.</w:t>
      </w:r>
    </w:p>
    <w:p w:rsidR="001E2AAD" w:rsidRDefault="007B2354">
      <w:pPr>
        <w:pStyle w:val="ListNumber3"/>
        <w:numPr>
          <w:ilvl w:val="0"/>
          <w:numId w:val="16"/>
        </w:numPr>
        <w:rPr>
          <w:noProof/>
        </w:rPr>
      </w:pPr>
      <w:r>
        <w:rPr>
          <w:noProof/>
        </w:rPr>
        <w:t>Na Komisijo se prenese pooblastilo za sprejemanje delegiranih aktov v skl</w:t>
      </w:r>
      <w:r>
        <w:rPr>
          <w:noProof/>
        </w:rPr>
        <w:t>adu s členom 93 za določitev metode za izračun prispevkov na podlagi tveganja v skladu z odstavkom 2 tega člena.</w:t>
      </w:r>
    </w:p>
    <w:p w:rsidR="001E2AAD" w:rsidRDefault="007B2354">
      <w:pPr>
        <w:pStyle w:val="Point0"/>
        <w:ind w:left="993" w:firstLine="0"/>
        <w:rPr>
          <w:noProof/>
        </w:rPr>
      </w:pPr>
      <w:r>
        <w:rPr>
          <w:noProof/>
        </w:rPr>
        <w:t xml:space="preserve">Komisija sprejme prvi delegirani akt, v katerem določi metodo za izračun prispevkov, ki jih je treba plačati sodelujočim SJV in samo v obdobju </w:t>
      </w:r>
      <w:r>
        <w:rPr>
          <w:noProof/>
        </w:rPr>
        <w:t>pozavarovanja v jamstveni sklad za vloge. V tem delegiranem aktu izračun temelji na znesku kritih vlog in stopnji tveganja, ki ji je izpostavljena posamezna kreditna institucija v primerjavi z vsemi drugimi kreditnimi institucijami, vključenimi v isti sode</w:t>
      </w:r>
      <w:r>
        <w:rPr>
          <w:noProof/>
        </w:rPr>
        <w:t xml:space="preserve">lujoči SJV. </w:t>
      </w:r>
    </w:p>
    <w:p w:rsidR="001E2AAD" w:rsidRDefault="007B2354">
      <w:pPr>
        <w:pStyle w:val="Point0"/>
        <w:ind w:left="993" w:firstLine="0"/>
        <w:rPr>
          <w:noProof/>
        </w:rPr>
      </w:pPr>
      <w:r>
        <w:rPr>
          <w:noProof/>
        </w:rPr>
        <w:t xml:space="preserve">Komisija sprejme drugi delegirani akt, v katerem določi metodo za izračun prispevkov, ki se vplačajo v jamstveni sklad za vloge od obdobja sozavarovanja. V tem drugem delegiranem aktu izračun temelji na znesku kritih vlog in stopnji tveganja, </w:t>
      </w:r>
      <w:r>
        <w:rPr>
          <w:noProof/>
        </w:rPr>
        <w:t>ki ji je izpostavljena posamezna kreditna institucija v primerjavi z vsemi drugimi kreditnimi institucijami iz točke (b) člena 2(2).</w:t>
      </w:r>
    </w:p>
    <w:p w:rsidR="001E2AAD" w:rsidRDefault="007B2354">
      <w:pPr>
        <w:pStyle w:val="Point0"/>
        <w:ind w:left="993" w:firstLine="0"/>
        <w:rPr>
          <w:noProof/>
        </w:rPr>
      </w:pPr>
      <w:r>
        <w:rPr>
          <w:noProof/>
        </w:rPr>
        <w:t>Oba delegirana akta vključujeta formulo za izračun, specifične kazalnike, razrede tveganja za člane, prage za uteži tveganj</w:t>
      </w:r>
      <w:r>
        <w:rPr>
          <w:noProof/>
        </w:rPr>
        <w:t>, pripisane posameznim razredom tveganj, in druge potrebne elemente. Stopnja tveganja se oceni na podlagi naslednjih meril:</w:t>
      </w:r>
    </w:p>
    <w:p w:rsidR="001E2AAD" w:rsidRDefault="007B2354">
      <w:pPr>
        <w:pStyle w:val="Point1"/>
        <w:rPr>
          <w:noProof/>
        </w:rPr>
      </w:pPr>
      <w:r>
        <w:rPr>
          <w:noProof/>
        </w:rPr>
        <w:t>(a)</w:t>
      </w:r>
      <w:r>
        <w:rPr>
          <w:noProof/>
        </w:rPr>
        <w:tab/>
        <w:t>raven zmožnosti institucije za pokrivanje izgub;</w:t>
      </w:r>
    </w:p>
    <w:p w:rsidR="001E2AAD" w:rsidRDefault="007B2354">
      <w:pPr>
        <w:pStyle w:val="Point1"/>
        <w:rPr>
          <w:noProof/>
        </w:rPr>
      </w:pPr>
      <w:r>
        <w:rPr>
          <w:noProof/>
        </w:rPr>
        <w:t>(b)</w:t>
      </w:r>
      <w:r>
        <w:rPr>
          <w:noProof/>
        </w:rPr>
        <w:tab/>
        <w:t>zmogljivost institucije za izpolnjevanje kratkoročnih in dolgoročnih obvezn</w:t>
      </w:r>
      <w:r>
        <w:rPr>
          <w:noProof/>
        </w:rPr>
        <w:t>osti;</w:t>
      </w:r>
    </w:p>
    <w:p w:rsidR="001E2AAD" w:rsidRDefault="007B2354">
      <w:pPr>
        <w:pStyle w:val="Point1"/>
        <w:rPr>
          <w:noProof/>
        </w:rPr>
      </w:pPr>
      <w:r>
        <w:rPr>
          <w:noProof/>
        </w:rPr>
        <w:t>(c)</w:t>
      </w:r>
      <w:r>
        <w:rPr>
          <w:noProof/>
        </w:rPr>
        <w:tab/>
        <w:t>stabilnost in raznolikost virov financiranja institucije ter njena neobremenjena visoko likvidna sredstva;</w:t>
      </w:r>
    </w:p>
    <w:p w:rsidR="001E2AAD" w:rsidRDefault="007B2354">
      <w:pPr>
        <w:pStyle w:val="Point1"/>
        <w:rPr>
          <w:noProof/>
        </w:rPr>
      </w:pPr>
      <w:r>
        <w:rPr>
          <w:noProof/>
        </w:rPr>
        <w:t>(d)</w:t>
      </w:r>
      <w:r>
        <w:rPr>
          <w:noProof/>
        </w:rPr>
        <w:tab/>
        <w:t>kakovost sredstev institucije;</w:t>
      </w:r>
    </w:p>
    <w:p w:rsidR="001E2AAD" w:rsidRDefault="007B2354">
      <w:pPr>
        <w:pStyle w:val="Point1"/>
        <w:rPr>
          <w:noProof/>
        </w:rPr>
      </w:pPr>
      <w:r>
        <w:rPr>
          <w:noProof/>
        </w:rPr>
        <w:t>(e)</w:t>
      </w:r>
      <w:r>
        <w:rPr>
          <w:noProof/>
        </w:rPr>
        <w:tab/>
        <w:t>poslovni model in upravljanje institucije;</w:t>
      </w:r>
    </w:p>
    <w:p w:rsidR="001E2AAD" w:rsidRDefault="007B2354">
      <w:pPr>
        <w:pStyle w:val="Point1"/>
        <w:rPr>
          <w:noProof/>
        </w:rPr>
      </w:pPr>
      <w:r>
        <w:rPr>
          <w:noProof/>
        </w:rPr>
        <w:t>(f)</w:t>
      </w:r>
      <w:r>
        <w:rPr>
          <w:noProof/>
        </w:rPr>
        <w:tab/>
        <w:t>stopnja obremenjenosti sredstev institucije.</w:t>
      </w:r>
    </w:p>
    <w:p w:rsidR="001E2AAD" w:rsidRDefault="001E2AAD">
      <w:pPr>
        <w:pStyle w:val="Text1"/>
        <w:rPr>
          <w:noProof/>
        </w:rPr>
      </w:pPr>
    </w:p>
    <w:p w:rsidR="001E2AAD" w:rsidRDefault="007B2354">
      <w:pPr>
        <w:pStyle w:val="Titrearticle"/>
        <w:rPr>
          <w:noProof/>
        </w:rPr>
      </w:pPr>
      <w:bookmarkStart w:id="81" w:name="_Toc431473668"/>
      <w:bookmarkStart w:id="82" w:name="_Toc431393043"/>
      <w:bookmarkStart w:id="83" w:name="_Toc432693572"/>
      <w:bookmarkStart w:id="84" w:name="_Toc432693635"/>
      <w:r>
        <w:rPr>
          <w:noProof/>
        </w:rPr>
        <w:t>Člen 74</w:t>
      </w:r>
      <w:r>
        <w:rPr>
          <w:noProof/>
        </w:rPr>
        <w:t>d</w:t>
      </w:r>
      <w:r>
        <w:rPr>
          <w:noProof/>
        </w:rPr>
        <w:br/>
        <w:t>Izredni naknadni prispevki</w:t>
      </w:r>
      <w:bookmarkEnd w:id="81"/>
      <w:bookmarkEnd w:id="82"/>
      <w:bookmarkEnd w:id="83"/>
      <w:bookmarkEnd w:id="84"/>
    </w:p>
    <w:p w:rsidR="001E2AAD" w:rsidRDefault="007B2354">
      <w:pPr>
        <w:pStyle w:val="ListNumber3"/>
        <w:numPr>
          <w:ilvl w:val="0"/>
          <w:numId w:val="65"/>
        </w:numPr>
        <w:rPr>
          <w:noProof/>
        </w:rPr>
      </w:pPr>
      <w:r>
        <w:rPr>
          <w:noProof/>
        </w:rPr>
        <w:t xml:space="preserve">Kadar razpoložljiva finančna sredstva po obdobju pozavarovanja ne zadoščajo za kritje izgub, stroškov ali drugih odhodkov, ki jih ima jamstveni sklad za vloge po dogodku, ki povzroči izplačilo, se od kreditnih institucij, </w:t>
      </w:r>
      <w:r>
        <w:rPr>
          <w:noProof/>
        </w:rPr>
        <w:t>vključenih v sodelujoče SJV, zberejo izredni naknadni prispevki za kritje dodatnih zneskov. Ne glede na odstavka 2 in 3 je znesek naknadnih prispevkov, ki ga je treba zbrati, enak primanjkljaju razpoložljivih finančnih sredstev, vendar ne presega najvišjeg</w:t>
      </w:r>
      <w:r>
        <w:rPr>
          <w:noProof/>
        </w:rPr>
        <w:t>a deleža skupnih kritih vlog v vseh kreditnih institucijah znotraj ESJV, določenega v delegiranem aktu Komisije v skladu z odstavkom 5.</w:t>
      </w:r>
    </w:p>
    <w:p w:rsidR="001E2AAD" w:rsidRDefault="007B2354">
      <w:pPr>
        <w:pStyle w:val="ListNumber3"/>
        <w:numPr>
          <w:ilvl w:val="0"/>
          <w:numId w:val="16"/>
        </w:numPr>
        <w:rPr>
          <w:noProof/>
        </w:rPr>
      </w:pPr>
      <w:r>
        <w:rPr>
          <w:noProof/>
        </w:rPr>
        <w:t>Odbor sam izračuna prispevek vsake kreditne institucije, vključene v vsak posamezni sodelujoči SJV. Pri tem uporabi meto</w:t>
      </w:r>
      <w:r>
        <w:rPr>
          <w:noProof/>
        </w:rPr>
        <w:t>do na podlagi tveganja, določeno v delegiranem aktu, ki ga sprejme Komisija v skladu s tretjim pododstavkom člena 74c(5).</w:t>
      </w:r>
    </w:p>
    <w:p w:rsidR="001E2AAD" w:rsidRDefault="007B2354">
      <w:pPr>
        <w:pStyle w:val="Point0"/>
        <w:ind w:firstLine="143"/>
        <w:rPr>
          <w:noProof/>
        </w:rPr>
      </w:pPr>
      <w:r>
        <w:rPr>
          <w:noProof/>
        </w:rPr>
        <w:t>Smiselno se uporablja tretji pododstavek člena 74c(2).</w:t>
      </w:r>
    </w:p>
    <w:p w:rsidR="001E2AAD" w:rsidRDefault="007B2354">
      <w:pPr>
        <w:pStyle w:val="ListNumber3"/>
        <w:numPr>
          <w:ilvl w:val="0"/>
          <w:numId w:val="16"/>
        </w:numPr>
        <w:rPr>
          <w:noProof/>
        </w:rPr>
      </w:pPr>
      <w:r>
        <w:rPr>
          <w:noProof/>
        </w:rPr>
        <w:t>Odbor v skladu z delegiranimi akti iz odstavka 4 na lastno pobudo po posvetovan</w:t>
      </w:r>
      <w:r>
        <w:rPr>
          <w:noProof/>
        </w:rPr>
        <w:t>ju z zadevnim pristojnim organom ali na predlog zadevnega pristojnega organa za institucijo v celoti ali delno odloži obveznost plačila naknadnih prispevkov, če je to potrebno, da se zaščiti njen finančni položaj. Tak odlog se odobri za največ šest mesecev</w:t>
      </w:r>
      <w:r>
        <w:rPr>
          <w:noProof/>
        </w:rPr>
        <w:t>, vendar se lahko na prošnjo institucije obnovi. Prispevki, odloženi v skladu s tem odstavkom, se plačajo naknadno, ko plačilo ne ogroža več finančnega položaja institucije.</w:t>
      </w:r>
    </w:p>
    <w:p w:rsidR="001E2AAD" w:rsidRDefault="007B2354">
      <w:pPr>
        <w:pStyle w:val="ListNumber3"/>
        <w:numPr>
          <w:ilvl w:val="0"/>
          <w:numId w:val="16"/>
        </w:numPr>
        <w:rPr>
          <w:noProof/>
        </w:rPr>
      </w:pPr>
      <w:r>
        <w:rPr>
          <w:noProof/>
        </w:rPr>
        <w:t>Na Komisijo se prenese pooblastilo za sprejemanje delegiranih aktov v skladu s čle</w:t>
      </w:r>
      <w:r>
        <w:rPr>
          <w:noProof/>
        </w:rPr>
        <w:t>nom 93, da določi letne omejitve iz odstavka 1 ter razmere in pogoje, na podlagi katerih se lahko za subjekt iz člena 2(2)(b) v skladu z odstavkom 3 tega člena deloma ali v celoti odloži plačilo naknadnih prispevkov.</w:t>
      </w:r>
    </w:p>
    <w:p w:rsidR="001E2AAD" w:rsidRDefault="007B2354">
      <w:pPr>
        <w:pStyle w:val="Titrearticle"/>
        <w:rPr>
          <w:noProof/>
        </w:rPr>
      </w:pPr>
      <w:r>
        <w:rPr>
          <w:noProof/>
        </w:rPr>
        <w:t>Člen 74e</w:t>
      </w:r>
      <w:r>
        <w:rPr>
          <w:noProof/>
        </w:rPr>
        <w:br/>
        <w:t>Izvajanje odločitev iz te ured</w:t>
      </w:r>
      <w:r>
        <w:rPr>
          <w:noProof/>
        </w:rPr>
        <w:t>be</w:t>
      </w:r>
    </w:p>
    <w:p w:rsidR="001E2AAD" w:rsidRDefault="007B2354">
      <w:pPr>
        <w:pStyle w:val="ListNumber3"/>
        <w:numPr>
          <w:ilvl w:val="0"/>
          <w:numId w:val="66"/>
        </w:numPr>
        <w:rPr>
          <w:noProof/>
        </w:rPr>
      </w:pPr>
      <w:r>
        <w:rPr>
          <w:noProof/>
        </w:rPr>
        <w:t>Sodelujoči SJV sprejme potrebne ukrepe za izvajanje odločitev iz te uredbe.</w:t>
      </w:r>
    </w:p>
    <w:p w:rsidR="001E2AAD" w:rsidRDefault="007B2354">
      <w:pPr>
        <w:pStyle w:val="Text1"/>
        <w:ind w:left="960"/>
        <w:rPr>
          <w:noProof/>
        </w:rPr>
      </w:pPr>
      <w:r>
        <w:rPr>
          <w:noProof/>
        </w:rPr>
        <w:t>Ob upoštevanju te uredbe sodelujoči SJV izvaja svoja pooblastila v skladu z nacionalnim pravom, s katerim se prenese Direktiva 2014/49/EU, in deluje v skladu s pogoji, določenim</w:t>
      </w:r>
      <w:r>
        <w:rPr>
          <w:noProof/>
        </w:rPr>
        <w:t>i v nacionalnem pravu. Sodelujoči SJV odbor v celoti obvešča o izvajanju teh pooblastil.</w:t>
      </w:r>
    </w:p>
    <w:p w:rsidR="001E2AAD" w:rsidRDefault="007B2354">
      <w:pPr>
        <w:pStyle w:val="ListNumber3"/>
        <w:numPr>
          <w:ilvl w:val="0"/>
          <w:numId w:val="16"/>
        </w:numPr>
        <w:rPr>
          <w:noProof/>
        </w:rPr>
      </w:pPr>
      <w:r>
        <w:rPr>
          <w:noProof/>
        </w:rPr>
        <w:t>Če sodelujoči SJV ni izvršil odločitve odbora na podlagi te uredbe ali ni ravnal v skladu z njo ali jo je izvršil na način, ki ogroža učinkovito izvajanje ESJV in cilj</w:t>
      </w:r>
      <w:r>
        <w:rPr>
          <w:noProof/>
        </w:rPr>
        <w:t>e te uredbe, lahko odbor sodelujočemu SJV naloži, naj sprejme vse potrebne ukrepe za upoštevanje zadevne odločitve.</w:t>
      </w:r>
    </w:p>
    <w:p w:rsidR="001E2AAD" w:rsidRDefault="007B2354">
      <w:pPr>
        <w:pStyle w:val="ListNumber3"/>
        <w:numPr>
          <w:ilvl w:val="0"/>
          <w:numId w:val="16"/>
        </w:numPr>
        <w:rPr>
          <w:noProof/>
        </w:rPr>
      </w:pPr>
      <w:r>
        <w:rPr>
          <w:noProof/>
        </w:rPr>
        <w:t>Če je sodelujoči SJV na vključeno kreditno institucijo naslovil odločitev, vključno z izdajo računa za plačilo prispevka, in kreditna instit</w:t>
      </w:r>
      <w:r>
        <w:rPr>
          <w:noProof/>
        </w:rPr>
        <w:t>ucija namerno ali iz malomarnosti ni upoštevala te odločitve, odbor sprejme odločitev o naložitvi globe kreditni instituciji v skladu s členom 38.</w:t>
      </w:r>
    </w:p>
    <w:p w:rsidR="001E2AAD" w:rsidRDefault="007B2354">
      <w:pPr>
        <w:pStyle w:val="Titrearticle"/>
        <w:rPr>
          <w:noProof/>
        </w:rPr>
      </w:pPr>
      <w:bookmarkStart w:id="85" w:name="_Toc431393044"/>
      <w:bookmarkStart w:id="86" w:name="_Toc431473669"/>
      <w:bookmarkStart w:id="87" w:name="_Toc432693573"/>
      <w:bookmarkStart w:id="88" w:name="_Toc432693636"/>
      <w:r>
        <w:rPr>
          <w:noProof/>
        </w:rPr>
        <w:t>Člen 74f</w:t>
      </w:r>
      <w:r>
        <w:rPr>
          <w:noProof/>
        </w:rPr>
        <w:br/>
        <w:t>Prostovoljno posojanje nesodelujočim SJV</w:t>
      </w:r>
      <w:bookmarkEnd w:id="85"/>
      <w:bookmarkEnd w:id="86"/>
      <w:bookmarkEnd w:id="87"/>
      <w:bookmarkEnd w:id="88"/>
      <w:r>
        <w:rPr>
          <w:noProof/>
        </w:rPr>
        <w:t xml:space="preserve"> in izposojanje od njih</w:t>
      </w:r>
    </w:p>
    <w:p w:rsidR="001E2AAD" w:rsidRDefault="007B2354">
      <w:pPr>
        <w:pStyle w:val="ListNumber3"/>
        <w:numPr>
          <w:ilvl w:val="0"/>
          <w:numId w:val="67"/>
        </w:numPr>
        <w:rPr>
          <w:noProof/>
        </w:rPr>
      </w:pPr>
      <w:r>
        <w:rPr>
          <w:noProof/>
        </w:rPr>
        <w:t>Odbor se odloči, da sheme jamstva za</w:t>
      </w:r>
      <w:r>
        <w:rPr>
          <w:noProof/>
        </w:rPr>
        <w:t xml:space="preserve"> vloge v nesodelujočih državah članicah zaprosi za posojilo za jamstveni sklad za vloge, če:</w:t>
      </w:r>
    </w:p>
    <w:p w:rsidR="001E2AAD" w:rsidRDefault="007B2354">
      <w:pPr>
        <w:pStyle w:val="Point1"/>
        <w:rPr>
          <w:noProof/>
        </w:rPr>
      </w:pPr>
      <w:r>
        <w:rPr>
          <w:noProof/>
        </w:rPr>
        <w:t>(a)</w:t>
      </w:r>
      <w:r>
        <w:rPr>
          <w:noProof/>
        </w:rPr>
        <w:tab/>
        <w:t>zneski, zbrani na podlagi člena 74c, ne zadoščajo za kritje izgub, stroškov ali drugih odhodkov, nastalih zaradi uporabe jamstvenega sklada za vloge v povezavi</w:t>
      </w:r>
      <w:r>
        <w:rPr>
          <w:noProof/>
        </w:rPr>
        <w:t xml:space="preserve"> z ukrepi za reševanje;</w:t>
      </w:r>
    </w:p>
    <w:p w:rsidR="001E2AAD" w:rsidRDefault="007B2354">
      <w:pPr>
        <w:pStyle w:val="Point1"/>
        <w:rPr>
          <w:noProof/>
        </w:rPr>
      </w:pPr>
      <w:r>
        <w:rPr>
          <w:noProof/>
        </w:rPr>
        <w:t>(b)</w:t>
      </w:r>
      <w:r>
        <w:rPr>
          <w:noProof/>
        </w:rPr>
        <w:tab/>
        <w:t xml:space="preserve">izredni naknadni prispevki, določeni v členu 74d, niso takoj dostopni; </w:t>
      </w:r>
    </w:p>
    <w:p w:rsidR="001E2AAD" w:rsidRDefault="007B2354">
      <w:pPr>
        <w:pStyle w:val="Point1"/>
        <w:rPr>
          <w:noProof/>
        </w:rPr>
      </w:pPr>
      <w:r>
        <w:rPr>
          <w:noProof/>
        </w:rPr>
        <w:t>(c)</w:t>
      </w:r>
      <w:r>
        <w:rPr>
          <w:noProof/>
        </w:rPr>
        <w:tab/>
        <w:t>alternativni viri financiranja, določeni v členu 74g, niso takoj dostopni pod razumnimi pogoji.</w:t>
      </w:r>
    </w:p>
    <w:p w:rsidR="001E2AAD" w:rsidRDefault="007B2354">
      <w:pPr>
        <w:pStyle w:val="ListNumber3"/>
        <w:numPr>
          <w:ilvl w:val="0"/>
          <w:numId w:val="16"/>
        </w:numPr>
        <w:rPr>
          <w:noProof/>
        </w:rPr>
      </w:pPr>
      <w:r>
        <w:rPr>
          <w:noProof/>
        </w:rPr>
        <w:t>Navedene sheme jamstva za vloge odločijo o takem zaprosi</w:t>
      </w:r>
      <w:r>
        <w:rPr>
          <w:noProof/>
        </w:rPr>
        <w:t>lu v skladu s členom 12 Direktive 2014/49/EU.</w:t>
      </w:r>
    </w:p>
    <w:p w:rsidR="001E2AAD" w:rsidRDefault="007B2354">
      <w:pPr>
        <w:pStyle w:val="ListNumber3"/>
        <w:numPr>
          <w:ilvl w:val="0"/>
          <w:numId w:val="16"/>
        </w:numPr>
        <w:rPr>
          <w:noProof/>
        </w:rPr>
      </w:pPr>
      <w:r>
        <w:rPr>
          <w:noProof/>
        </w:rPr>
        <w:t>Odbor se lahko odloči za posojanje drugim sistemom jamstva za vloge v nesodelujočih državah članicah na njihovo zaprosilo. Člen 12 Direktive 2014/49/EU se smiselno uporablja v zvezi s pogoji najemanja posojil.</w:t>
      </w:r>
    </w:p>
    <w:p w:rsidR="001E2AAD" w:rsidRDefault="007B2354">
      <w:pPr>
        <w:pStyle w:val="Titrearticle"/>
        <w:rPr>
          <w:noProof/>
        </w:rPr>
      </w:pPr>
      <w:bookmarkStart w:id="89" w:name="_Toc431379681"/>
      <w:bookmarkStart w:id="90" w:name="_Toc431379927"/>
      <w:bookmarkStart w:id="91" w:name="_Toc431393045"/>
      <w:bookmarkStart w:id="92" w:name="_Toc431473670"/>
      <w:bookmarkStart w:id="93" w:name="_Toc432693574"/>
      <w:bookmarkStart w:id="94" w:name="_Toc432693637"/>
      <w:r>
        <w:rPr>
          <w:noProof/>
        </w:rPr>
        <w:t>Člen 74g</w:t>
      </w:r>
      <w:r>
        <w:rPr>
          <w:noProof/>
        </w:rPr>
        <w:br/>
        <w:t>Alternativna sredstva financiranja</w:t>
      </w:r>
      <w:bookmarkEnd w:id="89"/>
      <w:bookmarkEnd w:id="90"/>
      <w:bookmarkEnd w:id="91"/>
      <w:bookmarkEnd w:id="92"/>
      <w:bookmarkEnd w:id="93"/>
      <w:bookmarkEnd w:id="94"/>
    </w:p>
    <w:p w:rsidR="001E2AAD" w:rsidRDefault="007B2354">
      <w:pPr>
        <w:pStyle w:val="ListNumber3"/>
        <w:numPr>
          <w:ilvl w:val="0"/>
          <w:numId w:val="68"/>
        </w:numPr>
        <w:rPr>
          <w:noProof/>
        </w:rPr>
      </w:pPr>
      <w:r>
        <w:rPr>
          <w:noProof/>
        </w:rPr>
        <w:t>Odbor lahko za jamstveni sklad za vloge najame posojila ali druge oblike pomoči od institucij, finančnih institucij ali drugih tretjih oseb, ki ponujajo boljše finančne pogoje, ob najustreznejšem času, da optimiz</w:t>
      </w:r>
      <w:r>
        <w:rPr>
          <w:noProof/>
        </w:rPr>
        <w:t>ira stroške financiranja in ohrani svoj ugled. Prihodki od takšnih posojil se uporabijo izključno za izpolnitev plačilnih obveznosti do sodelujočih SJV, če zneski, zbrani v skladu s členoma 74c in 74d, niso takoj dostopni ali ne zadoščajo za kritje zneskov</w:t>
      </w:r>
      <w:r>
        <w:rPr>
          <w:noProof/>
        </w:rPr>
        <w:t xml:space="preserve"> izplačil, ki se zahtevajo od jamstvenega sklada za vloge v zvezi z dogodki, ki povzročijo izplačilo.</w:t>
      </w:r>
    </w:p>
    <w:p w:rsidR="001E2AAD" w:rsidRDefault="007B2354">
      <w:pPr>
        <w:pStyle w:val="ListNumber3"/>
        <w:numPr>
          <w:ilvl w:val="0"/>
          <w:numId w:val="16"/>
        </w:numPr>
        <w:rPr>
          <w:noProof/>
        </w:rPr>
      </w:pPr>
      <w:r>
        <w:rPr>
          <w:noProof/>
        </w:rPr>
        <w:t>Posojila ali druge oblike podpore iz odstavka 1 se v celoti povrnejo v skladu s členoma 74c in 74d.</w:t>
      </w:r>
    </w:p>
    <w:p w:rsidR="001E2AAD" w:rsidRDefault="007B2354">
      <w:pPr>
        <w:pStyle w:val="ListNumber3"/>
        <w:numPr>
          <w:ilvl w:val="0"/>
          <w:numId w:val="16"/>
        </w:numPr>
        <w:rPr>
          <w:noProof/>
        </w:rPr>
      </w:pPr>
      <w:r>
        <w:rPr>
          <w:noProof/>
        </w:rPr>
        <w:t>Vsi odhodki na podlagi uporabe posojil iz odstavka 1 s</w:t>
      </w:r>
      <w:r>
        <w:rPr>
          <w:noProof/>
        </w:rPr>
        <w:t>e krijejo iz dela III proračuna odbora, ne pa iz proračuna Unije ali sodelujočih držav članic.</w:t>
      </w:r>
    </w:p>
    <w:p w:rsidR="001E2AAD" w:rsidRDefault="007B2354">
      <w:pPr>
        <w:pStyle w:val="ListNumber3"/>
        <w:numPr>
          <w:ilvl w:val="0"/>
          <w:numId w:val="16"/>
        </w:numPr>
        <w:rPr>
          <w:noProof/>
        </w:rPr>
      </w:pPr>
      <w:r>
        <w:rPr>
          <w:noProof/>
        </w:rPr>
        <w:t>Odbor se lahko odloči za vlaganje prihodkov od posojil v skladu s členom 75 za zaščito njihove realne vrednosti.“;</w:t>
      </w:r>
    </w:p>
    <w:p w:rsidR="001E2AAD" w:rsidRDefault="007B2354">
      <w:pPr>
        <w:pStyle w:val="ManualNumPar1"/>
        <w:rPr>
          <w:noProof/>
        </w:rPr>
      </w:pPr>
      <w:r>
        <w:t>35.</w:t>
      </w:r>
      <w:r>
        <w:tab/>
      </w:r>
      <w:r>
        <w:rPr>
          <w:noProof/>
        </w:rPr>
        <w:t xml:space="preserve">v poglavju 2 naslova V dela III se naslov </w:t>
      </w:r>
      <w:r>
        <w:rPr>
          <w:noProof/>
        </w:rPr>
        <w:t>oddelka 2 nadomesti z „Upravljanje enotnega sklada za reševanje in jamstvenega sklada za vloge“;</w:t>
      </w:r>
    </w:p>
    <w:p w:rsidR="001E2AAD" w:rsidRDefault="007B2354">
      <w:pPr>
        <w:pStyle w:val="ManualNumPar1"/>
        <w:rPr>
          <w:noProof/>
        </w:rPr>
      </w:pPr>
      <w:r>
        <w:t>36.</w:t>
      </w:r>
      <w:r>
        <w:tab/>
      </w:r>
      <w:r>
        <w:rPr>
          <w:noProof/>
        </w:rPr>
        <w:t>člen 75 se nadomesti z naslednjim:</w:t>
      </w:r>
    </w:p>
    <w:p w:rsidR="001E2AAD" w:rsidRDefault="007B2354">
      <w:pPr>
        <w:pStyle w:val="Titrearticle"/>
        <w:rPr>
          <w:noProof/>
        </w:rPr>
      </w:pPr>
      <w:r>
        <w:rPr>
          <w:noProof/>
        </w:rPr>
        <w:t>„Člen 75</w:t>
      </w:r>
      <w:r>
        <w:rPr>
          <w:noProof/>
        </w:rPr>
        <w:br/>
        <w:t>Naložbe</w:t>
      </w:r>
    </w:p>
    <w:p w:rsidR="001E2AAD" w:rsidRDefault="007B2354">
      <w:pPr>
        <w:pStyle w:val="ListNumber3"/>
        <w:numPr>
          <w:ilvl w:val="0"/>
          <w:numId w:val="69"/>
        </w:numPr>
        <w:rPr>
          <w:noProof/>
        </w:rPr>
      </w:pPr>
      <w:r>
        <w:rPr>
          <w:noProof/>
        </w:rPr>
        <w:t xml:space="preserve">Odbor upravlja enotni sklad za reševanje in jamstveni sklad za vloge v skladu s to uredbo in </w:t>
      </w:r>
      <w:r>
        <w:rPr>
          <w:noProof/>
        </w:rPr>
        <w:t>delegiranimi akti, sprejetimi v skladu z odstavkom 4.</w:t>
      </w:r>
    </w:p>
    <w:p w:rsidR="001E2AAD" w:rsidRDefault="007B2354">
      <w:pPr>
        <w:pStyle w:val="ListNumber3"/>
        <w:numPr>
          <w:ilvl w:val="0"/>
          <w:numId w:val="16"/>
        </w:numPr>
        <w:rPr>
          <w:noProof/>
        </w:rPr>
      </w:pPr>
      <w:r>
        <w:rPr>
          <w:noProof/>
        </w:rPr>
        <w:t>Zneski, prejeti od institucije v postopku reševanja ali premostitvene institucije, obresti in drugi dobički iz naložb ter vsi drugi dobički pripadajo izključno enotnemu skladu za reševanje in jamstvenem</w:t>
      </w:r>
      <w:r>
        <w:rPr>
          <w:noProof/>
        </w:rPr>
        <w:t>u skladu za vloge.</w:t>
      </w:r>
    </w:p>
    <w:p w:rsidR="001E2AAD" w:rsidRDefault="007B2354">
      <w:pPr>
        <w:pStyle w:val="ListNumber3"/>
        <w:numPr>
          <w:ilvl w:val="0"/>
          <w:numId w:val="16"/>
        </w:numPr>
        <w:rPr>
          <w:noProof/>
        </w:rPr>
      </w:pPr>
      <w:r>
        <w:rPr>
          <w:noProof/>
        </w:rPr>
        <w:t>Odbor vodi preudarno in varno naložbeno strategijo, opredeljeno v delegiranih aktih, sprejetih na podlagi odstavka 4 tega člena, in zneske, ki jih imata enotni sklad za reševanje in jamstveni sklad za vloge, nalaga v obveznice držav član</w:t>
      </w:r>
      <w:r>
        <w:rPr>
          <w:noProof/>
        </w:rPr>
        <w:t>ic ali medvladnih organizacij ali v visoko likvidna sredstva visoke kreditne kvalitete, pri čemer upošteva delegirani akt iz člena 460 Uredbe (EU) št. 575/2013, pa tudi druge ustrezne določbe navedene uredbe. Naložbe so dovolj sektorsko, geografsko in sora</w:t>
      </w:r>
      <w:r>
        <w:rPr>
          <w:noProof/>
        </w:rPr>
        <w:t>zmerno razpršene. Donosi iz navedenih naložb pripadajo enotnemu skladu za reševanje oziroma jamstvenemu skladu za vloge.</w:t>
      </w:r>
    </w:p>
    <w:p w:rsidR="001E2AAD" w:rsidRDefault="007B2354">
      <w:pPr>
        <w:pStyle w:val="ListNumber3"/>
        <w:numPr>
          <w:ilvl w:val="0"/>
          <w:numId w:val="16"/>
        </w:numPr>
        <w:rPr>
          <w:noProof/>
        </w:rPr>
      </w:pPr>
      <w:r>
        <w:rPr>
          <w:noProof/>
        </w:rPr>
        <w:t>Na Komisijo se prenese pooblastilo za sprejemanje delegiranih aktov o podrobnih pravilih za upravljanje enotnega sklada za reševanje in</w:t>
      </w:r>
      <w:r>
        <w:rPr>
          <w:noProof/>
        </w:rPr>
        <w:t xml:space="preserve"> jamstvenega sklada za vloge ter splošnih načelih in merilih za njuno naložbeno strategijo v skladu s postopkom iz člena 93.“;</w:t>
      </w:r>
    </w:p>
    <w:p w:rsidR="001E2AAD" w:rsidRDefault="007B2354">
      <w:pPr>
        <w:pStyle w:val="ManualNumPar1"/>
        <w:rPr>
          <w:noProof/>
        </w:rPr>
      </w:pPr>
      <w:r>
        <w:t>37.</w:t>
      </w:r>
      <w:r>
        <w:tab/>
      </w:r>
      <w:r>
        <w:rPr>
          <w:noProof/>
        </w:rPr>
        <w:t>vstavi se naslednji člen 77a:</w:t>
      </w:r>
    </w:p>
    <w:p w:rsidR="001E2AAD" w:rsidRDefault="007B2354">
      <w:pPr>
        <w:pStyle w:val="Titrearticle"/>
        <w:rPr>
          <w:noProof/>
        </w:rPr>
      </w:pPr>
      <w:r>
        <w:rPr>
          <w:noProof/>
        </w:rPr>
        <w:t>„Člen 77a</w:t>
      </w:r>
      <w:r>
        <w:rPr>
          <w:noProof/>
        </w:rPr>
        <w:br/>
        <w:t>Uporaba jamstvenega sklada za vloge</w:t>
      </w:r>
    </w:p>
    <w:p w:rsidR="001E2AAD" w:rsidRDefault="007B2354">
      <w:pPr>
        <w:pStyle w:val="ListNumber3"/>
        <w:numPr>
          <w:ilvl w:val="0"/>
          <w:numId w:val="25"/>
        </w:numPr>
        <w:rPr>
          <w:noProof/>
        </w:rPr>
      </w:pPr>
      <w:r>
        <w:rPr>
          <w:noProof/>
        </w:rPr>
        <w:t>Odbor v obdobju pozavarovanja uporablja jamstveni</w:t>
      </w:r>
      <w:r>
        <w:rPr>
          <w:noProof/>
        </w:rPr>
        <w:t xml:space="preserve"> sklad za vloge za zagotavljanje financiranja v skladu s členom 41a(2) in kritje deleža presežne izgube v skladu s členom 41a(3).</w:t>
      </w:r>
    </w:p>
    <w:p w:rsidR="001E2AAD" w:rsidRDefault="007B2354">
      <w:pPr>
        <w:pStyle w:val="ListNumber3"/>
        <w:numPr>
          <w:ilvl w:val="0"/>
          <w:numId w:val="16"/>
        </w:numPr>
        <w:rPr>
          <w:noProof/>
        </w:rPr>
      </w:pPr>
      <w:r>
        <w:rPr>
          <w:noProof/>
        </w:rPr>
        <w:t>V obdobju sozavarovanja in po njem odbor uporablja jamstveni sklad za vloge za zagotavljanje financiranja v skladu s členom 41</w:t>
      </w:r>
      <w:r>
        <w:rPr>
          <w:noProof/>
        </w:rPr>
        <w:t>d(2) oziroma členom 41h(2) ter kritje izgube v skladu s členom 41d(3) oziroma 41h(3).</w:t>
      </w:r>
    </w:p>
    <w:p w:rsidR="001E2AAD" w:rsidRDefault="007B2354">
      <w:pPr>
        <w:pStyle w:val="ListNumber3"/>
        <w:numPr>
          <w:ilvl w:val="0"/>
          <w:numId w:val="16"/>
        </w:numPr>
        <w:rPr>
          <w:noProof/>
        </w:rPr>
      </w:pPr>
      <w:r>
        <w:rPr>
          <w:noProof/>
        </w:rPr>
        <w:t>Uporaba jamstvenega sklada za vloge za kreditne institucije, vključene v sodelujoči SJV, je odvisna od tega, ali kreditna institucija izpolnjuje obveznosti, ki jih ima ko</w:t>
      </w:r>
      <w:r>
        <w:rPr>
          <w:noProof/>
        </w:rPr>
        <w:t>t članica sodelujočega SJV, določene v tej uredbi in v Direktivi 2014/49/EU.“;</w:t>
      </w:r>
    </w:p>
    <w:p w:rsidR="001E2AAD" w:rsidRDefault="007B2354">
      <w:pPr>
        <w:pStyle w:val="ManualNumPar1"/>
        <w:rPr>
          <w:noProof/>
        </w:rPr>
      </w:pPr>
      <w:r>
        <w:t>38.</w:t>
      </w:r>
      <w:r>
        <w:tab/>
      </w:r>
      <w:r>
        <w:rPr>
          <w:noProof/>
        </w:rPr>
        <w:t>v naslovu VI dela III, v členu 81(4), členu 83(2) in (3), členu 87(4) in členu 88(2) in (6) se besedna zveza „nacionalni organ za reševanje“ v ustreznem sklonu in številu na</w:t>
      </w:r>
      <w:r>
        <w:rPr>
          <w:noProof/>
        </w:rPr>
        <w:t>domesti z besedno zvezo „nacionalni organ za reševanje, sodelujoči SJV ali imenovani organ, kjer je ustrezno“ v ustreznem sklonu in številu;</w:t>
      </w:r>
    </w:p>
    <w:p w:rsidR="001E2AAD" w:rsidRDefault="007B2354">
      <w:pPr>
        <w:pStyle w:val="ManualNumPar1"/>
        <w:rPr>
          <w:noProof/>
        </w:rPr>
      </w:pPr>
      <w:r>
        <w:t>39.</w:t>
      </w:r>
      <w:r>
        <w:tab/>
      </w:r>
      <w:r>
        <w:rPr>
          <w:noProof/>
        </w:rPr>
        <w:t>člen 93 se spremeni:</w:t>
      </w:r>
    </w:p>
    <w:p w:rsidR="001E2AAD" w:rsidRDefault="007B2354">
      <w:pPr>
        <w:pStyle w:val="Point1letter"/>
        <w:numPr>
          <w:ilvl w:val="3"/>
          <w:numId w:val="70"/>
        </w:numPr>
        <w:rPr>
          <w:noProof/>
        </w:rPr>
      </w:pPr>
      <w:r>
        <w:rPr>
          <w:noProof/>
        </w:rPr>
        <w:t>odstavek 2 se nadomesti z naslednjim:</w:t>
      </w:r>
    </w:p>
    <w:p w:rsidR="001E2AAD" w:rsidRDefault="007B2354">
      <w:pPr>
        <w:pStyle w:val="Point2"/>
        <w:ind w:left="1440" w:firstLine="0"/>
        <w:rPr>
          <w:noProof/>
        </w:rPr>
      </w:pPr>
      <w:r>
        <w:rPr>
          <w:noProof/>
        </w:rPr>
        <w:t>„2. Pooblastilo iz člena 19(8), člena 65(5), člena 6</w:t>
      </w:r>
      <w:r>
        <w:rPr>
          <w:noProof/>
        </w:rPr>
        <w:t>9(5), člena 71(3), člena 74b(5), člena 74c(5), člena 74d(4) in člena 75(4) se prenese za nedoločen čas od relevantnih datumov iz člena 99.“;</w:t>
      </w:r>
    </w:p>
    <w:p w:rsidR="001E2AAD" w:rsidRDefault="007B2354">
      <w:pPr>
        <w:pStyle w:val="Point1letter"/>
        <w:numPr>
          <w:ilvl w:val="3"/>
          <w:numId w:val="21"/>
        </w:numPr>
        <w:rPr>
          <w:noProof/>
        </w:rPr>
      </w:pPr>
      <w:r>
        <w:rPr>
          <w:noProof/>
        </w:rPr>
        <w:t>odstavek 4 se nadomesti z naslednjim:</w:t>
      </w:r>
    </w:p>
    <w:p w:rsidR="001E2AAD" w:rsidRDefault="007B2354">
      <w:pPr>
        <w:pStyle w:val="Point2"/>
        <w:ind w:left="1440" w:firstLine="0"/>
        <w:rPr>
          <w:noProof/>
        </w:rPr>
      </w:pPr>
      <w:r>
        <w:rPr>
          <w:noProof/>
        </w:rPr>
        <w:t xml:space="preserve">„4. Pooblastilo iz člena 19(8), člena 65(5), člena 69(5), člena 71(3), člena </w:t>
      </w:r>
      <w:r>
        <w:rPr>
          <w:noProof/>
        </w:rPr>
        <w:t xml:space="preserve">74b(5), člena 74c(5), člena 74d(4) in člena 75(4) lahko kadar koli prekliče Evropski parlament ali Svet. S sklepom o preklicu preneha veljati prenos pooblastila, naveden v tem sklepu. Sklep začne učinkovati dan po njegovi objavi v </w:t>
      </w:r>
      <w:r>
        <w:rPr>
          <w:i/>
          <w:noProof/>
        </w:rPr>
        <w:t>Uradnem listu Evropske un</w:t>
      </w:r>
      <w:r>
        <w:rPr>
          <w:i/>
          <w:noProof/>
        </w:rPr>
        <w:t>ije</w:t>
      </w:r>
      <w:r>
        <w:rPr>
          <w:noProof/>
        </w:rPr>
        <w:t xml:space="preserve"> ali na poznejši dan, ki je določen v navedenem sklepu. Sklep ne vpliva na veljavnost že veljavnih delegiranih aktov.“;</w:t>
      </w:r>
    </w:p>
    <w:p w:rsidR="001E2AAD" w:rsidRDefault="007B2354">
      <w:pPr>
        <w:pStyle w:val="Point1letter"/>
        <w:numPr>
          <w:ilvl w:val="3"/>
          <w:numId w:val="21"/>
        </w:numPr>
        <w:rPr>
          <w:noProof/>
        </w:rPr>
      </w:pPr>
      <w:r>
        <w:rPr>
          <w:noProof/>
        </w:rPr>
        <w:t>odstavek 6 se nadomesti z naslednjim:</w:t>
      </w:r>
    </w:p>
    <w:p w:rsidR="001E2AAD" w:rsidRDefault="007B2354">
      <w:pPr>
        <w:pStyle w:val="Point2"/>
        <w:ind w:left="1440" w:firstLine="0"/>
        <w:rPr>
          <w:noProof/>
        </w:rPr>
      </w:pPr>
      <w:r>
        <w:rPr>
          <w:noProof/>
        </w:rPr>
        <w:t>„6. Delegirani akt, sprejet v skladu s členom 19(8), členom 65(5), členom 69(5), členom 71(3) č</w:t>
      </w:r>
      <w:r>
        <w:rPr>
          <w:noProof/>
        </w:rPr>
        <w:t>lenom 74b(5), členom 74c(5), členom 74d(4) in členom 75(4), začne veljati le, če mu niti Evropski parlament niti Svet ne nasprotujeta v roku treh mesecev od uradnega obvestila Evropskemu parlamentu in Svetu o tem aktu ali če sta pred iztekom tega roka tako</w:t>
      </w:r>
      <w:r>
        <w:rPr>
          <w:noProof/>
        </w:rPr>
        <w:t xml:space="preserve"> Evropski parlament kot Svet obvestila Komisijo, da mu ne bosta nasprotovala. Ta rok se na pobudo Evropskega parlamenta ali Sveta podaljša za tri mesece.“;</w:t>
      </w:r>
    </w:p>
    <w:p w:rsidR="001E2AAD" w:rsidRDefault="007B2354">
      <w:pPr>
        <w:pStyle w:val="ManualNumPar1"/>
        <w:rPr>
          <w:noProof/>
        </w:rPr>
      </w:pPr>
      <w:r>
        <w:t>40.</w:t>
      </w:r>
      <w:r>
        <w:tab/>
      </w:r>
      <w:r>
        <w:rPr>
          <w:noProof/>
        </w:rPr>
        <w:t>v člen 99 se vstavi naslednji odstavek 5a:</w:t>
      </w:r>
    </w:p>
    <w:p w:rsidR="001E2AAD" w:rsidRDefault="007B2354">
      <w:pPr>
        <w:pStyle w:val="Point2"/>
        <w:ind w:left="1417" w:firstLine="0"/>
        <w:rPr>
          <w:noProof/>
        </w:rPr>
      </w:pPr>
      <w:r>
        <w:rPr>
          <w:noProof/>
        </w:rPr>
        <w:t>„5a.</w:t>
      </w:r>
      <w:r>
        <w:rPr>
          <w:noProof/>
        </w:rPr>
        <w:tab/>
        <w:t>Z odstopanjem od odstavka 2, se člen 1(2), del I</w:t>
      </w:r>
      <w:r>
        <w:rPr>
          <w:noProof/>
        </w:rPr>
        <w:t>Ia in del III, oddelek 1a poglavja 2 naslova V uporabljajo od [</w:t>
      </w:r>
      <w:r>
        <w:rPr>
          <w:i/>
          <w:noProof/>
        </w:rPr>
        <w:t>OP</w:t>
      </w:r>
      <w:r>
        <w:rPr>
          <w:noProof/>
        </w:rPr>
        <w:t xml:space="preserve"> </w:t>
      </w:r>
      <w:r>
        <w:rPr>
          <w:i/>
          <w:noProof/>
        </w:rPr>
        <w:t>vstaviti datum začetka veljavnosti te uredbe</w:t>
      </w:r>
      <w:r>
        <w:rPr>
          <w:noProof/>
        </w:rPr>
        <w:t>]“;</w:t>
      </w:r>
    </w:p>
    <w:p w:rsidR="001E2AAD" w:rsidRDefault="007B2354">
      <w:pPr>
        <w:pStyle w:val="ManualNumPar1"/>
        <w:rPr>
          <w:noProof/>
        </w:rPr>
      </w:pPr>
      <w:r>
        <w:t>41.</w:t>
      </w:r>
      <w:r>
        <w:tab/>
      </w:r>
      <w:r>
        <w:rPr>
          <w:noProof/>
        </w:rPr>
        <w:t>v celotni Uredbi (EU) št. 806/2014 se izraz „sklad“ v ustreznem sklonu in številu nadomesti z „enotni sklad za reševanje“ v ustreznem sklo</w:t>
      </w:r>
      <w:r>
        <w:rPr>
          <w:noProof/>
        </w:rPr>
        <w:t>nu in številu.</w:t>
      </w:r>
    </w:p>
    <w:p w:rsidR="001E2AAD" w:rsidRDefault="007B2354">
      <w:pPr>
        <w:pStyle w:val="Titrearticle"/>
        <w:rPr>
          <w:noProof/>
        </w:rPr>
      </w:pPr>
      <w:r>
        <w:rPr>
          <w:noProof/>
        </w:rPr>
        <w:t>Člen 2</w:t>
      </w:r>
    </w:p>
    <w:p w:rsidR="001E2AAD" w:rsidRDefault="007B2354">
      <w:pPr>
        <w:rPr>
          <w:noProof/>
        </w:rPr>
      </w:pPr>
      <w:r>
        <w:rPr>
          <w:noProof/>
        </w:rPr>
        <w:t xml:space="preserve">Ta uredba začne veljati dvajseti dan po objavi v </w:t>
      </w:r>
      <w:r>
        <w:rPr>
          <w:i/>
          <w:noProof/>
        </w:rPr>
        <w:t>Uradnem listu Evropske unije</w:t>
      </w:r>
      <w:r>
        <w:rPr>
          <w:noProof/>
        </w:rPr>
        <w:t>.</w:t>
      </w:r>
    </w:p>
    <w:p w:rsidR="001E2AAD" w:rsidRDefault="007B2354">
      <w:pPr>
        <w:pStyle w:val="Applicationdirecte"/>
        <w:keepNext/>
        <w:keepLines/>
        <w:rPr>
          <w:noProof/>
        </w:rPr>
      </w:pPr>
      <w:r>
        <w:rPr>
          <w:noProof/>
        </w:rPr>
        <w:t>Ta uredba je v celoti zavezujoča in se neposredno uporablja v vseh državah članicah.</w:t>
      </w:r>
    </w:p>
    <w:p w:rsidR="001E2AAD" w:rsidRDefault="007B2354" w:rsidP="007B2354">
      <w:pPr>
        <w:pStyle w:val="Fait"/>
        <w:rPr>
          <w:noProof/>
        </w:rPr>
      </w:pPr>
      <w:r w:rsidRPr="007B2354">
        <w:t>V Strasbourgu,</w:t>
      </w:r>
    </w:p>
    <w:p w:rsidR="001E2AAD" w:rsidRDefault="007B2354">
      <w:pPr>
        <w:pStyle w:val="Institutionquisigne"/>
        <w:rPr>
          <w:noProof/>
        </w:rPr>
      </w:pPr>
      <w:r>
        <w:rPr>
          <w:noProof/>
        </w:rPr>
        <w:t>Za Evropski parlament</w:t>
      </w:r>
      <w:r>
        <w:rPr>
          <w:noProof/>
        </w:rPr>
        <w:tab/>
        <w:t>Za Svet</w:t>
      </w:r>
    </w:p>
    <w:p w:rsidR="001E2AAD" w:rsidRDefault="007B2354">
      <w:pPr>
        <w:pStyle w:val="Personnequisigne"/>
        <w:rPr>
          <w:noProof/>
        </w:rPr>
      </w:pPr>
      <w:r>
        <w:rPr>
          <w:noProof/>
        </w:rPr>
        <w:t>Predsednik</w:t>
      </w:r>
      <w:r>
        <w:rPr>
          <w:noProof/>
        </w:rPr>
        <w:tab/>
        <w:t>Predsednik</w:t>
      </w:r>
    </w:p>
    <w:p w:rsidR="001E2AAD" w:rsidRDefault="007B2354">
      <w:pPr>
        <w:pStyle w:val="Fichefinanciretitre"/>
        <w:pageBreakBefore/>
        <w:rPr>
          <w:noProof/>
        </w:rPr>
      </w:pPr>
      <w:r>
        <w:rPr>
          <w:noProof/>
        </w:rPr>
        <w:t>OCENA FINANČNIH POSLEDIC ZAKONODAJNEGA PREDLOGA</w:t>
      </w:r>
    </w:p>
    <w:p w:rsidR="001E2AAD" w:rsidRDefault="007B2354">
      <w:pPr>
        <w:pStyle w:val="ManualHeading1"/>
        <w:rPr>
          <w:noProof/>
        </w:rPr>
      </w:pPr>
      <w:r>
        <w:rPr>
          <w:noProof/>
        </w:rPr>
        <w:t>1.</w:t>
      </w:r>
      <w:r>
        <w:rPr>
          <w:noProof/>
        </w:rPr>
        <w:tab/>
        <w:t xml:space="preserve">OKVIR PREDLOGA/POBUDE </w:t>
      </w:r>
    </w:p>
    <w:p w:rsidR="001E2AAD" w:rsidRDefault="007B2354">
      <w:pPr>
        <w:pStyle w:val="ManualHeading2"/>
        <w:rPr>
          <w:b w:val="0"/>
          <w:noProof/>
        </w:rPr>
      </w:pPr>
      <w:r>
        <w:rPr>
          <w:noProof/>
        </w:rPr>
        <w:tab/>
      </w:r>
      <w:r>
        <w:rPr>
          <w:b w:val="0"/>
          <w:noProof/>
        </w:rPr>
        <w:t>1.1.</w:t>
      </w:r>
      <w:r>
        <w:rPr>
          <w:b w:val="0"/>
          <w:noProof/>
        </w:rPr>
        <w:tab/>
        <w:t xml:space="preserve">Naslov predloga/pobude </w:t>
      </w:r>
    </w:p>
    <w:p w:rsidR="001E2AAD" w:rsidRDefault="007B2354">
      <w:pPr>
        <w:pStyle w:val="ManualHeading2"/>
        <w:rPr>
          <w:b w:val="0"/>
          <w:noProof/>
        </w:rPr>
      </w:pPr>
      <w:r>
        <w:rPr>
          <w:b w:val="0"/>
          <w:noProof/>
        </w:rPr>
        <w:tab/>
        <w:t>1.2.</w:t>
      </w:r>
      <w:r>
        <w:rPr>
          <w:b w:val="0"/>
          <w:noProof/>
        </w:rPr>
        <w:tab/>
        <w:t>Zadevna področja v strukturi ABM/ABB</w:t>
      </w:r>
    </w:p>
    <w:p w:rsidR="001E2AAD" w:rsidRDefault="007B2354">
      <w:pPr>
        <w:pStyle w:val="ManualHeading2"/>
        <w:rPr>
          <w:b w:val="0"/>
          <w:noProof/>
        </w:rPr>
      </w:pPr>
      <w:r>
        <w:rPr>
          <w:b w:val="0"/>
          <w:noProof/>
        </w:rPr>
        <w:tab/>
        <w:t>1.3.</w:t>
      </w:r>
      <w:r>
        <w:rPr>
          <w:b w:val="0"/>
          <w:noProof/>
        </w:rPr>
        <w:tab/>
        <w:t xml:space="preserve">Vrsta predloga/pobude </w:t>
      </w:r>
    </w:p>
    <w:p w:rsidR="001E2AAD" w:rsidRDefault="007B2354">
      <w:pPr>
        <w:pStyle w:val="ManualHeading2"/>
        <w:rPr>
          <w:b w:val="0"/>
          <w:noProof/>
        </w:rPr>
      </w:pPr>
      <w:r>
        <w:rPr>
          <w:b w:val="0"/>
          <w:noProof/>
        </w:rPr>
        <w:tab/>
        <w:t>1.4.</w:t>
      </w:r>
      <w:r>
        <w:rPr>
          <w:b w:val="0"/>
          <w:noProof/>
        </w:rPr>
        <w:tab/>
        <w:t xml:space="preserve">Cilji </w:t>
      </w:r>
    </w:p>
    <w:p w:rsidR="001E2AAD" w:rsidRDefault="007B2354">
      <w:pPr>
        <w:pStyle w:val="ManualHeading2"/>
        <w:rPr>
          <w:b w:val="0"/>
          <w:noProof/>
        </w:rPr>
      </w:pPr>
      <w:r>
        <w:rPr>
          <w:b w:val="0"/>
          <w:noProof/>
        </w:rPr>
        <w:tab/>
        <w:t>1.5.</w:t>
      </w:r>
      <w:r>
        <w:rPr>
          <w:b w:val="0"/>
          <w:noProof/>
        </w:rPr>
        <w:tab/>
        <w:t xml:space="preserve">Utemeljitev predloga/pobude </w:t>
      </w:r>
    </w:p>
    <w:p w:rsidR="001E2AAD" w:rsidRDefault="007B2354">
      <w:pPr>
        <w:pStyle w:val="ManualHeading2"/>
        <w:rPr>
          <w:b w:val="0"/>
          <w:noProof/>
        </w:rPr>
      </w:pPr>
      <w:r>
        <w:rPr>
          <w:b w:val="0"/>
          <w:noProof/>
        </w:rPr>
        <w:tab/>
        <w:t>1.6.</w:t>
      </w:r>
      <w:r>
        <w:rPr>
          <w:b w:val="0"/>
          <w:noProof/>
        </w:rPr>
        <w:tab/>
      </w:r>
      <w:r>
        <w:rPr>
          <w:b w:val="0"/>
          <w:noProof/>
        </w:rPr>
        <w:t xml:space="preserve">Trajanje ukrepa in finančnih posledic </w:t>
      </w:r>
    </w:p>
    <w:p w:rsidR="001E2AAD" w:rsidRDefault="007B2354">
      <w:pPr>
        <w:pStyle w:val="ManualHeading2"/>
        <w:rPr>
          <w:b w:val="0"/>
          <w:noProof/>
        </w:rPr>
      </w:pPr>
      <w:r>
        <w:rPr>
          <w:b w:val="0"/>
          <w:noProof/>
        </w:rPr>
        <w:tab/>
        <w:t>1.7.</w:t>
      </w:r>
      <w:r>
        <w:rPr>
          <w:b w:val="0"/>
          <w:noProof/>
        </w:rPr>
        <w:tab/>
        <w:t xml:space="preserve">Načrtovani načini upravljanja </w:t>
      </w:r>
    </w:p>
    <w:p w:rsidR="001E2AAD" w:rsidRDefault="007B2354">
      <w:pPr>
        <w:pStyle w:val="ManualHeading1"/>
        <w:rPr>
          <w:noProof/>
        </w:rPr>
      </w:pPr>
      <w:r>
        <w:rPr>
          <w:noProof/>
        </w:rPr>
        <w:t>2.</w:t>
      </w:r>
      <w:r>
        <w:rPr>
          <w:noProof/>
        </w:rPr>
        <w:tab/>
        <w:t xml:space="preserve">UKREPI UPRAVLJANJA </w:t>
      </w:r>
    </w:p>
    <w:p w:rsidR="001E2AAD" w:rsidRDefault="007B2354">
      <w:pPr>
        <w:pStyle w:val="ManualHeading2"/>
        <w:rPr>
          <w:b w:val="0"/>
          <w:noProof/>
        </w:rPr>
      </w:pPr>
      <w:r>
        <w:rPr>
          <w:b w:val="0"/>
          <w:noProof/>
        </w:rPr>
        <w:tab/>
        <w:t>2.1.</w:t>
      </w:r>
      <w:r>
        <w:rPr>
          <w:b w:val="0"/>
          <w:noProof/>
        </w:rPr>
        <w:tab/>
        <w:t xml:space="preserve">Pravila o spremljanju in poročanju </w:t>
      </w:r>
    </w:p>
    <w:p w:rsidR="001E2AAD" w:rsidRDefault="007B2354">
      <w:pPr>
        <w:pStyle w:val="ManualHeading2"/>
        <w:rPr>
          <w:b w:val="0"/>
          <w:noProof/>
        </w:rPr>
      </w:pPr>
      <w:r>
        <w:rPr>
          <w:b w:val="0"/>
          <w:noProof/>
        </w:rPr>
        <w:tab/>
        <w:t>2.2.</w:t>
      </w:r>
      <w:r>
        <w:rPr>
          <w:b w:val="0"/>
          <w:noProof/>
        </w:rPr>
        <w:tab/>
        <w:t xml:space="preserve">Upravljavski in kontrolni sistem </w:t>
      </w:r>
    </w:p>
    <w:p w:rsidR="001E2AAD" w:rsidRDefault="007B2354">
      <w:pPr>
        <w:pStyle w:val="ManualHeading2"/>
        <w:rPr>
          <w:b w:val="0"/>
          <w:noProof/>
        </w:rPr>
      </w:pPr>
      <w:r>
        <w:rPr>
          <w:b w:val="0"/>
          <w:noProof/>
        </w:rPr>
        <w:tab/>
        <w:t>2.3.</w:t>
      </w:r>
      <w:r>
        <w:rPr>
          <w:b w:val="0"/>
          <w:noProof/>
        </w:rPr>
        <w:tab/>
        <w:t xml:space="preserve">Ukrepi za preprečevanje goljufij in nepravilnosti </w:t>
      </w:r>
    </w:p>
    <w:p w:rsidR="001E2AAD" w:rsidRDefault="007B2354">
      <w:pPr>
        <w:pStyle w:val="ManualHeading1"/>
        <w:rPr>
          <w:noProof/>
        </w:rPr>
      </w:pPr>
      <w:r>
        <w:rPr>
          <w:noProof/>
        </w:rPr>
        <w:t>3.</w:t>
      </w:r>
      <w:r>
        <w:rPr>
          <w:noProof/>
        </w:rPr>
        <w:tab/>
        <w:t>OCENA FINANČNIH</w:t>
      </w:r>
      <w:r>
        <w:rPr>
          <w:noProof/>
        </w:rPr>
        <w:t xml:space="preserve"> POSLEDIC PREDLOGA/POBUDE </w:t>
      </w:r>
    </w:p>
    <w:p w:rsidR="001E2AAD" w:rsidRDefault="007B2354">
      <w:pPr>
        <w:pStyle w:val="ManualHeading2"/>
        <w:rPr>
          <w:b w:val="0"/>
          <w:noProof/>
        </w:rPr>
      </w:pPr>
      <w:r>
        <w:rPr>
          <w:b w:val="0"/>
          <w:noProof/>
        </w:rPr>
        <w:tab/>
        <w:t>3.1.</w:t>
      </w:r>
      <w:r>
        <w:rPr>
          <w:b w:val="0"/>
          <w:noProof/>
        </w:rPr>
        <w:tab/>
        <w:t xml:space="preserve">Zadevni razdelki večletnega finančnega okvira in odhodkovne proračunske vrstice </w:t>
      </w:r>
    </w:p>
    <w:p w:rsidR="001E2AAD" w:rsidRDefault="007B2354">
      <w:pPr>
        <w:pStyle w:val="ManualHeading2"/>
        <w:rPr>
          <w:b w:val="0"/>
          <w:noProof/>
          <w:highlight w:val="cyan"/>
        </w:rPr>
      </w:pPr>
      <w:r>
        <w:rPr>
          <w:b w:val="0"/>
          <w:noProof/>
        </w:rPr>
        <w:tab/>
        <w:t>3.2.</w:t>
      </w:r>
      <w:r>
        <w:rPr>
          <w:b w:val="0"/>
          <w:noProof/>
        </w:rPr>
        <w:tab/>
        <w:t>Ocenjene posledice za odhodke</w:t>
      </w:r>
      <w:r>
        <w:rPr>
          <w:b w:val="0"/>
          <w:noProof/>
          <w:highlight w:val="cyan"/>
        </w:rPr>
        <w:t xml:space="preserve"> </w:t>
      </w:r>
    </w:p>
    <w:p w:rsidR="001E2AAD" w:rsidRDefault="007B2354">
      <w:pPr>
        <w:pStyle w:val="ManualHeading3"/>
        <w:rPr>
          <w:noProof/>
        </w:rPr>
      </w:pPr>
      <w:r>
        <w:rPr>
          <w:noProof/>
        </w:rPr>
        <w:tab/>
        <w:t>3.2.1.</w:t>
      </w:r>
      <w:r>
        <w:rPr>
          <w:noProof/>
        </w:rPr>
        <w:tab/>
        <w:t xml:space="preserve">Povzetek ocenjenih posledic za odhodke </w:t>
      </w:r>
    </w:p>
    <w:p w:rsidR="001E2AAD" w:rsidRDefault="007B2354">
      <w:pPr>
        <w:pStyle w:val="ManualHeading3"/>
        <w:rPr>
          <w:noProof/>
        </w:rPr>
      </w:pPr>
      <w:r>
        <w:rPr>
          <w:noProof/>
        </w:rPr>
        <w:tab/>
        <w:t>3.2.2.</w:t>
      </w:r>
      <w:r>
        <w:rPr>
          <w:noProof/>
        </w:rPr>
        <w:tab/>
        <w:t xml:space="preserve">Ocenjene posledice za odobritve za poslovanje </w:t>
      </w:r>
    </w:p>
    <w:p w:rsidR="001E2AAD" w:rsidRDefault="007B2354">
      <w:pPr>
        <w:pStyle w:val="ManualHeading3"/>
        <w:rPr>
          <w:noProof/>
        </w:rPr>
      </w:pPr>
      <w:r>
        <w:rPr>
          <w:noProof/>
        </w:rPr>
        <w:tab/>
        <w:t>3</w:t>
      </w:r>
      <w:r>
        <w:rPr>
          <w:noProof/>
        </w:rPr>
        <w:t>.2.3.</w:t>
      </w:r>
      <w:r>
        <w:rPr>
          <w:noProof/>
        </w:rPr>
        <w:tab/>
        <w:t>Ocenjene posledice za odobritve za upravne zadeve</w:t>
      </w:r>
    </w:p>
    <w:p w:rsidR="001E2AAD" w:rsidRDefault="007B2354">
      <w:pPr>
        <w:pStyle w:val="ManualHeading3"/>
        <w:rPr>
          <w:noProof/>
        </w:rPr>
      </w:pPr>
      <w:r>
        <w:rPr>
          <w:noProof/>
        </w:rPr>
        <w:tab/>
        <w:t>3.2.4.</w:t>
      </w:r>
      <w:r>
        <w:rPr>
          <w:noProof/>
        </w:rPr>
        <w:tab/>
        <w:t>Skladnost z veljavnim večletnim finančnim okvirom</w:t>
      </w:r>
    </w:p>
    <w:p w:rsidR="001E2AAD" w:rsidRDefault="007B2354">
      <w:pPr>
        <w:pStyle w:val="ManualHeading3"/>
        <w:rPr>
          <w:noProof/>
        </w:rPr>
      </w:pPr>
      <w:r>
        <w:rPr>
          <w:noProof/>
        </w:rPr>
        <w:tab/>
        <w:t>3.2.5.</w:t>
      </w:r>
      <w:r>
        <w:rPr>
          <w:noProof/>
        </w:rPr>
        <w:tab/>
        <w:t xml:space="preserve">Udeležba tretjih oseb pri financiranju </w:t>
      </w:r>
    </w:p>
    <w:p w:rsidR="001E2AAD" w:rsidRDefault="007B2354">
      <w:pPr>
        <w:pStyle w:val="ManualHeading2"/>
        <w:jc w:val="left"/>
        <w:rPr>
          <w:b w:val="0"/>
          <w:noProof/>
        </w:rPr>
        <w:sectPr w:rsidR="001E2AAD" w:rsidSect="007B2354">
          <w:pgSz w:w="11907" w:h="16840" w:code="9"/>
          <w:pgMar w:top="1134" w:right="1418" w:bottom="1134" w:left="1418" w:header="709" w:footer="709" w:gutter="0"/>
          <w:cols w:space="708"/>
          <w:docGrid w:linePitch="360"/>
        </w:sectPr>
      </w:pPr>
      <w:r>
        <w:rPr>
          <w:b w:val="0"/>
          <w:noProof/>
        </w:rPr>
        <w:tab/>
        <w:t>3.3.</w:t>
      </w:r>
      <w:r>
        <w:rPr>
          <w:b w:val="0"/>
          <w:noProof/>
        </w:rPr>
        <w:tab/>
        <w:t>Ocenjene posledice za prihodke</w:t>
      </w:r>
    </w:p>
    <w:p w:rsidR="001E2AAD" w:rsidRDefault="007B2354">
      <w:pPr>
        <w:jc w:val="center"/>
        <w:rPr>
          <w:noProof/>
        </w:rPr>
      </w:pPr>
      <w:r>
        <w:rPr>
          <w:b/>
          <w:noProof/>
          <w:u w:val="single"/>
        </w:rPr>
        <w:t xml:space="preserve">OCENA FINANČNIH POSLEDIC </w:t>
      </w:r>
      <w:r>
        <w:rPr>
          <w:b/>
          <w:noProof/>
          <w:u w:val="single"/>
        </w:rPr>
        <w:t>ZAKONODAJNEGA PREDLOGA</w:t>
      </w:r>
    </w:p>
    <w:p w:rsidR="001E2AAD" w:rsidRDefault="007B2354">
      <w:pPr>
        <w:pStyle w:val="ManualHeading1"/>
        <w:rPr>
          <w:noProof/>
        </w:rPr>
      </w:pPr>
      <w:r>
        <w:t>6.</w:t>
      </w:r>
      <w:r>
        <w:tab/>
      </w:r>
      <w:r>
        <w:rPr>
          <w:noProof/>
        </w:rPr>
        <w:t xml:space="preserve">OKVIR PREDLOGA/POBUDE </w:t>
      </w:r>
    </w:p>
    <w:p w:rsidR="001E2AAD" w:rsidRDefault="007B2354">
      <w:pPr>
        <w:pStyle w:val="ManualHeading2"/>
        <w:rPr>
          <w:noProof/>
        </w:rPr>
      </w:pPr>
      <w:r>
        <w:t>6.1.</w:t>
      </w:r>
      <w:r>
        <w:tab/>
      </w:r>
      <w:r>
        <w:rPr>
          <w:noProof/>
        </w:rPr>
        <w:t xml:space="preserve">Naslov predloga/pobude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Uredba Evropskega parlamenta in Sveta o spremembi Uredbe (EU) št. 806/2014 za vzpostavitev evropskega sistema jamstva za vloge</w:t>
      </w:r>
    </w:p>
    <w:p w:rsidR="001E2AAD" w:rsidRDefault="007B2354">
      <w:pPr>
        <w:pStyle w:val="ManualHeading2"/>
        <w:rPr>
          <w:noProof/>
          <w:szCs w:val="24"/>
        </w:rPr>
      </w:pPr>
      <w:r>
        <w:t>6.2.</w:t>
      </w:r>
      <w:r>
        <w:tab/>
      </w:r>
      <w:r>
        <w:rPr>
          <w:noProof/>
        </w:rPr>
        <w:t>Zadevna področja v strukturi ABM/ABB</w:t>
      </w:r>
      <w:r>
        <w:rPr>
          <w:rStyle w:val="FootnoteReference"/>
          <w:noProof/>
        </w:rPr>
        <w:footnoteReference w:id="14"/>
      </w:r>
      <w:r>
        <w:rPr>
          <w:i/>
          <w:noProof/>
        </w:rPr>
        <w:t xml:space="preserve">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Finančn</w:t>
      </w:r>
      <w:r>
        <w:rPr>
          <w:noProof/>
        </w:rPr>
        <w:t>e storitve in kapitalski trgi.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Strategija in usklajevanje politik za finančno stabilnost, finančne storitve in unijo kapitalskih trgov.</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Upravljanje Generalnega direktorata za finančno stabilnost, finančne storitve in unijo kapitalskih trgov.</w:t>
      </w:r>
    </w:p>
    <w:p w:rsidR="001E2AAD" w:rsidRDefault="007B2354">
      <w:pPr>
        <w:pStyle w:val="ManualHeading2"/>
        <w:rPr>
          <w:bCs/>
          <w:noProof/>
          <w:szCs w:val="24"/>
        </w:rPr>
      </w:pPr>
      <w:r>
        <w:t>6.3.</w:t>
      </w:r>
      <w:r>
        <w:tab/>
      </w:r>
      <w:r>
        <w:rPr>
          <w:noProof/>
        </w:rPr>
        <w:t>Vrsta pre</w:t>
      </w:r>
      <w:r>
        <w:rPr>
          <w:noProof/>
        </w:rPr>
        <w:t xml:space="preserve">dloga/pobude </w:t>
      </w:r>
    </w:p>
    <w:p w:rsidR="001E2AAD" w:rsidRDefault="007B2354">
      <w:pPr>
        <w:pStyle w:val="Text1"/>
        <w:rPr>
          <w:b/>
          <w:noProof/>
          <w:sz w:val="22"/>
        </w:rPr>
      </w:pPr>
      <w:r>
        <w:rPr>
          <w:noProof/>
        </w:rPr>
        <w:sym w:font="Wingdings" w:char="F0FE"/>
      </w:r>
      <w:r>
        <w:rPr>
          <w:b/>
          <w:i/>
          <w:noProof/>
          <w:sz w:val="22"/>
        </w:rPr>
        <w:t xml:space="preserve"> </w:t>
      </w:r>
      <w:r>
        <w:rPr>
          <w:noProof/>
        </w:rPr>
        <w:t xml:space="preserve">Predlog/pobuda se nanaša na </w:t>
      </w:r>
      <w:r>
        <w:rPr>
          <w:b/>
          <w:noProof/>
        </w:rPr>
        <w:t>nov ukrep</w:t>
      </w:r>
      <w:r>
        <w:rPr>
          <w:noProof/>
        </w:rPr>
        <w:t>.</w:t>
      </w:r>
      <w:r>
        <w:rPr>
          <w:b/>
          <w:noProof/>
          <w:sz w:val="22"/>
        </w:rPr>
        <w:t xml:space="preserve"> </w:t>
      </w:r>
    </w:p>
    <w:p w:rsidR="001E2AAD" w:rsidRDefault="007B2354">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nov ukrep na podlagi pilotnega projekta / pripravljalnega ukrepa</w:t>
      </w:r>
      <w:r>
        <w:rPr>
          <w:rStyle w:val="FootnoteReference"/>
          <w:b/>
          <w:noProof/>
        </w:rPr>
        <w:footnoteReference w:id="15"/>
      </w:r>
      <w:r>
        <w:rPr>
          <w:noProof/>
        </w:rPr>
        <w:t>.</w:t>
      </w:r>
      <w:r>
        <w:rPr>
          <w:noProof/>
          <w:sz w:val="22"/>
        </w:rPr>
        <w:t xml:space="preserve"> </w:t>
      </w:r>
    </w:p>
    <w:p w:rsidR="001E2AAD" w:rsidRDefault="007B2354">
      <w:pPr>
        <w:pStyle w:val="Text1"/>
        <w:rPr>
          <w:noProof/>
          <w:sz w:val="22"/>
        </w:rPr>
      </w:pPr>
      <w:r>
        <w:rPr>
          <w:noProof/>
          <w:sz w:val="22"/>
        </w:rPr>
        <w:sym w:font="Wingdings" w:char="F0A8"/>
      </w:r>
      <w:r>
        <w:rPr>
          <w:i/>
          <w:noProof/>
          <w:sz w:val="22"/>
        </w:rPr>
        <w:t xml:space="preserve"> </w:t>
      </w:r>
      <w:r>
        <w:rPr>
          <w:noProof/>
        </w:rPr>
        <w:t xml:space="preserve">Predlog/pobuda se nanaša na </w:t>
      </w:r>
      <w:r>
        <w:rPr>
          <w:b/>
          <w:noProof/>
        </w:rPr>
        <w:t>podaljšanje obstoječega ukrepa</w:t>
      </w:r>
      <w:r>
        <w:rPr>
          <w:noProof/>
        </w:rPr>
        <w:t>.</w:t>
      </w:r>
      <w:r>
        <w:rPr>
          <w:noProof/>
          <w:sz w:val="22"/>
        </w:rPr>
        <w:t xml:space="preserve"> </w:t>
      </w:r>
    </w:p>
    <w:p w:rsidR="001E2AAD" w:rsidRDefault="007B2354">
      <w:pPr>
        <w:pStyle w:val="Text1"/>
        <w:rPr>
          <w:noProof/>
        </w:rPr>
      </w:pPr>
      <w:r>
        <w:rPr>
          <w:noProof/>
          <w:sz w:val="22"/>
        </w:rPr>
        <w:sym w:font="Wingdings" w:char="F0A8"/>
      </w:r>
      <w:r>
        <w:rPr>
          <w:i/>
          <w:noProof/>
          <w:sz w:val="22"/>
        </w:rPr>
        <w:t xml:space="preserve"> </w:t>
      </w:r>
      <w:r>
        <w:rPr>
          <w:noProof/>
        </w:rPr>
        <w:t xml:space="preserve">Predlog/pobuda se nanaša na </w:t>
      </w:r>
      <w:r>
        <w:rPr>
          <w:b/>
          <w:noProof/>
        </w:rPr>
        <w:t xml:space="preserve">obstoječ </w:t>
      </w:r>
      <w:r>
        <w:rPr>
          <w:b/>
          <w:noProof/>
        </w:rPr>
        <w:t>ukrep, preusmerjen v nov ukrep</w:t>
      </w:r>
      <w:r>
        <w:rPr>
          <w:noProof/>
        </w:rPr>
        <w:t xml:space="preserve">. </w:t>
      </w:r>
    </w:p>
    <w:p w:rsidR="001E2AAD" w:rsidRDefault="007B2354">
      <w:pPr>
        <w:pStyle w:val="ManualHeading2"/>
        <w:rPr>
          <w:bCs/>
          <w:noProof/>
          <w:szCs w:val="24"/>
        </w:rPr>
      </w:pPr>
      <w:r>
        <w:t>6.4.</w:t>
      </w:r>
      <w:r>
        <w:tab/>
      </w:r>
      <w:r>
        <w:rPr>
          <w:noProof/>
        </w:rPr>
        <w:t>Cilji</w:t>
      </w:r>
    </w:p>
    <w:p w:rsidR="001E2AAD" w:rsidRDefault="007B2354">
      <w:pPr>
        <w:pStyle w:val="ManualHeading3"/>
        <w:rPr>
          <w:noProof/>
        </w:rPr>
      </w:pPr>
      <w:r>
        <w:t>6.4.1.</w:t>
      </w:r>
      <w:r>
        <w:tab/>
      </w:r>
      <w:r>
        <w:rPr>
          <w:noProof/>
        </w:rPr>
        <w:t xml:space="preserve">Večletni strateški cilji Komisije, ki naj bi bili doseženi s predlogom/pobudo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1) Ohranjanje stabilnosti finančnega sistema s krepitvijo zaupanja vlagateljev v bančni sistem v Uniji.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 xml:space="preserve">2) Zmanjšanje ovir za </w:t>
      </w:r>
      <w:r>
        <w:rPr>
          <w:noProof/>
        </w:rPr>
        <w:t>prosti pretok kapitala in ustvarjanje enakih konkurenčnih pogojev za kreditne institucije v Uniji.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3) Varstvo javnih financ z zmanjšanjem njihove povezave s finančnim položajem kreditnih institucij.</w:t>
      </w:r>
    </w:p>
    <w:p w:rsidR="001E2AAD" w:rsidRDefault="007B2354">
      <w:pPr>
        <w:pStyle w:val="ManualHeading3"/>
        <w:rPr>
          <w:bCs/>
          <w:noProof/>
          <w:szCs w:val="24"/>
        </w:rPr>
      </w:pPr>
      <w:r>
        <w:t>6.4.2.</w:t>
      </w:r>
      <w:r>
        <w:tab/>
      </w:r>
      <w:r>
        <w:rPr>
          <w:noProof/>
        </w:rPr>
        <w:t>Specifični cilji in zadevne dejavnosti v strukturi</w:t>
      </w:r>
      <w:r>
        <w:rPr>
          <w:noProof/>
        </w:rPr>
        <w:t xml:space="preserve"> ABM/ABB </w:t>
      </w:r>
    </w:p>
    <w:p w:rsidR="001E2AAD" w:rsidRDefault="007B2354">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Specifični cilj št.</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Ob upoštevanju zgoraj navedenih splošnih ciljev so zastavljeni naslednji specifični cilji: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1) Dokončanje bančne unije z uvedbo evropskega sistema jamstva za vloge (ESJV), ki dopolnjuje enotni nadzorni mehanizem in enotni mehan</w:t>
      </w:r>
      <w:r>
        <w:rPr>
          <w:noProof/>
        </w:rPr>
        <w:t>izem za reševanje.</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2) Ustanovitev jamstvenega sklada za vloge znotraj proračuna enotnega odbora za reševanje (odbor), ki pomaga absorbirati geografsko asimetrične šoke na notranjem trgu Unije za finančne storitve, kar izboljša varstvo vlagateljev v Uniji.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3) Varstvo javnih financ z zaračunavanjem stroškov jamstva za vloge vsem bankam v Uniji.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 xml:space="preserve">Želeni podcilji so naslednji: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 xml:space="preserve">a) V prvi fazi (obdobje pozavarovanja) jamstveni sklad za vloge v določenem obsegu zagotavlja financiranje sodelujočemu sistemu jamstva </w:t>
      </w:r>
      <w:r>
        <w:rPr>
          <w:noProof/>
        </w:rPr>
        <w:t>za vloge (SJV) in krije del njegovih izgub, če finančna sredstva, ki jih sodelujoči SJV potrebuje za izpolnitev svojih obveznosti do vlagateljev ali do organa za reševanje na podlagi Direktive 2014/49/EU, presegajo finančna sredstva SJV.</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b) V drugi fazi (o</w:t>
      </w:r>
      <w:r>
        <w:rPr>
          <w:noProof/>
        </w:rPr>
        <w:t>bdobje sozavarovanja) jamstveni sklad za vloge v postopno vse večjem obsegu zagotavlja financiranje in krije izgube sodelujočega sistema jamstva za vloge v zgoraj opisanih okoliščinah (pod a).</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 xml:space="preserve">c) V tretji fazi (polno jamstvo) jamstveni sklad za vloge </w:t>
      </w:r>
      <w:r>
        <w:rPr>
          <w:noProof/>
        </w:rPr>
        <w:t>zagotovi celotno financiranje in krije vse izgube sodelujočega sistema jamstva za vloge v zgoraj opisanih okoliščinah (pod a).</w:t>
      </w:r>
    </w:p>
    <w:p w:rsidR="001E2AAD" w:rsidRDefault="007B2354">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Finančne storitve in kapitalski trgi.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Strategija in usklajevanje politik za finančno stabi</w:t>
      </w:r>
      <w:r>
        <w:rPr>
          <w:noProof/>
        </w:rPr>
        <w:t>lnost, finančne storitve in unijo kapitalskih trgov.</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Upravljanje Generalnega direktorata za finančno stabilnost, finančne storitve in unijo kapitalskih trgov.</w:t>
      </w:r>
    </w:p>
    <w:p w:rsidR="001E2AAD" w:rsidRDefault="007B2354">
      <w:pPr>
        <w:pStyle w:val="ManualHeading3"/>
        <w:rPr>
          <w:bCs/>
          <w:noProof/>
          <w:szCs w:val="24"/>
        </w:rPr>
      </w:pPr>
      <w:r>
        <w:rPr>
          <w:noProof/>
        </w:rPr>
        <w:br w:type="page"/>
      </w:r>
      <w:r>
        <w:t>6.4.3.</w:t>
      </w:r>
      <w:r>
        <w:tab/>
      </w:r>
      <w:r>
        <w:rPr>
          <w:noProof/>
        </w:rPr>
        <w:t>Pričakovani rezultati in posledice</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1) Predlog bo znatno oslabil povezavo med javnimi fina</w:t>
      </w:r>
      <w:r>
        <w:rPr>
          <w:noProof/>
        </w:rPr>
        <w:t>ncami sodelujoče države članice in kreditnimi institucijami s sedežem v njej.</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2) Predlog bo zmanjšal razdrobljenost notranjega trga za finančne storitve in poenotil konkurenčne pogoje za vse kreditne institucije s sedežem v sodelujočih državah članicah.</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 xml:space="preserve"> Predlog bo znatno povečal zaupanje v varstvo vlog v vseh sodelujočih državah članicah.</w:t>
      </w:r>
    </w:p>
    <w:p w:rsidR="001E2AAD" w:rsidRDefault="007B2354">
      <w:pPr>
        <w:pStyle w:val="ManualHeading3"/>
        <w:rPr>
          <w:bCs/>
          <w:noProof/>
          <w:szCs w:val="24"/>
        </w:rPr>
      </w:pPr>
      <w:r>
        <w:t>6.4.4.</w:t>
      </w:r>
      <w:r>
        <w:tab/>
      </w:r>
      <w:r>
        <w:rPr>
          <w:noProof/>
        </w:rPr>
        <w:t xml:space="preserve">Kazalniki rezultatov in posledic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1) Zmanjšan prenos vlog iz kreditnih institucij s sedežem v sodelujočih državah članicah, za katere se meni, da so oslabile jav</w:t>
      </w:r>
      <w:r>
        <w:rPr>
          <w:noProof/>
        </w:rPr>
        <w:t>ne finance, v kreditne institucije s sedežem v sodelujočih državah članicah, za katere se meni, da niso oslabile javnih financ.</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2) Zmanjšane razlike v obrestnih razmikih za vloge med kreditnimi institucijami s sedežem v različnih sodelujočih državah članic</w:t>
      </w:r>
      <w:r>
        <w:rPr>
          <w:noProof/>
        </w:rPr>
        <w:t>ah.</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3) Večje število in velikost kreditnih institucij, za katere lahko sodelujoči SJV v primeru, da vloge v teh kreditnih institucijah postanejo nerazpoložljive ali da kreditne institucije postanejo predmet postopkov reševanja, izpolni njihove obveznosti d</w:t>
      </w:r>
      <w:r>
        <w:rPr>
          <w:noProof/>
        </w:rPr>
        <w:t>o vlagateljev ali organa za reševanje.</w:t>
      </w:r>
    </w:p>
    <w:p w:rsidR="001E2AAD" w:rsidRDefault="007B2354">
      <w:pPr>
        <w:pStyle w:val="ManualHeading2"/>
        <w:rPr>
          <w:bCs/>
          <w:noProof/>
          <w:szCs w:val="24"/>
        </w:rPr>
      </w:pPr>
      <w:r>
        <w:t>6.5.</w:t>
      </w:r>
      <w:r>
        <w:tab/>
      </w:r>
      <w:r>
        <w:rPr>
          <w:noProof/>
        </w:rPr>
        <w:t xml:space="preserve">Utemeljitev predloga/pobude </w:t>
      </w:r>
    </w:p>
    <w:p w:rsidR="001E2AAD" w:rsidRDefault="007B2354">
      <w:pPr>
        <w:pStyle w:val="ManualHeading3"/>
        <w:rPr>
          <w:noProof/>
        </w:rPr>
      </w:pPr>
      <w:r>
        <w:t>6.5.1.</w:t>
      </w:r>
      <w:r>
        <w:tab/>
      </w:r>
      <w:r>
        <w:rPr>
          <w:noProof/>
        </w:rPr>
        <w:t xml:space="preserve">Potrebe, ki jih je treba zadovoljiti kratkoročno ali dolgoročno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Leta 2012 je Komisija v okviru dolgoročne vizije za gospodarsko in fiskalno povezovanje pozvala k ustanovitvi b</w:t>
      </w:r>
      <w:r>
        <w:rPr>
          <w:noProof/>
        </w:rPr>
        <w:t>ančne unije, ki bi utrdila temelje bančnega sektorja in povrnila zaupanje v euro. Bančno unijo bi bilo treba oblikovati s prenosom nadzora na evropsko raven, ustanovitvijo povezanega obvladovanja bančnih kriz in, enako pomembno, skupnim sistemom za zaščito</w:t>
      </w:r>
      <w:r>
        <w:rPr>
          <w:noProof/>
        </w:rPr>
        <w:t xml:space="preserve"> vlog. Medtem ko sta bila prva dva koraka dosežena z enotnim mehanizmom nadzora in enotnim mehanizmom za reševanje, je treba skupni sistem za zaščito vlog šele vzpostaviti.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Poročilo petih predsednikov in sporočilo Komisije o spremljanju določata jasen načr</w:t>
      </w:r>
      <w:r>
        <w:rPr>
          <w:noProof/>
        </w:rPr>
        <w:t xml:space="preserve">t za poglabljanje ekonomske in monetarne unije (EMU), vključno z ukrepi za nadaljnje omejevanje tveganj za finančno stabilnost. Dokončanje bančne unije je nujen korak za polno in poglobljeno EMU. Za enotno valuto je enoten in popolnoma integriran finančni </w:t>
      </w:r>
      <w:r>
        <w:rPr>
          <w:noProof/>
        </w:rPr>
        <w:t>sistem ključen za uspešen prenos monetarne politike, zadostno diverzifikacijo tveganja po državah članicah in splošno zaupanje v bančni sistem euroobmočja.</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Zlasti se v poročilu petih predsednikov dolgoročno predlaga ustanovitev evropskega sistema jamstva z</w:t>
      </w:r>
      <w:r>
        <w:rPr>
          <w:noProof/>
        </w:rPr>
        <w:t>a vloge (ESJV) kot tretjega stebra popolnoma delujoče bančne unije, poleg bančnega nadzora, ki je bil zaupan enotnemu mehanizmu nadzora EMN, in reševanja bank, ki je bilo zaupano enotnemu odboru za reševanje bank.</w:t>
      </w:r>
    </w:p>
    <w:p w:rsidR="001E2AAD" w:rsidRDefault="007B2354">
      <w:pPr>
        <w:pStyle w:val="ManualHeading3"/>
        <w:rPr>
          <w:bCs/>
          <w:noProof/>
          <w:szCs w:val="24"/>
        </w:rPr>
      </w:pPr>
      <w:r>
        <w:t>6.5.2.</w:t>
      </w:r>
      <w:r>
        <w:tab/>
      </w:r>
      <w:r>
        <w:rPr>
          <w:noProof/>
        </w:rPr>
        <w:t>Dodana vrednost ukrepanja EU</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Poroči</w:t>
      </w:r>
      <w:r>
        <w:rPr>
          <w:noProof/>
        </w:rPr>
        <w:t>lo petih predsednikov opozarja, da je sedanja ureditev z nacionalnimi sistemi jamstva za vloge še vedno izpostavljena velikim lokalnim pretresom (zlasti, če sta država in nacionalni bančni sistem v ranljivem položaju), zato bi skupni sistem jamstva za vlog</w:t>
      </w:r>
      <w:r>
        <w:rPr>
          <w:noProof/>
        </w:rPr>
        <w:t>e povečal odpornost na prihodnje krize. Prav tako je bolj verjetno, da bo skupni sistem jamstva za vloge v primerjavi z nacionalnimi sistemi na daljši rok fiskalno nevtralen, ker bodo tveganja širše porazdeljena in ker se zasebni prispevki zbirajo iz velik</w:t>
      </w:r>
      <w:r>
        <w:rPr>
          <w:noProof/>
        </w:rPr>
        <w:t xml:space="preserve">o večjega nabora finančnih institucij. V skladu s poročilom petih predsednikov bi bilo treba vmesne korake izvesti že do sredine leta 2017 kot del faze 1 za dokončanje ekonomske in monetarne unije v Evropi, na primer v obliki mehanizma pozavarovanja. ESJV </w:t>
      </w:r>
      <w:r>
        <w:rPr>
          <w:noProof/>
        </w:rPr>
        <w:t>bi se financiral zasebno s predhodnimi prispevki, ki bi jih na podlagi tveganja plačale vse sodelujoče banke v državah članicah, ter bi bil zasnovan tako, da bi se preprečilo moralno tveganje.</w:t>
      </w:r>
    </w:p>
    <w:p w:rsidR="001E2AAD" w:rsidRDefault="007B2354">
      <w:pPr>
        <w:pStyle w:val="ManualHeading3"/>
        <w:rPr>
          <w:bCs/>
          <w:noProof/>
          <w:szCs w:val="24"/>
        </w:rPr>
      </w:pPr>
      <w:r>
        <w:t>6.5.3.</w:t>
      </w:r>
      <w:r>
        <w:tab/>
      </w:r>
      <w:r>
        <w:rPr>
          <w:noProof/>
        </w:rPr>
        <w:t>Spoznanja iz podobnih izkušenj v preteklosti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O številu u</w:t>
      </w:r>
      <w:r>
        <w:rPr>
          <w:noProof/>
        </w:rPr>
        <w:t>službencev v nacionalnih SJV je malo javno dostopnih podatkov. Prav tako so nacionalni SJV organizirani v različnih oblikah in prejemajo v različnem obsegu kadrovsko pomoč od na primer bančnih združenj ali nadzornih organov ali si delijo službe z njimi. An</w:t>
      </w:r>
      <w:r>
        <w:rPr>
          <w:noProof/>
        </w:rPr>
        <w:t>keta, ki jo je izvedel Evropski forum zavarovateljev vlog, kaže, da se raven neposrednih kadrovskih virov (tj. brez podpornih funkcij) giblje med 10 in 40 EPDČ.</w:t>
      </w:r>
    </w:p>
    <w:p w:rsidR="001E2AAD" w:rsidRDefault="007B2354">
      <w:pPr>
        <w:pStyle w:val="ManualHeading3"/>
        <w:rPr>
          <w:bCs/>
          <w:noProof/>
          <w:szCs w:val="24"/>
        </w:rPr>
      </w:pPr>
      <w:r>
        <w:t>6.5.4.</w:t>
      </w:r>
      <w:r>
        <w:tab/>
      </w:r>
      <w:r>
        <w:rPr>
          <w:noProof/>
        </w:rPr>
        <w:t>Skladnost in možnosti sinergij z drugimi ustreznimi instrumenti</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Po vzpostavitvi enotnega</w:t>
      </w:r>
      <w:r>
        <w:rPr>
          <w:noProof/>
        </w:rPr>
        <w:t xml:space="preserve"> mehanizma nadzora (EMN) z Uredbo Sveta (EU) št. 1024/2013 in enotnega mehanizma za reševanje (EMR) z Uredbo (EU) No 806/2014 je nastalo neravnovesje med nadzorom in reševanjem bank s strani Unije v sodelujočih državah članicah na eni strani ter učinkovito</w:t>
      </w:r>
      <w:r>
        <w:rPr>
          <w:noProof/>
        </w:rPr>
        <w:t>stjo in verodostojnostjo nacionalnih SJV v primeru propada teh istih bank v skladu z Direktivo 2014/49/EU na drugi strani. Ustanovitev ESJV je bistven korak za dokončanje tretjega stebra polno delujoče bančne unije, poleg nadzora in reševanja bank.</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Predlag</w:t>
      </w:r>
      <w:r>
        <w:rPr>
          <w:noProof/>
        </w:rPr>
        <w:t>ana uredba temelji na obstoječem okviru nacionalnih sistemov jamstva za vloge, kot ga določa Direktiva 2014/49/EU (direktiva o sistemih jamstva za vloge). Vzpostavitev ESJV je sestavni del procesa nadaljnjega usklajevanja jamstev za vloge na podlagi Direkt</w:t>
      </w:r>
      <w:r>
        <w:rPr>
          <w:noProof/>
        </w:rPr>
        <w:t>ive 2014/49/EU. Enotna uporaba okvira jamstva za vloge v državah članicah, ki sodelujejo v ESJV, se bo zaradi te predlagane uredbe izboljšala, saj bodo pristojnosti za odločanje, spremljanje in izvrševanje v zvezi z ESJV dodeljene enotnemu odboru za reševa</w:t>
      </w:r>
      <w:r>
        <w:rPr>
          <w:noProof/>
        </w:rPr>
        <w:t>nje (odbor). Ta pristop bo zagotovil enako zaščito kritim vlagateljem in podporo pravilnemu delovanju notranjega trga. Da se zagotovi popolno zaupanje vseh sodelujočih držav članic v kakovost in nepristranskost zaščite vlog s strani ESJV in izboljša učinko</w:t>
      </w:r>
      <w:r>
        <w:rPr>
          <w:noProof/>
        </w:rPr>
        <w:t>vitost jamstva za vloge, predlagana uredba ustanavlja jamstveni sklad za vloge. Enotni odbor za reševanje bi zbiral prispevke neposredno od institucij ter vodil in upravljal jamstveni sklad za vloge.</w:t>
      </w:r>
    </w:p>
    <w:p w:rsidR="001E2AAD" w:rsidRDefault="007B2354">
      <w:pPr>
        <w:pStyle w:val="ManualHeading2"/>
        <w:rPr>
          <w:bCs/>
          <w:noProof/>
          <w:szCs w:val="24"/>
        </w:rPr>
      </w:pPr>
      <w:r>
        <w:rPr>
          <w:noProof/>
        </w:rPr>
        <w:br w:type="page"/>
      </w:r>
      <w:r>
        <w:t>6.6.</w:t>
      </w:r>
      <w:r>
        <w:tab/>
      </w:r>
      <w:r>
        <w:rPr>
          <w:noProof/>
        </w:rPr>
        <w:t xml:space="preserve">Trajanje ukrepa in finančnih posledic </w:t>
      </w:r>
    </w:p>
    <w:p w:rsidR="001E2AAD" w:rsidRDefault="007B2354">
      <w:pPr>
        <w:pStyle w:val="Text1"/>
        <w:rPr>
          <w:noProof/>
        </w:rPr>
      </w:pPr>
      <w:r>
        <w:rPr>
          <w:rFonts w:eastAsia="Times New Roman"/>
          <w:noProof/>
          <w:szCs w:val="24"/>
        </w:rPr>
        <w:sym w:font="Wingdings" w:char="F0A8"/>
      </w:r>
      <w:r>
        <w:rPr>
          <w:rFonts w:eastAsia="Times New Roman"/>
          <w:noProof/>
          <w:szCs w:val="24"/>
        </w:rPr>
        <w:t xml:space="preserve"> </w:t>
      </w:r>
      <w:r>
        <w:rPr>
          <w:b/>
          <w:noProof/>
        </w:rPr>
        <w:t>Časovno o</w:t>
      </w:r>
      <w:r>
        <w:rPr>
          <w:b/>
          <w:noProof/>
        </w:rPr>
        <w:t>mejen(-a)</w:t>
      </w:r>
      <w:r>
        <w:rPr>
          <w:noProof/>
        </w:rPr>
        <w:t xml:space="preserve"> predlog/pobuda:</w:t>
      </w:r>
      <w:r>
        <w:rPr>
          <w:b/>
          <w:noProof/>
        </w:rPr>
        <w:t xml:space="preserve"> </w:t>
      </w:r>
    </w:p>
    <w:p w:rsidR="001E2AAD" w:rsidRDefault="007B2354">
      <w:pPr>
        <w:pStyle w:val="ListDash2"/>
        <w:rPr>
          <w:noProof/>
        </w:rPr>
      </w:pPr>
      <w:r>
        <w:rPr>
          <w:noProof/>
        </w:rPr>
        <w:sym w:font="Wingdings" w:char="F0A8"/>
      </w:r>
      <w:r>
        <w:rPr>
          <w:noProof/>
        </w:rPr>
        <w:tab/>
        <w:t xml:space="preserve">trajanje predloga/pobude od [D. MMMM] LLLL do [D. MMMM] LLLL, </w:t>
      </w:r>
    </w:p>
    <w:p w:rsidR="001E2AAD" w:rsidRDefault="007B2354">
      <w:pPr>
        <w:pStyle w:val="ListDash2"/>
        <w:rPr>
          <w:noProof/>
        </w:rPr>
      </w:pPr>
      <w:r>
        <w:rPr>
          <w:noProof/>
        </w:rPr>
        <w:sym w:font="Wingdings" w:char="F0A8"/>
      </w:r>
      <w:r>
        <w:rPr>
          <w:noProof/>
        </w:rPr>
        <w:tab/>
        <w:t xml:space="preserve">finančne posledice med letoma LLLL in LLLL. </w:t>
      </w:r>
    </w:p>
    <w:p w:rsidR="001E2AAD" w:rsidRDefault="007B2354">
      <w:pPr>
        <w:pStyle w:val="Text1"/>
        <w:rPr>
          <w:noProof/>
        </w:rPr>
      </w:pPr>
      <w:r>
        <w:rPr>
          <w:noProof/>
        </w:rPr>
        <w:sym w:font="Wingdings" w:char="F0FE"/>
      </w:r>
      <w:r>
        <w:rPr>
          <w:b/>
          <w:i/>
          <w:noProof/>
        </w:rPr>
        <w:t xml:space="preserve"> </w:t>
      </w:r>
      <w:r>
        <w:rPr>
          <w:b/>
          <w:noProof/>
        </w:rPr>
        <w:t xml:space="preserve">Časovno neomejen(-a) </w:t>
      </w:r>
      <w:r>
        <w:rPr>
          <w:noProof/>
        </w:rPr>
        <w:t>predlog/pobuda:</w:t>
      </w:r>
    </w:p>
    <w:p w:rsidR="001E2AAD" w:rsidRDefault="007B2354">
      <w:pPr>
        <w:pStyle w:val="ListDash1"/>
        <w:rPr>
          <w:noProof/>
        </w:rPr>
      </w:pPr>
      <w:r>
        <w:rPr>
          <w:noProof/>
        </w:rPr>
        <w:t>izvajanje z obdobjem uvajanja med letoma 2017 in 2024,</w:t>
      </w:r>
    </w:p>
    <w:p w:rsidR="001E2AAD" w:rsidRDefault="007B2354">
      <w:pPr>
        <w:pStyle w:val="ListDash1"/>
        <w:rPr>
          <w:noProof/>
        </w:rPr>
      </w:pPr>
      <w:r>
        <w:rPr>
          <w:noProof/>
        </w:rPr>
        <w:t xml:space="preserve">ki mu sledi izvajanje </w:t>
      </w:r>
      <w:r>
        <w:rPr>
          <w:noProof/>
        </w:rPr>
        <w:t>predloga/pobude v celoti.</w:t>
      </w:r>
    </w:p>
    <w:p w:rsidR="001E2AAD" w:rsidRDefault="007B2354">
      <w:pPr>
        <w:pStyle w:val="ManualHeading2"/>
        <w:rPr>
          <w:bCs/>
          <w:noProof/>
          <w:szCs w:val="24"/>
        </w:rPr>
      </w:pPr>
      <w:r>
        <w:t>6.7.</w:t>
      </w:r>
      <w:r>
        <w:tab/>
      </w:r>
      <w:r>
        <w:rPr>
          <w:noProof/>
        </w:rPr>
        <w:t>Načrtovani načini upravljanja</w:t>
      </w:r>
      <w:r>
        <w:rPr>
          <w:rStyle w:val="FootnoteReference"/>
          <w:noProof/>
        </w:rPr>
        <w:footnoteReference w:id="16"/>
      </w:r>
      <w:r>
        <w:rPr>
          <w:rStyle w:val="FootnoteReference"/>
          <w:noProof/>
        </w:rPr>
        <w:t xml:space="preserve"> </w:t>
      </w:r>
    </w:p>
    <w:p w:rsidR="001E2AAD" w:rsidRDefault="007B2354">
      <w:pPr>
        <w:pStyle w:val="Text1"/>
        <w:rPr>
          <w:noProof/>
        </w:rPr>
      </w:pPr>
      <w:r>
        <w:rPr>
          <w:noProof/>
        </w:rPr>
        <w:sym w:font="Wingdings" w:char="F0A8"/>
      </w:r>
      <w:r>
        <w:rPr>
          <w:b/>
          <w:noProof/>
        </w:rPr>
        <w:t>Neposredno upravljanje</w:t>
      </w:r>
      <w:r>
        <w:rPr>
          <w:noProof/>
        </w:rPr>
        <w:t xml:space="preserve"> – Komisija</w:t>
      </w:r>
    </w:p>
    <w:p w:rsidR="001E2AAD" w:rsidRDefault="007B2354">
      <w:pPr>
        <w:pStyle w:val="ListDash2"/>
        <w:rPr>
          <w:rFonts w:cs="EUAlbertina"/>
          <w:noProof/>
        </w:rPr>
      </w:pPr>
      <w:r>
        <w:rPr>
          <w:noProof/>
        </w:rPr>
        <w:sym w:font="Wingdings" w:char="F0A8"/>
      </w:r>
      <w:r>
        <w:rPr>
          <w:noProof/>
        </w:rPr>
        <w:t xml:space="preserve"> z lastnimi službami, vključno s svojimi zaposlenimi v delegacijah Unije; </w:t>
      </w:r>
    </w:p>
    <w:p w:rsidR="001E2AAD" w:rsidRDefault="007B2354">
      <w:pPr>
        <w:pStyle w:val="ListDash2"/>
        <w:rPr>
          <w:noProof/>
        </w:rPr>
      </w:pPr>
      <w:r>
        <w:rPr>
          <w:noProof/>
        </w:rPr>
        <w:sym w:font="Wingdings" w:char="F0A8"/>
      </w:r>
      <w:r>
        <w:rPr>
          <w:noProof/>
        </w:rPr>
        <w:tab/>
        <w:t xml:space="preserve">prek izvajalskih agencij. </w:t>
      </w:r>
    </w:p>
    <w:p w:rsidR="001E2AAD" w:rsidRDefault="007B2354">
      <w:pPr>
        <w:pStyle w:val="Text1"/>
        <w:rPr>
          <w:noProof/>
        </w:rPr>
      </w:pPr>
      <w:r>
        <w:rPr>
          <w:noProof/>
        </w:rPr>
        <w:sym w:font="Wingdings" w:char="F0A8"/>
      </w:r>
      <w:r>
        <w:rPr>
          <w:noProof/>
        </w:rPr>
        <w:t xml:space="preserve"> </w:t>
      </w:r>
      <w:r>
        <w:rPr>
          <w:b/>
          <w:noProof/>
        </w:rPr>
        <w:t xml:space="preserve">Deljeno upravljanje </w:t>
      </w:r>
      <w:r>
        <w:rPr>
          <w:noProof/>
        </w:rPr>
        <w:t xml:space="preserve">z državami članicami. </w:t>
      </w:r>
    </w:p>
    <w:p w:rsidR="001E2AAD" w:rsidRDefault="007B2354">
      <w:pPr>
        <w:pStyle w:val="Text1"/>
        <w:rPr>
          <w:noProof/>
        </w:rPr>
      </w:pPr>
      <w:r>
        <w:rPr>
          <w:noProof/>
        </w:rPr>
        <w:sym w:font="Wingdings" w:char="F0A8"/>
      </w:r>
      <w:r>
        <w:rPr>
          <w:noProof/>
        </w:rPr>
        <w:t xml:space="preserve"> </w:t>
      </w:r>
      <w:r>
        <w:rPr>
          <w:b/>
          <w:noProof/>
        </w:rPr>
        <w:t>Posred</w:t>
      </w:r>
      <w:r>
        <w:rPr>
          <w:b/>
          <w:noProof/>
        </w:rPr>
        <w:t xml:space="preserve">no upravljanje </w:t>
      </w:r>
      <w:r>
        <w:rPr>
          <w:noProof/>
        </w:rPr>
        <w:t>s poverjanjem nalog izvrševanja proračuna:</w:t>
      </w:r>
    </w:p>
    <w:p w:rsidR="001E2AAD" w:rsidRDefault="007B2354">
      <w:pPr>
        <w:pStyle w:val="ListDash2"/>
        <w:rPr>
          <w:noProof/>
        </w:rPr>
      </w:pPr>
      <w:r>
        <w:rPr>
          <w:noProof/>
        </w:rPr>
        <w:sym w:font="Wingdings" w:char="F0A8"/>
      </w:r>
      <w:r>
        <w:rPr>
          <w:noProof/>
        </w:rPr>
        <w:t xml:space="preserve"> tretjim državam ali organom, ki jih te imenujejo;</w:t>
      </w:r>
    </w:p>
    <w:p w:rsidR="001E2AAD" w:rsidRDefault="007B2354">
      <w:pPr>
        <w:pStyle w:val="ListDash2"/>
        <w:rPr>
          <w:noProof/>
        </w:rPr>
      </w:pPr>
      <w:r>
        <w:rPr>
          <w:noProof/>
        </w:rPr>
        <w:sym w:font="Wingdings" w:char="F0A8"/>
      </w:r>
      <w:r>
        <w:rPr>
          <w:noProof/>
        </w:rPr>
        <w:t xml:space="preserve"> mednarodnim organizacijam in njihovim agencijam (navedite),</w:t>
      </w:r>
    </w:p>
    <w:p w:rsidR="001E2AAD" w:rsidRDefault="007B2354">
      <w:pPr>
        <w:pStyle w:val="ListDash2"/>
        <w:rPr>
          <w:noProof/>
        </w:rPr>
      </w:pPr>
      <w:r>
        <w:rPr>
          <w:noProof/>
        </w:rPr>
        <w:sym w:font="Wingdings" w:char="F0A8"/>
      </w:r>
      <w:r>
        <w:rPr>
          <w:noProof/>
        </w:rPr>
        <w:t xml:space="preserve"> EIB in Evropskemu investicijskemu skladu;</w:t>
      </w:r>
    </w:p>
    <w:p w:rsidR="001E2AAD" w:rsidRDefault="007B2354">
      <w:pPr>
        <w:pStyle w:val="ListDash2"/>
        <w:rPr>
          <w:noProof/>
        </w:rPr>
      </w:pPr>
      <w:r>
        <w:rPr>
          <w:noProof/>
        </w:rPr>
        <w:sym w:font="Wingdings" w:char="F0FE"/>
      </w:r>
      <w:r>
        <w:rPr>
          <w:noProof/>
        </w:rPr>
        <w:t xml:space="preserve"> organom iz členov 208 in 209 finančne </w:t>
      </w:r>
      <w:r>
        <w:rPr>
          <w:noProof/>
        </w:rPr>
        <w:t>uredbe,</w:t>
      </w:r>
    </w:p>
    <w:p w:rsidR="001E2AAD" w:rsidRDefault="007B2354">
      <w:pPr>
        <w:pStyle w:val="ListDash2"/>
        <w:rPr>
          <w:noProof/>
        </w:rPr>
      </w:pPr>
      <w:r>
        <w:rPr>
          <w:noProof/>
        </w:rPr>
        <w:sym w:font="Wingdings" w:char="F0A8"/>
      </w:r>
      <w:r>
        <w:rPr>
          <w:noProof/>
        </w:rPr>
        <w:t xml:space="preserve"> subjektom javnega prava,</w:t>
      </w:r>
    </w:p>
    <w:p w:rsidR="001E2AAD" w:rsidRDefault="007B2354">
      <w:pPr>
        <w:pStyle w:val="ListDash2"/>
        <w:rPr>
          <w:noProof/>
        </w:rPr>
      </w:pPr>
      <w:r>
        <w:rPr>
          <w:noProof/>
        </w:rPr>
        <w:sym w:font="Wingdings" w:char="F0A8"/>
      </w:r>
      <w:r>
        <w:rPr>
          <w:noProof/>
        </w:rPr>
        <w:t>subjektom zasebnega prava, ki opravljajo javne storitve, kolikor ti subjekti zagotavljajo ustrezna finančna jamstva,</w:t>
      </w:r>
    </w:p>
    <w:p w:rsidR="001E2AAD" w:rsidRDefault="007B2354">
      <w:pPr>
        <w:pStyle w:val="ListDash2"/>
        <w:rPr>
          <w:noProof/>
        </w:rPr>
      </w:pPr>
      <w:r>
        <w:rPr>
          <w:noProof/>
        </w:rPr>
        <w:sym w:font="Wingdings" w:char="F0A8"/>
      </w:r>
      <w:r>
        <w:rPr>
          <w:noProof/>
        </w:rPr>
        <w:t xml:space="preserve"> subjektom zasebnega prava države članice, ki so pooblaščeni za izvajanje javno-zasebnih partnerstev i</w:t>
      </w:r>
      <w:r>
        <w:rPr>
          <w:noProof/>
        </w:rPr>
        <w:t>n ki zagotavljajo ustrezna finančna jamstva,</w:t>
      </w:r>
    </w:p>
    <w:p w:rsidR="001E2AAD" w:rsidRDefault="007B2354">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rsidR="001E2AAD" w:rsidRDefault="001E2AAD">
      <w:pPr>
        <w:rPr>
          <w:noProof/>
        </w:rPr>
        <w:sectPr w:rsidR="001E2AAD" w:rsidSect="007B2354">
          <w:pgSz w:w="11907" w:h="16840" w:code="9"/>
          <w:pgMar w:top="1134" w:right="1418" w:bottom="1134" w:left="1418" w:header="709" w:footer="709" w:gutter="0"/>
          <w:cols w:space="708"/>
          <w:docGrid w:linePitch="360"/>
        </w:sectPr>
      </w:pPr>
    </w:p>
    <w:p w:rsidR="001E2AAD" w:rsidRDefault="007B2354">
      <w:pPr>
        <w:pStyle w:val="ManualHeading1"/>
        <w:rPr>
          <w:bCs/>
          <w:noProof/>
          <w:szCs w:val="24"/>
        </w:rPr>
      </w:pPr>
      <w:r>
        <w:t>7.</w:t>
      </w:r>
      <w:r>
        <w:tab/>
      </w:r>
      <w:r>
        <w:rPr>
          <w:noProof/>
        </w:rPr>
        <w:t xml:space="preserve">UKREPI UPRAVLJANJA </w:t>
      </w:r>
    </w:p>
    <w:p w:rsidR="001E2AAD" w:rsidRDefault="007B2354">
      <w:pPr>
        <w:pStyle w:val="ManualHeading2"/>
        <w:rPr>
          <w:noProof/>
        </w:rPr>
      </w:pPr>
      <w:r>
        <w:t>7.1.</w:t>
      </w:r>
      <w:r>
        <w:tab/>
      </w:r>
      <w:r>
        <w:rPr>
          <w:noProof/>
        </w:rPr>
        <w:t xml:space="preserve">Pravila o spremljanju in poročanju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Člen 45 Uredbe zahteva, da odbor v zvezi z izvajanjem te uredbe odgovarja Evropskemu parlamentu, Svetu in Komisiji, med drugim mora vsako leto Evropskemu parlamentu, Svetu, Komisiji in Evropskemu računskemu sodišču predl</w:t>
      </w:r>
      <w:r>
        <w:rPr>
          <w:noProof/>
        </w:rPr>
        <w:t>ožiti poročilo o izvajanju nalog, ki so mu dodeljene s to uredbo.</w:t>
      </w:r>
    </w:p>
    <w:p w:rsidR="001E2AAD" w:rsidRDefault="007B2354">
      <w:pPr>
        <w:pStyle w:val="ManualHeading2"/>
        <w:rPr>
          <w:bCs/>
          <w:noProof/>
          <w:szCs w:val="24"/>
        </w:rPr>
      </w:pPr>
      <w:r>
        <w:t>7.2.</w:t>
      </w:r>
      <w:r>
        <w:tab/>
      </w:r>
      <w:r>
        <w:rPr>
          <w:noProof/>
        </w:rPr>
        <w:t xml:space="preserve">Upravljavski in kontrolni sistem </w:t>
      </w:r>
    </w:p>
    <w:p w:rsidR="001E2AAD" w:rsidRDefault="007B2354">
      <w:pPr>
        <w:pStyle w:val="ManualHeading3"/>
        <w:rPr>
          <w:noProof/>
        </w:rPr>
      </w:pPr>
      <w:r>
        <w:t>7.2.1.</w:t>
      </w:r>
      <w:r>
        <w:tab/>
      </w:r>
      <w:r>
        <w:rPr>
          <w:noProof/>
        </w:rPr>
        <w:t xml:space="preserve">Ugotovljena tveganja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Predlog ne bo privedel do novih tveganj v zvezi z zakonito, gospodarno, učinkovito in uspešno uporabo proračunskih sredste</w:t>
      </w:r>
      <w:r>
        <w:rPr>
          <w:noProof/>
        </w:rPr>
        <w:t>v.</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Vendar bi bilo pri obvladovanju notranjega tveganja treba upoštevati posebno naravo mehanizma financiranja enotnega odbora za reševanje. Za razliko od številnih drugih organov, ki jih je ustanovila Unija, bodo storitve odbora financirale izključno finan</w:t>
      </w:r>
      <w:r>
        <w:rPr>
          <w:noProof/>
        </w:rPr>
        <w:t>čne institucije.</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Drugič, odbor bo odgovoren za zagotavljanje upravljanja jamstvenega sklada za vloge. V zvezi s tem bo treba razviti in vzpostaviti sklop postopkov notranjega nadzora.</w:t>
      </w:r>
    </w:p>
    <w:p w:rsidR="001E2AAD" w:rsidRDefault="007B2354">
      <w:pPr>
        <w:pStyle w:val="ManualHeading3"/>
        <w:rPr>
          <w:bCs/>
          <w:noProof/>
          <w:szCs w:val="24"/>
        </w:rPr>
      </w:pPr>
      <w:r>
        <w:t>7.2.2.</w:t>
      </w:r>
      <w:r>
        <w:tab/>
      </w:r>
      <w:r>
        <w:rPr>
          <w:noProof/>
        </w:rPr>
        <w:t>Podatki o vzpostavljenem sistemu notranje kontrole</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 xml:space="preserve">Okvir in </w:t>
      </w:r>
      <w:r>
        <w:rPr>
          <w:noProof/>
        </w:rPr>
        <w:t>pravila za notranjo kontrolo bi morali slediti vzorcu, ki jih uporabljajo drugi organi, ki jih je ustanovila Komisija, razen za upravljanje enotnega odbora za reševanje, kar bo zahtevalo določitev posebnih pravil.</w:t>
      </w:r>
    </w:p>
    <w:p w:rsidR="001E2AAD" w:rsidRDefault="007B2354">
      <w:pPr>
        <w:pStyle w:val="ManualHeading3"/>
        <w:rPr>
          <w:noProof/>
        </w:rPr>
      </w:pPr>
      <w:r>
        <w:t>7.2.3.</w:t>
      </w:r>
      <w:r>
        <w:tab/>
      </w:r>
      <w:r>
        <w:rPr>
          <w:noProof/>
        </w:rPr>
        <w:t>Ocena stroškov in koristi kontrol t</w:t>
      </w:r>
      <w:r>
        <w:rPr>
          <w:noProof/>
        </w:rPr>
        <w:t xml:space="preserve">er ocena pričakovane stopnje tveganja napak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Notranje kontrole se vključijo v postopke odbora, ki so pomembni za izpolnjevanje njegovih odgovornosti in izvajanje nalog, ki so mu bile zaupane. Stroški teh postopkov ne presegajo njihovih koristi pri prepreče</w:t>
      </w:r>
      <w:r>
        <w:rPr>
          <w:noProof/>
        </w:rPr>
        <w:t>vanju hujših napak.</w:t>
      </w:r>
    </w:p>
    <w:p w:rsidR="001E2AAD" w:rsidRDefault="007B2354">
      <w:pPr>
        <w:pStyle w:val="ManualHeading2"/>
        <w:rPr>
          <w:bCs/>
          <w:noProof/>
          <w:szCs w:val="24"/>
        </w:rPr>
      </w:pPr>
      <w:r>
        <w:t>7.3.</w:t>
      </w:r>
      <w:r>
        <w:tab/>
      </w:r>
      <w:r>
        <w:rPr>
          <w:noProof/>
        </w:rPr>
        <w:t xml:space="preserve">Ukrepi za preprečevanje goljufij in nepravilnosti </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Uredba določa, da ESJV sodelujočega SJV v fazi pozavarovanja, sozavarovanja ali polnega jamstva ne pokriva, če sodelujoči SJV ali kateri koli drug zadevni organ zadevne države član</w:t>
      </w:r>
      <w:r>
        <w:rPr>
          <w:noProof/>
        </w:rPr>
        <w:t>ice ni izpolnil obveznosti iz te uredbe ali Direktive 2014/49/EU o sistemih jamstva za vloge.</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Za namene boja proti goljufijam, korupciji in drugim nezakonitim dejavnostim veljajo za odbor brez kakršnih koli omejitev določbe Uredbe (ES) št. 1073/1999 Evrops</w:t>
      </w:r>
      <w:r>
        <w:rPr>
          <w:noProof/>
        </w:rPr>
        <w:t>kega parlamenta in Sveta z dne 25. maja 1999 o preiskavah, ki jih izvaja Evropski urad za boj proti goljufijam (OLAF).</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Odbor pristopi k Medinstitucionalnemu sporazumu z dne 25. maja 1999 med Evropskim parlamentom, Svetom Evropske unije in Komisijo Evropski</w:t>
      </w:r>
      <w:r>
        <w:rPr>
          <w:noProof/>
        </w:rPr>
        <w:t>h skupnosti o notranjih preiskavah, ki jih opravlja Evropski urad za boj proti goljufijam (OLAF), in takoj sprejme ustrezne določbe za vse zaposlene odbora.</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Odločitve o financiranju ter sporazumi in iz njih izhajajoči izvedbeni instrumenti izrecno določajo</w:t>
      </w:r>
      <w:r>
        <w:rPr>
          <w:noProof/>
        </w:rPr>
        <w:t>, da lahko Računsko sodišče in OLAF po potrebi opravljata preglede na kraju samem pri prejemnikih denarnih sredstev, ki jih izplača odbor, in zaposlenih, ki so odgovorni za dodelitev teh sredstev.</w:t>
      </w:r>
    </w:p>
    <w:p w:rsidR="001E2AAD" w:rsidRDefault="007B2354">
      <w:pPr>
        <w:pStyle w:val="Text1"/>
        <w:pBdr>
          <w:top w:val="single" w:sz="4" w:space="1" w:color="auto"/>
          <w:left w:val="single" w:sz="4" w:space="4" w:color="auto"/>
          <w:bottom w:val="single" w:sz="4" w:space="1" w:color="auto"/>
          <w:right w:val="single" w:sz="4" w:space="4" w:color="auto"/>
        </w:pBdr>
        <w:rPr>
          <w:noProof/>
        </w:rPr>
      </w:pPr>
      <w:r>
        <w:rPr>
          <w:noProof/>
        </w:rPr>
        <w:t>Členi 61 do 66 uredbe vsebujejo določbe o izvajanju in nadz</w:t>
      </w:r>
      <w:r>
        <w:rPr>
          <w:noProof/>
        </w:rPr>
        <w:t>oru proračuna odbora in finančnih pravilih, ki se uporabljajo.</w:t>
      </w:r>
    </w:p>
    <w:p w:rsidR="001E2AAD" w:rsidRDefault="007B2354">
      <w:pPr>
        <w:pStyle w:val="ManualHeading1"/>
        <w:rPr>
          <w:bCs/>
          <w:noProof/>
          <w:szCs w:val="24"/>
        </w:rPr>
      </w:pPr>
      <w:r>
        <w:t>8.</w:t>
      </w:r>
      <w:r>
        <w:tab/>
      </w:r>
      <w:r>
        <w:rPr>
          <w:noProof/>
        </w:rPr>
        <w:t xml:space="preserve">OCENA FINANČNIH POSLEDIC PREDLOGA/POBUDE </w:t>
      </w:r>
    </w:p>
    <w:p w:rsidR="001E2AAD" w:rsidRDefault="007B2354">
      <w:pPr>
        <w:ind w:left="850"/>
        <w:rPr>
          <w:noProof/>
          <w:szCs w:val="24"/>
        </w:rPr>
      </w:pPr>
      <w:r>
        <w:rPr>
          <w:noProof/>
        </w:rPr>
        <w:t>Spodnja analiza vsebuje oceno skupnih stroškov odbora in njegovega vodenja. Odbor ne bo bremenil proračuna EU, saj bo vse odhodke odbora v celoti fi</w:t>
      </w:r>
      <w:r>
        <w:rPr>
          <w:noProof/>
        </w:rPr>
        <w:t>nanciralo približno 6 000 finančnih institucij, ki jih krije ESJV. Metoda izračuna bo temeljila na velikosti in bo določena v delegiranem aktu leta 2016. Zaradi skladnosti bi se morala enaka metodologija uporabljati v okviru ESJV.</w:t>
      </w:r>
    </w:p>
    <w:p w:rsidR="001E2AAD" w:rsidRDefault="007B2354">
      <w:pPr>
        <w:ind w:left="850"/>
        <w:rPr>
          <w:noProof/>
          <w:szCs w:val="24"/>
        </w:rPr>
      </w:pPr>
      <w:r>
        <w:rPr>
          <w:noProof/>
        </w:rPr>
        <w:t>Naloge odbora v zvezi z j</w:t>
      </w:r>
      <w:r>
        <w:rPr>
          <w:noProof/>
        </w:rPr>
        <w:t>amstvom za vloge bodo omejene. ESJV se bo razvijal v naslednjih treh fazah: (i) pozavarovanje, (ii) sozavarovanje in (iii) polno jamstvo. Odbor bo moral v vseh fazah oceniti, ali SJV, ki zaprosi za pomoč, izpolnjuje več določb Direktive 2014/49/EU, zlasti,</w:t>
      </w:r>
      <w:r>
        <w:rPr>
          <w:noProof/>
        </w:rPr>
        <w:t xml:space="preserve"> ali je vzpostavil svoj nacionalni sklad. Odbor za razliko od funkcije, ki jo ima pri reševanju, v tem primeru pri odločanju nima diskrecijskih pooblastil, saj obveznost sodelujočega SJV glede plačila vlagateljem (nadomestilo) ali glede plačila organu za r</w:t>
      </w:r>
      <w:r>
        <w:rPr>
          <w:noProof/>
        </w:rPr>
        <w:t>eševanje (prispevek k reševanju) izhaja iz odločitve upravnega ali sodnega organa.</w:t>
      </w:r>
    </w:p>
    <w:p w:rsidR="001E2AAD" w:rsidRDefault="007B2354">
      <w:pPr>
        <w:ind w:left="850"/>
        <w:rPr>
          <w:noProof/>
          <w:szCs w:val="24"/>
        </w:rPr>
      </w:pPr>
      <w:r>
        <w:rPr>
          <w:noProof/>
        </w:rPr>
        <w:t>V prvi fazi bo odbor ocenil prošnje za pozavarovalno kritje ter zagotovil potrebna sredstva za nadomestilo nacionalnim SJV v mejah kritja. Te naloge ostajajo enake v fazi so</w:t>
      </w:r>
      <w:r>
        <w:rPr>
          <w:noProof/>
        </w:rPr>
        <w:t>zavarovanja, le da lahko, če ni drugih sprememb, pričakujemo večje število potencialnih primerov, saj so predpogoji za kritje s strani ESJV manj omejujoči kot v fazi pozavarovanja. V obdobju polnega jamstva se bo obseg nalog odbora močno povečal. Poleg odg</w:t>
      </w:r>
      <w:r>
        <w:rPr>
          <w:noProof/>
        </w:rPr>
        <w:t>ovarjanja na prošnje za kritje bo moral izračunavati in zbirati prispevke posameznih bank ter upravljati evropski jamstveni sklad za vloge. Te naloge so podobne naloge v okviru enotnega mehanizma za reševanje. Zato je mogoče pričakovati znatno ekonomijo ob</w:t>
      </w:r>
      <w:r>
        <w:rPr>
          <w:noProof/>
        </w:rPr>
        <w:t>sega, povečanje obsega nalog pa ne pomeni sorazmernega povečanja potrebe po osebju.</w:t>
      </w:r>
    </w:p>
    <w:p w:rsidR="001E2AAD" w:rsidRDefault="007B2354">
      <w:pPr>
        <w:ind w:left="850"/>
        <w:rPr>
          <w:noProof/>
        </w:rPr>
      </w:pPr>
      <w:r>
        <w:rPr>
          <w:noProof/>
        </w:rPr>
        <w:t xml:space="preserve">Število osebja v SJV je odvisno od možnosti za poseganje. Nekateri SJV imajo možnost, da svoja sredstva uporabijo za ukrepe, ki bi institucijam preprečile, da propadejo, tj. možnost, da se izognejo dogodkom, ki povzročijo izplačilo. SJV s takšno možnostjo </w:t>
      </w:r>
      <w:r>
        <w:rPr>
          <w:noProof/>
        </w:rPr>
        <w:t>imajo tudi večje zmogljivosti za spremljanje in obvladovanje tveganj kot SJV, ki se uporabljajo predvsem kot „izplačilni urad“ za nadomestila vlagateljem. Področje uporabe ESJV bi bilo omejeno na finančno pomoč nacionalnim SJV, ki imajo vlogo takšnega „izp</w:t>
      </w:r>
      <w:r>
        <w:rPr>
          <w:noProof/>
        </w:rPr>
        <w:t xml:space="preserve">lačilnega urada“. </w:t>
      </w:r>
    </w:p>
    <w:p w:rsidR="001E2AAD" w:rsidRDefault="007B2354">
      <w:pPr>
        <w:ind w:left="850"/>
        <w:rPr>
          <w:noProof/>
        </w:rPr>
      </w:pPr>
      <w:r>
        <w:rPr>
          <w:noProof/>
        </w:rPr>
        <w:t>O številu uslužbencev v nacionalnih SJV je malo javno dostopnih podatkov. Anketa, ki jo je izvedel Evropski forum zavarovateljev vlog, kaže, da se raven neposrednih kadrovskih virov (tj. brez podpornih funkcij) za takšne SJV giblje med 1</w:t>
      </w:r>
      <w:r>
        <w:rPr>
          <w:noProof/>
        </w:rPr>
        <w:t xml:space="preserve">0 in 40 EPDČ, pri čemer so funkcije primerljive s tistimi v ESJV. </w:t>
      </w:r>
    </w:p>
    <w:p w:rsidR="001E2AAD" w:rsidRDefault="007B2354">
      <w:pPr>
        <w:ind w:left="850"/>
        <w:rPr>
          <w:noProof/>
        </w:rPr>
      </w:pPr>
      <w:r>
        <w:rPr>
          <w:noProof/>
        </w:rPr>
        <w:t>Glede na omejeno, vendar naraščajoče število nalog ESJV, Komisija predlaga naslednji EPDČ za neposredne funkcije.</w:t>
      </w:r>
    </w:p>
    <w:p w:rsidR="001E2AAD" w:rsidRDefault="007B2354">
      <w:pPr>
        <w:pStyle w:val="ListBullet1"/>
        <w:rPr>
          <w:noProof/>
        </w:rPr>
      </w:pPr>
      <w:r>
        <w:rPr>
          <w:noProof/>
        </w:rPr>
        <w:t>V fazi pozavarovanja: 5 EPDČ (+0,5 EPDČ režijski stroški)</w:t>
      </w:r>
    </w:p>
    <w:p w:rsidR="001E2AAD" w:rsidRDefault="007B2354">
      <w:pPr>
        <w:pStyle w:val="ListBullet1"/>
        <w:rPr>
          <w:noProof/>
        </w:rPr>
      </w:pPr>
      <w:r>
        <w:rPr>
          <w:noProof/>
        </w:rPr>
        <w:t>V obdobju sozavar</w:t>
      </w:r>
      <w:r>
        <w:rPr>
          <w:noProof/>
        </w:rPr>
        <w:t>ovanja: 10 EPDČ (+1 EPDČ režijski stroški)</w:t>
      </w:r>
    </w:p>
    <w:p w:rsidR="001E2AAD" w:rsidRDefault="007B2354">
      <w:pPr>
        <w:pStyle w:val="ListBullet1"/>
        <w:rPr>
          <w:noProof/>
        </w:rPr>
      </w:pPr>
      <w:r>
        <w:rPr>
          <w:noProof/>
        </w:rPr>
        <w:t xml:space="preserve">V obdobju polnega jamstva: 20 EPDČ (+2 EPDČ režijski stroški) </w:t>
      </w:r>
    </w:p>
    <w:p w:rsidR="001E2AAD" w:rsidRDefault="001E2AAD">
      <w:pPr>
        <w:ind w:left="850"/>
        <w:rPr>
          <w:noProof/>
        </w:rPr>
      </w:pPr>
    </w:p>
    <w:p w:rsidR="001E2AAD" w:rsidRDefault="007B2354">
      <w:pPr>
        <w:keepNext/>
        <w:keepLines/>
        <w:ind w:left="850"/>
        <w:rPr>
          <w:i/>
          <w:noProof/>
        </w:rPr>
      </w:pPr>
      <w:r>
        <w:rPr>
          <w:i/>
          <w:noProof/>
        </w:rPr>
        <w:t>Tabela: Okvirni razvoj EPDČ</w:t>
      </w:r>
    </w:p>
    <w:tbl>
      <w:tblPr>
        <w:tblW w:w="8319" w:type="dxa"/>
        <w:tblInd w:w="851" w:type="dxa"/>
        <w:tblLayout w:type="fixed"/>
        <w:tblCellMar>
          <w:left w:w="10" w:type="dxa"/>
          <w:right w:w="10" w:type="dxa"/>
        </w:tblCellMar>
        <w:tblLook w:val="04A0" w:firstRow="1" w:lastRow="0" w:firstColumn="1" w:lastColumn="0" w:noHBand="0" w:noVBand="1"/>
      </w:tblPr>
      <w:tblGrid>
        <w:gridCol w:w="2845"/>
        <w:gridCol w:w="684"/>
        <w:gridCol w:w="684"/>
        <w:gridCol w:w="684"/>
        <w:gridCol w:w="685"/>
        <w:gridCol w:w="684"/>
        <w:gridCol w:w="684"/>
        <w:gridCol w:w="684"/>
        <w:gridCol w:w="685"/>
      </w:tblGrid>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E2AAD" w:rsidRDefault="007B2354">
            <w:pPr>
              <w:keepNext/>
              <w:keepLines/>
              <w:spacing w:before="60" w:after="60"/>
              <w:jc w:val="left"/>
              <w:rPr>
                <w:b/>
                <w:noProof/>
                <w:sz w:val="18"/>
                <w:szCs w:val="20"/>
              </w:rPr>
            </w:pPr>
            <w:r>
              <w:rPr>
                <w:b/>
                <w:noProof/>
                <w:sz w:val="18"/>
              </w:rPr>
              <w:t>Človeški viri</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before="60" w:after="60"/>
              <w:jc w:val="center"/>
              <w:rPr>
                <w:b/>
                <w:noProof/>
                <w:sz w:val="18"/>
                <w:szCs w:val="20"/>
              </w:rPr>
            </w:pPr>
            <w:r>
              <w:rPr>
                <w:b/>
                <w:noProof/>
                <w:sz w:val="18"/>
              </w:rPr>
              <w:t>2017</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before="60" w:after="60"/>
              <w:jc w:val="center"/>
              <w:rPr>
                <w:b/>
                <w:noProof/>
                <w:sz w:val="18"/>
                <w:szCs w:val="20"/>
              </w:rPr>
            </w:pPr>
            <w:r>
              <w:rPr>
                <w:b/>
                <w:noProof/>
                <w:sz w:val="18"/>
              </w:rPr>
              <w:t>2018</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before="60" w:after="60"/>
              <w:jc w:val="center"/>
              <w:rPr>
                <w:b/>
                <w:noProof/>
                <w:sz w:val="18"/>
                <w:szCs w:val="20"/>
              </w:rPr>
            </w:pPr>
            <w:r>
              <w:rPr>
                <w:b/>
                <w:noProof/>
                <w:sz w:val="18"/>
              </w:rPr>
              <w:t>2019</w:t>
            </w:r>
          </w:p>
        </w:tc>
        <w:tc>
          <w:tcPr>
            <w:tcW w:w="68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before="60" w:after="60"/>
              <w:jc w:val="center"/>
              <w:rPr>
                <w:b/>
                <w:noProof/>
                <w:sz w:val="18"/>
                <w:szCs w:val="20"/>
              </w:rPr>
            </w:pPr>
            <w:r>
              <w:rPr>
                <w:b/>
                <w:noProof/>
                <w:sz w:val="18"/>
              </w:rPr>
              <w:t>2020</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before="60" w:after="60"/>
              <w:jc w:val="center"/>
              <w:rPr>
                <w:b/>
                <w:noProof/>
                <w:sz w:val="18"/>
                <w:szCs w:val="20"/>
              </w:rPr>
            </w:pPr>
            <w:r>
              <w:rPr>
                <w:b/>
                <w:noProof/>
                <w:sz w:val="18"/>
              </w:rPr>
              <w:t>2021</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before="60" w:after="60"/>
              <w:jc w:val="center"/>
              <w:rPr>
                <w:b/>
                <w:noProof/>
                <w:sz w:val="18"/>
                <w:szCs w:val="20"/>
              </w:rPr>
            </w:pPr>
            <w:r>
              <w:rPr>
                <w:b/>
                <w:noProof/>
                <w:sz w:val="18"/>
              </w:rPr>
              <w:t>2022</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before="60" w:after="60"/>
              <w:jc w:val="center"/>
              <w:rPr>
                <w:b/>
                <w:noProof/>
                <w:sz w:val="18"/>
                <w:szCs w:val="20"/>
              </w:rPr>
            </w:pPr>
            <w:r>
              <w:rPr>
                <w:b/>
                <w:noProof/>
                <w:sz w:val="18"/>
              </w:rPr>
              <w:t>2023</w:t>
            </w:r>
          </w:p>
        </w:tc>
        <w:tc>
          <w:tcPr>
            <w:tcW w:w="68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before="60" w:after="60"/>
              <w:jc w:val="center"/>
              <w:rPr>
                <w:b/>
                <w:noProof/>
                <w:sz w:val="18"/>
                <w:szCs w:val="20"/>
              </w:rPr>
            </w:pPr>
            <w:r>
              <w:rPr>
                <w:b/>
                <w:noProof/>
                <w:sz w:val="18"/>
              </w:rPr>
              <w:t>2024</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E2AAD" w:rsidRDefault="007B2354">
            <w:pPr>
              <w:keepNext/>
              <w:keepLines/>
              <w:spacing w:before="30" w:after="30"/>
              <w:jc w:val="left"/>
              <w:rPr>
                <w:b/>
                <w:noProof/>
                <w:sz w:val="18"/>
                <w:szCs w:val="20"/>
              </w:rPr>
            </w:pPr>
            <w:r>
              <w:rPr>
                <w:b/>
                <w:noProof/>
                <w:sz w:val="18"/>
              </w:rPr>
              <w:t>Delovna mesta v skladu s kadrovskim načrtom: AD</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4</w:t>
            </w:r>
          </w:p>
        </w:tc>
        <w:tc>
          <w:tcPr>
            <w:tcW w:w="685"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4</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8</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8</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8</w:t>
            </w:r>
          </w:p>
        </w:tc>
        <w:tc>
          <w:tcPr>
            <w:tcW w:w="685" w:type="dxa"/>
            <w:tcBorders>
              <w:top w:val="single" w:sz="4" w:space="0" w:color="auto"/>
              <w:left w:val="nil"/>
              <w:bottom w:val="single" w:sz="4" w:space="0" w:color="auto"/>
              <w:right w:val="single" w:sz="4" w:space="0" w:color="auto"/>
            </w:tcBorders>
            <w:vAlign w:val="center"/>
          </w:tcPr>
          <w:p w:rsidR="001E2AAD" w:rsidRDefault="007B2354">
            <w:pPr>
              <w:keepNext/>
              <w:keepLines/>
              <w:spacing w:after="0"/>
              <w:jc w:val="center"/>
              <w:rPr>
                <w:noProof/>
                <w:sz w:val="18"/>
                <w:szCs w:val="20"/>
              </w:rPr>
            </w:pPr>
            <w:r>
              <w:rPr>
                <w:noProof/>
                <w:sz w:val="18"/>
              </w:rPr>
              <w:t>16</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E2AAD" w:rsidRDefault="007B2354">
            <w:pPr>
              <w:keepNext/>
              <w:keepLines/>
              <w:spacing w:before="30" w:after="30"/>
              <w:jc w:val="left"/>
              <w:rPr>
                <w:b/>
                <w:noProof/>
                <w:sz w:val="18"/>
                <w:szCs w:val="20"/>
              </w:rPr>
            </w:pPr>
            <w:r>
              <w:rPr>
                <w:b/>
                <w:noProof/>
                <w:sz w:val="18"/>
              </w:rPr>
              <w:t>Delovna mesta v skladu s kadrovskim načrtom: AST</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1E2AAD" w:rsidRDefault="007B2354">
            <w:pPr>
              <w:keepNext/>
              <w:keepLines/>
              <w:spacing w:after="0"/>
              <w:jc w:val="center"/>
              <w:rPr>
                <w:noProof/>
                <w:sz w:val="18"/>
                <w:szCs w:val="20"/>
              </w:rPr>
            </w:pPr>
            <w:r>
              <w:rPr>
                <w:noProof/>
                <w:sz w:val="18"/>
              </w:rPr>
              <w:t>2</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E2AAD" w:rsidRDefault="007B2354">
            <w:pPr>
              <w:keepNext/>
              <w:keepLines/>
              <w:spacing w:before="30" w:after="30"/>
              <w:jc w:val="left"/>
              <w:rPr>
                <w:b/>
                <w:noProof/>
                <w:sz w:val="18"/>
                <w:szCs w:val="20"/>
              </w:rPr>
            </w:pPr>
            <w:r>
              <w:rPr>
                <w:b/>
                <w:noProof/>
                <w:sz w:val="18"/>
              </w:rPr>
              <w:t>Delovna mesta v skladu s kadrovskim načrtom: AST/SC</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w:t>
            </w:r>
          </w:p>
        </w:tc>
        <w:tc>
          <w:tcPr>
            <w:tcW w:w="685"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w:t>
            </w:r>
          </w:p>
        </w:tc>
        <w:tc>
          <w:tcPr>
            <w:tcW w:w="685" w:type="dxa"/>
            <w:tcBorders>
              <w:top w:val="single" w:sz="4" w:space="0" w:color="auto"/>
              <w:left w:val="nil"/>
              <w:bottom w:val="single" w:sz="4" w:space="0" w:color="auto"/>
              <w:right w:val="single" w:sz="4" w:space="0" w:color="auto"/>
            </w:tcBorders>
            <w:vAlign w:val="center"/>
          </w:tcPr>
          <w:p w:rsidR="001E2AAD" w:rsidRDefault="007B2354">
            <w:pPr>
              <w:keepNext/>
              <w:keepLines/>
              <w:spacing w:after="0"/>
              <w:jc w:val="center"/>
              <w:rPr>
                <w:noProof/>
                <w:sz w:val="18"/>
                <w:szCs w:val="20"/>
              </w:rPr>
            </w:pPr>
            <w:r>
              <w:rPr>
                <w:noProof/>
                <w:sz w:val="18"/>
              </w:rPr>
              <w:t>0</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E2AAD" w:rsidRDefault="007B2354">
            <w:pPr>
              <w:keepNext/>
              <w:keepLines/>
              <w:spacing w:before="30" w:after="30"/>
              <w:jc w:val="left"/>
              <w:rPr>
                <w:b/>
                <w:noProof/>
                <w:sz w:val="18"/>
                <w:szCs w:val="20"/>
              </w:rPr>
            </w:pPr>
            <w:r>
              <w:rPr>
                <w:b/>
                <w:noProof/>
                <w:sz w:val="18"/>
              </w:rPr>
              <w:t>Delovna mesta v skladu s kadrovskim načrtom skupaj</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4,5</w:t>
            </w:r>
          </w:p>
        </w:tc>
        <w:tc>
          <w:tcPr>
            <w:tcW w:w="68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4,5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9</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9</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9</w:t>
            </w:r>
          </w:p>
        </w:tc>
        <w:tc>
          <w:tcPr>
            <w:tcW w:w="68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18</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E2AAD" w:rsidRDefault="007B2354">
            <w:pPr>
              <w:keepNext/>
              <w:keepLines/>
              <w:spacing w:before="30" w:after="30"/>
              <w:jc w:val="left"/>
              <w:rPr>
                <w:b/>
                <w:noProof/>
                <w:sz w:val="18"/>
                <w:szCs w:val="20"/>
              </w:rPr>
            </w:pPr>
            <w:r>
              <w:rPr>
                <w:b/>
                <w:noProof/>
                <w:sz w:val="18"/>
              </w:rPr>
              <w:t>Pogodbeni uslužbenci</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1E2AAD" w:rsidRDefault="007B2354">
            <w:pPr>
              <w:keepNext/>
              <w:keepLines/>
              <w:spacing w:after="0"/>
              <w:jc w:val="center"/>
              <w:rPr>
                <w:noProof/>
                <w:sz w:val="18"/>
                <w:szCs w:val="20"/>
              </w:rPr>
            </w:pPr>
            <w:r>
              <w:rPr>
                <w:noProof/>
                <w:sz w:val="18"/>
              </w:rPr>
              <w:t>2</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E2AAD" w:rsidRDefault="007B2354">
            <w:pPr>
              <w:keepNext/>
              <w:keepLines/>
              <w:spacing w:before="30" w:after="30"/>
              <w:jc w:val="left"/>
              <w:rPr>
                <w:b/>
                <w:noProof/>
                <w:sz w:val="18"/>
                <w:szCs w:val="20"/>
              </w:rPr>
            </w:pPr>
            <w:r>
              <w:rPr>
                <w:b/>
                <w:noProof/>
                <w:sz w:val="18"/>
              </w:rPr>
              <w:t>Napoteni nacionalni strokovnjaki</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5"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0,5</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4" w:type="dxa"/>
            <w:tcBorders>
              <w:top w:val="single" w:sz="4" w:space="0" w:color="auto"/>
              <w:left w:val="nil"/>
              <w:bottom w:val="single" w:sz="4" w:space="0" w:color="auto"/>
              <w:right w:val="single" w:sz="4" w:space="0" w:color="auto"/>
            </w:tcBorders>
            <w:shd w:val="clear" w:color="auto" w:fill="auto"/>
            <w:vAlign w:val="center"/>
          </w:tcPr>
          <w:p w:rsidR="001E2AAD" w:rsidRDefault="007B2354">
            <w:pPr>
              <w:keepNext/>
              <w:keepLines/>
              <w:spacing w:after="0"/>
              <w:jc w:val="center"/>
              <w:rPr>
                <w:noProof/>
                <w:sz w:val="18"/>
                <w:szCs w:val="20"/>
              </w:rPr>
            </w:pPr>
            <w:r>
              <w:rPr>
                <w:noProof/>
                <w:sz w:val="18"/>
              </w:rPr>
              <w:t>1</w:t>
            </w:r>
          </w:p>
        </w:tc>
        <w:tc>
          <w:tcPr>
            <w:tcW w:w="685" w:type="dxa"/>
            <w:tcBorders>
              <w:top w:val="single" w:sz="4" w:space="0" w:color="auto"/>
              <w:left w:val="nil"/>
              <w:bottom w:val="single" w:sz="4" w:space="0" w:color="auto"/>
              <w:right w:val="single" w:sz="4" w:space="0" w:color="auto"/>
            </w:tcBorders>
            <w:vAlign w:val="center"/>
          </w:tcPr>
          <w:p w:rsidR="001E2AAD" w:rsidRDefault="007B2354">
            <w:pPr>
              <w:keepNext/>
              <w:keepLines/>
              <w:spacing w:after="0"/>
              <w:jc w:val="center"/>
              <w:rPr>
                <w:noProof/>
                <w:sz w:val="18"/>
                <w:szCs w:val="20"/>
              </w:rPr>
            </w:pPr>
            <w:r>
              <w:rPr>
                <w:noProof/>
                <w:sz w:val="18"/>
              </w:rPr>
              <w:t>2</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E2AAD" w:rsidRDefault="007B2354">
            <w:pPr>
              <w:keepNext/>
              <w:keepLines/>
              <w:spacing w:before="30" w:after="30"/>
              <w:jc w:val="left"/>
              <w:rPr>
                <w:b/>
                <w:noProof/>
                <w:sz w:val="18"/>
                <w:szCs w:val="20"/>
              </w:rPr>
            </w:pPr>
            <w:r>
              <w:rPr>
                <w:b/>
                <w:noProof/>
                <w:sz w:val="18"/>
              </w:rPr>
              <w:t>Osebje skupaj</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5,5</w:t>
            </w:r>
          </w:p>
        </w:tc>
        <w:tc>
          <w:tcPr>
            <w:tcW w:w="68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5,5</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11</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11</w:t>
            </w:r>
          </w:p>
        </w:tc>
        <w:tc>
          <w:tcPr>
            <w:tcW w:w="68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11</w:t>
            </w:r>
          </w:p>
        </w:tc>
        <w:tc>
          <w:tcPr>
            <w:tcW w:w="68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keepNext/>
              <w:keepLines/>
              <w:spacing w:after="0"/>
              <w:jc w:val="center"/>
              <w:rPr>
                <w:b/>
                <w:noProof/>
                <w:sz w:val="18"/>
                <w:szCs w:val="18"/>
              </w:rPr>
            </w:pPr>
            <w:r>
              <w:rPr>
                <w:b/>
                <w:noProof/>
                <w:sz w:val="18"/>
              </w:rPr>
              <w:t>22</w:t>
            </w:r>
          </w:p>
        </w:tc>
      </w:tr>
    </w:tbl>
    <w:p w:rsidR="001E2AAD" w:rsidRDefault="001E2AAD">
      <w:pPr>
        <w:ind w:left="850"/>
        <w:rPr>
          <w:noProof/>
        </w:rPr>
      </w:pPr>
    </w:p>
    <w:p w:rsidR="001E2AAD" w:rsidRDefault="007B2354">
      <w:pPr>
        <w:ind w:left="850"/>
        <w:rPr>
          <w:noProof/>
        </w:rPr>
      </w:pPr>
      <w:r>
        <w:rPr>
          <w:noProof/>
        </w:rPr>
        <w:t xml:space="preserve">Delež režijskega osebja v GD FISMA je trenutno 11,2 odstotka. Po pričakovanjih je mogoče za ESJV v odboru doseči precejšnjo ekonomijo obsega v </w:t>
      </w:r>
      <w:r>
        <w:rPr>
          <w:noProof/>
        </w:rPr>
        <w:t>okviru nalog reševanja, zlasti pri upravljanju človeških virov, izračunu in zbiranju prispevkov ter upravljanju sklada. Zato se zdi, da je mogoče doseči 9-odstotni delež režijskega osebja.</w:t>
      </w:r>
    </w:p>
    <w:p w:rsidR="001E2AAD" w:rsidRDefault="001E2AAD">
      <w:pPr>
        <w:ind w:left="850"/>
        <w:rPr>
          <w:noProof/>
        </w:rPr>
      </w:pPr>
    </w:p>
    <w:p w:rsidR="001E2AAD" w:rsidRDefault="007B2354">
      <w:pPr>
        <w:ind w:left="850"/>
        <w:rPr>
          <w:i/>
          <w:noProof/>
        </w:rPr>
      </w:pPr>
      <w:r>
        <w:rPr>
          <w:i/>
          <w:noProof/>
        </w:rPr>
        <w:t>Tabela: Okvirni razvoj odhodkov</w:t>
      </w:r>
    </w:p>
    <w:tbl>
      <w:tblPr>
        <w:tblW w:w="8239" w:type="dxa"/>
        <w:tblInd w:w="851" w:type="dxa"/>
        <w:tblLayout w:type="fixed"/>
        <w:tblCellMar>
          <w:left w:w="10" w:type="dxa"/>
          <w:right w:w="10" w:type="dxa"/>
        </w:tblCellMar>
        <w:tblLook w:val="04A0" w:firstRow="1" w:lastRow="0" w:firstColumn="1" w:lastColumn="0" w:noHBand="0" w:noVBand="1"/>
      </w:tblPr>
      <w:tblGrid>
        <w:gridCol w:w="2845"/>
        <w:gridCol w:w="674"/>
        <w:gridCol w:w="674"/>
        <w:gridCol w:w="674"/>
        <w:gridCol w:w="675"/>
        <w:gridCol w:w="674"/>
        <w:gridCol w:w="674"/>
        <w:gridCol w:w="674"/>
        <w:gridCol w:w="675"/>
      </w:tblGrid>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E2AAD" w:rsidRDefault="007B2354">
            <w:pPr>
              <w:spacing w:before="60" w:after="60"/>
              <w:jc w:val="left"/>
              <w:rPr>
                <w:b/>
                <w:noProof/>
                <w:sz w:val="18"/>
                <w:szCs w:val="20"/>
              </w:rPr>
            </w:pPr>
            <w:r>
              <w:rPr>
                <w:b/>
                <w:noProof/>
                <w:sz w:val="18"/>
              </w:rPr>
              <w:t>Odhodki</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before="60" w:after="60"/>
              <w:jc w:val="center"/>
              <w:rPr>
                <w:b/>
                <w:noProof/>
                <w:sz w:val="18"/>
                <w:szCs w:val="20"/>
              </w:rPr>
            </w:pPr>
            <w:r>
              <w:rPr>
                <w:b/>
                <w:noProof/>
                <w:sz w:val="18"/>
              </w:rPr>
              <w:t>2017</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before="60" w:after="60"/>
              <w:jc w:val="center"/>
              <w:rPr>
                <w:b/>
                <w:noProof/>
                <w:sz w:val="18"/>
                <w:szCs w:val="20"/>
              </w:rPr>
            </w:pPr>
            <w:r>
              <w:rPr>
                <w:b/>
                <w:noProof/>
                <w:sz w:val="18"/>
              </w:rPr>
              <w:t>2018</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before="60" w:after="60"/>
              <w:jc w:val="center"/>
              <w:rPr>
                <w:b/>
                <w:noProof/>
                <w:sz w:val="18"/>
                <w:szCs w:val="20"/>
              </w:rPr>
            </w:pPr>
            <w:r>
              <w:rPr>
                <w:b/>
                <w:noProof/>
                <w:sz w:val="18"/>
              </w:rPr>
              <w:t>2019</w:t>
            </w:r>
          </w:p>
        </w:tc>
        <w:tc>
          <w:tcPr>
            <w:tcW w:w="67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before="60" w:after="60"/>
              <w:jc w:val="center"/>
              <w:rPr>
                <w:b/>
                <w:noProof/>
                <w:sz w:val="18"/>
                <w:szCs w:val="20"/>
              </w:rPr>
            </w:pPr>
            <w:r>
              <w:rPr>
                <w:b/>
                <w:noProof/>
                <w:sz w:val="18"/>
              </w:rPr>
              <w:t>2020</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before="60" w:after="60"/>
              <w:jc w:val="center"/>
              <w:rPr>
                <w:b/>
                <w:noProof/>
                <w:sz w:val="18"/>
                <w:szCs w:val="20"/>
              </w:rPr>
            </w:pPr>
            <w:r>
              <w:rPr>
                <w:b/>
                <w:noProof/>
                <w:sz w:val="18"/>
              </w:rPr>
              <w:t>2021</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before="60" w:after="60"/>
              <w:jc w:val="center"/>
              <w:rPr>
                <w:b/>
                <w:noProof/>
                <w:sz w:val="18"/>
                <w:szCs w:val="20"/>
              </w:rPr>
            </w:pPr>
            <w:r>
              <w:rPr>
                <w:b/>
                <w:noProof/>
                <w:sz w:val="18"/>
              </w:rPr>
              <w:t>2022</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before="60" w:after="60"/>
              <w:jc w:val="center"/>
              <w:rPr>
                <w:b/>
                <w:noProof/>
                <w:sz w:val="18"/>
                <w:szCs w:val="20"/>
              </w:rPr>
            </w:pPr>
            <w:r>
              <w:rPr>
                <w:b/>
                <w:noProof/>
                <w:sz w:val="18"/>
              </w:rPr>
              <w:t>2023</w:t>
            </w:r>
          </w:p>
        </w:tc>
        <w:tc>
          <w:tcPr>
            <w:tcW w:w="67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before="60" w:after="60"/>
              <w:jc w:val="center"/>
              <w:rPr>
                <w:b/>
                <w:noProof/>
                <w:sz w:val="18"/>
                <w:szCs w:val="20"/>
              </w:rPr>
            </w:pPr>
            <w:r>
              <w:rPr>
                <w:b/>
                <w:noProof/>
                <w:sz w:val="18"/>
              </w:rPr>
              <w:t>2024</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E2AAD" w:rsidRDefault="007B2354">
            <w:pPr>
              <w:spacing w:before="30" w:after="30"/>
              <w:jc w:val="left"/>
              <w:rPr>
                <w:b/>
                <w:noProof/>
                <w:sz w:val="18"/>
                <w:szCs w:val="20"/>
              </w:rPr>
            </w:pPr>
            <w:r>
              <w:rPr>
                <w:b/>
                <w:noProof/>
                <w:sz w:val="18"/>
              </w:rPr>
              <w:t>Naslov 1: Odhodki za zaposlene</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658</w:t>
            </w:r>
          </w:p>
        </w:tc>
        <w:tc>
          <w:tcPr>
            <w:tcW w:w="675"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658</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1 315</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1 315</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1 315</w:t>
            </w:r>
          </w:p>
        </w:tc>
        <w:tc>
          <w:tcPr>
            <w:tcW w:w="675"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2 631</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E2AAD" w:rsidRDefault="007B2354">
            <w:pPr>
              <w:spacing w:before="30" w:after="30"/>
              <w:jc w:val="left"/>
              <w:rPr>
                <w:b/>
                <w:noProof/>
                <w:sz w:val="18"/>
                <w:szCs w:val="20"/>
              </w:rPr>
            </w:pPr>
            <w:r>
              <w:rPr>
                <w:b/>
                <w:noProof/>
                <w:sz w:val="18"/>
              </w:rPr>
              <w:t>Naslov 2: Infrastruktura in odhodki iz poslovanja</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50</w:t>
            </w:r>
          </w:p>
        </w:tc>
        <w:tc>
          <w:tcPr>
            <w:tcW w:w="675"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50</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110</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110</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110</w:t>
            </w:r>
          </w:p>
        </w:tc>
        <w:tc>
          <w:tcPr>
            <w:tcW w:w="675"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220</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1E2AAD" w:rsidRDefault="007B2354">
            <w:pPr>
              <w:spacing w:before="30" w:after="30"/>
              <w:jc w:val="left"/>
              <w:rPr>
                <w:b/>
                <w:noProof/>
                <w:sz w:val="18"/>
                <w:szCs w:val="20"/>
              </w:rPr>
            </w:pPr>
            <w:r>
              <w:rPr>
                <w:b/>
                <w:noProof/>
                <w:sz w:val="18"/>
              </w:rPr>
              <w:t>Naslov 3: Odhodki iz poslovanja</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116</w:t>
            </w:r>
          </w:p>
        </w:tc>
        <w:tc>
          <w:tcPr>
            <w:tcW w:w="675"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116</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232</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232</w:t>
            </w:r>
          </w:p>
        </w:tc>
        <w:tc>
          <w:tcPr>
            <w:tcW w:w="674"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232</w:t>
            </w:r>
          </w:p>
        </w:tc>
        <w:tc>
          <w:tcPr>
            <w:tcW w:w="675" w:type="dxa"/>
            <w:tcBorders>
              <w:top w:val="single" w:sz="4" w:space="0" w:color="auto"/>
              <w:left w:val="nil"/>
              <w:bottom w:val="single" w:sz="4" w:space="0" w:color="auto"/>
              <w:right w:val="single" w:sz="4" w:space="0" w:color="auto"/>
            </w:tcBorders>
            <w:vAlign w:val="center"/>
          </w:tcPr>
          <w:p w:rsidR="001E2AAD" w:rsidRDefault="007B2354">
            <w:pPr>
              <w:spacing w:after="0"/>
              <w:jc w:val="center"/>
              <w:rPr>
                <w:noProof/>
                <w:sz w:val="18"/>
                <w:szCs w:val="20"/>
              </w:rPr>
            </w:pPr>
            <w:r>
              <w:rPr>
                <w:noProof/>
                <w:sz w:val="18"/>
              </w:rPr>
              <w:t>464</w:t>
            </w:r>
          </w:p>
        </w:tc>
      </w:tr>
      <w:tr w:rsidR="001E2AAD">
        <w:trPr>
          <w:cantSplit/>
        </w:trPr>
        <w:tc>
          <w:tcPr>
            <w:tcW w:w="2845" w:type="dxa"/>
            <w:tcBorders>
              <w:top w:val="single" w:sz="4" w:space="0" w:color="auto"/>
              <w:left w:val="single" w:sz="4" w:space="0" w:color="auto"/>
              <w:bottom w:val="single" w:sz="4" w:space="0" w:color="auto"/>
              <w:right w:val="single" w:sz="4" w:space="0" w:color="auto"/>
            </w:tcBorders>
            <w:shd w:val="clear" w:color="auto" w:fill="F3F3F3"/>
            <w:vAlign w:val="center"/>
          </w:tcPr>
          <w:p w:rsidR="001E2AAD" w:rsidRDefault="007B2354">
            <w:pPr>
              <w:spacing w:before="30" w:after="30"/>
              <w:jc w:val="left"/>
              <w:rPr>
                <w:b/>
                <w:noProof/>
                <w:sz w:val="18"/>
                <w:szCs w:val="20"/>
              </w:rPr>
            </w:pPr>
            <w:r>
              <w:rPr>
                <w:b/>
                <w:noProof/>
                <w:sz w:val="18"/>
              </w:rPr>
              <w:t>Skupaj</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after="0"/>
              <w:jc w:val="center"/>
              <w:rPr>
                <w:b/>
                <w:noProof/>
                <w:sz w:val="18"/>
                <w:szCs w:val="18"/>
              </w:rPr>
            </w:pPr>
            <w:r>
              <w:rPr>
                <w:b/>
                <w:noProof/>
                <w:sz w:val="18"/>
              </w:rPr>
              <w:t>824</w:t>
            </w:r>
          </w:p>
        </w:tc>
        <w:tc>
          <w:tcPr>
            <w:tcW w:w="67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after="0"/>
              <w:jc w:val="center"/>
              <w:rPr>
                <w:b/>
                <w:noProof/>
                <w:sz w:val="18"/>
                <w:szCs w:val="18"/>
              </w:rPr>
            </w:pPr>
            <w:r>
              <w:rPr>
                <w:b/>
                <w:noProof/>
                <w:sz w:val="18"/>
              </w:rPr>
              <w:t>824</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after="0"/>
              <w:jc w:val="center"/>
              <w:rPr>
                <w:b/>
                <w:noProof/>
                <w:sz w:val="18"/>
                <w:szCs w:val="18"/>
              </w:rPr>
            </w:pPr>
            <w:r>
              <w:rPr>
                <w:b/>
                <w:noProof/>
                <w:sz w:val="18"/>
              </w:rPr>
              <w:t>1 657</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after="0"/>
              <w:jc w:val="center"/>
              <w:rPr>
                <w:b/>
                <w:noProof/>
                <w:sz w:val="18"/>
                <w:szCs w:val="18"/>
              </w:rPr>
            </w:pPr>
            <w:r>
              <w:rPr>
                <w:b/>
                <w:noProof/>
                <w:sz w:val="18"/>
              </w:rPr>
              <w:t>1 657</w:t>
            </w:r>
          </w:p>
        </w:tc>
        <w:tc>
          <w:tcPr>
            <w:tcW w:w="674"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after="0"/>
              <w:jc w:val="center"/>
              <w:rPr>
                <w:b/>
                <w:noProof/>
                <w:sz w:val="18"/>
                <w:szCs w:val="18"/>
              </w:rPr>
            </w:pPr>
            <w:r>
              <w:rPr>
                <w:b/>
                <w:noProof/>
                <w:sz w:val="18"/>
              </w:rPr>
              <w:t>1 657</w:t>
            </w:r>
          </w:p>
        </w:tc>
        <w:tc>
          <w:tcPr>
            <w:tcW w:w="675" w:type="dxa"/>
            <w:tcBorders>
              <w:top w:val="single" w:sz="4" w:space="0" w:color="auto"/>
              <w:left w:val="nil"/>
              <w:bottom w:val="single" w:sz="4" w:space="0" w:color="auto"/>
              <w:right w:val="single" w:sz="4" w:space="0" w:color="auto"/>
            </w:tcBorders>
            <w:shd w:val="clear" w:color="auto" w:fill="F3F3F3"/>
            <w:vAlign w:val="center"/>
          </w:tcPr>
          <w:p w:rsidR="001E2AAD" w:rsidRDefault="007B2354">
            <w:pPr>
              <w:spacing w:after="0"/>
              <w:jc w:val="center"/>
              <w:rPr>
                <w:b/>
                <w:noProof/>
                <w:sz w:val="18"/>
                <w:szCs w:val="18"/>
              </w:rPr>
            </w:pPr>
            <w:r>
              <w:rPr>
                <w:b/>
                <w:noProof/>
                <w:sz w:val="18"/>
              </w:rPr>
              <w:t>3 315</w:t>
            </w:r>
          </w:p>
        </w:tc>
      </w:tr>
    </w:tbl>
    <w:p w:rsidR="001E2AAD" w:rsidRDefault="001E2AAD">
      <w:pPr>
        <w:ind w:left="850"/>
        <w:rPr>
          <w:b/>
          <w:noProof/>
        </w:rPr>
      </w:pPr>
    </w:p>
    <w:p w:rsidR="001E2AAD" w:rsidRDefault="007B2354">
      <w:pPr>
        <w:ind w:left="850"/>
        <w:rPr>
          <w:b/>
          <w:noProof/>
        </w:rPr>
      </w:pPr>
      <w:r>
        <w:rPr>
          <w:b/>
          <w:noProof/>
        </w:rPr>
        <w:t>Glavne predpostavke</w:t>
      </w:r>
    </w:p>
    <w:p w:rsidR="001E2AAD" w:rsidRDefault="007B2354">
      <w:pPr>
        <w:ind w:left="850"/>
        <w:rPr>
          <w:noProof/>
        </w:rPr>
      </w:pPr>
      <w:r>
        <w:rPr>
          <w:noProof/>
        </w:rPr>
        <w:t>Na podlagi tega, kar je bilo ocenjeno za funkcijo reševanja v okviru enotnega odbora za reševanje, se predlaga naslednja porazdelitev osebja:</w:t>
      </w:r>
    </w:p>
    <w:p w:rsidR="001E2AAD" w:rsidRDefault="007B2354">
      <w:pPr>
        <w:pStyle w:val="ListBullet1"/>
        <w:rPr>
          <w:noProof/>
        </w:rPr>
      </w:pPr>
      <w:r>
        <w:rPr>
          <w:noProof/>
        </w:rPr>
        <w:t>80 % začasno zaposlenih (68 % mest AD in 12 % mest AST);</w:t>
      </w:r>
    </w:p>
    <w:p w:rsidR="001E2AAD" w:rsidRDefault="007B2354">
      <w:pPr>
        <w:pStyle w:val="ListBullet1"/>
        <w:rPr>
          <w:noProof/>
        </w:rPr>
      </w:pPr>
      <w:r>
        <w:rPr>
          <w:noProof/>
        </w:rPr>
        <w:t xml:space="preserve">10 % </w:t>
      </w:r>
      <w:r>
        <w:rPr>
          <w:noProof/>
        </w:rPr>
        <w:t>napotenih nacionalnih strokovnjakov;</w:t>
      </w:r>
    </w:p>
    <w:p w:rsidR="001E2AAD" w:rsidRDefault="007B2354">
      <w:pPr>
        <w:pStyle w:val="ListBullet1"/>
        <w:rPr>
          <w:noProof/>
        </w:rPr>
      </w:pPr>
      <w:r>
        <w:rPr>
          <w:noProof/>
        </w:rPr>
        <w:t>10 % pogodbenih uslužbencev.</w:t>
      </w:r>
    </w:p>
    <w:p w:rsidR="001E2AAD" w:rsidRDefault="007B2354">
      <w:pPr>
        <w:ind w:left="850"/>
        <w:rPr>
          <w:noProof/>
        </w:rPr>
      </w:pPr>
      <w:r>
        <w:rPr>
          <w:noProof/>
        </w:rPr>
        <w:t>Uporabljeni bodo kadrovski predpisi institucij EU, kar se odraža v stopnji stroškov na osebo:</w:t>
      </w:r>
    </w:p>
    <w:p w:rsidR="001E2AAD" w:rsidRDefault="007B2354">
      <w:pPr>
        <w:pStyle w:val="ListBullet1"/>
        <w:rPr>
          <w:noProof/>
        </w:rPr>
      </w:pPr>
      <w:r>
        <w:rPr>
          <w:noProof/>
        </w:rPr>
        <w:t>povprečni letni stroški za začasno zaposlenega: 131 000 EUR;</w:t>
      </w:r>
    </w:p>
    <w:p w:rsidR="001E2AAD" w:rsidRDefault="007B2354">
      <w:pPr>
        <w:pStyle w:val="ListBullet1"/>
        <w:rPr>
          <w:noProof/>
        </w:rPr>
      </w:pPr>
      <w:r>
        <w:rPr>
          <w:noProof/>
        </w:rPr>
        <w:t>povprečni letni stroški za napotene</w:t>
      </w:r>
      <w:r>
        <w:rPr>
          <w:noProof/>
        </w:rPr>
        <w:t>ga nacionalnega strokovnjaka: 78 000 EUR;</w:t>
      </w:r>
    </w:p>
    <w:p w:rsidR="001E2AAD" w:rsidRDefault="007B2354">
      <w:pPr>
        <w:pStyle w:val="ListBullet1"/>
        <w:rPr>
          <w:noProof/>
        </w:rPr>
      </w:pPr>
      <w:r>
        <w:rPr>
          <w:noProof/>
        </w:rPr>
        <w:t>povprečni letni stroški za pogodbenega uslužbenca: 70 000 EUR.</w:t>
      </w:r>
    </w:p>
    <w:p w:rsidR="001E2AAD" w:rsidRDefault="007B2354">
      <w:pPr>
        <w:ind w:left="850"/>
        <w:rPr>
          <w:noProof/>
        </w:rPr>
      </w:pPr>
      <w:r>
        <w:rPr>
          <w:noProof/>
        </w:rPr>
        <w:t>Poleg plače vključuje ta strošek tudi posredne stroške, kot so na primer stroški za zgradbe, usposabljanje, IT ter stroški socialne in zdravstvene infr</w:t>
      </w:r>
      <w:r>
        <w:rPr>
          <w:noProof/>
        </w:rPr>
        <w:t xml:space="preserve">astrukture. </w:t>
      </w:r>
    </w:p>
    <w:p w:rsidR="001E2AAD" w:rsidRDefault="007B2354">
      <w:pPr>
        <w:ind w:left="850"/>
        <w:rPr>
          <w:noProof/>
        </w:rPr>
      </w:pPr>
      <w:r>
        <w:rPr>
          <w:noProof/>
        </w:rPr>
        <w:t xml:space="preserve">Ker ima odbor sedež v Bruslju, se za plače uporabi korekcijski koeficient 1. </w:t>
      </w:r>
    </w:p>
    <w:p w:rsidR="001E2AAD" w:rsidRDefault="007B2354">
      <w:pPr>
        <w:ind w:left="850"/>
        <w:rPr>
          <w:noProof/>
        </w:rPr>
      </w:pPr>
      <w:r>
        <w:rPr>
          <w:noProof/>
        </w:rPr>
        <w:t>Odhodki iz poslovanja bodo predvidoma znašali 15 % vseh stroškov odbora. To je znatno nižje od 25 %, ocenjenih za funkcijo reševanja, saj se pričakuje, da bo stroške za razvoj in vzdrževanje informacijskih sistemov in notranjih služb mogoče deliti s funkci</w:t>
      </w:r>
      <w:r>
        <w:rPr>
          <w:noProof/>
        </w:rPr>
        <w:t xml:space="preserve">jo reševanja. </w:t>
      </w:r>
    </w:p>
    <w:p w:rsidR="001E2AAD" w:rsidRDefault="001E2AAD">
      <w:pPr>
        <w:rPr>
          <w:noProof/>
        </w:rPr>
      </w:pPr>
    </w:p>
    <w:p w:rsidR="001E2AAD" w:rsidRDefault="007B2354">
      <w:pPr>
        <w:pStyle w:val="ManualHeading2"/>
        <w:rPr>
          <w:noProof/>
        </w:rPr>
      </w:pPr>
      <w:r>
        <w:t>8.1.</w:t>
      </w:r>
      <w:r>
        <w:tab/>
      </w:r>
      <w:r>
        <w:rPr>
          <w:noProof/>
        </w:rPr>
        <w:t xml:space="preserve">Zadevni razdelki večletnega finančnega okvira in odhodkovne proračunske vrstice </w:t>
      </w:r>
    </w:p>
    <w:p w:rsidR="001E2AAD" w:rsidRDefault="001E2AAD">
      <w:pPr>
        <w:pStyle w:val="Text1"/>
        <w:rPr>
          <w:noProof/>
        </w:rPr>
      </w:pPr>
    </w:p>
    <w:p w:rsidR="001E2AAD" w:rsidRDefault="007B2354">
      <w:pPr>
        <w:pStyle w:val="Text1"/>
        <w:rPr>
          <w:noProof/>
        </w:rPr>
      </w:pPr>
      <w:r>
        <w:rPr>
          <w:noProof/>
        </w:rPr>
        <w:t>Ne vpliva na proračun Unije.</w:t>
      </w:r>
    </w:p>
    <w:p w:rsidR="001E2AAD" w:rsidRDefault="001E2AAD">
      <w:pPr>
        <w:pStyle w:val="Text1"/>
        <w:rPr>
          <w:noProof/>
        </w:rPr>
      </w:pPr>
    </w:p>
    <w:p w:rsidR="001E2AAD" w:rsidRDefault="007B2354">
      <w:pPr>
        <w:pStyle w:val="ListBullet1"/>
        <w:rPr>
          <w:noProof/>
        </w:rPr>
      </w:pPr>
      <w:r>
        <w:rPr>
          <w:noProof/>
        </w:rPr>
        <w:t xml:space="preserve">Obstoječe proračunske vrstice </w:t>
      </w:r>
    </w:p>
    <w:p w:rsidR="001E2AAD" w:rsidRDefault="007B2354">
      <w:pPr>
        <w:pStyle w:val="Text1"/>
        <w:rPr>
          <w:noProof/>
        </w:rPr>
      </w:pPr>
      <w:r>
        <w:rPr>
          <w:noProof/>
          <w:u w:val="single"/>
        </w:rPr>
        <w:t>Po vrstnem redu</w:t>
      </w:r>
      <w:r>
        <w:rPr>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E2AAD">
        <w:tc>
          <w:tcPr>
            <w:tcW w:w="1080" w:type="dxa"/>
            <w:vMerge w:val="restart"/>
            <w:vAlign w:val="center"/>
          </w:tcPr>
          <w:p w:rsidR="001E2AAD" w:rsidRDefault="007B2354">
            <w:pPr>
              <w:spacing w:before="60" w:after="60"/>
              <w:jc w:val="center"/>
              <w:rPr>
                <w:noProof/>
                <w:sz w:val="22"/>
              </w:rPr>
            </w:pPr>
            <w:r>
              <w:rPr>
                <w:noProof/>
                <w:sz w:val="18"/>
              </w:rPr>
              <w:t>Razdelek večl</w:t>
            </w:r>
            <w:r>
              <w:rPr>
                <w:noProof/>
                <w:sz w:val="18"/>
              </w:rPr>
              <w:t>etnega finančnega okvira</w:t>
            </w:r>
          </w:p>
        </w:tc>
        <w:tc>
          <w:tcPr>
            <w:tcW w:w="3960" w:type="dxa"/>
            <w:vAlign w:val="center"/>
          </w:tcPr>
          <w:p w:rsidR="001E2AAD" w:rsidRDefault="007B2354">
            <w:pPr>
              <w:spacing w:before="60" w:after="60"/>
              <w:jc w:val="center"/>
              <w:rPr>
                <w:noProof/>
                <w:sz w:val="22"/>
              </w:rPr>
            </w:pPr>
            <w:r>
              <w:rPr>
                <w:noProof/>
                <w:sz w:val="20"/>
              </w:rPr>
              <w:t>Proračunska vrstica</w:t>
            </w:r>
          </w:p>
        </w:tc>
        <w:tc>
          <w:tcPr>
            <w:tcW w:w="1080" w:type="dxa"/>
            <w:vAlign w:val="center"/>
          </w:tcPr>
          <w:p w:rsidR="001E2AAD" w:rsidRDefault="007B2354">
            <w:pPr>
              <w:spacing w:before="60" w:after="60"/>
              <w:jc w:val="center"/>
              <w:rPr>
                <w:noProof/>
                <w:sz w:val="22"/>
              </w:rPr>
            </w:pPr>
            <w:r>
              <w:rPr>
                <w:noProof/>
                <w:sz w:val="18"/>
              </w:rPr>
              <w:t>Vrsta</w:t>
            </w:r>
            <w:r>
              <w:rPr>
                <w:noProof/>
                <w:sz w:val="22"/>
              </w:rPr>
              <w:br/>
            </w:r>
            <w:r>
              <w:rPr>
                <w:noProof/>
                <w:sz w:val="18"/>
              </w:rPr>
              <w:t>odhodka</w:t>
            </w:r>
          </w:p>
        </w:tc>
        <w:tc>
          <w:tcPr>
            <w:tcW w:w="4440" w:type="dxa"/>
            <w:gridSpan w:val="4"/>
            <w:vAlign w:val="center"/>
          </w:tcPr>
          <w:p w:rsidR="001E2AAD" w:rsidRDefault="007B2354">
            <w:pPr>
              <w:spacing w:before="60" w:after="60"/>
              <w:jc w:val="center"/>
              <w:rPr>
                <w:noProof/>
                <w:sz w:val="22"/>
              </w:rPr>
            </w:pPr>
            <w:r>
              <w:rPr>
                <w:noProof/>
                <w:sz w:val="20"/>
              </w:rPr>
              <w:t xml:space="preserve">Prispevek </w:t>
            </w:r>
          </w:p>
        </w:tc>
      </w:tr>
      <w:tr w:rsidR="001E2AAD">
        <w:tc>
          <w:tcPr>
            <w:tcW w:w="1080" w:type="dxa"/>
            <w:vMerge/>
            <w:vAlign w:val="center"/>
          </w:tcPr>
          <w:p w:rsidR="001E2AAD" w:rsidRDefault="001E2AAD">
            <w:pPr>
              <w:jc w:val="center"/>
              <w:rPr>
                <w:noProof/>
                <w:sz w:val="22"/>
              </w:rPr>
            </w:pPr>
          </w:p>
        </w:tc>
        <w:tc>
          <w:tcPr>
            <w:tcW w:w="3960" w:type="dxa"/>
            <w:vAlign w:val="center"/>
          </w:tcPr>
          <w:p w:rsidR="001E2AAD" w:rsidRDefault="007B2354">
            <w:pPr>
              <w:rPr>
                <w:noProof/>
                <w:sz w:val="22"/>
              </w:rPr>
            </w:pPr>
            <w:r>
              <w:rPr>
                <w:noProof/>
                <w:sz w:val="20"/>
              </w:rPr>
              <w:t>Številka</w:t>
            </w:r>
            <w:r>
              <w:rPr>
                <w:noProof/>
                <w:sz w:val="22"/>
              </w:rPr>
              <w:br/>
            </w:r>
            <w:r>
              <w:rPr>
                <w:noProof/>
                <w:sz w:val="20"/>
              </w:rPr>
              <w:t>[poimenovanje………………………...……………]</w:t>
            </w:r>
          </w:p>
        </w:tc>
        <w:tc>
          <w:tcPr>
            <w:tcW w:w="1080" w:type="dxa"/>
            <w:vAlign w:val="center"/>
          </w:tcPr>
          <w:p w:rsidR="001E2AAD" w:rsidRDefault="007B2354">
            <w:pPr>
              <w:jc w:val="center"/>
              <w:rPr>
                <w:noProof/>
                <w:sz w:val="22"/>
              </w:rPr>
            </w:pPr>
            <w:r>
              <w:rPr>
                <w:noProof/>
                <w:sz w:val="18"/>
              </w:rPr>
              <w:t>dif./nedif.</w:t>
            </w:r>
            <w:r>
              <w:rPr>
                <w:rStyle w:val="FootnoteReference"/>
                <w:noProof/>
                <w:sz w:val="18"/>
              </w:rPr>
              <w:footnoteReference w:id="17"/>
            </w:r>
          </w:p>
        </w:tc>
        <w:tc>
          <w:tcPr>
            <w:tcW w:w="956" w:type="dxa"/>
            <w:vAlign w:val="center"/>
          </w:tcPr>
          <w:p w:rsidR="001E2AAD" w:rsidRDefault="007B2354">
            <w:pPr>
              <w:jc w:val="center"/>
              <w:rPr>
                <w:noProof/>
                <w:sz w:val="22"/>
              </w:rPr>
            </w:pPr>
            <w:r>
              <w:rPr>
                <w:noProof/>
                <w:sz w:val="18"/>
              </w:rPr>
              <w:t>držav Efte</w:t>
            </w:r>
            <w:r>
              <w:rPr>
                <w:rStyle w:val="FootnoteReference"/>
                <w:noProof/>
                <w:sz w:val="18"/>
              </w:rPr>
              <w:footnoteReference w:id="18"/>
            </w:r>
          </w:p>
          <w:p w:rsidR="001E2AAD" w:rsidRDefault="001E2AAD">
            <w:pPr>
              <w:spacing w:before="0" w:after="0"/>
              <w:jc w:val="center"/>
              <w:rPr>
                <w:b/>
                <w:noProof/>
                <w:sz w:val="18"/>
              </w:rPr>
            </w:pPr>
          </w:p>
        </w:tc>
        <w:tc>
          <w:tcPr>
            <w:tcW w:w="1080" w:type="dxa"/>
            <w:vAlign w:val="center"/>
          </w:tcPr>
          <w:p w:rsidR="001E2AAD" w:rsidRDefault="007B2354">
            <w:pPr>
              <w:jc w:val="center"/>
              <w:rPr>
                <w:noProof/>
                <w:sz w:val="22"/>
              </w:rPr>
            </w:pPr>
            <w:r>
              <w:rPr>
                <w:noProof/>
                <w:sz w:val="18"/>
              </w:rPr>
              <w:t>držav kandidatk</w:t>
            </w:r>
            <w:r>
              <w:rPr>
                <w:rStyle w:val="FootnoteReference"/>
                <w:noProof/>
                <w:sz w:val="18"/>
              </w:rPr>
              <w:footnoteReference w:id="19"/>
            </w:r>
          </w:p>
          <w:p w:rsidR="001E2AAD" w:rsidRDefault="001E2AAD">
            <w:pPr>
              <w:spacing w:before="0" w:after="0"/>
              <w:jc w:val="center"/>
              <w:rPr>
                <w:noProof/>
                <w:sz w:val="18"/>
              </w:rPr>
            </w:pPr>
          </w:p>
        </w:tc>
        <w:tc>
          <w:tcPr>
            <w:tcW w:w="956" w:type="dxa"/>
            <w:vAlign w:val="center"/>
          </w:tcPr>
          <w:p w:rsidR="001E2AAD" w:rsidRDefault="007B2354">
            <w:pPr>
              <w:jc w:val="center"/>
              <w:rPr>
                <w:noProof/>
                <w:sz w:val="18"/>
              </w:rPr>
            </w:pPr>
            <w:r>
              <w:rPr>
                <w:noProof/>
                <w:sz w:val="18"/>
              </w:rPr>
              <w:t>tretjih držav</w:t>
            </w:r>
          </w:p>
        </w:tc>
        <w:tc>
          <w:tcPr>
            <w:tcW w:w="1448" w:type="dxa"/>
            <w:vAlign w:val="center"/>
          </w:tcPr>
          <w:p w:rsidR="001E2AAD" w:rsidRDefault="007B2354">
            <w:pPr>
              <w:jc w:val="center"/>
              <w:rPr>
                <w:noProof/>
                <w:sz w:val="22"/>
              </w:rPr>
            </w:pPr>
            <w:r>
              <w:rPr>
                <w:noProof/>
                <w:sz w:val="16"/>
              </w:rPr>
              <w:t xml:space="preserve">po členu 21(2)(b) finančne uredbe </w:t>
            </w:r>
          </w:p>
        </w:tc>
      </w:tr>
      <w:tr w:rsidR="001E2AAD">
        <w:tc>
          <w:tcPr>
            <w:tcW w:w="1080" w:type="dxa"/>
            <w:vAlign w:val="center"/>
          </w:tcPr>
          <w:p w:rsidR="001E2AAD" w:rsidRDefault="001E2AAD">
            <w:pPr>
              <w:jc w:val="center"/>
              <w:rPr>
                <w:noProof/>
                <w:color w:val="0000FF"/>
                <w:sz w:val="22"/>
              </w:rPr>
            </w:pPr>
          </w:p>
        </w:tc>
        <w:tc>
          <w:tcPr>
            <w:tcW w:w="3960" w:type="dxa"/>
            <w:vAlign w:val="center"/>
          </w:tcPr>
          <w:p w:rsidR="001E2AAD" w:rsidRDefault="007B2354">
            <w:pPr>
              <w:spacing w:before="60"/>
              <w:rPr>
                <w:noProof/>
                <w:sz w:val="22"/>
              </w:rPr>
            </w:pPr>
            <w:r>
              <w:rPr>
                <w:noProof/>
                <w:sz w:val="22"/>
              </w:rPr>
              <w:t>[XX YY YY YY]</w:t>
            </w:r>
          </w:p>
          <w:p w:rsidR="001E2AAD" w:rsidRDefault="001E2AAD">
            <w:pPr>
              <w:spacing w:after="60"/>
              <w:rPr>
                <w:noProof/>
                <w:sz w:val="22"/>
              </w:rPr>
            </w:pPr>
          </w:p>
        </w:tc>
        <w:tc>
          <w:tcPr>
            <w:tcW w:w="1080" w:type="dxa"/>
            <w:vAlign w:val="center"/>
          </w:tcPr>
          <w:p w:rsidR="001E2AAD" w:rsidRDefault="007B2354">
            <w:pPr>
              <w:jc w:val="center"/>
              <w:rPr>
                <w:noProof/>
                <w:color w:val="0000FF"/>
                <w:sz w:val="22"/>
              </w:rPr>
            </w:pPr>
            <w:r>
              <w:rPr>
                <w:noProof/>
                <w:sz w:val="22"/>
              </w:rPr>
              <w:t>dif./nedif.</w:t>
            </w:r>
          </w:p>
        </w:tc>
        <w:tc>
          <w:tcPr>
            <w:tcW w:w="956" w:type="dxa"/>
            <w:vAlign w:val="center"/>
          </w:tcPr>
          <w:p w:rsidR="001E2AAD" w:rsidRDefault="007B2354">
            <w:pPr>
              <w:jc w:val="center"/>
              <w:rPr>
                <w:noProof/>
                <w:sz w:val="22"/>
              </w:rPr>
            </w:pPr>
            <w:r>
              <w:rPr>
                <w:noProof/>
                <w:sz w:val="22"/>
              </w:rPr>
              <w:t>DA/NE</w:t>
            </w:r>
          </w:p>
        </w:tc>
        <w:tc>
          <w:tcPr>
            <w:tcW w:w="1080" w:type="dxa"/>
            <w:vAlign w:val="center"/>
          </w:tcPr>
          <w:p w:rsidR="001E2AAD" w:rsidRDefault="007B2354">
            <w:pPr>
              <w:jc w:val="center"/>
              <w:rPr>
                <w:noProof/>
                <w:sz w:val="22"/>
              </w:rPr>
            </w:pPr>
            <w:r>
              <w:rPr>
                <w:noProof/>
                <w:sz w:val="22"/>
              </w:rPr>
              <w:t>DA/NE</w:t>
            </w:r>
          </w:p>
        </w:tc>
        <w:tc>
          <w:tcPr>
            <w:tcW w:w="956" w:type="dxa"/>
            <w:vAlign w:val="center"/>
          </w:tcPr>
          <w:p w:rsidR="001E2AAD" w:rsidRDefault="007B2354">
            <w:pPr>
              <w:jc w:val="center"/>
              <w:rPr>
                <w:noProof/>
                <w:sz w:val="22"/>
              </w:rPr>
            </w:pPr>
            <w:r>
              <w:rPr>
                <w:noProof/>
                <w:sz w:val="22"/>
              </w:rPr>
              <w:t>DA/NE</w:t>
            </w:r>
          </w:p>
        </w:tc>
        <w:tc>
          <w:tcPr>
            <w:tcW w:w="1448" w:type="dxa"/>
            <w:vAlign w:val="center"/>
          </w:tcPr>
          <w:p w:rsidR="001E2AAD" w:rsidRDefault="007B2354">
            <w:pPr>
              <w:jc w:val="center"/>
              <w:rPr>
                <w:noProof/>
                <w:sz w:val="22"/>
              </w:rPr>
            </w:pPr>
            <w:r>
              <w:rPr>
                <w:noProof/>
                <w:sz w:val="22"/>
              </w:rPr>
              <w:t>DA/NE</w:t>
            </w:r>
          </w:p>
        </w:tc>
      </w:tr>
    </w:tbl>
    <w:p w:rsidR="001E2AAD" w:rsidRDefault="007B2354">
      <w:pPr>
        <w:pStyle w:val="ListBullet1"/>
        <w:rPr>
          <w:noProof/>
        </w:rPr>
      </w:pPr>
      <w:r>
        <w:rPr>
          <w:noProof/>
        </w:rPr>
        <w:t xml:space="preserve">Zahtevane nove proračunske vrstice </w:t>
      </w:r>
    </w:p>
    <w:p w:rsidR="001E2AAD" w:rsidRDefault="007B2354">
      <w:pPr>
        <w:pStyle w:val="Text1"/>
        <w:rPr>
          <w:i/>
          <w:noProof/>
          <w:sz w:val="20"/>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E2AAD">
        <w:tc>
          <w:tcPr>
            <w:tcW w:w="1080" w:type="dxa"/>
            <w:vMerge w:val="restart"/>
            <w:vAlign w:val="center"/>
          </w:tcPr>
          <w:p w:rsidR="001E2AAD" w:rsidRDefault="007B2354">
            <w:pPr>
              <w:spacing w:before="60" w:after="60"/>
              <w:jc w:val="center"/>
              <w:rPr>
                <w:noProof/>
                <w:sz w:val="18"/>
                <w:szCs w:val="18"/>
              </w:rPr>
            </w:pPr>
            <w:r>
              <w:rPr>
                <w:noProof/>
                <w:sz w:val="18"/>
              </w:rPr>
              <w:t>Razdelek večletnega finančnega okvira</w:t>
            </w:r>
          </w:p>
        </w:tc>
        <w:tc>
          <w:tcPr>
            <w:tcW w:w="3960" w:type="dxa"/>
            <w:vAlign w:val="center"/>
          </w:tcPr>
          <w:p w:rsidR="001E2AAD" w:rsidRDefault="007B2354">
            <w:pPr>
              <w:spacing w:before="60" w:after="60"/>
              <w:jc w:val="center"/>
              <w:rPr>
                <w:noProof/>
                <w:sz w:val="22"/>
              </w:rPr>
            </w:pPr>
            <w:r>
              <w:rPr>
                <w:noProof/>
                <w:sz w:val="20"/>
              </w:rPr>
              <w:t>Proračunska vrstica</w:t>
            </w:r>
          </w:p>
        </w:tc>
        <w:tc>
          <w:tcPr>
            <w:tcW w:w="1080" w:type="dxa"/>
            <w:vAlign w:val="center"/>
          </w:tcPr>
          <w:p w:rsidR="001E2AAD" w:rsidRDefault="007B2354">
            <w:pPr>
              <w:spacing w:before="60" w:after="60"/>
              <w:jc w:val="center"/>
              <w:rPr>
                <w:noProof/>
                <w:sz w:val="22"/>
              </w:rPr>
            </w:pPr>
            <w:r>
              <w:rPr>
                <w:noProof/>
                <w:sz w:val="18"/>
              </w:rPr>
              <w:t>Vrsta</w:t>
            </w:r>
            <w:r>
              <w:rPr>
                <w:noProof/>
                <w:sz w:val="22"/>
              </w:rPr>
              <w:br/>
            </w:r>
            <w:r>
              <w:rPr>
                <w:noProof/>
                <w:sz w:val="18"/>
              </w:rPr>
              <w:t>odhodka</w:t>
            </w:r>
          </w:p>
        </w:tc>
        <w:tc>
          <w:tcPr>
            <w:tcW w:w="4440" w:type="dxa"/>
            <w:gridSpan w:val="4"/>
            <w:vAlign w:val="center"/>
          </w:tcPr>
          <w:p w:rsidR="001E2AAD" w:rsidRDefault="007B2354">
            <w:pPr>
              <w:spacing w:before="60" w:after="60"/>
              <w:jc w:val="center"/>
              <w:rPr>
                <w:noProof/>
                <w:sz w:val="22"/>
              </w:rPr>
            </w:pPr>
            <w:r>
              <w:rPr>
                <w:noProof/>
                <w:sz w:val="20"/>
              </w:rPr>
              <w:t xml:space="preserve">Prispevek </w:t>
            </w:r>
          </w:p>
        </w:tc>
      </w:tr>
      <w:tr w:rsidR="001E2AAD">
        <w:tc>
          <w:tcPr>
            <w:tcW w:w="1080" w:type="dxa"/>
            <w:vMerge/>
            <w:vAlign w:val="center"/>
          </w:tcPr>
          <w:p w:rsidR="001E2AAD" w:rsidRDefault="001E2AAD">
            <w:pPr>
              <w:jc w:val="center"/>
              <w:rPr>
                <w:noProof/>
                <w:sz w:val="22"/>
              </w:rPr>
            </w:pPr>
          </w:p>
        </w:tc>
        <w:tc>
          <w:tcPr>
            <w:tcW w:w="3960" w:type="dxa"/>
            <w:vAlign w:val="center"/>
          </w:tcPr>
          <w:p w:rsidR="001E2AAD" w:rsidRDefault="007B2354">
            <w:pPr>
              <w:rPr>
                <w:noProof/>
                <w:sz w:val="22"/>
              </w:rPr>
            </w:pPr>
            <w:r>
              <w:rPr>
                <w:noProof/>
                <w:sz w:val="20"/>
              </w:rPr>
              <w:t>Številka</w:t>
            </w:r>
            <w:r>
              <w:rPr>
                <w:noProof/>
                <w:sz w:val="22"/>
              </w:rPr>
              <w:br/>
            </w:r>
            <w:r>
              <w:rPr>
                <w:noProof/>
                <w:sz w:val="20"/>
              </w:rPr>
              <w:t>[poimenovanje………………………………………]</w:t>
            </w:r>
          </w:p>
        </w:tc>
        <w:tc>
          <w:tcPr>
            <w:tcW w:w="1080" w:type="dxa"/>
            <w:vAlign w:val="center"/>
          </w:tcPr>
          <w:p w:rsidR="001E2AAD" w:rsidRDefault="007B2354">
            <w:pPr>
              <w:jc w:val="center"/>
              <w:rPr>
                <w:noProof/>
                <w:sz w:val="22"/>
              </w:rPr>
            </w:pPr>
            <w:r>
              <w:rPr>
                <w:noProof/>
                <w:sz w:val="18"/>
              </w:rPr>
              <w:t>dif./nedif.</w:t>
            </w:r>
          </w:p>
        </w:tc>
        <w:tc>
          <w:tcPr>
            <w:tcW w:w="956" w:type="dxa"/>
            <w:vAlign w:val="center"/>
          </w:tcPr>
          <w:p w:rsidR="001E2AAD" w:rsidRDefault="007B2354">
            <w:pPr>
              <w:jc w:val="center"/>
              <w:rPr>
                <w:noProof/>
                <w:sz w:val="18"/>
              </w:rPr>
            </w:pPr>
            <w:r>
              <w:rPr>
                <w:noProof/>
                <w:sz w:val="18"/>
              </w:rPr>
              <w:t>držav Efte</w:t>
            </w:r>
          </w:p>
        </w:tc>
        <w:tc>
          <w:tcPr>
            <w:tcW w:w="1080" w:type="dxa"/>
            <w:vAlign w:val="center"/>
          </w:tcPr>
          <w:p w:rsidR="001E2AAD" w:rsidRDefault="007B2354">
            <w:pPr>
              <w:jc w:val="center"/>
              <w:rPr>
                <w:noProof/>
                <w:sz w:val="18"/>
              </w:rPr>
            </w:pPr>
            <w:r>
              <w:rPr>
                <w:noProof/>
                <w:sz w:val="18"/>
              </w:rPr>
              <w:t>držav kandidatk</w:t>
            </w:r>
          </w:p>
        </w:tc>
        <w:tc>
          <w:tcPr>
            <w:tcW w:w="956" w:type="dxa"/>
            <w:vAlign w:val="center"/>
          </w:tcPr>
          <w:p w:rsidR="001E2AAD" w:rsidRDefault="007B2354">
            <w:pPr>
              <w:jc w:val="center"/>
              <w:rPr>
                <w:noProof/>
                <w:sz w:val="18"/>
              </w:rPr>
            </w:pPr>
            <w:r>
              <w:rPr>
                <w:noProof/>
                <w:sz w:val="18"/>
              </w:rPr>
              <w:t>tretjih držav</w:t>
            </w:r>
          </w:p>
        </w:tc>
        <w:tc>
          <w:tcPr>
            <w:tcW w:w="1448" w:type="dxa"/>
            <w:vAlign w:val="center"/>
          </w:tcPr>
          <w:p w:rsidR="001E2AAD" w:rsidRDefault="007B2354">
            <w:pPr>
              <w:jc w:val="center"/>
              <w:rPr>
                <w:noProof/>
                <w:sz w:val="22"/>
              </w:rPr>
            </w:pPr>
            <w:r>
              <w:rPr>
                <w:noProof/>
                <w:sz w:val="16"/>
              </w:rPr>
              <w:t xml:space="preserve">po členu 21(2)(b) finančne uredbe </w:t>
            </w:r>
          </w:p>
        </w:tc>
      </w:tr>
      <w:tr w:rsidR="001E2AAD">
        <w:tc>
          <w:tcPr>
            <w:tcW w:w="1080" w:type="dxa"/>
            <w:vAlign w:val="center"/>
          </w:tcPr>
          <w:p w:rsidR="001E2AAD" w:rsidRDefault="001E2AAD">
            <w:pPr>
              <w:jc w:val="center"/>
              <w:rPr>
                <w:noProof/>
                <w:color w:val="0000FF"/>
                <w:sz w:val="22"/>
              </w:rPr>
            </w:pPr>
          </w:p>
        </w:tc>
        <w:tc>
          <w:tcPr>
            <w:tcW w:w="3960" w:type="dxa"/>
            <w:vAlign w:val="center"/>
          </w:tcPr>
          <w:p w:rsidR="001E2AAD" w:rsidRDefault="007B2354">
            <w:pPr>
              <w:spacing w:before="60"/>
              <w:rPr>
                <w:noProof/>
                <w:sz w:val="22"/>
              </w:rPr>
            </w:pPr>
            <w:r>
              <w:rPr>
                <w:noProof/>
                <w:sz w:val="22"/>
              </w:rPr>
              <w:t>[XX YY YY YY]</w:t>
            </w:r>
          </w:p>
          <w:p w:rsidR="001E2AAD" w:rsidRDefault="001E2AAD">
            <w:pPr>
              <w:spacing w:after="60"/>
              <w:rPr>
                <w:noProof/>
                <w:color w:val="0000FF"/>
                <w:sz w:val="22"/>
              </w:rPr>
            </w:pPr>
          </w:p>
        </w:tc>
        <w:tc>
          <w:tcPr>
            <w:tcW w:w="1080" w:type="dxa"/>
            <w:vAlign w:val="center"/>
          </w:tcPr>
          <w:p w:rsidR="001E2AAD" w:rsidRDefault="001E2AAD">
            <w:pPr>
              <w:jc w:val="center"/>
              <w:rPr>
                <w:noProof/>
                <w:color w:val="0000FF"/>
                <w:sz w:val="22"/>
              </w:rPr>
            </w:pPr>
          </w:p>
        </w:tc>
        <w:tc>
          <w:tcPr>
            <w:tcW w:w="956" w:type="dxa"/>
            <w:vAlign w:val="center"/>
          </w:tcPr>
          <w:p w:rsidR="001E2AAD" w:rsidRDefault="007B2354">
            <w:pPr>
              <w:jc w:val="center"/>
              <w:rPr>
                <w:noProof/>
                <w:sz w:val="22"/>
              </w:rPr>
            </w:pPr>
            <w:r>
              <w:rPr>
                <w:noProof/>
                <w:sz w:val="22"/>
              </w:rPr>
              <w:t>DA/NE</w:t>
            </w:r>
          </w:p>
        </w:tc>
        <w:tc>
          <w:tcPr>
            <w:tcW w:w="1080" w:type="dxa"/>
            <w:vAlign w:val="center"/>
          </w:tcPr>
          <w:p w:rsidR="001E2AAD" w:rsidRDefault="007B2354">
            <w:pPr>
              <w:jc w:val="center"/>
              <w:rPr>
                <w:noProof/>
                <w:color w:val="0000FF"/>
                <w:sz w:val="18"/>
              </w:rPr>
            </w:pPr>
            <w:r>
              <w:rPr>
                <w:noProof/>
                <w:sz w:val="22"/>
              </w:rPr>
              <w:t>DA/NE</w:t>
            </w:r>
          </w:p>
        </w:tc>
        <w:tc>
          <w:tcPr>
            <w:tcW w:w="956" w:type="dxa"/>
            <w:vAlign w:val="center"/>
          </w:tcPr>
          <w:p w:rsidR="001E2AAD" w:rsidRDefault="007B2354">
            <w:pPr>
              <w:jc w:val="center"/>
              <w:rPr>
                <w:noProof/>
                <w:color w:val="0000FF"/>
                <w:sz w:val="18"/>
              </w:rPr>
            </w:pPr>
            <w:r>
              <w:rPr>
                <w:noProof/>
                <w:sz w:val="22"/>
              </w:rPr>
              <w:t>DA/NE</w:t>
            </w:r>
          </w:p>
        </w:tc>
        <w:tc>
          <w:tcPr>
            <w:tcW w:w="1448" w:type="dxa"/>
            <w:vAlign w:val="center"/>
          </w:tcPr>
          <w:p w:rsidR="001E2AAD" w:rsidRDefault="007B2354">
            <w:pPr>
              <w:jc w:val="center"/>
              <w:rPr>
                <w:noProof/>
                <w:sz w:val="22"/>
              </w:rPr>
            </w:pPr>
            <w:r>
              <w:rPr>
                <w:noProof/>
                <w:sz w:val="22"/>
              </w:rPr>
              <w:t>DA/NE</w:t>
            </w:r>
          </w:p>
        </w:tc>
      </w:tr>
    </w:tbl>
    <w:p w:rsidR="001E2AAD" w:rsidRDefault="001E2AAD">
      <w:pPr>
        <w:rPr>
          <w:noProof/>
        </w:rPr>
        <w:sectPr w:rsidR="001E2AAD" w:rsidSect="007B2354">
          <w:pgSz w:w="11907" w:h="16840" w:code="1"/>
          <w:pgMar w:top="1134" w:right="1418" w:bottom="1134" w:left="1418" w:header="709" w:footer="709" w:gutter="0"/>
          <w:cols w:space="708"/>
          <w:docGrid w:linePitch="360"/>
        </w:sectPr>
      </w:pPr>
    </w:p>
    <w:p w:rsidR="001E2AAD" w:rsidRDefault="007B2354">
      <w:pPr>
        <w:pStyle w:val="ManualHeading2"/>
        <w:rPr>
          <w:bCs/>
          <w:noProof/>
          <w:szCs w:val="24"/>
        </w:rPr>
      </w:pPr>
      <w:r>
        <w:t>8.2.</w:t>
      </w:r>
      <w:r>
        <w:tab/>
      </w:r>
      <w:r>
        <w:rPr>
          <w:noProof/>
        </w:rPr>
        <w:t xml:space="preserve">Ocenjene posledice za odhodke </w:t>
      </w:r>
    </w:p>
    <w:p w:rsidR="001E2AAD" w:rsidRDefault="001E2AAD">
      <w:pPr>
        <w:pStyle w:val="Text1"/>
        <w:rPr>
          <w:i/>
          <w:noProof/>
        </w:rPr>
      </w:pPr>
    </w:p>
    <w:p w:rsidR="001E2AAD" w:rsidRDefault="007B2354">
      <w:pPr>
        <w:pStyle w:val="Text1"/>
        <w:rPr>
          <w:noProof/>
        </w:rPr>
      </w:pPr>
      <w:r>
        <w:rPr>
          <w:noProof/>
        </w:rPr>
        <w:t>Ne vpliva na proračun Unije.</w:t>
      </w:r>
    </w:p>
    <w:p w:rsidR="001E2AAD" w:rsidRDefault="007B2354">
      <w:pPr>
        <w:pStyle w:val="ManualHeading3"/>
        <w:rPr>
          <w:noProof/>
          <w:u w:val="single"/>
        </w:rPr>
      </w:pPr>
      <w:r>
        <w:t>8.2.1.</w:t>
      </w:r>
      <w:r>
        <w:tab/>
      </w:r>
      <w:r>
        <w:rPr>
          <w:noProof/>
        </w:rPr>
        <w:t xml:space="preserve">Povzetek ocenjenih posledic za odhodke </w:t>
      </w:r>
    </w:p>
    <w:p w:rsidR="001E2AAD" w:rsidRDefault="007B2354">
      <w:pPr>
        <w:jc w:val="right"/>
        <w:rPr>
          <w:noProof/>
          <w:sz w:val="20"/>
        </w:rPr>
      </w:pPr>
      <w:r>
        <w:rPr>
          <w:noProof/>
          <w:sz w:val="20"/>
        </w:rPr>
        <w:t>v mio. EUR (na tri decimalna mesta natančno)</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E2AAD">
        <w:trPr>
          <w:jc w:val="center"/>
        </w:trPr>
        <w:tc>
          <w:tcPr>
            <w:tcW w:w="4744" w:type="dxa"/>
            <w:shd w:val="thinDiagStripe" w:color="C0C0C0" w:fill="auto"/>
            <w:vAlign w:val="center"/>
          </w:tcPr>
          <w:p w:rsidR="001E2AAD" w:rsidRDefault="007B2354">
            <w:pPr>
              <w:spacing w:before="60" w:after="60"/>
              <w:jc w:val="center"/>
              <w:rPr>
                <w:b/>
                <w:noProof/>
                <w:sz w:val="22"/>
              </w:rPr>
            </w:pPr>
            <w:r>
              <w:rPr>
                <w:b/>
                <w:noProof/>
                <w:sz w:val="22"/>
              </w:rPr>
              <w:t>Razdelek večletnega finančnega</w:t>
            </w:r>
            <w:r>
              <w:rPr>
                <w:noProof/>
                <w:sz w:val="22"/>
              </w:rPr>
              <w:br/>
            </w:r>
            <w:r>
              <w:rPr>
                <w:b/>
                <w:noProof/>
                <w:sz w:val="22"/>
              </w:rPr>
              <w:t xml:space="preserve">okvira </w:t>
            </w:r>
          </w:p>
        </w:tc>
        <w:tc>
          <w:tcPr>
            <w:tcW w:w="1080" w:type="dxa"/>
            <w:vAlign w:val="center"/>
          </w:tcPr>
          <w:p w:rsidR="001E2AAD" w:rsidRDefault="007B2354">
            <w:pPr>
              <w:spacing w:before="60" w:after="60"/>
              <w:jc w:val="center"/>
              <w:rPr>
                <w:noProof/>
                <w:sz w:val="22"/>
              </w:rPr>
            </w:pPr>
            <w:r>
              <w:rPr>
                <w:noProof/>
                <w:sz w:val="22"/>
              </w:rPr>
              <w:t>Številka</w:t>
            </w:r>
          </w:p>
        </w:tc>
        <w:tc>
          <w:tcPr>
            <w:tcW w:w="7817" w:type="dxa"/>
            <w:vAlign w:val="center"/>
          </w:tcPr>
          <w:p w:rsidR="001E2AAD" w:rsidRDefault="007B2354">
            <w:pPr>
              <w:spacing w:before="60" w:after="60"/>
              <w:rPr>
                <w:noProof/>
                <w:sz w:val="22"/>
              </w:rPr>
            </w:pPr>
            <w:r>
              <w:rPr>
                <w:noProof/>
                <w:sz w:val="22"/>
              </w:rPr>
              <w:t>[poimenovanje………………………………………]</w:t>
            </w:r>
          </w:p>
        </w:tc>
      </w:tr>
    </w:tbl>
    <w:p w:rsidR="001E2AAD" w:rsidRDefault="001E2AAD">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1E2AAD">
        <w:tc>
          <w:tcPr>
            <w:tcW w:w="3960" w:type="dxa"/>
            <w:vAlign w:val="center"/>
          </w:tcPr>
          <w:p w:rsidR="001E2AAD" w:rsidRDefault="007B2354">
            <w:pPr>
              <w:jc w:val="center"/>
              <w:rPr>
                <w:noProof/>
                <w:sz w:val="22"/>
              </w:rPr>
            </w:pPr>
            <w:r>
              <w:rPr>
                <w:noProof/>
                <w:sz w:val="22"/>
              </w:rPr>
              <w:t>GD: &lt;…….&gt;</w:t>
            </w:r>
          </w:p>
        </w:tc>
        <w:tc>
          <w:tcPr>
            <w:tcW w:w="1560" w:type="dxa"/>
            <w:gridSpan w:val="2"/>
          </w:tcPr>
          <w:p w:rsidR="001E2AAD" w:rsidRDefault="001E2AAD">
            <w:pPr>
              <w:rPr>
                <w:noProof/>
                <w:sz w:val="20"/>
              </w:rPr>
            </w:pPr>
          </w:p>
        </w:tc>
        <w:tc>
          <w:tcPr>
            <w:tcW w:w="534" w:type="dxa"/>
          </w:tcPr>
          <w:p w:rsidR="001E2AAD" w:rsidRDefault="001E2AAD">
            <w:pPr>
              <w:jc w:val="center"/>
              <w:rPr>
                <w:noProof/>
                <w:sz w:val="20"/>
              </w:rPr>
            </w:pP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w:t>
            </w:r>
            <w:r>
              <w:rPr>
                <w:rStyle w:val="FootnoteReference"/>
                <w:b/>
                <w:noProof/>
                <w:sz w:val="20"/>
              </w:rPr>
              <w:footnoteReference w:id="20"/>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N+1</w:t>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N+2</w:t>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N+3</w:t>
            </w:r>
          </w:p>
        </w:tc>
        <w:tc>
          <w:tcPr>
            <w:tcW w:w="2604" w:type="dxa"/>
            <w:gridSpan w:val="3"/>
            <w:vAlign w:val="center"/>
          </w:tcPr>
          <w:p w:rsidR="001E2AAD" w:rsidRDefault="007B2354">
            <w:pPr>
              <w:jc w:val="center"/>
              <w:rPr>
                <w:b/>
                <w:noProof/>
                <w:sz w:val="18"/>
              </w:rPr>
            </w:pPr>
            <w:r>
              <w:rPr>
                <w:noProof/>
                <w:sz w:val="18"/>
              </w:rPr>
              <w:t xml:space="preserve">Vstavite ustrezno število let glede na </w:t>
            </w:r>
            <w:r>
              <w:rPr>
                <w:noProof/>
                <w:sz w:val="18"/>
              </w:rPr>
              <w:t>trajanje posledic (gl. točko 1.6)</w:t>
            </w:r>
          </w:p>
        </w:tc>
        <w:tc>
          <w:tcPr>
            <w:tcW w:w="1777" w:type="dxa"/>
            <w:vAlign w:val="center"/>
          </w:tcPr>
          <w:p w:rsidR="001E2AAD" w:rsidRDefault="007B2354">
            <w:pPr>
              <w:jc w:val="center"/>
              <w:rPr>
                <w:b/>
                <w:noProof/>
                <w:sz w:val="20"/>
              </w:rPr>
            </w:pPr>
            <w:r>
              <w:rPr>
                <w:b/>
                <w:noProof/>
                <w:sz w:val="20"/>
              </w:rPr>
              <w:t>SKUPAJ</w:t>
            </w:r>
          </w:p>
        </w:tc>
      </w:tr>
      <w:tr w:rsidR="001E2AAD">
        <w:trPr>
          <w:trHeight w:val="213"/>
        </w:trPr>
        <w:tc>
          <w:tcPr>
            <w:tcW w:w="6054" w:type="dxa"/>
            <w:gridSpan w:val="4"/>
            <w:vAlign w:val="center"/>
          </w:tcPr>
          <w:p w:rsidR="001E2AAD" w:rsidRDefault="007B2354">
            <w:pPr>
              <w:spacing w:before="20" w:after="20"/>
              <w:rPr>
                <w:noProof/>
                <w:sz w:val="21"/>
              </w:rPr>
            </w:pPr>
            <w:r>
              <w:rPr>
                <w:noProof/>
                <w:sz w:val="21"/>
              </w:rPr>
              <w:sym w:font="Wingdings" w:char="F09F"/>
            </w:r>
            <w:r>
              <w:rPr>
                <w:noProof/>
                <w:sz w:val="21"/>
              </w:rPr>
              <w:t>Odobritve za poslovanje</w:t>
            </w:r>
          </w:p>
        </w:tc>
        <w:tc>
          <w:tcPr>
            <w:tcW w:w="868" w:type="dxa"/>
            <w:vAlign w:val="center"/>
          </w:tcPr>
          <w:p w:rsidR="001E2AAD" w:rsidRDefault="001E2AAD">
            <w:pPr>
              <w:rPr>
                <w:noProof/>
                <w:sz w:val="20"/>
              </w:rPr>
            </w:pPr>
          </w:p>
        </w:tc>
        <w:tc>
          <w:tcPr>
            <w:tcW w:w="868" w:type="dxa"/>
            <w:vAlign w:val="center"/>
          </w:tcPr>
          <w:p w:rsidR="001E2AAD" w:rsidRDefault="001E2AAD">
            <w:pPr>
              <w:rPr>
                <w:noProof/>
                <w:sz w:val="20"/>
              </w:rPr>
            </w:pPr>
          </w:p>
        </w:tc>
        <w:tc>
          <w:tcPr>
            <w:tcW w:w="868" w:type="dxa"/>
            <w:vAlign w:val="center"/>
          </w:tcPr>
          <w:p w:rsidR="001E2AAD" w:rsidRDefault="001E2AAD">
            <w:pPr>
              <w:rPr>
                <w:noProof/>
                <w:sz w:val="20"/>
              </w:rPr>
            </w:pPr>
          </w:p>
        </w:tc>
        <w:tc>
          <w:tcPr>
            <w:tcW w:w="868" w:type="dxa"/>
            <w:vAlign w:val="center"/>
          </w:tcPr>
          <w:p w:rsidR="001E2AAD" w:rsidRDefault="001E2AAD">
            <w:pPr>
              <w:rPr>
                <w:noProof/>
                <w:sz w:val="20"/>
              </w:rPr>
            </w:pPr>
          </w:p>
        </w:tc>
        <w:tc>
          <w:tcPr>
            <w:tcW w:w="868" w:type="dxa"/>
            <w:vAlign w:val="center"/>
          </w:tcPr>
          <w:p w:rsidR="001E2AAD" w:rsidRDefault="001E2AAD">
            <w:pPr>
              <w:rPr>
                <w:noProof/>
                <w:sz w:val="20"/>
              </w:rPr>
            </w:pPr>
          </w:p>
        </w:tc>
        <w:tc>
          <w:tcPr>
            <w:tcW w:w="868" w:type="dxa"/>
            <w:vAlign w:val="center"/>
          </w:tcPr>
          <w:p w:rsidR="001E2AAD" w:rsidRDefault="001E2AAD">
            <w:pPr>
              <w:rPr>
                <w:noProof/>
                <w:sz w:val="20"/>
              </w:rPr>
            </w:pPr>
          </w:p>
        </w:tc>
        <w:tc>
          <w:tcPr>
            <w:tcW w:w="868" w:type="dxa"/>
            <w:vAlign w:val="center"/>
          </w:tcPr>
          <w:p w:rsidR="001E2AAD" w:rsidRDefault="001E2AAD">
            <w:pPr>
              <w:rPr>
                <w:b/>
                <w:noProof/>
                <w:sz w:val="20"/>
              </w:rPr>
            </w:pPr>
          </w:p>
        </w:tc>
        <w:tc>
          <w:tcPr>
            <w:tcW w:w="1777" w:type="dxa"/>
            <w:vAlign w:val="center"/>
          </w:tcPr>
          <w:p w:rsidR="001E2AAD" w:rsidRDefault="001E2AAD">
            <w:pPr>
              <w:rPr>
                <w:b/>
                <w:noProof/>
                <w:sz w:val="20"/>
              </w:rPr>
            </w:pPr>
          </w:p>
        </w:tc>
      </w:tr>
      <w:tr w:rsidR="001E2AAD">
        <w:trPr>
          <w:trHeight w:val="277"/>
        </w:trPr>
        <w:tc>
          <w:tcPr>
            <w:tcW w:w="3960" w:type="dxa"/>
            <w:vMerge w:val="restart"/>
            <w:vAlign w:val="center"/>
          </w:tcPr>
          <w:p w:rsidR="001E2AAD" w:rsidRDefault="007B2354">
            <w:pPr>
              <w:rPr>
                <w:noProof/>
                <w:sz w:val="22"/>
              </w:rPr>
            </w:pPr>
            <w:r>
              <w:rPr>
                <w:noProof/>
                <w:sz w:val="20"/>
              </w:rPr>
              <w:t>Številka proračunske vrstice</w:t>
            </w:r>
          </w:p>
        </w:tc>
        <w:tc>
          <w:tcPr>
            <w:tcW w:w="1440" w:type="dxa"/>
            <w:vAlign w:val="center"/>
          </w:tcPr>
          <w:p w:rsidR="001E2AAD" w:rsidRDefault="007B2354">
            <w:pPr>
              <w:spacing w:before="20" w:after="20"/>
              <w:rPr>
                <w:noProof/>
                <w:sz w:val="18"/>
              </w:rPr>
            </w:pPr>
            <w:r>
              <w:rPr>
                <w:noProof/>
                <w:sz w:val="18"/>
              </w:rPr>
              <w:t>obveznosti</w:t>
            </w:r>
          </w:p>
        </w:tc>
        <w:tc>
          <w:tcPr>
            <w:tcW w:w="654" w:type="dxa"/>
            <w:gridSpan w:val="2"/>
            <w:vAlign w:val="center"/>
          </w:tcPr>
          <w:p w:rsidR="001E2AAD" w:rsidRDefault="007B2354">
            <w:pPr>
              <w:spacing w:before="20" w:after="20"/>
              <w:jc w:val="center"/>
              <w:rPr>
                <w:noProof/>
                <w:sz w:val="14"/>
              </w:rPr>
            </w:pPr>
            <w:r>
              <w:rPr>
                <w:noProof/>
                <w:sz w:val="14"/>
              </w:rPr>
              <w:t>(1)</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Merge/>
          </w:tcPr>
          <w:p w:rsidR="001E2AAD" w:rsidRDefault="001E2AAD">
            <w:pPr>
              <w:jc w:val="center"/>
              <w:rPr>
                <w:noProof/>
                <w:sz w:val="20"/>
              </w:rPr>
            </w:pPr>
          </w:p>
        </w:tc>
        <w:tc>
          <w:tcPr>
            <w:tcW w:w="1440" w:type="dxa"/>
            <w:vAlign w:val="center"/>
          </w:tcPr>
          <w:p w:rsidR="001E2AAD" w:rsidRDefault="007B2354">
            <w:pPr>
              <w:spacing w:before="20" w:after="20"/>
              <w:rPr>
                <w:noProof/>
                <w:sz w:val="18"/>
              </w:rPr>
            </w:pPr>
            <w:r>
              <w:rPr>
                <w:noProof/>
                <w:sz w:val="18"/>
              </w:rPr>
              <w:t>plačila</w:t>
            </w:r>
          </w:p>
        </w:tc>
        <w:tc>
          <w:tcPr>
            <w:tcW w:w="654" w:type="dxa"/>
            <w:gridSpan w:val="2"/>
            <w:vAlign w:val="center"/>
          </w:tcPr>
          <w:p w:rsidR="001E2AAD" w:rsidRDefault="007B2354">
            <w:pPr>
              <w:spacing w:before="20" w:after="20"/>
              <w:jc w:val="center"/>
              <w:rPr>
                <w:noProof/>
                <w:sz w:val="14"/>
              </w:rPr>
            </w:pPr>
            <w:r>
              <w:rPr>
                <w:noProof/>
                <w:sz w:val="14"/>
              </w:rPr>
              <w:t>(2)</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Merge w:val="restart"/>
            <w:vAlign w:val="center"/>
          </w:tcPr>
          <w:p w:rsidR="001E2AAD" w:rsidRDefault="007B2354">
            <w:pPr>
              <w:rPr>
                <w:noProof/>
                <w:sz w:val="22"/>
              </w:rPr>
            </w:pPr>
            <w:r>
              <w:rPr>
                <w:noProof/>
                <w:sz w:val="20"/>
              </w:rPr>
              <w:t>Številka proračunske vrstice</w:t>
            </w:r>
          </w:p>
        </w:tc>
        <w:tc>
          <w:tcPr>
            <w:tcW w:w="1440" w:type="dxa"/>
            <w:vAlign w:val="center"/>
          </w:tcPr>
          <w:p w:rsidR="001E2AAD" w:rsidRDefault="007B2354">
            <w:pPr>
              <w:spacing w:before="20" w:after="20"/>
              <w:rPr>
                <w:noProof/>
                <w:sz w:val="18"/>
              </w:rPr>
            </w:pPr>
            <w:r>
              <w:rPr>
                <w:noProof/>
                <w:sz w:val="18"/>
              </w:rPr>
              <w:t>obveznosti</w:t>
            </w:r>
          </w:p>
        </w:tc>
        <w:tc>
          <w:tcPr>
            <w:tcW w:w="654" w:type="dxa"/>
            <w:gridSpan w:val="2"/>
            <w:vAlign w:val="center"/>
          </w:tcPr>
          <w:p w:rsidR="001E2AAD" w:rsidRDefault="007B2354">
            <w:pPr>
              <w:spacing w:before="20" w:after="20"/>
              <w:jc w:val="center"/>
              <w:rPr>
                <w:noProof/>
                <w:sz w:val="14"/>
              </w:rPr>
            </w:pPr>
            <w:r>
              <w:rPr>
                <w:noProof/>
                <w:sz w:val="14"/>
              </w:rPr>
              <w:t>(1a)</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Merge/>
          </w:tcPr>
          <w:p w:rsidR="001E2AAD" w:rsidRDefault="001E2AAD">
            <w:pPr>
              <w:jc w:val="center"/>
              <w:rPr>
                <w:noProof/>
                <w:sz w:val="20"/>
              </w:rPr>
            </w:pPr>
          </w:p>
        </w:tc>
        <w:tc>
          <w:tcPr>
            <w:tcW w:w="1440" w:type="dxa"/>
            <w:vAlign w:val="center"/>
          </w:tcPr>
          <w:p w:rsidR="001E2AAD" w:rsidRDefault="007B2354">
            <w:pPr>
              <w:spacing w:before="20" w:after="20"/>
              <w:rPr>
                <w:noProof/>
                <w:sz w:val="18"/>
              </w:rPr>
            </w:pPr>
            <w:r>
              <w:rPr>
                <w:noProof/>
                <w:sz w:val="18"/>
              </w:rPr>
              <w:t>plačila</w:t>
            </w:r>
          </w:p>
        </w:tc>
        <w:tc>
          <w:tcPr>
            <w:tcW w:w="654" w:type="dxa"/>
            <w:gridSpan w:val="2"/>
            <w:vAlign w:val="center"/>
          </w:tcPr>
          <w:p w:rsidR="001E2AAD" w:rsidRDefault="007B2354">
            <w:pPr>
              <w:spacing w:before="20" w:after="20"/>
              <w:jc w:val="center"/>
              <w:rPr>
                <w:noProof/>
                <w:sz w:val="14"/>
              </w:rPr>
            </w:pPr>
            <w:r>
              <w:rPr>
                <w:noProof/>
                <w:sz w:val="14"/>
              </w:rPr>
              <w:t>(2a)</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rPr>
          <w:trHeight w:val="231"/>
        </w:trPr>
        <w:tc>
          <w:tcPr>
            <w:tcW w:w="6054" w:type="dxa"/>
            <w:gridSpan w:val="4"/>
            <w:vAlign w:val="center"/>
          </w:tcPr>
          <w:p w:rsidR="001E2AAD" w:rsidRDefault="007B2354">
            <w:pPr>
              <w:spacing w:before="20" w:after="20"/>
              <w:rPr>
                <w:noProof/>
                <w:sz w:val="22"/>
              </w:rPr>
            </w:pPr>
            <w:r>
              <w:rPr>
                <w:noProof/>
                <w:sz w:val="21"/>
              </w:rPr>
              <w:t>Odobritve za upravne zadeve,</w:t>
            </w:r>
            <w:r>
              <w:rPr>
                <w:noProof/>
                <w:sz w:val="21"/>
              </w:rPr>
              <w:t xml:space="preserve"> ki se financirajo iz sredstev določenih programov</w:t>
            </w:r>
            <w:r>
              <w:rPr>
                <w:rStyle w:val="FootnoteReference"/>
                <w:noProof/>
                <w:sz w:val="21"/>
              </w:rPr>
              <w:footnoteReference w:id="21"/>
            </w:r>
            <w:r>
              <w:rPr>
                <w:noProof/>
                <w:sz w:val="21"/>
              </w:rPr>
              <w:t xml:space="preserve"> </w:t>
            </w:r>
          </w:p>
          <w:p w:rsidR="001E2AAD" w:rsidRDefault="001E2AAD">
            <w:pPr>
              <w:spacing w:before="0" w:after="0"/>
              <w:rPr>
                <w:noProof/>
                <w:sz w:val="22"/>
              </w:rPr>
            </w:pPr>
          </w:p>
        </w:tc>
        <w:tc>
          <w:tcPr>
            <w:tcW w:w="868" w:type="dxa"/>
            <w:vAlign w:val="center"/>
          </w:tcPr>
          <w:p w:rsidR="001E2AAD" w:rsidRDefault="001E2AAD">
            <w:pPr>
              <w:rPr>
                <w:b/>
                <w:noProof/>
                <w:sz w:val="20"/>
              </w:rPr>
            </w:pPr>
          </w:p>
        </w:tc>
        <w:tc>
          <w:tcPr>
            <w:tcW w:w="868" w:type="dxa"/>
            <w:vAlign w:val="center"/>
          </w:tcPr>
          <w:p w:rsidR="001E2AAD" w:rsidRDefault="001E2AAD">
            <w:pPr>
              <w:rPr>
                <w:b/>
                <w:noProof/>
                <w:sz w:val="20"/>
              </w:rPr>
            </w:pPr>
          </w:p>
        </w:tc>
        <w:tc>
          <w:tcPr>
            <w:tcW w:w="868" w:type="dxa"/>
            <w:vAlign w:val="center"/>
          </w:tcPr>
          <w:p w:rsidR="001E2AAD" w:rsidRDefault="001E2AAD">
            <w:pPr>
              <w:rPr>
                <w:b/>
                <w:noProof/>
                <w:sz w:val="20"/>
              </w:rPr>
            </w:pPr>
          </w:p>
        </w:tc>
        <w:tc>
          <w:tcPr>
            <w:tcW w:w="868" w:type="dxa"/>
            <w:vAlign w:val="center"/>
          </w:tcPr>
          <w:p w:rsidR="001E2AAD" w:rsidRDefault="001E2AAD">
            <w:pPr>
              <w:rPr>
                <w:b/>
                <w:noProof/>
                <w:sz w:val="20"/>
              </w:rPr>
            </w:pPr>
          </w:p>
        </w:tc>
        <w:tc>
          <w:tcPr>
            <w:tcW w:w="868" w:type="dxa"/>
            <w:vAlign w:val="center"/>
          </w:tcPr>
          <w:p w:rsidR="001E2AAD" w:rsidRDefault="001E2AAD">
            <w:pPr>
              <w:rPr>
                <w:b/>
                <w:noProof/>
                <w:sz w:val="20"/>
              </w:rPr>
            </w:pPr>
          </w:p>
        </w:tc>
        <w:tc>
          <w:tcPr>
            <w:tcW w:w="868" w:type="dxa"/>
            <w:vAlign w:val="center"/>
          </w:tcPr>
          <w:p w:rsidR="001E2AAD" w:rsidRDefault="001E2AAD">
            <w:pPr>
              <w:rPr>
                <w:b/>
                <w:noProof/>
                <w:sz w:val="20"/>
              </w:rPr>
            </w:pPr>
          </w:p>
        </w:tc>
        <w:tc>
          <w:tcPr>
            <w:tcW w:w="868" w:type="dxa"/>
            <w:vAlign w:val="center"/>
          </w:tcPr>
          <w:p w:rsidR="001E2AAD" w:rsidRDefault="001E2AAD">
            <w:pPr>
              <w:rPr>
                <w:b/>
                <w:noProof/>
                <w:sz w:val="20"/>
              </w:rPr>
            </w:pPr>
          </w:p>
        </w:tc>
        <w:tc>
          <w:tcPr>
            <w:tcW w:w="1777" w:type="dxa"/>
            <w:vAlign w:val="center"/>
          </w:tcPr>
          <w:p w:rsidR="001E2AAD" w:rsidRDefault="001E2AAD">
            <w:pPr>
              <w:rPr>
                <w:b/>
                <w:noProof/>
                <w:sz w:val="20"/>
              </w:rPr>
            </w:pPr>
          </w:p>
        </w:tc>
      </w:tr>
      <w:tr w:rsidR="001E2AAD">
        <w:trPr>
          <w:trHeight w:val="319"/>
        </w:trPr>
        <w:tc>
          <w:tcPr>
            <w:tcW w:w="3960" w:type="dxa"/>
            <w:vAlign w:val="center"/>
          </w:tcPr>
          <w:p w:rsidR="001E2AAD" w:rsidRDefault="007B2354">
            <w:pPr>
              <w:spacing w:before="60" w:after="60"/>
              <w:rPr>
                <w:noProof/>
                <w:sz w:val="22"/>
              </w:rPr>
            </w:pPr>
            <w:r>
              <w:rPr>
                <w:noProof/>
                <w:sz w:val="20"/>
              </w:rPr>
              <w:t>Številka proračunske vrstice</w:t>
            </w:r>
          </w:p>
        </w:tc>
        <w:tc>
          <w:tcPr>
            <w:tcW w:w="1440" w:type="dxa"/>
            <w:vAlign w:val="center"/>
          </w:tcPr>
          <w:p w:rsidR="001E2AAD" w:rsidRDefault="001E2AAD">
            <w:pPr>
              <w:spacing w:before="40" w:after="40"/>
              <w:jc w:val="right"/>
              <w:rPr>
                <w:noProof/>
                <w:sz w:val="18"/>
              </w:rPr>
            </w:pPr>
          </w:p>
        </w:tc>
        <w:tc>
          <w:tcPr>
            <w:tcW w:w="654" w:type="dxa"/>
            <w:gridSpan w:val="2"/>
            <w:vAlign w:val="center"/>
          </w:tcPr>
          <w:p w:rsidR="001E2AAD" w:rsidRDefault="007B2354">
            <w:pPr>
              <w:spacing w:before="40" w:after="40"/>
              <w:jc w:val="center"/>
              <w:rPr>
                <w:noProof/>
                <w:sz w:val="14"/>
              </w:rPr>
            </w:pPr>
            <w:r>
              <w:rPr>
                <w:noProof/>
                <w:sz w:val="14"/>
              </w:rPr>
              <w:t>(3)</w:t>
            </w:r>
          </w:p>
        </w:tc>
        <w:tc>
          <w:tcPr>
            <w:tcW w:w="868" w:type="dxa"/>
            <w:vAlign w:val="center"/>
          </w:tcPr>
          <w:p w:rsidR="001E2AAD" w:rsidRDefault="001E2AAD">
            <w:pPr>
              <w:spacing w:before="40" w:after="40"/>
              <w:jc w:val="right"/>
              <w:rPr>
                <w:b/>
                <w:noProof/>
                <w:sz w:val="20"/>
              </w:rPr>
            </w:pPr>
          </w:p>
        </w:tc>
        <w:tc>
          <w:tcPr>
            <w:tcW w:w="868" w:type="dxa"/>
            <w:vAlign w:val="center"/>
          </w:tcPr>
          <w:p w:rsidR="001E2AAD" w:rsidRDefault="001E2AAD">
            <w:pPr>
              <w:spacing w:before="40" w:after="40"/>
              <w:jc w:val="right"/>
              <w:rPr>
                <w:b/>
                <w:noProof/>
                <w:sz w:val="20"/>
              </w:rPr>
            </w:pPr>
          </w:p>
        </w:tc>
        <w:tc>
          <w:tcPr>
            <w:tcW w:w="868" w:type="dxa"/>
            <w:vAlign w:val="center"/>
          </w:tcPr>
          <w:p w:rsidR="001E2AAD" w:rsidRDefault="001E2AAD">
            <w:pPr>
              <w:spacing w:before="40" w:after="40"/>
              <w:jc w:val="right"/>
              <w:rPr>
                <w:b/>
                <w:noProof/>
                <w:sz w:val="20"/>
              </w:rPr>
            </w:pPr>
          </w:p>
        </w:tc>
        <w:tc>
          <w:tcPr>
            <w:tcW w:w="868" w:type="dxa"/>
            <w:vAlign w:val="center"/>
          </w:tcPr>
          <w:p w:rsidR="001E2AAD" w:rsidRDefault="001E2AAD">
            <w:pPr>
              <w:spacing w:before="40" w:after="40"/>
              <w:jc w:val="right"/>
              <w:rPr>
                <w:b/>
                <w:noProof/>
                <w:sz w:val="20"/>
              </w:rPr>
            </w:pPr>
          </w:p>
        </w:tc>
        <w:tc>
          <w:tcPr>
            <w:tcW w:w="868" w:type="dxa"/>
            <w:vAlign w:val="center"/>
          </w:tcPr>
          <w:p w:rsidR="001E2AAD" w:rsidRDefault="001E2AAD">
            <w:pPr>
              <w:spacing w:before="40" w:after="40"/>
              <w:jc w:val="right"/>
              <w:rPr>
                <w:b/>
                <w:noProof/>
                <w:sz w:val="20"/>
              </w:rPr>
            </w:pPr>
          </w:p>
        </w:tc>
        <w:tc>
          <w:tcPr>
            <w:tcW w:w="868" w:type="dxa"/>
            <w:vAlign w:val="center"/>
          </w:tcPr>
          <w:p w:rsidR="001E2AAD" w:rsidRDefault="001E2AAD">
            <w:pPr>
              <w:spacing w:before="40" w:after="40"/>
              <w:jc w:val="right"/>
              <w:rPr>
                <w:b/>
                <w:noProof/>
                <w:sz w:val="20"/>
              </w:rPr>
            </w:pPr>
          </w:p>
        </w:tc>
        <w:tc>
          <w:tcPr>
            <w:tcW w:w="868" w:type="dxa"/>
            <w:vAlign w:val="center"/>
          </w:tcPr>
          <w:p w:rsidR="001E2AAD" w:rsidRDefault="001E2AAD">
            <w:pPr>
              <w:spacing w:before="40" w:after="40"/>
              <w:jc w:val="right"/>
              <w:rPr>
                <w:b/>
                <w:noProof/>
                <w:sz w:val="20"/>
              </w:rPr>
            </w:pPr>
          </w:p>
        </w:tc>
        <w:tc>
          <w:tcPr>
            <w:tcW w:w="1777" w:type="dxa"/>
            <w:vAlign w:val="center"/>
          </w:tcPr>
          <w:p w:rsidR="001E2AAD" w:rsidRDefault="001E2AAD">
            <w:pPr>
              <w:spacing w:before="40" w:after="40"/>
              <w:jc w:val="right"/>
              <w:rPr>
                <w:b/>
                <w:noProof/>
                <w:sz w:val="20"/>
              </w:rPr>
            </w:pPr>
          </w:p>
        </w:tc>
      </w:tr>
      <w:tr w:rsidR="001E2AAD">
        <w:tc>
          <w:tcPr>
            <w:tcW w:w="3960" w:type="dxa"/>
            <w:vMerge w:val="restart"/>
            <w:vAlign w:val="center"/>
          </w:tcPr>
          <w:p w:rsidR="001E2AAD" w:rsidRDefault="007B2354">
            <w:pPr>
              <w:jc w:val="center"/>
              <w:rPr>
                <w:b/>
                <w:noProof/>
                <w:sz w:val="22"/>
              </w:rPr>
            </w:pPr>
            <w:r>
              <w:rPr>
                <w:b/>
                <w:noProof/>
                <w:sz w:val="22"/>
              </w:rPr>
              <w:t>Odobritve za GD</w:t>
            </w:r>
            <w:r>
              <w:rPr>
                <w:noProof/>
              </w:rPr>
              <w:t xml:space="preserve"> &lt;.......&gt; </w:t>
            </w:r>
            <w:r>
              <w:rPr>
                <w:noProof/>
              </w:rPr>
              <w:br/>
            </w:r>
            <w:r>
              <w:rPr>
                <w:b/>
                <w:noProof/>
                <w:sz w:val="22"/>
              </w:rPr>
              <w:t>SKUPAJ</w:t>
            </w:r>
          </w:p>
        </w:tc>
        <w:tc>
          <w:tcPr>
            <w:tcW w:w="1440" w:type="dxa"/>
            <w:vAlign w:val="center"/>
          </w:tcPr>
          <w:p w:rsidR="001E2AAD" w:rsidRDefault="007B2354">
            <w:pPr>
              <w:rPr>
                <w:noProof/>
                <w:sz w:val="18"/>
              </w:rPr>
            </w:pPr>
            <w:r>
              <w:rPr>
                <w:noProof/>
                <w:sz w:val="18"/>
              </w:rPr>
              <w:t>obveznosti</w:t>
            </w:r>
          </w:p>
        </w:tc>
        <w:tc>
          <w:tcPr>
            <w:tcW w:w="654" w:type="dxa"/>
            <w:gridSpan w:val="2"/>
            <w:vAlign w:val="center"/>
          </w:tcPr>
          <w:p w:rsidR="001E2AAD" w:rsidRDefault="007B2354">
            <w:pPr>
              <w:jc w:val="center"/>
              <w:rPr>
                <w:noProof/>
                <w:sz w:val="14"/>
              </w:rPr>
            </w:pPr>
            <w:r>
              <w:rPr>
                <w:noProof/>
                <w:sz w:val="14"/>
              </w:rPr>
              <w:t>=1+1a+3</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Merge/>
          </w:tcPr>
          <w:p w:rsidR="001E2AAD" w:rsidRDefault="001E2AAD">
            <w:pPr>
              <w:rPr>
                <w:noProof/>
                <w:sz w:val="20"/>
              </w:rPr>
            </w:pPr>
          </w:p>
        </w:tc>
        <w:tc>
          <w:tcPr>
            <w:tcW w:w="1440" w:type="dxa"/>
            <w:vAlign w:val="center"/>
          </w:tcPr>
          <w:p w:rsidR="001E2AAD" w:rsidRDefault="007B2354">
            <w:pPr>
              <w:rPr>
                <w:noProof/>
                <w:sz w:val="18"/>
              </w:rPr>
            </w:pPr>
            <w:r>
              <w:rPr>
                <w:noProof/>
                <w:sz w:val="18"/>
              </w:rPr>
              <w:t>plačila</w:t>
            </w:r>
          </w:p>
        </w:tc>
        <w:tc>
          <w:tcPr>
            <w:tcW w:w="654" w:type="dxa"/>
            <w:gridSpan w:val="2"/>
            <w:vAlign w:val="center"/>
          </w:tcPr>
          <w:p w:rsidR="001E2AAD" w:rsidRDefault="007B2354">
            <w:pPr>
              <w:jc w:val="center"/>
              <w:rPr>
                <w:noProof/>
                <w:sz w:val="14"/>
              </w:rPr>
            </w:pPr>
            <w:r>
              <w:rPr>
                <w:noProof/>
                <w:sz w:val="14"/>
              </w:rPr>
              <w:t>=2+2a</w:t>
            </w:r>
          </w:p>
          <w:p w:rsidR="001E2AAD" w:rsidRDefault="007B2354">
            <w:pPr>
              <w:jc w:val="center"/>
              <w:rPr>
                <w:noProof/>
                <w:sz w:val="14"/>
              </w:rPr>
            </w:pPr>
            <w:r>
              <w:rPr>
                <w:noProof/>
                <w:sz w:val="14"/>
              </w:rPr>
              <w:t>+3</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bl>
    <w:p w:rsidR="001E2AAD" w:rsidRDefault="007B2354">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E2AAD">
        <w:trPr>
          <w:trHeight w:val="277"/>
        </w:trPr>
        <w:tc>
          <w:tcPr>
            <w:tcW w:w="3960" w:type="dxa"/>
            <w:vMerge w:val="restart"/>
            <w:vAlign w:val="center"/>
          </w:tcPr>
          <w:p w:rsidR="001E2AAD" w:rsidRDefault="007B2354">
            <w:pPr>
              <w:spacing w:before="20" w:after="20"/>
              <w:rPr>
                <w:noProof/>
                <w:sz w:val="22"/>
              </w:rPr>
            </w:pPr>
            <w:r>
              <w:rPr>
                <w:noProof/>
              </w:rPr>
              <w:br w:type="page"/>
            </w:r>
            <w:r>
              <w:rPr>
                <w:noProof/>
                <w:sz w:val="21"/>
              </w:rPr>
              <w:sym w:font="Wingdings" w:char="F09F"/>
            </w:r>
            <w:r>
              <w:rPr>
                <w:noProof/>
                <w:sz w:val="21"/>
              </w:rPr>
              <w:t>Odobritve za poslovanje SKUPAJ</w:t>
            </w:r>
          </w:p>
        </w:tc>
        <w:tc>
          <w:tcPr>
            <w:tcW w:w="1440" w:type="dxa"/>
            <w:vAlign w:val="center"/>
          </w:tcPr>
          <w:p w:rsidR="001E2AAD" w:rsidRDefault="007B2354">
            <w:pPr>
              <w:spacing w:beforeLines="20" w:before="48" w:afterLines="20" w:after="48"/>
              <w:rPr>
                <w:noProof/>
                <w:sz w:val="18"/>
              </w:rPr>
            </w:pPr>
            <w:r>
              <w:rPr>
                <w:noProof/>
                <w:sz w:val="18"/>
              </w:rPr>
              <w:t>obveznosti</w:t>
            </w:r>
          </w:p>
        </w:tc>
        <w:tc>
          <w:tcPr>
            <w:tcW w:w="654" w:type="dxa"/>
            <w:vAlign w:val="center"/>
          </w:tcPr>
          <w:p w:rsidR="001E2AAD" w:rsidRDefault="007B2354">
            <w:pPr>
              <w:spacing w:beforeLines="20" w:before="48" w:afterLines="20" w:after="48"/>
              <w:jc w:val="center"/>
              <w:rPr>
                <w:noProof/>
                <w:sz w:val="14"/>
              </w:rPr>
            </w:pPr>
            <w:r>
              <w:rPr>
                <w:noProof/>
                <w:sz w:val="14"/>
              </w:rPr>
              <w:t>(4)</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Merge/>
          </w:tcPr>
          <w:p w:rsidR="001E2AAD" w:rsidRDefault="001E2AAD">
            <w:pPr>
              <w:jc w:val="center"/>
              <w:rPr>
                <w:noProof/>
                <w:sz w:val="20"/>
              </w:rPr>
            </w:pPr>
          </w:p>
        </w:tc>
        <w:tc>
          <w:tcPr>
            <w:tcW w:w="1440" w:type="dxa"/>
            <w:vAlign w:val="center"/>
          </w:tcPr>
          <w:p w:rsidR="001E2AAD" w:rsidRDefault="007B2354">
            <w:pPr>
              <w:spacing w:beforeLines="20" w:before="48" w:afterLines="20" w:after="48"/>
              <w:rPr>
                <w:noProof/>
                <w:sz w:val="18"/>
              </w:rPr>
            </w:pPr>
            <w:r>
              <w:rPr>
                <w:noProof/>
                <w:sz w:val="18"/>
              </w:rPr>
              <w:t>plačila</w:t>
            </w:r>
          </w:p>
        </w:tc>
        <w:tc>
          <w:tcPr>
            <w:tcW w:w="654" w:type="dxa"/>
            <w:vAlign w:val="center"/>
          </w:tcPr>
          <w:p w:rsidR="001E2AAD" w:rsidRDefault="007B2354">
            <w:pPr>
              <w:spacing w:beforeLines="20" w:before="48" w:afterLines="20" w:after="48"/>
              <w:jc w:val="center"/>
              <w:rPr>
                <w:noProof/>
                <w:sz w:val="14"/>
              </w:rPr>
            </w:pPr>
            <w:r>
              <w:rPr>
                <w:noProof/>
                <w:sz w:val="14"/>
              </w:rPr>
              <w:t>(5)</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rPr>
          <w:trHeight w:val="533"/>
        </w:trPr>
        <w:tc>
          <w:tcPr>
            <w:tcW w:w="5400" w:type="dxa"/>
            <w:gridSpan w:val="2"/>
            <w:vAlign w:val="center"/>
          </w:tcPr>
          <w:p w:rsidR="001E2AAD" w:rsidRDefault="007B2354">
            <w:pPr>
              <w:spacing w:beforeLines="20" w:before="48" w:afterLines="20" w:after="48"/>
              <w:rPr>
                <w:noProof/>
                <w:sz w:val="22"/>
              </w:rPr>
            </w:pPr>
            <w:r>
              <w:rPr>
                <w:noProof/>
                <w:sz w:val="21"/>
              </w:rPr>
              <w:sym w:font="Wingdings" w:char="F09F"/>
            </w:r>
            <w:r>
              <w:rPr>
                <w:noProof/>
              </w:rPr>
              <w:t>O</w:t>
            </w:r>
            <w:r>
              <w:rPr>
                <w:noProof/>
                <w:sz w:val="21"/>
              </w:rPr>
              <w:t>dobritve za upravne zadeve, ki se financirajo iz sredstev določenih programov, SKUPAJ</w:t>
            </w:r>
          </w:p>
        </w:tc>
        <w:tc>
          <w:tcPr>
            <w:tcW w:w="654" w:type="dxa"/>
            <w:vAlign w:val="center"/>
          </w:tcPr>
          <w:p w:rsidR="001E2AAD" w:rsidRDefault="007B2354">
            <w:pPr>
              <w:spacing w:beforeLines="20" w:before="48" w:afterLines="20" w:after="48"/>
              <w:jc w:val="center"/>
              <w:rPr>
                <w:noProof/>
                <w:sz w:val="14"/>
              </w:rPr>
            </w:pPr>
            <w:r>
              <w:rPr>
                <w:noProof/>
                <w:sz w:val="14"/>
              </w:rPr>
              <w:t>(6)</w:t>
            </w: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Merge w:val="restart"/>
            <w:shd w:val="thinDiagStripe" w:color="C0C0C0" w:fill="auto"/>
            <w:vAlign w:val="center"/>
          </w:tcPr>
          <w:p w:rsidR="001E2AAD" w:rsidRDefault="007B2354">
            <w:pPr>
              <w:jc w:val="center"/>
              <w:rPr>
                <w:b/>
                <w:noProof/>
                <w:sz w:val="22"/>
              </w:rPr>
            </w:pPr>
            <w:r>
              <w:rPr>
                <w:b/>
                <w:noProof/>
                <w:sz w:val="22"/>
              </w:rPr>
              <w:t>Odobritve iz</w:t>
            </w:r>
            <w:r>
              <w:rPr>
                <w:noProof/>
                <w:sz w:val="22"/>
              </w:rPr>
              <w:br/>
            </w:r>
            <w:r>
              <w:rPr>
                <w:b/>
                <w:noProof/>
                <w:sz w:val="22"/>
              </w:rPr>
              <w:t xml:space="preserve">RAZDELKA &lt;....&gt; </w:t>
            </w:r>
            <w:r>
              <w:rPr>
                <w:noProof/>
                <w:sz w:val="22"/>
              </w:rPr>
              <w:br/>
              <w:t>večletnega finančnega okvira</w:t>
            </w:r>
            <w:r>
              <w:rPr>
                <w:noProof/>
              </w:rPr>
              <w:t xml:space="preserve"> </w:t>
            </w:r>
            <w:r>
              <w:rPr>
                <w:b/>
                <w:noProof/>
                <w:sz w:val="22"/>
              </w:rPr>
              <w:t>SKUPAJ</w:t>
            </w:r>
          </w:p>
        </w:tc>
        <w:tc>
          <w:tcPr>
            <w:tcW w:w="1440" w:type="dxa"/>
            <w:vAlign w:val="center"/>
          </w:tcPr>
          <w:p w:rsidR="001E2AAD" w:rsidRDefault="007B2354">
            <w:pPr>
              <w:rPr>
                <w:noProof/>
                <w:sz w:val="18"/>
              </w:rPr>
            </w:pPr>
            <w:r>
              <w:rPr>
                <w:noProof/>
                <w:sz w:val="18"/>
              </w:rPr>
              <w:t>obveznosti</w:t>
            </w:r>
          </w:p>
        </w:tc>
        <w:tc>
          <w:tcPr>
            <w:tcW w:w="654" w:type="dxa"/>
            <w:vAlign w:val="center"/>
          </w:tcPr>
          <w:p w:rsidR="001E2AAD" w:rsidRDefault="007B2354">
            <w:pPr>
              <w:jc w:val="center"/>
              <w:rPr>
                <w:noProof/>
                <w:sz w:val="14"/>
              </w:rPr>
            </w:pPr>
            <w:r>
              <w:rPr>
                <w:noProof/>
                <w:sz w:val="14"/>
              </w:rPr>
              <w:t>=4+6</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Merge/>
            <w:shd w:val="thinDiagStripe" w:color="C0C0C0" w:fill="auto"/>
          </w:tcPr>
          <w:p w:rsidR="001E2AAD" w:rsidRDefault="001E2AAD">
            <w:pPr>
              <w:rPr>
                <w:noProof/>
                <w:sz w:val="20"/>
              </w:rPr>
            </w:pPr>
          </w:p>
        </w:tc>
        <w:tc>
          <w:tcPr>
            <w:tcW w:w="1440" w:type="dxa"/>
            <w:vAlign w:val="center"/>
          </w:tcPr>
          <w:p w:rsidR="001E2AAD" w:rsidRDefault="007B2354">
            <w:pPr>
              <w:rPr>
                <w:noProof/>
                <w:sz w:val="18"/>
              </w:rPr>
            </w:pPr>
            <w:r>
              <w:rPr>
                <w:noProof/>
                <w:sz w:val="18"/>
              </w:rPr>
              <w:t>plačila</w:t>
            </w:r>
          </w:p>
        </w:tc>
        <w:tc>
          <w:tcPr>
            <w:tcW w:w="654" w:type="dxa"/>
            <w:vAlign w:val="center"/>
          </w:tcPr>
          <w:p w:rsidR="001E2AAD" w:rsidRDefault="007B2354">
            <w:pPr>
              <w:jc w:val="center"/>
              <w:rPr>
                <w:noProof/>
                <w:sz w:val="14"/>
              </w:rPr>
            </w:pPr>
            <w:r>
              <w:rPr>
                <w:noProof/>
                <w:sz w:val="14"/>
              </w:rPr>
              <w:t>=5+6</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bl>
    <w:p w:rsidR="001E2AAD" w:rsidRDefault="007B2354">
      <w:pPr>
        <w:spacing w:after="40"/>
        <w:rPr>
          <w:b/>
          <w:noProof/>
          <w:sz w:val="22"/>
          <w:u w:val="single"/>
        </w:rPr>
      </w:pPr>
      <w:r>
        <w:rPr>
          <w:b/>
          <w:noProof/>
          <w:sz w:val="22"/>
          <w:u w:val="single"/>
        </w:rPr>
        <w:t xml:space="preserve">Če ima </w:t>
      </w:r>
      <w:r>
        <w:rPr>
          <w:b/>
          <w:noProof/>
          <w:sz w:val="22"/>
          <w:u w:val="single"/>
        </w:rPr>
        <w:t>predlog/pobuda posledice za več razdelkov:</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E2AAD">
        <w:trPr>
          <w:trHeight w:val="277"/>
        </w:trPr>
        <w:tc>
          <w:tcPr>
            <w:tcW w:w="3960" w:type="dxa"/>
            <w:vMerge w:val="restart"/>
            <w:tcBorders>
              <w:top w:val="single" w:sz="4" w:space="0" w:color="FF0000"/>
              <w:left w:val="single" w:sz="4" w:space="0" w:color="auto"/>
              <w:bottom w:val="single" w:sz="4" w:space="0" w:color="FF0000"/>
            </w:tcBorders>
            <w:vAlign w:val="center"/>
          </w:tcPr>
          <w:p w:rsidR="001E2AAD" w:rsidRDefault="007B2354">
            <w:pPr>
              <w:spacing w:before="20" w:after="20"/>
              <w:rPr>
                <w:noProof/>
                <w:sz w:val="22"/>
              </w:rPr>
            </w:pPr>
            <w:r>
              <w:rPr>
                <w:noProof/>
                <w:sz w:val="21"/>
              </w:rPr>
              <w:sym w:font="Wingdings" w:char="F09F"/>
            </w:r>
            <w:r>
              <w:rPr>
                <w:noProof/>
                <w:sz w:val="21"/>
              </w:rPr>
              <w:t>Odobritve za poslovanje SKUPAJ</w:t>
            </w:r>
          </w:p>
        </w:tc>
        <w:tc>
          <w:tcPr>
            <w:tcW w:w="1440" w:type="dxa"/>
            <w:tcBorders>
              <w:top w:val="single" w:sz="4" w:space="0" w:color="FF0000"/>
            </w:tcBorders>
            <w:vAlign w:val="center"/>
          </w:tcPr>
          <w:p w:rsidR="001E2AAD" w:rsidRDefault="007B2354">
            <w:pPr>
              <w:spacing w:beforeLines="20" w:before="48" w:afterLines="20" w:after="48"/>
              <w:rPr>
                <w:noProof/>
                <w:sz w:val="18"/>
              </w:rPr>
            </w:pPr>
            <w:r>
              <w:rPr>
                <w:noProof/>
                <w:sz w:val="18"/>
              </w:rPr>
              <w:t>obveznosti</w:t>
            </w:r>
          </w:p>
        </w:tc>
        <w:tc>
          <w:tcPr>
            <w:tcW w:w="654" w:type="dxa"/>
            <w:tcBorders>
              <w:top w:val="single" w:sz="4" w:space="0" w:color="FF0000"/>
            </w:tcBorders>
            <w:vAlign w:val="center"/>
          </w:tcPr>
          <w:p w:rsidR="001E2AAD" w:rsidRDefault="007B2354">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1E2AAD" w:rsidRDefault="001E2AAD">
            <w:pPr>
              <w:spacing w:before="20" w:after="20"/>
              <w:jc w:val="right"/>
              <w:rPr>
                <w:noProof/>
                <w:sz w:val="20"/>
              </w:rPr>
            </w:pPr>
          </w:p>
        </w:tc>
        <w:tc>
          <w:tcPr>
            <w:tcW w:w="868" w:type="dxa"/>
            <w:tcBorders>
              <w:top w:val="single" w:sz="4" w:space="0" w:color="FF0000"/>
            </w:tcBorders>
            <w:vAlign w:val="center"/>
          </w:tcPr>
          <w:p w:rsidR="001E2AAD" w:rsidRDefault="001E2AAD">
            <w:pPr>
              <w:spacing w:before="20" w:after="20"/>
              <w:jc w:val="right"/>
              <w:rPr>
                <w:noProof/>
                <w:sz w:val="20"/>
              </w:rPr>
            </w:pPr>
          </w:p>
        </w:tc>
        <w:tc>
          <w:tcPr>
            <w:tcW w:w="868" w:type="dxa"/>
            <w:tcBorders>
              <w:top w:val="single" w:sz="4" w:space="0" w:color="FF0000"/>
            </w:tcBorders>
            <w:vAlign w:val="center"/>
          </w:tcPr>
          <w:p w:rsidR="001E2AAD" w:rsidRDefault="001E2AAD">
            <w:pPr>
              <w:spacing w:before="20" w:after="20"/>
              <w:jc w:val="right"/>
              <w:rPr>
                <w:noProof/>
                <w:sz w:val="20"/>
              </w:rPr>
            </w:pPr>
          </w:p>
        </w:tc>
        <w:tc>
          <w:tcPr>
            <w:tcW w:w="868" w:type="dxa"/>
            <w:tcBorders>
              <w:top w:val="single" w:sz="4" w:space="0" w:color="FF0000"/>
            </w:tcBorders>
            <w:vAlign w:val="center"/>
          </w:tcPr>
          <w:p w:rsidR="001E2AAD" w:rsidRDefault="001E2AAD">
            <w:pPr>
              <w:spacing w:before="20" w:after="20"/>
              <w:jc w:val="right"/>
              <w:rPr>
                <w:noProof/>
                <w:sz w:val="20"/>
              </w:rPr>
            </w:pPr>
          </w:p>
        </w:tc>
        <w:tc>
          <w:tcPr>
            <w:tcW w:w="868" w:type="dxa"/>
            <w:tcBorders>
              <w:top w:val="single" w:sz="4" w:space="0" w:color="FF0000"/>
            </w:tcBorders>
            <w:vAlign w:val="center"/>
          </w:tcPr>
          <w:p w:rsidR="001E2AAD" w:rsidRDefault="001E2AAD">
            <w:pPr>
              <w:spacing w:before="20" w:after="20"/>
              <w:jc w:val="right"/>
              <w:rPr>
                <w:noProof/>
                <w:sz w:val="20"/>
              </w:rPr>
            </w:pPr>
          </w:p>
        </w:tc>
        <w:tc>
          <w:tcPr>
            <w:tcW w:w="868" w:type="dxa"/>
            <w:tcBorders>
              <w:top w:val="single" w:sz="4" w:space="0" w:color="FF0000"/>
            </w:tcBorders>
            <w:vAlign w:val="center"/>
          </w:tcPr>
          <w:p w:rsidR="001E2AAD" w:rsidRDefault="001E2AAD">
            <w:pPr>
              <w:spacing w:before="20" w:after="20"/>
              <w:jc w:val="right"/>
              <w:rPr>
                <w:noProof/>
                <w:sz w:val="20"/>
              </w:rPr>
            </w:pPr>
          </w:p>
        </w:tc>
        <w:tc>
          <w:tcPr>
            <w:tcW w:w="868" w:type="dxa"/>
            <w:tcBorders>
              <w:top w:val="single" w:sz="4" w:space="0" w:color="FF0000"/>
            </w:tcBorders>
            <w:vAlign w:val="center"/>
          </w:tcPr>
          <w:p w:rsidR="001E2AAD" w:rsidRDefault="001E2AAD">
            <w:pPr>
              <w:spacing w:before="20" w:after="20"/>
              <w:jc w:val="right"/>
              <w:rPr>
                <w:b/>
                <w:noProof/>
                <w:sz w:val="20"/>
              </w:rPr>
            </w:pPr>
          </w:p>
        </w:tc>
        <w:tc>
          <w:tcPr>
            <w:tcW w:w="1777" w:type="dxa"/>
            <w:tcBorders>
              <w:top w:val="single" w:sz="4" w:space="0" w:color="FF0000"/>
              <w:right w:val="single" w:sz="4" w:space="0" w:color="auto"/>
            </w:tcBorders>
            <w:vAlign w:val="center"/>
          </w:tcPr>
          <w:p w:rsidR="001E2AAD" w:rsidRDefault="001E2AAD">
            <w:pPr>
              <w:spacing w:before="20" w:after="20"/>
              <w:jc w:val="right"/>
              <w:rPr>
                <w:b/>
                <w:noProof/>
                <w:sz w:val="20"/>
              </w:rPr>
            </w:pPr>
          </w:p>
        </w:tc>
      </w:tr>
      <w:tr w:rsidR="001E2AAD">
        <w:tc>
          <w:tcPr>
            <w:tcW w:w="3960" w:type="dxa"/>
            <w:vMerge/>
            <w:tcBorders>
              <w:top w:val="single" w:sz="4" w:space="0" w:color="FF0000"/>
              <w:left w:val="single" w:sz="4" w:space="0" w:color="auto"/>
              <w:bottom w:val="single" w:sz="4" w:space="0" w:color="FF0000"/>
            </w:tcBorders>
          </w:tcPr>
          <w:p w:rsidR="001E2AAD" w:rsidRDefault="001E2AAD">
            <w:pPr>
              <w:jc w:val="center"/>
              <w:rPr>
                <w:noProof/>
                <w:sz w:val="20"/>
              </w:rPr>
            </w:pPr>
          </w:p>
        </w:tc>
        <w:tc>
          <w:tcPr>
            <w:tcW w:w="1440" w:type="dxa"/>
            <w:vAlign w:val="center"/>
          </w:tcPr>
          <w:p w:rsidR="001E2AAD" w:rsidRDefault="007B2354">
            <w:pPr>
              <w:spacing w:beforeLines="20" w:before="48" w:afterLines="20" w:after="48"/>
              <w:rPr>
                <w:noProof/>
                <w:sz w:val="18"/>
              </w:rPr>
            </w:pPr>
            <w:r>
              <w:rPr>
                <w:noProof/>
                <w:sz w:val="18"/>
              </w:rPr>
              <w:t>plačila</w:t>
            </w:r>
          </w:p>
        </w:tc>
        <w:tc>
          <w:tcPr>
            <w:tcW w:w="654" w:type="dxa"/>
            <w:vAlign w:val="center"/>
          </w:tcPr>
          <w:p w:rsidR="001E2AAD" w:rsidRDefault="007B2354">
            <w:pPr>
              <w:spacing w:beforeLines="20" w:before="48" w:afterLines="20" w:after="48"/>
              <w:jc w:val="center"/>
              <w:rPr>
                <w:noProof/>
                <w:sz w:val="14"/>
              </w:rPr>
            </w:pPr>
            <w:r>
              <w:rPr>
                <w:noProof/>
                <w:sz w:val="14"/>
              </w:rPr>
              <w:t>(5)</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tcBorders>
              <w:right w:val="single" w:sz="4" w:space="0" w:color="auto"/>
            </w:tcBorders>
            <w:vAlign w:val="center"/>
          </w:tcPr>
          <w:p w:rsidR="001E2AAD" w:rsidRDefault="001E2AAD">
            <w:pPr>
              <w:spacing w:before="20" w:after="20"/>
              <w:jc w:val="right"/>
              <w:rPr>
                <w:b/>
                <w:noProof/>
                <w:sz w:val="20"/>
              </w:rPr>
            </w:pPr>
          </w:p>
        </w:tc>
      </w:tr>
      <w:tr w:rsidR="001E2AAD">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1E2AAD" w:rsidRDefault="007B2354">
            <w:pPr>
              <w:spacing w:beforeLines="20" w:before="48" w:afterLines="20" w:after="48"/>
              <w:rPr>
                <w:noProof/>
                <w:sz w:val="22"/>
              </w:rPr>
            </w:pPr>
            <w:r>
              <w:rPr>
                <w:noProof/>
                <w:sz w:val="21"/>
              </w:rPr>
              <w:sym w:font="Wingdings" w:char="F09F"/>
            </w:r>
            <w:r>
              <w:rPr>
                <w:noProof/>
                <w:sz w:val="21"/>
              </w:rPr>
              <w:t>Odobritve za upravne zadeve, ki se financirajo iz sredstev določenih programov, SKUPAJ</w:t>
            </w:r>
          </w:p>
        </w:tc>
        <w:tc>
          <w:tcPr>
            <w:tcW w:w="654" w:type="dxa"/>
            <w:vAlign w:val="center"/>
          </w:tcPr>
          <w:p w:rsidR="001E2AAD" w:rsidRDefault="007B2354">
            <w:pPr>
              <w:spacing w:beforeLines="20" w:before="48" w:afterLines="20" w:after="48"/>
              <w:jc w:val="center"/>
              <w:rPr>
                <w:noProof/>
                <w:sz w:val="14"/>
              </w:rPr>
            </w:pPr>
            <w:r>
              <w:rPr>
                <w:noProof/>
                <w:sz w:val="14"/>
              </w:rPr>
              <w:t>(6)</w:t>
            </w: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1E2AAD" w:rsidRDefault="007B2354">
            <w:pPr>
              <w:jc w:val="center"/>
              <w:rPr>
                <w:b/>
                <w:noProof/>
                <w:sz w:val="22"/>
              </w:rPr>
            </w:pPr>
            <w:r>
              <w:rPr>
                <w:b/>
                <w:noProof/>
                <w:sz w:val="22"/>
              </w:rPr>
              <w:t>Odobritve</w:t>
            </w:r>
            <w:r>
              <w:rPr>
                <w:noProof/>
                <w:sz w:val="22"/>
              </w:rPr>
              <w:br/>
            </w:r>
            <w:r>
              <w:rPr>
                <w:b/>
                <w:noProof/>
                <w:sz w:val="22"/>
              </w:rPr>
              <w:t>iz RAZDELKOV od 1 do 4</w:t>
            </w:r>
            <w:r>
              <w:rPr>
                <w:noProof/>
                <w:sz w:val="22"/>
              </w:rPr>
              <w:br/>
            </w:r>
            <w:r>
              <w:rPr>
                <w:noProof/>
                <w:sz w:val="22"/>
              </w:rPr>
              <w:t xml:space="preserve">večletnega finančnega okvira </w:t>
            </w:r>
            <w:r>
              <w:rPr>
                <w:b/>
                <w:noProof/>
                <w:sz w:val="22"/>
              </w:rPr>
              <w:t>SKUPAJ</w:t>
            </w:r>
            <w:r>
              <w:rPr>
                <w:noProof/>
                <w:sz w:val="22"/>
              </w:rPr>
              <w:br/>
            </w:r>
            <w:r>
              <w:rPr>
                <w:noProof/>
                <w:sz w:val="20"/>
              </w:rPr>
              <w:t>(referenčni znesek)</w:t>
            </w:r>
          </w:p>
        </w:tc>
        <w:tc>
          <w:tcPr>
            <w:tcW w:w="1440" w:type="dxa"/>
            <w:vAlign w:val="center"/>
          </w:tcPr>
          <w:p w:rsidR="001E2AAD" w:rsidRDefault="007B2354">
            <w:pPr>
              <w:rPr>
                <w:noProof/>
                <w:sz w:val="18"/>
              </w:rPr>
            </w:pPr>
            <w:r>
              <w:rPr>
                <w:noProof/>
                <w:sz w:val="18"/>
              </w:rPr>
              <w:t>obveznosti</w:t>
            </w:r>
          </w:p>
        </w:tc>
        <w:tc>
          <w:tcPr>
            <w:tcW w:w="654" w:type="dxa"/>
            <w:vAlign w:val="center"/>
          </w:tcPr>
          <w:p w:rsidR="001E2AAD" w:rsidRDefault="007B2354">
            <w:pPr>
              <w:jc w:val="center"/>
              <w:rPr>
                <w:noProof/>
                <w:sz w:val="14"/>
              </w:rPr>
            </w:pPr>
            <w:r>
              <w:rPr>
                <w:noProof/>
                <w:sz w:val="14"/>
              </w:rPr>
              <w:t>=4+6</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tcBorders>
              <w:right w:val="single" w:sz="4" w:space="0" w:color="auto"/>
            </w:tcBorders>
            <w:vAlign w:val="center"/>
          </w:tcPr>
          <w:p w:rsidR="001E2AAD" w:rsidRDefault="001E2AAD">
            <w:pPr>
              <w:spacing w:before="20" w:after="20"/>
              <w:jc w:val="right"/>
              <w:rPr>
                <w:b/>
                <w:noProof/>
                <w:sz w:val="20"/>
              </w:rPr>
            </w:pPr>
          </w:p>
        </w:tc>
      </w:tr>
      <w:tr w:rsidR="001E2AAD">
        <w:tc>
          <w:tcPr>
            <w:tcW w:w="3960" w:type="dxa"/>
            <w:vMerge/>
            <w:tcBorders>
              <w:top w:val="single" w:sz="4" w:space="0" w:color="FF0000"/>
              <w:left w:val="single" w:sz="4" w:space="0" w:color="auto"/>
              <w:bottom w:val="single" w:sz="4" w:space="0" w:color="FF0000"/>
            </w:tcBorders>
            <w:shd w:val="thinDiagStripe" w:color="C0C0C0" w:fill="auto"/>
          </w:tcPr>
          <w:p w:rsidR="001E2AAD" w:rsidRDefault="001E2AAD">
            <w:pPr>
              <w:rPr>
                <w:noProof/>
                <w:sz w:val="20"/>
              </w:rPr>
            </w:pPr>
          </w:p>
        </w:tc>
        <w:tc>
          <w:tcPr>
            <w:tcW w:w="1440" w:type="dxa"/>
            <w:tcBorders>
              <w:bottom w:val="single" w:sz="4" w:space="0" w:color="FF0000"/>
            </w:tcBorders>
            <w:vAlign w:val="center"/>
          </w:tcPr>
          <w:p w:rsidR="001E2AAD" w:rsidRDefault="007B2354">
            <w:pPr>
              <w:rPr>
                <w:noProof/>
                <w:sz w:val="18"/>
              </w:rPr>
            </w:pPr>
            <w:r>
              <w:rPr>
                <w:noProof/>
                <w:sz w:val="18"/>
              </w:rPr>
              <w:t>plačila</w:t>
            </w:r>
          </w:p>
        </w:tc>
        <w:tc>
          <w:tcPr>
            <w:tcW w:w="654" w:type="dxa"/>
            <w:tcBorders>
              <w:bottom w:val="single" w:sz="4" w:space="0" w:color="FF0000"/>
            </w:tcBorders>
            <w:vAlign w:val="center"/>
          </w:tcPr>
          <w:p w:rsidR="001E2AAD" w:rsidRDefault="007B2354">
            <w:pPr>
              <w:jc w:val="center"/>
              <w:rPr>
                <w:noProof/>
                <w:sz w:val="14"/>
              </w:rPr>
            </w:pPr>
            <w:r>
              <w:rPr>
                <w:noProof/>
                <w:sz w:val="14"/>
              </w:rPr>
              <w:t>=5+6</w:t>
            </w:r>
          </w:p>
        </w:tc>
        <w:tc>
          <w:tcPr>
            <w:tcW w:w="868" w:type="dxa"/>
            <w:tcBorders>
              <w:bottom w:val="single" w:sz="4" w:space="0" w:color="FF0000"/>
            </w:tcBorders>
            <w:vAlign w:val="center"/>
          </w:tcPr>
          <w:p w:rsidR="001E2AAD" w:rsidRDefault="001E2AAD">
            <w:pPr>
              <w:spacing w:before="20" w:after="20"/>
              <w:jc w:val="right"/>
              <w:rPr>
                <w:noProof/>
                <w:sz w:val="20"/>
              </w:rPr>
            </w:pPr>
          </w:p>
        </w:tc>
        <w:tc>
          <w:tcPr>
            <w:tcW w:w="868" w:type="dxa"/>
            <w:tcBorders>
              <w:bottom w:val="single" w:sz="4" w:space="0" w:color="FF0000"/>
            </w:tcBorders>
            <w:vAlign w:val="center"/>
          </w:tcPr>
          <w:p w:rsidR="001E2AAD" w:rsidRDefault="001E2AAD">
            <w:pPr>
              <w:spacing w:before="20" w:after="20"/>
              <w:jc w:val="right"/>
              <w:rPr>
                <w:noProof/>
                <w:sz w:val="20"/>
              </w:rPr>
            </w:pPr>
          </w:p>
        </w:tc>
        <w:tc>
          <w:tcPr>
            <w:tcW w:w="868" w:type="dxa"/>
            <w:tcBorders>
              <w:bottom w:val="single" w:sz="4" w:space="0" w:color="FF0000"/>
            </w:tcBorders>
            <w:vAlign w:val="center"/>
          </w:tcPr>
          <w:p w:rsidR="001E2AAD" w:rsidRDefault="001E2AAD">
            <w:pPr>
              <w:spacing w:before="20" w:after="20"/>
              <w:jc w:val="right"/>
              <w:rPr>
                <w:noProof/>
                <w:sz w:val="20"/>
              </w:rPr>
            </w:pPr>
          </w:p>
        </w:tc>
        <w:tc>
          <w:tcPr>
            <w:tcW w:w="868" w:type="dxa"/>
            <w:tcBorders>
              <w:bottom w:val="single" w:sz="4" w:space="0" w:color="FF0000"/>
            </w:tcBorders>
            <w:vAlign w:val="center"/>
          </w:tcPr>
          <w:p w:rsidR="001E2AAD" w:rsidRDefault="001E2AAD">
            <w:pPr>
              <w:spacing w:before="20" w:after="20"/>
              <w:jc w:val="right"/>
              <w:rPr>
                <w:noProof/>
                <w:sz w:val="20"/>
              </w:rPr>
            </w:pPr>
          </w:p>
        </w:tc>
        <w:tc>
          <w:tcPr>
            <w:tcW w:w="868" w:type="dxa"/>
            <w:tcBorders>
              <w:bottom w:val="single" w:sz="4" w:space="0" w:color="FF0000"/>
            </w:tcBorders>
            <w:vAlign w:val="center"/>
          </w:tcPr>
          <w:p w:rsidR="001E2AAD" w:rsidRDefault="001E2AAD">
            <w:pPr>
              <w:spacing w:before="20" w:after="20"/>
              <w:jc w:val="right"/>
              <w:rPr>
                <w:noProof/>
                <w:sz w:val="20"/>
              </w:rPr>
            </w:pPr>
          </w:p>
        </w:tc>
        <w:tc>
          <w:tcPr>
            <w:tcW w:w="868" w:type="dxa"/>
            <w:tcBorders>
              <w:bottom w:val="single" w:sz="4" w:space="0" w:color="FF0000"/>
            </w:tcBorders>
            <w:vAlign w:val="center"/>
          </w:tcPr>
          <w:p w:rsidR="001E2AAD" w:rsidRDefault="001E2AAD">
            <w:pPr>
              <w:spacing w:before="20" w:after="20"/>
              <w:jc w:val="right"/>
              <w:rPr>
                <w:noProof/>
                <w:sz w:val="20"/>
              </w:rPr>
            </w:pPr>
          </w:p>
        </w:tc>
        <w:tc>
          <w:tcPr>
            <w:tcW w:w="868" w:type="dxa"/>
            <w:tcBorders>
              <w:bottom w:val="single" w:sz="4" w:space="0" w:color="FF0000"/>
            </w:tcBorders>
            <w:vAlign w:val="center"/>
          </w:tcPr>
          <w:p w:rsidR="001E2AAD" w:rsidRDefault="001E2AAD">
            <w:pPr>
              <w:spacing w:before="20" w:after="20"/>
              <w:jc w:val="right"/>
              <w:rPr>
                <w:b/>
                <w:noProof/>
                <w:sz w:val="20"/>
              </w:rPr>
            </w:pPr>
          </w:p>
        </w:tc>
        <w:tc>
          <w:tcPr>
            <w:tcW w:w="1777" w:type="dxa"/>
            <w:tcBorders>
              <w:bottom w:val="single" w:sz="4" w:space="0" w:color="FF0000"/>
              <w:right w:val="single" w:sz="4" w:space="0" w:color="auto"/>
            </w:tcBorders>
            <w:vAlign w:val="center"/>
          </w:tcPr>
          <w:p w:rsidR="001E2AAD" w:rsidRDefault="001E2AAD">
            <w:pPr>
              <w:spacing w:before="20" w:after="20"/>
              <w:jc w:val="right"/>
              <w:rPr>
                <w:b/>
                <w:noProof/>
                <w:sz w:val="20"/>
              </w:rPr>
            </w:pPr>
          </w:p>
        </w:tc>
      </w:tr>
    </w:tbl>
    <w:p w:rsidR="001E2AAD" w:rsidRDefault="001E2AAD">
      <w:pPr>
        <w:rPr>
          <w:noProof/>
        </w:rPr>
      </w:pPr>
    </w:p>
    <w:p w:rsidR="001E2AAD" w:rsidRDefault="007B2354">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E2AAD">
        <w:trPr>
          <w:jc w:val="center"/>
        </w:trPr>
        <w:tc>
          <w:tcPr>
            <w:tcW w:w="4744" w:type="dxa"/>
            <w:shd w:val="thinDiagStripe" w:color="C0C0C0" w:fill="auto"/>
            <w:vAlign w:val="center"/>
          </w:tcPr>
          <w:p w:rsidR="001E2AAD" w:rsidRDefault="007B2354">
            <w:pPr>
              <w:spacing w:before="60" w:after="60"/>
              <w:jc w:val="center"/>
              <w:rPr>
                <w:b/>
                <w:noProof/>
                <w:sz w:val="22"/>
              </w:rPr>
            </w:pPr>
            <w:r>
              <w:rPr>
                <w:noProof/>
              </w:rPr>
              <w:br w:type="page"/>
            </w:r>
            <w:r>
              <w:rPr>
                <w:b/>
                <w:noProof/>
                <w:sz w:val="22"/>
              </w:rPr>
              <w:t xml:space="preserve">Razdelek večletnega finančnega </w:t>
            </w:r>
            <w:r>
              <w:rPr>
                <w:noProof/>
                <w:sz w:val="22"/>
              </w:rPr>
              <w:br/>
            </w:r>
            <w:r>
              <w:rPr>
                <w:b/>
                <w:noProof/>
                <w:sz w:val="22"/>
              </w:rPr>
              <w:t xml:space="preserve">okvira </w:t>
            </w:r>
          </w:p>
        </w:tc>
        <w:tc>
          <w:tcPr>
            <w:tcW w:w="1080" w:type="dxa"/>
            <w:shd w:val="thinDiagStripe" w:color="C0C0C0" w:fill="auto"/>
            <w:vAlign w:val="center"/>
          </w:tcPr>
          <w:p w:rsidR="001E2AAD" w:rsidRDefault="007B2354">
            <w:pPr>
              <w:spacing w:before="60" w:after="60"/>
              <w:jc w:val="center"/>
              <w:rPr>
                <w:noProof/>
                <w:sz w:val="22"/>
              </w:rPr>
            </w:pPr>
            <w:r>
              <w:rPr>
                <w:b/>
                <w:noProof/>
                <w:sz w:val="22"/>
              </w:rPr>
              <w:t>5</w:t>
            </w:r>
          </w:p>
        </w:tc>
        <w:tc>
          <w:tcPr>
            <w:tcW w:w="7817" w:type="dxa"/>
            <w:vAlign w:val="center"/>
          </w:tcPr>
          <w:p w:rsidR="001E2AAD" w:rsidRDefault="007B2354">
            <w:pPr>
              <w:spacing w:before="60" w:after="60"/>
              <w:rPr>
                <w:noProof/>
                <w:sz w:val="22"/>
              </w:rPr>
            </w:pPr>
            <w:r>
              <w:rPr>
                <w:noProof/>
                <w:sz w:val="22"/>
              </w:rPr>
              <w:t>„Upravni odhodki“</w:t>
            </w:r>
          </w:p>
        </w:tc>
      </w:tr>
    </w:tbl>
    <w:p w:rsidR="001E2AAD" w:rsidRDefault="007B2354">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E2AAD">
        <w:tc>
          <w:tcPr>
            <w:tcW w:w="3960" w:type="dxa"/>
            <w:tcBorders>
              <w:top w:val="nil"/>
              <w:left w:val="nil"/>
              <w:right w:val="nil"/>
            </w:tcBorders>
            <w:vAlign w:val="center"/>
          </w:tcPr>
          <w:p w:rsidR="001E2AAD" w:rsidRDefault="001E2AAD">
            <w:pPr>
              <w:jc w:val="center"/>
              <w:rPr>
                <w:noProof/>
                <w:sz w:val="22"/>
              </w:rPr>
            </w:pPr>
          </w:p>
        </w:tc>
        <w:tc>
          <w:tcPr>
            <w:tcW w:w="1560" w:type="dxa"/>
            <w:tcBorders>
              <w:top w:val="nil"/>
              <w:left w:val="nil"/>
              <w:right w:val="nil"/>
            </w:tcBorders>
          </w:tcPr>
          <w:p w:rsidR="001E2AAD" w:rsidRDefault="001E2AAD">
            <w:pPr>
              <w:rPr>
                <w:noProof/>
                <w:sz w:val="20"/>
              </w:rPr>
            </w:pPr>
          </w:p>
        </w:tc>
        <w:tc>
          <w:tcPr>
            <w:tcW w:w="534" w:type="dxa"/>
            <w:tcBorders>
              <w:top w:val="nil"/>
              <w:left w:val="nil"/>
            </w:tcBorders>
          </w:tcPr>
          <w:p w:rsidR="001E2AAD" w:rsidRDefault="001E2AAD">
            <w:pPr>
              <w:jc w:val="center"/>
              <w:rPr>
                <w:noProof/>
                <w:sz w:val="20"/>
              </w:rPr>
            </w:pP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w:t>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N+1</w:t>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N+2</w:t>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N+3</w:t>
            </w:r>
          </w:p>
        </w:tc>
        <w:tc>
          <w:tcPr>
            <w:tcW w:w="2604" w:type="dxa"/>
            <w:gridSpan w:val="3"/>
            <w:vAlign w:val="center"/>
          </w:tcPr>
          <w:p w:rsidR="001E2AAD" w:rsidRDefault="007B2354">
            <w:pPr>
              <w:jc w:val="center"/>
              <w:rPr>
                <w:b/>
                <w:noProof/>
                <w:sz w:val="18"/>
              </w:rPr>
            </w:pPr>
            <w:r>
              <w:rPr>
                <w:noProof/>
                <w:sz w:val="18"/>
              </w:rPr>
              <w:t xml:space="preserve">Vstavite ustrezno število let glede na trajanje posledic (gl. točko 1.6) </w:t>
            </w:r>
          </w:p>
        </w:tc>
        <w:tc>
          <w:tcPr>
            <w:tcW w:w="1777" w:type="dxa"/>
            <w:vAlign w:val="center"/>
          </w:tcPr>
          <w:p w:rsidR="001E2AAD" w:rsidRDefault="007B2354">
            <w:pPr>
              <w:jc w:val="center"/>
              <w:rPr>
                <w:b/>
                <w:noProof/>
                <w:sz w:val="20"/>
              </w:rPr>
            </w:pPr>
            <w:r>
              <w:rPr>
                <w:b/>
                <w:noProof/>
                <w:sz w:val="20"/>
              </w:rPr>
              <w:t>SKUPAJ</w:t>
            </w:r>
          </w:p>
        </w:tc>
      </w:tr>
      <w:tr w:rsidR="001E2AAD">
        <w:trPr>
          <w:gridAfter w:val="10"/>
          <w:wAfter w:w="9947" w:type="dxa"/>
        </w:trPr>
        <w:tc>
          <w:tcPr>
            <w:tcW w:w="3960" w:type="dxa"/>
            <w:vAlign w:val="center"/>
          </w:tcPr>
          <w:p w:rsidR="001E2AAD" w:rsidRDefault="007B2354">
            <w:pPr>
              <w:spacing w:before="60" w:after="60"/>
              <w:jc w:val="center"/>
              <w:rPr>
                <w:noProof/>
                <w:sz w:val="22"/>
              </w:rPr>
            </w:pPr>
            <w:r>
              <w:rPr>
                <w:noProof/>
                <w:sz w:val="22"/>
              </w:rPr>
              <w:t>GD &lt;…….&gt;</w:t>
            </w:r>
          </w:p>
        </w:tc>
      </w:tr>
      <w:tr w:rsidR="001E2AAD">
        <w:trPr>
          <w:trHeight w:val="313"/>
        </w:trPr>
        <w:tc>
          <w:tcPr>
            <w:tcW w:w="6054" w:type="dxa"/>
            <w:gridSpan w:val="3"/>
            <w:vAlign w:val="center"/>
          </w:tcPr>
          <w:p w:rsidR="001E2AAD" w:rsidRDefault="007B2354">
            <w:pPr>
              <w:spacing w:before="20" w:after="20"/>
              <w:rPr>
                <w:noProof/>
                <w:sz w:val="22"/>
              </w:rPr>
            </w:pPr>
            <w:r>
              <w:rPr>
                <w:noProof/>
                <w:sz w:val="22"/>
              </w:rPr>
              <w:sym w:font="Wingdings" w:char="F09F"/>
            </w:r>
            <w:r>
              <w:rPr>
                <w:noProof/>
                <w:sz w:val="22"/>
              </w:rPr>
              <w:t>Človeški viri</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rPr>
          <w:trHeight w:val="351"/>
        </w:trPr>
        <w:tc>
          <w:tcPr>
            <w:tcW w:w="6054" w:type="dxa"/>
            <w:gridSpan w:val="3"/>
            <w:vAlign w:val="center"/>
          </w:tcPr>
          <w:p w:rsidR="001E2AAD" w:rsidRDefault="007B2354">
            <w:pPr>
              <w:spacing w:before="20" w:after="20"/>
              <w:rPr>
                <w:noProof/>
                <w:sz w:val="22"/>
              </w:rPr>
            </w:pPr>
            <w:r>
              <w:rPr>
                <w:noProof/>
                <w:sz w:val="22"/>
              </w:rPr>
              <w:sym w:font="Wingdings" w:char="F09F"/>
            </w:r>
            <w:r>
              <w:rPr>
                <w:noProof/>
                <w:sz w:val="22"/>
              </w:rPr>
              <w:t>Drugi upravni odhodki</w:t>
            </w: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r w:rsidR="001E2AAD">
        <w:tc>
          <w:tcPr>
            <w:tcW w:w="3960" w:type="dxa"/>
            <w:vAlign w:val="center"/>
          </w:tcPr>
          <w:p w:rsidR="001E2AAD" w:rsidRDefault="007B2354">
            <w:pPr>
              <w:jc w:val="center"/>
              <w:rPr>
                <w:b/>
                <w:noProof/>
                <w:sz w:val="22"/>
              </w:rPr>
            </w:pPr>
            <w:r>
              <w:rPr>
                <w:b/>
                <w:noProof/>
                <w:sz w:val="22"/>
              </w:rPr>
              <w:t xml:space="preserve">GD </w:t>
            </w:r>
            <w:r>
              <w:rPr>
                <w:noProof/>
                <w:sz w:val="22"/>
              </w:rPr>
              <w:t xml:space="preserve">&lt;….&gt; </w:t>
            </w:r>
            <w:r>
              <w:rPr>
                <w:b/>
                <w:noProof/>
                <w:sz w:val="22"/>
              </w:rPr>
              <w:t>SKUPAJ</w:t>
            </w:r>
          </w:p>
        </w:tc>
        <w:tc>
          <w:tcPr>
            <w:tcW w:w="2094" w:type="dxa"/>
            <w:gridSpan w:val="2"/>
            <w:vAlign w:val="center"/>
          </w:tcPr>
          <w:p w:rsidR="001E2AAD" w:rsidRDefault="007B2354">
            <w:pPr>
              <w:rPr>
                <w:noProof/>
                <w:sz w:val="14"/>
              </w:rPr>
            </w:pPr>
            <w:r>
              <w:rPr>
                <w:noProof/>
                <w:sz w:val="18"/>
              </w:rPr>
              <w:t xml:space="preserve">odobritve </w:t>
            </w: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bl>
    <w:p w:rsidR="001E2AAD" w:rsidRDefault="001E2AA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1E2AAD">
        <w:tc>
          <w:tcPr>
            <w:tcW w:w="3960" w:type="dxa"/>
            <w:shd w:val="thinDiagStripe" w:color="C0C0C0" w:fill="auto"/>
            <w:vAlign w:val="center"/>
          </w:tcPr>
          <w:p w:rsidR="001E2AAD" w:rsidRDefault="007B2354">
            <w:pPr>
              <w:jc w:val="center"/>
              <w:rPr>
                <w:b/>
                <w:noProof/>
                <w:sz w:val="22"/>
              </w:rPr>
            </w:pPr>
            <w:r>
              <w:rPr>
                <w:b/>
                <w:noProof/>
                <w:sz w:val="22"/>
              </w:rPr>
              <w:t>Odobritve iz</w:t>
            </w:r>
            <w:r>
              <w:rPr>
                <w:noProof/>
                <w:sz w:val="22"/>
              </w:rPr>
              <w:br/>
            </w:r>
            <w:r>
              <w:rPr>
                <w:b/>
                <w:noProof/>
                <w:sz w:val="22"/>
              </w:rPr>
              <w:t>RAZDELKA 5</w:t>
            </w:r>
            <w:r>
              <w:rPr>
                <w:noProof/>
                <w:sz w:val="22"/>
              </w:rPr>
              <w:br/>
              <w:t>večletnega finančnega okvira</w:t>
            </w:r>
            <w:r>
              <w:rPr>
                <w:noProof/>
              </w:rPr>
              <w:t xml:space="preserve"> </w:t>
            </w:r>
            <w:r>
              <w:rPr>
                <w:b/>
                <w:noProof/>
                <w:sz w:val="22"/>
              </w:rPr>
              <w:t xml:space="preserve">SKUPAJ </w:t>
            </w:r>
          </w:p>
        </w:tc>
        <w:tc>
          <w:tcPr>
            <w:tcW w:w="2094" w:type="dxa"/>
            <w:vAlign w:val="center"/>
          </w:tcPr>
          <w:p w:rsidR="001E2AAD" w:rsidRDefault="007B2354">
            <w:pPr>
              <w:spacing w:before="40" w:after="40"/>
              <w:rPr>
                <w:noProof/>
                <w:sz w:val="22"/>
              </w:rPr>
            </w:pPr>
            <w:r>
              <w:rPr>
                <w:noProof/>
                <w:sz w:val="18"/>
              </w:rPr>
              <w:t>(obveznosti</w:t>
            </w:r>
            <w:r>
              <w:rPr>
                <w:noProof/>
                <w:sz w:val="18"/>
              </w:rPr>
              <w:t xml:space="preserve"> skupaj = plačila skupaj)</w:t>
            </w: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noProof/>
                <w:sz w:val="20"/>
              </w:rPr>
            </w:pPr>
          </w:p>
        </w:tc>
        <w:tc>
          <w:tcPr>
            <w:tcW w:w="868" w:type="dxa"/>
            <w:vAlign w:val="center"/>
          </w:tcPr>
          <w:p w:rsidR="001E2AAD" w:rsidRDefault="001E2AAD">
            <w:pPr>
              <w:spacing w:before="20" w:after="20"/>
              <w:jc w:val="right"/>
              <w:rPr>
                <w:b/>
                <w:noProof/>
                <w:sz w:val="20"/>
              </w:rPr>
            </w:pPr>
          </w:p>
        </w:tc>
        <w:tc>
          <w:tcPr>
            <w:tcW w:w="1777" w:type="dxa"/>
            <w:vAlign w:val="center"/>
          </w:tcPr>
          <w:p w:rsidR="001E2AAD" w:rsidRDefault="001E2AAD">
            <w:pPr>
              <w:spacing w:before="20" w:after="20"/>
              <w:jc w:val="right"/>
              <w:rPr>
                <w:b/>
                <w:noProof/>
                <w:sz w:val="20"/>
              </w:rPr>
            </w:pPr>
          </w:p>
        </w:tc>
      </w:tr>
    </w:tbl>
    <w:p w:rsidR="001E2AAD" w:rsidRDefault="007B2354">
      <w:pPr>
        <w:jc w:val="righ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E2AAD">
        <w:tc>
          <w:tcPr>
            <w:tcW w:w="3960" w:type="dxa"/>
            <w:tcBorders>
              <w:top w:val="nil"/>
              <w:left w:val="nil"/>
              <w:right w:val="nil"/>
            </w:tcBorders>
            <w:vAlign w:val="center"/>
          </w:tcPr>
          <w:p w:rsidR="001E2AAD" w:rsidRDefault="001E2AAD">
            <w:pPr>
              <w:jc w:val="center"/>
              <w:rPr>
                <w:noProof/>
                <w:sz w:val="22"/>
              </w:rPr>
            </w:pPr>
          </w:p>
        </w:tc>
        <w:tc>
          <w:tcPr>
            <w:tcW w:w="1560" w:type="dxa"/>
            <w:tcBorders>
              <w:top w:val="nil"/>
              <w:left w:val="nil"/>
              <w:right w:val="nil"/>
            </w:tcBorders>
          </w:tcPr>
          <w:p w:rsidR="001E2AAD" w:rsidRDefault="001E2AAD">
            <w:pPr>
              <w:rPr>
                <w:noProof/>
                <w:sz w:val="20"/>
              </w:rPr>
            </w:pPr>
          </w:p>
        </w:tc>
        <w:tc>
          <w:tcPr>
            <w:tcW w:w="534" w:type="dxa"/>
            <w:tcBorders>
              <w:top w:val="nil"/>
              <w:left w:val="nil"/>
            </w:tcBorders>
          </w:tcPr>
          <w:p w:rsidR="001E2AAD" w:rsidRDefault="001E2AAD">
            <w:pPr>
              <w:jc w:val="center"/>
              <w:rPr>
                <w:noProof/>
                <w:sz w:val="20"/>
              </w:rPr>
            </w:pP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w:t>
            </w:r>
            <w:r>
              <w:rPr>
                <w:rStyle w:val="FootnoteReference"/>
                <w:b/>
                <w:noProof/>
                <w:sz w:val="20"/>
              </w:rPr>
              <w:footnoteReference w:id="22"/>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N+1</w:t>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N+2</w:t>
            </w:r>
          </w:p>
        </w:tc>
        <w:tc>
          <w:tcPr>
            <w:tcW w:w="868" w:type="dxa"/>
            <w:vAlign w:val="center"/>
          </w:tcPr>
          <w:p w:rsidR="001E2AAD" w:rsidRDefault="007B2354">
            <w:pPr>
              <w:jc w:val="center"/>
              <w:rPr>
                <w:noProof/>
                <w:sz w:val="20"/>
              </w:rPr>
            </w:pPr>
            <w:r>
              <w:rPr>
                <w:noProof/>
                <w:sz w:val="20"/>
              </w:rPr>
              <w:t>Leto</w:t>
            </w:r>
            <w:r>
              <w:rPr>
                <w:noProof/>
                <w:sz w:val="22"/>
              </w:rPr>
              <w:br/>
            </w:r>
            <w:r>
              <w:rPr>
                <w:b/>
                <w:noProof/>
                <w:sz w:val="20"/>
              </w:rPr>
              <w:t>N+3</w:t>
            </w:r>
          </w:p>
        </w:tc>
        <w:tc>
          <w:tcPr>
            <w:tcW w:w="2604" w:type="dxa"/>
            <w:gridSpan w:val="3"/>
            <w:vAlign w:val="center"/>
          </w:tcPr>
          <w:p w:rsidR="001E2AAD" w:rsidRDefault="007B2354">
            <w:pPr>
              <w:jc w:val="center"/>
              <w:rPr>
                <w:b/>
                <w:noProof/>
                <w:sz w:val="18"/>
              </w:rPr>
            </w:pPr>
            <w:r>
              <w:rPr>
                <w:noProof/>
                <w:sz w:val="18"/>
              </w:rPr>
              <w:t>Vstavite ustrezno število let glede na trajanje posledic (gl. točko 1.6)</w:t>
            </w:r>
          </w:p>
        </w:tc>
        <w:tc>
          <w:tcPr>
            <w:tcW w:w="1777" w:type="dxa"/>
            <w:vAlign w:val="center"/>
          </w:tcPr>
          <w:p w:rsidR="001E2AAD" w:rsidRDefault="007B2354">
            <w:pPr>
              <w:jc w:val="center"/>
              <w:rPr>
                <w:b/>
                <w:noProof/>
                <w:sz w:val="20"/>
              </w:rPr>
            </w:pPr>
            <w:r>
              <w:rPr>
                <w:b/>
                <w:noProof/>
                <w:sz w:val="20"/>
              </w:rPr>
              <w:t>SKUPAJ</w:t>
            </w:r>
          </w:p>
        </w:tc>
      </w:tr>
      <w:tr w:rsidR="001E2AAD">
        <w:tc>
          <w:tcPr>
            <w:tcW w:w="3960" w:type="dxa"/>
            <w:vMerge w:val="restart"/>
            <w:shd w:val="clear" w:color="auto" w:fill="C0C0C0"/>
            <w:vAlign w:val="center"/>
          </w:tcPr>
          <w:p w:rsidR="001E2AAD" w:rsidRDefault="007B2354">
            <w:pPr>
              <w:jc w:val="center"/>
              <w:rPr>
                <w:b/>
                <w:noProof/>
                <w:sz w:val="22"/>
              </w:rPr>
            </w:pPr>
            <w:r>
              <w:rPr>
                <w:b/>
                <w:noProof/>
                <w:sz w:val="22"/>
              </w:rPr>
              <w:t>Odobritve iz</w:t>
            </w:r>
            <w:r>
              <w:rPr>
                <w:noProof/>
                <w:sz w:val="22"/>
              </w:rPr>
              <w:br/>
            </w:r>
            <w:r>
              <w:rPr>
                <w:b/>
                <w:noProof/>
                <w:sz w:val="22"/>
              </w:rPr>
              <w:t>RAZDELKOV od 1 do 5</w:t>
            </w:r>
            <w:r>
              <w:rPr>
                <w:noProof/>
                <w:sz w:val="22"/>
              </w:rPr>
              <w:br/>
              <w:t xml:space="preserve">večletnega finančnega </w:t>
            </w:r>
            <w:r>
              <w:rPr>
                <w:noProof/>
                <w:sz w:val="22"/>
              </w:rPr>
              <w:t>okvira</w:t>
            </w:r>
            <w:r>
              <w:rPr>
                <w:noProof/>
              </w:rPr>
              <w:t xml:space="preserve"> </w:t>
            </w:r>
            <w:r>
              <w:rPr>
                <w:b/>
                <w:noProof/>
                <w:sz w:val="22"/>
              </w:rPr>
              <w:t xml:space="preserve">SKUPAJ </w:t>
            </w:r>
          </w:p>
        </w:tc>
        <w:tc>
          <w:tcPr>
            <w:tcW w:w="2094" w:type="dxa"/>
            <w:gridSpan w:val="2"/>
            <w:vAlign w:val="center"/>
          </w:tcPr>
          <w:p w:rsidR="001E2AAD" w:rsidRDefault="007B2354">
            <w:pPr>
              <w:rPr>
                <w:noProof/>
                <w:sz w:val="14"/>
              </w:rPr>
            </w:pPr>
            <w:r>
              <w:rPr>
                <w:noProof/>
                <w:sz w:val="18"/>
              </w:rPr>
              <w:t>obveznosti</w:t>
            </w: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b/>
                <w:noProof/>
                <w:sz w:val="20"/>
              </w:rPr>
            </w:pPr>
          </w:p>
        </w:tc>
        <w:tc>
          <w:tcPr>
            <w:tcW w:w="1777" w:type="dxa"/>
            <w:vAlign w:val="center"/>
          </w:tcPr>
          <w:p w:rsidR="001E2AAD" w:rsidRDefault="001E2AAD">
            <w:pPr>
              <w:spacing w:before="60" w:after="60"/>
              <w:jc w:val="right"/>
              <w:rPr>
                <w:b/>
                <w:noProof/>
                <w:sz w:val="20"/>
              </w:rPr>
            </w:pPr>
          </w:p>
        </w:tc>
      </w:tr>
      <w:tr w:rsidR="001E2AAD">
        <w:tc>
          <w:tcPr>
            <w:tcW w:w="3960" w:type="dxa"/>
            <w:vMerge/>
            <w:shd w:val="clear" w:color="auto" w:fill="C0C0C0"/>
          </w:tcPr>
          <w:p w:rsidR="001E2AAD" w:rsidRDefault="001E2AAD">
            <w:pPr>
              <w:rPr>
                <w:noProof/>
                <w:sz w:val="20"/>
              </w:rPr>
            </w:pPr>
          </w:p>
        </w:tc>
        <w:tc>
          <w:tcPr>
            <w:tcW w:w="2094" w:type="dxa"/>
            <w:gridSpan w:val="2"/>
            <w:vAlign w:val="center"/>
          </w:tcPr>
          <w:p w:rsidR="001E2AAD" w:rsidRDefault="007B2354">
            <w:pPr>
              <w:rPr>
                <w:noProof/>
                <w:sz w:val="14"/>
              </w:rPr>
            </w:pPr>
            <w:r>
              <w:rPr>
                <w:noProof/>
                <w:sz w:val="18"/>
              </w:rPr>
              <w:t>plačila</w:t>
            </w: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noProof/>
                <w:sz w:val="20"/>
              </w:rPr>
            </w:pPr>
          </w:p>
        </w:tc>
        <w:tc>
          <w:tcPr>
            <w:tcW w:w="868" w:type="dxa"/>
            <w:vAlign w:val="center"/>
          </w:tcPr>
          <w:p w:rsidR="001E2AAD" w:rsidRDefault="001E2AAD">
            <w:pPr>
              <w:spacing w:before="60" w:after="60"/>
              <w:jc w:val="right"/>
              <w:rPr>
                <w:b/>
                <w:noProof/>
                <w:sz w:val="20"/>
              </w:rPr>
            </w:pPr>
          </w:p>
        </w:tc>
        <w:tc>
          <w:tcPr>
            <w:tcW w:w="1777" w:type="dxa"/>
            <w:vAlign w:val="center"/>
          </w:tcPr>
          <w:p w:rsidR="001E2AAD" w:rsidRDefault="001E2AAD">
            <w:pPr>
              <w:spacing w:before="60" w:after="60"/>
              <w:jc w:val="right"/>
              <w:rPr>
                <w:b/>
                <w:noProof/>
                <w:sz w:val="20"/>
              </w:rPr>
            </w:pPr>
          </w:p>
        </w:tc>
      </w:tr>
    </w:tbl>
    <w:p w:rsidR="001E2AAD" w:rsidRDefault="001E2AAD">
      <w:pPr>
        <w:rPr>
          <w:noProof/>
        </w:rPr>
        <w:sectPr w:rsidR="001E2AAD" w:rsidSect="007B2354">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rsidR="001E2AAD" w:rsidRDefault="007B2354">
      <w:pPr>
        <w:pStyle w:val="ManualHeading3"/>
        <w:rPr>
          <w:bCs/>
          <w:noProof/>
          <w:szCs w:val="24"/>
        </w:rPr>
      </w:pPr>
      <w:r>
        <w:t>8.2.2.</w:t>
      </w:r>
      <w:r>
        <w:tab/>
      </w:r>
      <w:r>
        <w:rPr>
          <w:noProof/>
        </w:rPr>
        <w:t xml:space="preserve">Ocenjene posledice za odobritve za poslovanje </w:t>
      </w:r>
    </w:p>
    <w:p w:rsidR="001E2AAD" w:rsidRDefault="007B2354">
      <w:pPr>
        <w:pStyle w:val="ListDash1"/>
        <w:rPr>
          <w:noProof/>
        </w:rPr>
      </w:pPr>
      <w:r>
        <w:rPr>
          <w:noProof/>
        </w:rPr>
        <w:sym w:font="Wingdings" w:char="F0A8"/>
      </w:r>
      <w:r>
        <w:rPr>
          <w:noProof/>
        </w:rPr>
        <w:tab/>
      </w:r>
      <w:r>
        <w:rPr>
          <w:noProof/>
        </w:rPr>
        <w:t xml:space="preserve">Za predlog/pobudo niso potrebne odobritve za poslovanje. </w:t>
      </w:r>
    </w:p>
    <w:p w:rsidR="001E2AAD" w:rsidRDefault="007B2354">
      <w:pPr>
        <w:pStyle w:val="ListDash1"/>
        <w:rPr>
          <w:noProof/>
        </w:rPr>
      </w:pPr>
      <w:r>
        <w:rPr>
          <w:noProof/>
        </w:rPr>
        <w:sym w:font="Wingdings" w:char="F0A8"/>
      </w:r>
      <w:r>
        <w:rPr>
          <w:noProof/>
        </w:rPr>
        <w:tab/>
        <w:t>Za predlog/pobudo so potrebne odobritve za poslovanje, kot je pojasnjeno v nadaljevanju:</w:t>
      </w:r>
    </w:p>
    <w:p w:rsidR="001E2AAD" w:rsidRDefault="007B2354">
      <w:pPr>
        <w:jc w:val="right"/>
        <w:rPr>
          <w:noProof/>
          <w:sz w:val="20"/>
        </w:rPr>
      </w:pPr>
      <w:r>
        <w:rPr>
          <w:noProof/>
          <w:sz w:val="20"/>
        </w:rPr>
        <w:t>odobritve za prevzem obveznosti v mio. EUR (na tri decimalna mesta natančno)</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1E2AAD">
        <w:trPr>
          <w:jc w:val="center"/>
        </w:trPr>
        <w:tc>
          <w:tcPr>
            <w:tcW w:w="1423" w:type="dxa"/>
            <w:vMerge w:val="restart"/>
            <w:vAlign w:val="center"/>
          </w:tcPr>
          <w:p w:rsidR="001E2AAD" w:rsidRDefault="007B2354">
            <w:pPr>
              <w:ind w:right="-29"/>
              <w:jc w:val="center"/>
              <w:rPr>
                <w:b/>
                <w:noProof/>
                <w:sz w:val="18"/>
                <w:szCs w:val="18"/>
              </w:rPr>
            </w:pPr>
            <w:r>
              <w:rPr>
                <w:b/>
                <w:noProof/>
                <w:sz w:val="18"/>
              </w:rPr>
              <w:t xml:space="preserve">Cilji in realizacije </w:t>
            </w:r>
          </w:p>
          <w:p w:rsidR="001E2AAD" w:rsidRDefault="001E2AAD">
            <w:pPr>
              <w:ind w:right="-29"/>
              <w:jc w:val="center"/>
              <w:rPr>
                <w:b/>
                <w:noProof/>
                <w:sz w:val="18"/>
                <w:szCs w:val="18"/>
              </w:rPr>
            </w:pPr>
          </w:p>
          <w:p w:rsidR="001E2AAD" w:rsidRDefault="007B2354">
            <w:pPr>
              <w:ind w:right="-29"/>
              <w:jc w:val="center"/>
              <w:rPr>
                <w:noProof/>
                <w:sz w:val="18"/>
                <w:szCs w:val="18"/>
              </w:rPr>
            </w:pPr>
            <w:r>
              <w:rPr>
                <w:noProof/>
                <w:sz w:val="18"/>
              </w:rPr>
              <w:sym w:font="Wingdings" w:char="F0F2"/>
            </w:r>
          </w:p>
        </w:tc>
        <w:tc>
          <w:tcPr>
            <w:tcW w:w="720" w:type="dxa"/>
            <w:vAlign w:val="center"/>
          </w:tcPr>
          <w:p w:rsidR="001E2AAD" w:rsidRDefault="001E2AAD">
            <w:pPr>
              <w:ind w:right="-29"/>
              <w:jc w:val="center"/>
              <w:rPr>
                <w:noProof/>
                <w:sz w:val="18"/>
                <w:szCs w:val="18"/>
              </w:rPr>
            </w:pPr>
          </w:p>
        </w:tc>
        <w:tc>
          <w:tcPr>
            <w:tcW w:w="701" w:type="dxa"/>
            <w:vAlign w:val="center"/>
          </w:tcPr>
          <w:p w:rsidR="001E2AAD" w:rsidRDefault="001E2AAD">
            <w:pPr>
              <w:ind w:right="-29"/>
              <w:jc w:val="center"/>
              <w:rPr>
                <w:noProof/>
                <w:sz w:val="18"/>
                <w:szCs w:val="18"/>
              </w:rPr>
            </w:pPr>
          </w:p>
        </w:tc>
        <w:tc>
          <w:tcPr>
            <w:tcW w:w="1224" w:type="dxa"/>
            <w:gridSpan w:val="2"/>
            <w:tcBorders>
              <w:left w:val="nil"/>
            </w:tcBorders>
            <w:vAlign w:val="center"/>
          </w:tcPr>
          <w:p w:rsidR="001E2AAD" w:rsidRDefault="007B2354">
            <w:pPr>
              <w:ind w:right="-29"/>
              <w:jc w:val="center"/>
              <w:rPr>
                <w:noProof/>
                <w:sz w:val="18"/>
                <w:szCs w:val="18"/>
              </w:rPr>
            </w:pPr>
            <w:r>
              <w:rPr>
                <w:noProof/>
                <w:sz w:val="18"/>
              </w:rPr>
              <w:t>Leto</w:t>
            </w:r>
            <w:r>
              <w:rPr>
                <w:noProof/>
                <w:sz w:val="22"/>
              </w:rPr>
              <w:br/>
            </w:r>
            <w:r>
              <w:rPr>
                <w:b/>
                <w:noProof/>
                <w:sz w:val="18"/>
              </w:rPr>
              <w:t>N</w:t>
            </w:r>
          </w:p>
        </w:tc>
        <w:tc>
          <w:tcPr>
            <w:tcW w:w="1260" w:type="dxa"/>
            <w:gridSpan w:val="2"/>
            <w:vAlign w:val="center"/>
          </w:tcPr>
          <w:p w:rsidR="001E2AAD" w:rsidRDefault="007B2354">
            <w:pPr>
              <w:ind w:right="-29"/>
              <w:jc w:val="center"/>
              <w:rPr>
                <w:noProof/>
                <w:sz w:val="18"/>
                <w:szCs w:val="18"/>
              </w:rPr>
            </w:pPr>
            <w:r>
              <w:rPr>
                <w:noProof/>
                <w:sz w:val="18"/>
              </w:rPr>
              <w:t>Leto</w:t>
            </w:r>
            <w:r>
              <w:rPr>
                <w:noProof/>
                <w:sz w:val="22"/>
              </w:rPr>
              <w:br/>
            </w:r>
            <w:r>
              <w:rPr>
                <w:b/>
                <w:noProof/>
                <w:sz w:val="18"/>
              </w:rPr>
              <w:t>N+1</w:t>
            </w:r>
          </w:p>
        </w:tc>
        <w:tc>
          <w:tcPr>
            <w:tcW w:w="1440" w:type="dxa"/>
            <w:gridSpan w:val="2"/>
            <w:vAlign w:val="center"/>
          </w:tcPr>
          <w:p w:rsidR="001E2AAD" w:rsidRDefault="007B2354">
            <w:pPr>
              <w:ind w:right="-29"/>
              <w:jc w:val="center"/>
              <w:rPr>
                <w:noProof/>
                <w:sz w:val="18"/>
                <w:szCs w:val="18"/>
              </w:rPr>
            </w:pPr>
            <w:r>
              <w:rPr>
                <w:noProof/>
                <w:sz w:val="18"/>
              </w:rPr>
              <w:t>Leto</w:t>
            </w:r>
            <w:r>
              <w:rPr>
                <w:noProof/>
                <w:sz w:val="22"/>
              </w:rPr>
              <w:br/>
            </w:r>
            <w:r>
              <w:rPr>
                <w:b/>
                <w:noProof/>
                <w:sz w:val="18"/>
              </w:rPr>
              <w:t>N+2</w:t>
            </w:r>
          </w:p>
        </w:tc>
        <w:tc>
          <w:tcPr>
            <w:tcW w:w="1620" w:type="dxa"/>
            <w:gridSpan w:val="3"/>
            <w:vAlign w:val="center"/>
          </w:tcPr>
          <w:p w:rsidR="001E2AAD" w:rsidRDefault="007B2354">
            <w:pPr>
              <w:ind w:right="-29"/>
              <w:jc w:val="center"/>
              <w:rPr>
                <w:noProof/>
                <w:sz w:val="18"/>
                <w:szCs w:val="18"/>
              </w:rPr>
            </w:pPr>
            <w:r>
              <w:rPr>
                <w:noProof/>
                <w:sz w:val="18"/>
              </w:rPr>
              <w:t>Leto</w:t>
            </w:r>
            <w:r>
              <w:rPr>
                <w:noProof/>
                <w:sz w:val="22"/>
              </w:rPr>
              <w:br/>
            </w:r>
            <w:r>
              <w:rPr>
                <w:b/>
                <w:noProof/>
                <w:sz w:val="18"/>
              </w:rPr>
              <w:t>N+3</w:t>
            </w:r>
          </w:p>
        </w:tc>
        <w:tc>
          <w:tcPr>
            <w:tcW w:w="3600" w:type="dxa"/>
            <w:gridSpan w:val="6"/>
            <w:vAlign w:val="center"/>
          </w:tcPr>
          <w:p w:rsidR="001E2AAD" w:rsidRDefault="007B2354">
            <w:pPr>
              <w:jc w:val="center"/>
              <w:rPr>
                <w:noProof/>
                <w:sz w:val="18"/>
                <w:szCs w:val="18"/>
              </w:rPr>
            </w:pPr>
            <w:r>
              <w:rPr>
                <w:noProof/>
                <w:sz w:val="18"/>
              </w:rPr>
              <w:t>Vstavite ustrezno število let glede na trajanje posledic (gl. točko 1.6)</w:t>
            </w:r>
          </w:p>
        </w:tc>
        <w:tc>
          <w:tcPr>
            <w:tcW w:w="1620" w:type="dxa"/>
            <w:gridSpan w:val="2"/>
            <w:tcBorders>
              <w:left w:val="nil"/>
              <w:bottom w:val="nil"/>
            </w:tcBorders>
            <w:vAlign w:val="center"/>
          </w:tcPr>
          <w:p w:rsidR="001E2AAD" w:rsidRDefault="007B2354">
            <w:pPr>
              <w:ind w:right="-29"/>
              <w:jc w:val="center"/>
              <w:rPr>
                <w:noProof/>
                <w:sz w:val="18"/>
                <w:szCs w:val="18"/>
              </w:rPr>
            </w:pPr>
            <w:r>
              <w:rPr>
                <w:b/>
                <w:noProof/>
                <w:sz w:val="18"/>
              </w:rPr>
              <w:t>SKUPAJ</w:t>
            </w:r>
          </w:p>
        </w:tc>
      </w:tr>
      <w:tr w:rsidR="001E2AAD">
        <w:trPr>
          <w:jc w:val="center"/>
        </w:trPr>
        <w:tc>
          <w:tcPr>
            <w:tcW w:w="1423" w:type="dxa"/>
            <w:vMerge/>
            <w:vAlign w:val="center"/>
          </w:tcPr>
          <w:p w:rsidR="001E2AAD" w:rsidRDefault="001E2AAD">
            <w:pPr>
              <w:ind w:right="-29"/>
              <w:jc w:val="center"/>
              <w:rPr>
                <w:noProof/>
                <w:sz w:val="18"/>
                <w:szCs w:val="18"/>
              </w:rPr>
            </w:pPr>
          </w:p>
        </w:tc>
        <w:tc>
          <w:tcPr>
            <w:tcW w:w="12185" w:type="dxa"/>
            <w:gridSpan w:val="19"/>
            <w:vAlign w:val="center"/>
          </w:tcPr>
          <w:p w:rsidR="001E2AAD" w:rsidRDefault="007B2354">
            <w:pPr>
              <w:spacing w:before="60" w:after="60"/>
              <w:ind w:right="-29"/>
              <w:jc w:val="center"/>
              <w:rPr>
                <w:noProof/>
                <w:sz w:val="18"/>
                <w:szCs w:val="18"/>
              </w:rPr>
            </w:pPr>
            <w:r>
              <w:rPr>
                <w:b/>
                <w:noProof/>
                <w:sz w:val="18"/>
              </w:rPr>
              <w:t>REALIZACIJE</w:t>
            </w:r>
          </w:p>
        </w:tc>
      </w:tr>
      <w:tr w:rsidR="001E2AAD">
        <w:trPr>
          <w:cantSplit/>
          <w:trHeight w:val="1134"/>
          <w:jc w:val="center"/>
        </w:trPr>
        <w:tc>
          <w:tcPr>
            <w:tcW w:w="1423" w:type="dxa"/>
            <w:vMerge/>
            <w:vAlign w:val="center"/>
          </w:tcPr>
          <w:p w:rsidR="001E2AAD" w:rsidRDefault="001E2AAD">
            <w:pPr>
              <w:rPr>
                <w:noProof/>
                <w:sz w:val="18"/>
                <w:szCs w:val="18"/>
              </w:rPr>
            </w:pPr>
          </w:p>
        </w:tc>
        <w:tc>
          <w:tcPr>
            <w:tcW w:w="720" w:type="dxa"/>
            <w:vAlign w:val="center"/>
          </w:tcPr>
          <w:p w:rsidR="001E2AAD" w:rsidRDefault="007B2354">
            <w:pPr>
              <w:jc w:val="center"/>
              <w:rPr>
                <w:noProof/>
                <w:sz w:val="18"/>
                <w:szCs w:val="18"/>
              </w:rPr>
            </w:pPr>
            <w:r>
              <w:rPr>
                <w:noProof/>
                <w:sz w:val="18"/>
              </w:rPr>
              <w:t>vrsta</w:t>
            </w:r>
            <w:r>
              <w:rPr>
                <w:rStyle w:val="FootnoteReference"/>
                <w:noProof/>
                <w:sz w:val="18"/>
              </w:rPr>
              <w:footnoteReference w:id="23"/>
            </w:r>
          </w:p>
          <w:p w:rsidR="001E2AAD" w:rsidRDefault="001E2AAD">
            <w:pPr>
              <w:spacing w:before="0" w:after="0"/>
              <w:jc w:val="center"/>
              <w:rPr>
                <w:noProof/>
                <w:sz w:val="18"/>
                <w:szCs w:val="18"/>
              </w:rPr>
            </w:pPr>
          </w:p>
        </w:tc>
        <w:tc>
          <w:tcPr>
            <w:tcW w:w="701" w:type="dxa"/>
            <w:vAlign w:val="center"/>
          </w:tcPr>
          <w:p w:rsidR="001E2AAD" w:rsidRDefault="007B2354">
            <w:pPr>
              <w:jc w:val="center"/>
              <w:rPr>
                <w:noProof/>
                <w:sz w:val="18"/>
                <w:szCs w:val="18"/>
              </w:rPr>
            </w:pPr>
            <w:r>
              <w:rPr>
                <w:noProof/>
                <w:sz w:val="18"/>
              </w:rPr>
              <w:t>povprečni stroški</w:t>
            </w:r>
          </w:p>
        </w:tc>
        <w:tc>
          <w:tcPr>
            <w:tcW w:w="504" w:type="dxa"/>
            <w:tcBorders>
              <w:left w:val="nil"/>
              <w:right w:val="dashSmallGap" w:sz="4" w:space="0" w:color="auto"/>
            </w:tcBorders>
            <w:shd w:val="pct10" w:color="auto" w:fill="auto"/>
            <w:textDirection w:val="btLr"/>
            <w:vAlign w:val="center"/>
          </w:tcPr>
          <w:p w:rsidR="001E2AAD" w:rsidRDefault="007B235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E2AAD" w:rsidRDefault="007B235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1E2AAD" w:rsidRDefault="007B235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E2AAD" w:rsidRDefault="007B2354">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rsidR="001E2AAD" w:rsidRDefault="007B235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E2AAD" w:rsidRDefault="007B2354">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rsidR="001E2AAD" w:rsidRDefault="007B2354">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rsidR="001E2AAD" w:rsidRDefault="007B235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1E2AAD" w:rsidRDefault="007B2354">
            <w:pPr>
              <w:ind w:left="113" w:right="113"/>
              <w:jc w:val="center"/>
              <w:rPr>
                <w:noProof/>
                <w:sz w:val="18"/>
                <w:szCs w:val="18"/>
              </w:rPr>
            </w:pPr>
            <w:r>
              <w:rPr>
                <w:noProof/>
                <w:sz w:val="18"/>
              </w:rPr>
              <w:t>število</w:t>
            </w:r>
          </w:p>
        </w:tc>
        <w:tc>
          <w:tcPr>
            <w:tcW w:w="648" w:type="dxa"/>
            <w:tcBorders>
              <w:left w:val="dashSmallGap" w:sz="4" w:space="0" w:color="auto"/>
            </w:tcBorders>
            <w:shd w:val="pct10" w:color="auto" w:fill="auto"/>
            <w:vAlign w:val="center"/>
          </w:tcPr>
          <w:p w:rsidR="001E2AAD" w:rsidRDefault="007B2354">
            <w:pPr>
              <w:jc w:val="center"/>
              <w:rPr>
                <w:noProof/>
                <w:sz w:val="18"/>
                <w:szCs w:val="18"/>
              </w:rPr>
            </w:pPr>
            <w:r>
              <w:rPr>
                <w:noProof/>
                <w:sz w:val="18"/>
              </w:rPr>
              <w:t>stroški</w:t>
            </w:r>
          </w:p>
        </w:tc>
        <w:tc>
          <w:tcPr>
            <w:tcW w:w="432" w:type="dxa"/>
            <w:tcBorders>
              <w:right w:val="dashSmallGap" w:sz="4" w:space="0" w:color="auto"/>
            </w:tcBorders>
            <w:shd w:val="pct10" w:color="auto" w:fill="auto"/>
            <w:textDirection w:val="btLr"/>
            <w:vAlign w:val="center"/>
          </w:tcPr>
          <w:p w:rsidR="001E2AAD" w:rsidRDefault="007B235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E2AAD" w:rsidRDefault="007B2354">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rsidR="001E2AAD" w:rsidRDefault="007B2354">
            <w:pPr>
              <w:ind w:left="113" w:right="113"/>
              <w:jc w:val="center"/>
              <w:rPr>
                <w:noProof/>
                <w:sz w:val="18"/>
                <w:szCs w:val="18"/>
              </w:rPr>
            </w:pPr>
            <w:r>
              <w:rPr>
                <w:noProof/>
                <w:sz w:val="18"/>
              </w:rPr>
              <w:t>število</w:t>
            </w:r>
          </w:p>
        </w:tc>
        <w:tc>
          <w:tcPr>
            <w:tcW w:w="720" w:type="dxa"/>
            <w:tcBorders>
              <w:left w:val="dashSmallGap" w:sz="4" w:space="0" w:color="auto"/>
            </w:tcBorders>
            <w:shd w:val="pct10" w:color="auto" w:fill="auto"/>
            <w:vAlign w:val="center"/>
          </w:tcPr>
          <w:p w:rsidR="001E2AAD" w:rsidRDefault="007B2354">
            <w:pPr>
              <w:jc w:val="center"/>
              <w:rPr>
                <w:noProof/>
                <w:sz w:val="18"/>
                <w:szCs w:val="18"/>
              </w:rPr>
            </w:pPr>
            <w:r>
              <w:rPr>
                <w:noProof/>
                <w:sz w:val="18"/>
              </w:rPr>
              <w:t>stroški</w:t>
            </w:r>
          </w:p>
        </w:tc>
        <w:tc>
          <w:tcPr>
            <w:tcW w:w="720" w:type="dxa"/>
            <w:tcBorders>
              <w:right w:val="dashSmallGap" w:sz="4" w:space="0" w:color="auto"/>
            </w:tcBorders>
            <w:shd w:val="pct10" w:color="auto" w:fill="auto"/>
            <w:vAlign w:val="center"/>
          </w:tcPr>
          <w:p w:rsidR="001E2AAD" w:rsidRDefault="007B2354">
            <w:pPr>
              <w:jc w:val="center"/>
              <w:rPr>
                <w:noProof/>
                <w:sz w:val="18"/>
                <w:szCs w:val="18"/>
              </w:rPr>
            </w:pPr>
            <w:r>
              <w:rPr>
                <w:noProof/>
                <w:sz w:val="18"/>
              </w:rPr>
              <w:t>število realizacij skupaj</w:t>
            </w:r>
          </w:p>
        </w:tc>
        <w:tc>
          <w:tcPr>
            <w:tcW w:w="900" w:type="dxa"/>
            <w:tcBorders>
              <w:left w:val="dashSmallGap" w:sz="4" w:space="0" w:color="auto"/>
            </w:tcBorders>
            <w:shd w:val="pct10" w:color="auto" w:fill="auto"/>
            <w:vAlign w:val="center"/>
          </w:tcPr>
          <w:p w:rsidR="001E2AAD" w:rsidRDefault="007B2354">
            <w:pPr>
              <w:jc w:val="center"/>
              <w:rPr>
                <w:noProof/>
                <w:sz w:val="18"/>
                <w:szCs w:val="18"/>
              </w:rPr>
            </w:pPr>
            <w:r>
              <w:rPr>
                <w:noProof/>
                <w:sz w:val="18"/>
              </w:rPr>
              <w:t>stroški realizacij skupaj</w:t>
            </w:r>
          </w:p>
        </w:tc>
      </w:tr>
      <w:tr w:rsidR="001E2AAD">
        <w:trPr>
          <w:jc w:val="center"/>
        </w:trPr>
        <w:tc>
          <w:tcPr>
            <w:tcW w:w="2844" w:type="dxa"/>
            <w:gridSpan w:val="3"/>
            <w:vAlign w:val="center"/>
          </w:tcPr>
          <w:p w:rsidR="001E2AAD" w:rsidRDefault="007B2354">
            <w:pPr>
              <w:spacing w:before="60" w:after="60"/>
              <w:ind w:right="-29"/>
              <w:jc w:val="center"/>
              <w:rPr>
                <w:noProof/>
                <w:sz w:val="18"/>
                <w:szCs w:val="18"/>
              </w:rPr>
            </w:pPr>
            <w:r>
              <w:rPr>
                <w:noProof/>
                <w:sz w:val="18"/>
              </w:rPr>
              <w:t>SPECIFIČNI CILJ št. 1</w:t>
            </w:r>
            <w:r>
              <w:rPr>
                <w:rStyle w:val="FootnoteReference"/>
                <w:noProof/>
                <w:sz w:val="18"/>
              </w:rPr>
              <w:footnoteReference w:id="24"/>
            </w:r>
            <w:r>
              <w:rPr>
                <w:noProof/>
                <w:sz w:val="18"/>
              </w:rPr>
              <w:t>...</w:t>
            </w:r>
          </w:p>
        </w:tc>
        <w:tc>
          <w:tcPr>
            <w:tcW w:w="504"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54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90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gridSpan w:val="2"/>
            <w:tcBorders>
              <w:top w:val="nil"/>
              <w:left w:val="nil"/>
              <w:bottom w:val="nil"/>
              <w:right w:val="nil"/>
            </w:tcBorders>
          </w:tcPr>
          <w:p w:rsidR="001E2AAD" w:rsidRDefault="001E2AAD">
            <w:pPr>
              <w:spacing w:before="60" w:after="60"/>
              <w:ind w:right="-29"/>
              <w:jc w:val="center"/>
              <w:rPr>
                <w:noProof/>
                <w:sz w:val="18"/>
                <w:szCs w:val="18"/>
              </w:rPr>
            </w:pPr>
          </w:p>
        </w:tc>
        <w:tc>
          <w:tcPr>
            <w:tcW w:w="540" w:type="dxa"/>
            <w:tcBorders>
              <w:top w:val="nil"/>
              <w:left w:val="nil"/>
              <w:bottom w:val="nil"/>
              <w:right w:val="nil"/>
            </w:tcBorders>
          </w:tcPr>
          <w:p w:rsidR="001E2AAD" w:rsidRDefault="001E2AAD">
            <w:pPr>
              <w:spacing w:before="60" w:after="60"/>
              <w:ind w:right="-29"/>
              <w:jc w:val="center"/>
              <w:rPr>
                <w:noProof/>
                <w:sz w:val="18"/>
                <w:szCs w:val="18"/>
              </w:rPr>
            </w:pPr>
          </w:p>
        </w:tc>
        <w:tc>
          <w:tcPr>
            <w:tcW w:w="648" w:type="dxa"/>
            <w:tcBorders>
              <w:top w:val="nil"/>
              <w:left w:val="nil"/>
              <w:bottom w:val="nil"/>
              <w:right w:val="nil"/>
            </w:tcBorders>
          </w:tcPr>
          <w:p w:rsidR="001E2AAD" w:rsidRDefault="001E2AAD">
            <w:pPr>
              <w:spacing w:before="60" w:after="60"/>
              <w:ind w:right="-29"/>
              <w:jc w:val="center"/>
              <w:rPr>
                <w:noProof/>
                <w:sz w:val="18"/>
                <w:szCs w:val="18"/>
              </w:rPr>
            </w:pPr>
          </w:p>
        </w:tc>
        <w:tc>
          <w:tcPr>
            <w:tcW w:w="432"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54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900" w:type="dxa"/>
            <w:tcBorders>
              <w:top w:val="nil"/>
              <w:left w:val="nil"/>
              <w:bottom w:val="nil"/>
              <w:right w:val="nil"/>
            </w:tcBorders>
          </w:tcPr>
          <w:p w:rsidR="001E2AAD" w:rsidRDefault="001E2AAD">
            <w:pPr>
              <w:spacing w:before="60" w:after="60"/>
              <w:ind w:right="-29"/>
              <w:jc w:val="center"/>
              <w:rPr>
                <w:noProof/>
                <w:sz w:val="18"/>
                <w:szCs w:val="18"/>
              </w:rPr>
            </w:pPr>
          </w:p>
        </w:tc>
      </w:tr>
      <w:tr w:rsidR="001E2AAD">
        <w:trPr>
          <w:trHeight w:hRule="exact" w:val="369"/>
          <w:jc w:val="center"/>
        </w:trPr>
        <w:tc>
          <w:tcPr>
            <w:tcW w:w="1423" w:type="dxa"/>
          </w:tcPr>
          <w:p w:rsidR="001E2AAD" w:rsidRDefault="007B2354">
            <w:pPr>
              <w:ind w:right="-29"/>
              <w:jc w:val="center"/>
              <w:rPr>
                <w:noProof/>
                <w:sz w:val="18"/>
                <w:szCs w:val="18"/>
              </w:rPr>
            </w:pPr>
            <w:r>
              <w:rPr>
                <w:noProof/>
                <w:sz w:val="18"/>
              </w:rPr>
              <w:t>– realizacija</w:t>
            </w:r>
          </w:p>
        </w:tc>
        <w:tc>
          <w:tcPr>
            <w:tcW w:w="720" w:type="dxa"/>
          </w:tcPr>
          <w:p w:rsidR="001E2AAD" w:rsidRDefault="001E2AAD">
            <w:pPr>
              <w:ind w:right="-29"/>
              <w:jc w:val="center"/>
              <w:rPr>
                <w:noProof/>
                <w:sz w:val="18"/>
                <w:szCs w:val="18"/>
              </w:rPr>
            </w:pPr>
          </w:p>
        </w:tc>
        <w:tc>
          <w:tcPr>
            <w:tcW w:w="701" w:type="dxa"/>
          </w:tcPr>
          <w:p w:rsidR="001E2AAD" w:rsidRDefault="001E2AAD">
            <w:pPr>
              <w:ind w:right="-29"/>
              <w:jc w:val="center"/>
              <w:rPr>
                <w:noProof/>
                <w:sz w:val="18"/>
                <w:szCs w:val="18"/>
              </w:rPr>
            </w:pPr>
          </w:p>
        </w:tc>
        <w:tc>
          <w:tcPr>
            <w:tcW w:w="504"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540"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720"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900" w:type="dxa"/>
            <w:tcBorders>
              <w:right w:val="dashSmallGap" w:sz="4" w:space="0" w:color="auto"/>
            </w:tcBorders>
          </w:tcPr>
          <w:p w:rsidR="001E2AAD" w:rsidRDefault="001E2AAD">
            <w:pPr>
              <w:ind w:right="-29"/>
              <w:jc w:val="center"/>
              <w:rPr>
                <w:noProof/>
                <w:sz w:val="18"/>
                <w:szCs w:val="18"/>
              </w:rPr>
            </w:pPr>
          </w:p>
        </w:tc>
        <w:tc>
          <w:tcPr>
            <w:tcW w:w="720" w:type="dxa"/>
            <w:gridSpan w:val="2"/>
            <w:tcBorders>
              <w:left w:val="dashSmallGap" w:sz="4" w:space="0" w:color="auto"/>
            </w:tcBorders>
          </w:tcPr>
          <w:p w:rsidR="001E2AAD" w:rsidRDefault="001E2AAD">
            <w:pPr>
              <w:ind w:right="-29"/>
              <w:jc w:val="center"/>
              <w:rPr>
                <w:noProof/>
                <w:sz w:val="18"/>
                <w:szCs w:val="18"/>
              </w:rPr>
            </w:pPr>
          </w:p>
        </w:tc>
        <w:tc>
          <w:tcPr>
            <w:tcW w:w="540" w:type="dxa"/>
            <w:tcBorders>
              <w:right w:val="dashSmallGap" w:sz="4" w:space="0" w:color="auto"/>
            </w:tcBorders>
          </w:tcPr>
          <w:p w:rsidR="001E2AAD" w:rsidRDefault="001E2AAD">
            <w:pPr>
              <w:ind w:right="-29"/>
              <w:jc w:val="center"/>
              <w:rPr>
                <w:noProof/>
                <w:sz w:val="18"/>
                <w:szCs w:val="18"/>
              </w:rPr>
            </w:pPr>
          </w:p>
        </w:tc>
        <w:tc>
          <w:tcPr>
            <w:tcW w:w="648" w:type="dxa"/>
            <w:tcBorders>
              <w:left w:val="dashSmallGap" w:sz="4" w:space="0" w:color="auto"/>
            </w:tcBorders>
          </w:tcPr>
          <w:p w:rsidR="001E2AAD" w:rsidRDefault="001E2AAD">
            <w:pPr>
              <w:ind w:right="-29"/>
              <w:jc w:val="center"/>
              <w:rPr>
                <w:noProof/>
                <w:sz w:val="18"/>
                <w:szCs w:val="18"/>
              </w:rPr>
            </w:pPr>
          </w:p>
        </w:tc>
        <w:tc>
          <w:tcPr>
            <w:tcW w:w="432"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540"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900" w:type="dxa"/>
          </w:tcPr>
          <w:p w:rsidR="001E2AAD" w:rsidRDefault="001E2AAD">
            <w:pPr>
              <w:ind w:right="-29"/>
              <w:jc w:val="center"/>
              <w:rPr>
                <w:noProof/>
                <w:sz w:val="18"/>
                <w:szCs w:val="18"/>
              </w:rPr>
            </w:pPr>
          </w:p>
        </w:tc>
      </w:tr>
      <w:tr w:rsidR="001E2AAD">
        <w:trPr>
          <w:trHeight w:hRule="exact" w:val="369"/>
          <w:jc w:val="center"/>
        </w:trPr>
        <w:tc>
          <w:tcPr>
            <w:tcW w:w="1423" w:type="dxa"/>
          </w:tcPr>
          <w:p w:rsidR="001E2AAD" w:rsidRDefault="007B2354">
            <w:pPr>
              <w:ind w:right="-29"/>
              <w:jc w:val="center"/>
              <w:rPr>
                <w:noProof/>
                <w:sz w:val="18"/>
                <w:szCs w:val="18"/>
              </w:rPr>
            </w:pPr>
            <w:r>
              <w:rPr>
                <w:noProof/>
                <w:sz w:val="18"/>
              </w:rPr>
              <w:t>– realizacija</w:t>
            </w:r>
          </w:p>
        </w:tc>
        <w:tc>
          <w:tcPr>
            <w:tcW w:w="720" w:type="dxa"/>
          </w:tcPr>
          <w:p w:rsidR="001E2AAD" w:rsidRDefault="001E2AAD">
            <w:pPr>
              <w:ind w:right="-29"/>
              <w:jc w:val="center"/>
              <w:rPr>
                <w:noProof/>
                <w:sz w:val="18"/>
                <w:szCs w:val="18"/>
              </w:rPr>
            </w:pPr>
          </w:p>
        </w:tc>
        <w:tc>
          <w:tcPr>
            <w:tcW w:w="701" w:type="dxa"/>
          </w:tcPr>
          <w:p w:rsidR="001E2AAD" w:rsidRDefault="001E2AAD">
            <w:pPr>
              <w:ind w:right="-29"/>
              <w:jc w:val="center"/>
              <w:rPr>
                <w:noProof/>
                <w:sz w:val="18"/>
                <w:szCs w:val="18"/>
              </w:rPr>
            </w:pPr>
          </w:p>
        </w:tc>
        <w:tc>
          <w:tcPr>
            <w:tcW w:w="504"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540"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720"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900" w:type="dxa"/>
            <w:tcBorders>
              <w:right w:val="dashSmallGap" w:sz="4" w:space="0" w:color="auto"/>
            </w:tcBorders>
          </w:tcPr>
          <w:p w:rsidR="001E2AAD" w:rsidRDefault="001E2AAD">
            <w:pPr>
              <w:ind w:right="-29"/>
              <w:jc w:val="center"/>
              <w:rPr>
                <w:noProof/>
                <w:sz w:val="18"/>
                <w:szCs w:val="18"/>
              </w:rPr>
            </w:pPr>
          </w:p>
        </w:tc>
        <w:tc>
          <w:tcPr>
            <w:tcW w:w="720" w:type="dxa"/>
            <w:gridSpan w:val="2"/>
            <w:tcBorders>
              <w:left w:val="dashSmallGap" w:sz="4" w:space="0" w:color="auto"/>
            </w:tcBorders>
          </w:tcPr>
          <w:p w:rsidR="001E2AAD" w:rsidRDefault="001E2AAD">
            <w:pPr>
              <w:ind w:right="-29"/>
              <w:jc w:val="center"/>
              <w:rPr>
                <w:noProof/>
                <w:sz w:val="18"/>
                <w:szCs w:val="18"/>
              </w:rPr>
            </w:pPr>
          </w:p>
        </w:tc>
        <w:tc>
          <w:tcPr>
            <w:tcW w:w="540" w:type="dxa"/>
            <w:tcBorders>
              <w:right w:val="dashSmallGap" w:sz="4" w:space="0" w:color="auto"/>
            </w:tcBorders>
          </w:tcPr>
          <w:p w:rsidR="001E2AAD" w:rsidRDefault="001E2AAD">
            <w:pPr>
              <w:ind w:right="-29"/>
              <w:jc w:val="center"/>
              <w:rPr>
                <w:noProof/>
                <w:sz w:val="18"/>
                <w:szCs w:val="18"/>
              </w:rPr>
            </w:pPr>
          </w:p>
        </w:tc>
        <w:tc>
          <w:tcPr>
            <w:tcW w:w="648" w:type="dxa"/>
            <w:tcBorders>
              <w:left w:val="dashSmallGap" w:sz="4" w:space="0" w:color="auto"/>
            </w:tcBorders>
          </w:tcPr>
          <w:p w:rsidR="001E2AAD" w:rsidRDefault="001E2AAD">
            <w:pPr>
              <w:ind w:right="-29"/>
              <w:jc w:val="center"/>
              <w:rPr>
                <w:noProof/>
                <w:sz w:val="18"/>
                <w:szCs w:val="18"/>
              </w:rPr>
            </w:pPr>
          </w:p>
        </w:tc>
        <w:tc>
          <w:tcPr>
            <w:tcW w:w="432"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540" w:type="dxa"/>
            <w:tcBorders>
              <w:right w:val="dashSmallGap" w:sz="4" w:space="0" w:color="auto"/>
            </w:tcBorders>
          </w:tcPr>
          <w:p w:rsidR="001E2AAD" w:rsidRDefault="001E2AAD">
            <w:pPr>
              <w:ind w:right="-29"/>
              <w:jc w:val="center"/>
              <w:rPr>
                <w:noProof/>
                <w:sz w:val="18"/>
                <w:szCs w:val="18"/>
              </w:rPr>
            </w:pPr>
          </w:p>
        </w:tc>
        <w:tc>
          <w:tcPr>
            <w:tcW w:w="720" w:type="dxa"/>
            <w:tcBorders>
              <w:left w:val="dashSmallGap" w:sz="4" w:space="0" w:color="auto"/>
            </w:tcBorders>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900" w:type="dxa"/>
          </w:tcPr>
          <w:p w:rsidR="001E2AAD" w:rsidRDefault="001E2AAD">
            <w:pPr>
              <w:ind w:right="-29"/>
              <w:jc w:val="center"/>
              <w:rPr>
                <w:noProof/>
                <w:sz w:val="18"/>
                <w:szCs w:val="18"/>
              </w:rPr>
            </w:pPr>
          </w:p>
        </w:tc>
      </w:tr>
      <w:tr w:rsidR="001E2AAD">
        <w:trPr>
          <w:trHeight w:hRule="exact" w:val="369"/>
          <w:jc w:val="center"/>
        </w:trPr>
        <w:tc>
          <w:tcPr>
            <w:tcW w:w="1423" w:type="dxa"/>
          </w:tcPr>
          <w:p w:rsidR="001E2AAD" w:rsidRDefault="007B2354">
            <w:pPr>
              <w:ind w:right="-29"/>
              <w:jc w:val="center"/>
              <w:rPr>
                <w:noProof/>
                <w:sz w:val="18"/>
                <w:szCs w:val="18"/>
              </w:rPr>
            </w:pPr>
            <w:r>
              <w:rPr>
                <w:noProof/>
                <w:sz w:val="18"/>
              </w:rPr>
              <w:t>– realizacija</w:t>
            </w:r>
          </w:p>
        </w:tc>
        <w:tc>
          <w:tcPr>
            <w:tcW w:w="720" w:type="dxa"/>
          </w:tcPr>
          <w:p w:rsidR="001E2AAD" w:rsidRDefault="001E2AAD">
            <w:pPr>
              <w:ind w:right="-29"/>
              <w:jc w:val="center"/>
              <w:rPr>
                <w:noProof/>
                <w:sz w:val="18"/>
                <w:szCs w:val="18"/>
              </w:rPr>
            </w:pPr>
          </w:p>
        </w:tc>
        <w:tc>
          <w:tcPr>
            <w:tcW w:w="701" w:type="dxa"/>
          </w:tcPr>
          <w:p w:rsidR="001E2AAD" w:rsidRDefault="001E2AAD">
            <w:pPr>
              <w:ind w:right="-29"/>
              <w:jc w:val="center"/>
              <w:rPr>
                <w:noProof/>
                <w:sz w:val="18"/>
                <w:szCs w:val="18"/>
              </w:rPr>
            </w:pPr>
          </w:p>
        </w:tc>
        <w:tc>
          <w:tcPr>
            <w:tcW w:w="504"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54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900" w:type="dxa"/>
          </w:tcPr>
          <w:p w:rsidR="001E2AAD" w:rsidRDefault="001E2AAD">
            <w:pPr>
              <w:ind w:right="-29"/>
              <w:jc w:val="center"/>
              <w:rPr>
                <w:noProof/>
                <w:sz w:val="18"/>
                <w:szCs w:val="18"/>
              </w:rPr>
            </w:pPr>
          </w:p>
        </w:tc>
        <w:tc>
          <w:tcPr>
            <w:tcW w:w="720" w:type="dxa"/>
            <w:gridSpan w:val="2"/>
          </w:tcPr>
          <w:p w:rsidR="001E2AAD" w:rsidRDefault="001E2AAD">
            <w:pPr>
              <w:ind w:right="-29"/>
              <w:jc w:val="center"/>
              <w:rPr>
                <w:noProof/>
                <w:sz w:val="18"/>
                <w:szCs w:val="18"/>
              </w:rPr>
            </w:pPr>
          </w:p>
        </w:tc>
        <w:tc>
          <w:tcPr>
            <w:tcW w:w="540" w:type="dxa"/>
          </w:tcPr>
          <w:p w:rsidR="001E2AAD" w:rsidRDefault="001E2AAD">
            <w:pPr>
              <w:ind w:right="-29"/>
              <w:jc w:val="center"/>
              <w:rPr>
                <w:noProof/>
                <w:sz w:val="18"/>
                <w:szCs w:val="18"/>
              </w:rPr>
            </w:pPr>
          </w:p>
        </w:tc>
        <w:tc>
          <w:tcPr>
            <w:tcW w:w="648" w:type="dxa"/>
          </w:tcPr>
          <w:p w:rsidR="001E2AAD" w:rsidRDefault="001E2AAD">
            <w:pPr>
              <w:ind w:right="-29"/>
              <w:jc w:val="center"/>
              <w:rPr>
                <w:noProof/>
                <w:sz w:val="18"/>
                <w:szCs w:val="18"/>
              </w:rPr>
            </w:pPr>
          </w:p>
        </w:tc>
        <w:tc>
          <w:tcPr>
            <w:tcW w:w="432"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54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900" w:type="dxa"/>
          </w:tcPr>
          <w:p w:rsidR="001E2AAD" w:rsidRDefault="001E2AAD">
            <w:pPr>
              <w:ind w:right="-29"/>
              <w:jc w:val="center"/>
              <w:rPr>
                <w:noProof/>
                <w:sz w:val="18"/>
                <w:szCs w:val="18"/>
              </w:rPr>
            </w:pPr>
          </w:p>
        </w:tc>
      </w:tr>
      <w:tr w:rsidR="001E2AAD">
        <w:trPr>
          <w:jc w:val="center"/>
        </w:trPr>
        <w:tc>
          <w:tcPr>
            <w:tcW w:w="2844" w:type="dxa"/>
            <w:gridSpan w:val="3"/>
            <w:tcBorders>
              <w:bottom w:val="single" w:sz="12" w:space="0" w:color="auto"/>
            </w:tcBorders>
            <w:vAlign w:val="center"/>
          </w:tcPr>
          <w:p w:rsidR="001E2AAD" w:rsidRDefault="007B2354">
            <w:pPr>
              <w:ind w:right="-29"/>
              <w:jc w:val="center"/>
              <w:rPr>
                <w:noProof/>
                <w:sz w:val="18"/>
                <w:szCs w:val="18"/>
              </w:rPr>
            </w:pPr>
            <w:r>
              <w:rPr>
                <w:noProof/>
                <w:sz w:val="18"/>
              </w:rPr>
              <w:t>Seštevek za specifični cilj št. 1</w:t>
            </w:r>
          </w:p>
        </w:tc>
        <w:tc>
          <w:tcPr>
            <w:tcW w:w="504"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54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900" w:type="dxa"/>
            <w:tcBorders>
              <w:bottom w:val="single" w:sz="12" w:space="0" w:color="auto"/>
            </w:tcBorders>
          </w:tcPr>
          <w:p w:rsidR="001E2AAD" w:rsidRDefault="001E2AAD">
            <w:pPr>
              <w:ind w:right="-29"/>
              <w:jc w:val="center"/>
              <w:rPr>
                <w:noProof/>
                <w:sz w:val="18"/>
                <w:szCs w:val="18"/>
              </w:rPr>
            </w:pPr>
          </w:p>
        </w:tc>
        <w:tc>
          <w:tcPr>
            <w:tcW w:w="720" w:type="dxa"/>
            <w:gridSpan w:val="2"/>
            <w:tcBorders>
              <w:bottom w:val="single" w:sz="12" w:space="0" w:color="auto"/>
            </w:tcBorders>
          </w:tcPr>
          <w:p w:rsidR="001E2AAD" w:rsidRDefault="001E2AAD">
            <w:pPr>
              <w:ind w:right="-29"/>
              <w:jc w:val="center"/>
              <w:rPr>
                <w:noProof/>
                <w:sz w:val="18"/>
                <w:szCs w:val="18"/>
              </w:rPr>
            </w:pPr>
          </w:p>
        </w:tc>
        <w:tc>
          <w:tcPr>
            <w:tcW w:w="540" w:type="dxa"/>
            <w:tcBorders>
              <w:bottom w:val="single" w:sz="12" w:space="0" w:color="auto"/>
            </w:tcBorders>
          </w:tcPr>
          <w:p w:rsidR="001E2AAD" w:rsidRDefault="001E2AAD">
            <w:pPr>
              <w:ind w:right="-29"/>
              <w:jc w:val="center"/>
              <w:rPr>
                <w:noProof/>
                <w:sz w:val="18"/>
                <w:szCs w:val="18"/>
              </w:rPr>
            </w:pPr>
          </w:p>
        </w:tc>
        <w:tc>
          <w:tcPr>
            <w:tcW w:w="648" w:type="dxa"/>
            <w:tcBorders>
              <w:bottom w:val="single" w:sz="12" w:space="0" w:color="auto"/>
            </w:tcBorders>
          </w:tcPr>
          <w:p w:rsidR="001E2AAD" w:rsidRDefault="001E2AAD">
            <w:pPr>
              <w:ind w:right="-29"/>
              <w:jc w:val="center"/>
              <w:rPr>
                <w:noProof/>
                <w:sz w:val="18"/>
                <w:szCs w:val="18"/>
              </w:rPr>
            </w:pPr>
          </w:p>
        </w:tc>
        <w:tc>
          <w:tcPr>
            <w:tcW w:w="432"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54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900" w:type="dxa"/>
            <w:tcBorders>
              <w:bottom w:val="single" w:sz="12" w:space="0" w:color="auto"/>
            </w:tcBorders>
          </w:tcPr>
          <w:p w:rsidR="001E2AAD" w:rsidRDefault="001E2AAD">
            <w:pPr>
              <w:ind w:right="-29"/>
              <w:jc w:val="center"/>
              <w:rPr>
                <w:noProof/>
                <w:sz w:val="18"/>
                <w:szCs w:val="18"/>
              </w:rPr>
            </w:pPr>
          </w:p>
        </w:tc>
      </w:tr>
      <w:tr w:rsidR="001E2AAD">
        <w:trPr>
          <w:jc w:val="center"/>
        </w:trPr>
        <w:tc>
          <w:tcPr>
            <w:tcW w:w="2844" w:type="dxa"/>
            <w:gridSpan w:val="3"/>
            <w:vAlign w:val="center"/>
          </w:tcPr>
          <w:p w:rsidR="001E2AAD" w:rsidRDefault="007B2354">
            <w:pPr>
              <w:spacing w:before="60" w:after="60"/>
              <w:ind w:right="-29"/>
              <w:jc w:val="center"/>
              <w:rPr>
                <w:noProof/>
                <w:sz w:val="18"/>
                <w:szCs w:val="18"/>
              </w:rPr>
            </w:pPr>
            <w:r>
              <w:rPr>
                <w:noProof/>
                <w:sz w:val="18"/>
              </w:rPr>
              <w:t>SPECIFIČNI CILJ št. 2...</w:t>
            </w:r>
          </w:p>
        </w:tc>
        <w:tc>
          <w:tcPr>
            <w:tcW w:w="504"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54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90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gridSpan w:val="2"/>
            <w:tcBorders>
              <w:top w:val="nil"/>
              <w:left w:val="nil"/>
              <w:bottom w:val="nil"/>
              <w:right w:val="nil"/>
            </w:tcBorders>
          </w:tcPr>
          <w:p w:rsidR="001E2AAD" w:rsidRDefault="001E2AAD">
            <w:pPr>
              <w:spacing w:before="60" w:after="60"/>
              <w:ind w:right="-29"/>
              <w:jc w:val="center"/>
              <w:rPr>
                <w:noProof/>
                <w:sz w:val="18"/>
                <w:szCs w:val="18"/>
              </w:rPr>
            </w:pPr>
          </w:p>
        </w:tc>
        <w:tc>
          <w:tcPr>
            <w:tcW w:w="540" w:type="dxa"/>
            <w:tcBorders>
              <w:top w:val="nil"/>
              <w:left w:val="nil"/>
              <w:bottom w:val="nil"/>
              <w:right w:val="nil"/>
            </w:tcBorders>
          </w:tcPr>
          <w:p w:rsidR="001E2AAD" w:rsidRDefault="001E2AAD">
            <w:pPr>
              <w:spacing w:before="60" w:after="60"/>
              <w:ind w:right="-29"/>
              <w:jc w:val="center"/>
              <w:rPr>
                <w:noProof/>
                <w:sz w:val="18"/>
                <w:szCs w:val="18"/>
              </w:rPr>
            </w:pPr>
          </w:p>
        </w:tc>
        <w:tc>
          <w:tcPr>
            <w:tcW w:w="648" w:type="dxa"/>
            <w:tcBorders>
              <w:top w:val="nil"/>
              <w:left w:val="nil"/>
              <w:bottom w:val="nil"/>
              <w:right w:val="nil"/>
            </w:tcBorders>
          </w:tcPr>
          <w:p w:rsidR="001E2AAD" w:rsidRDefault="001E2AAD">
            <w:pPr>
              <w:spacing w:before="60" w:after="60"/>
              <w:ind w:right="-29"/>
              <w:jc w:val="center"/>
              <w:rPr>
                <w:noProof/>
                <w:sz w:val="18"/>
                <w:szCs w:val="18"/>
              </w:rPr>
            </w:pPr>
          </w:p>
        </w:tc>
        <w:tc>
          <w:tcPr>
            <w:tcW w:w="432"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54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720" w:type="dxa"/>
            <w:tcBorders>
              <w:top w:val="nil"/>
              <w:left w:val="nil"/>
              <w:bottom w:val="nil"/>
              <w:right w:val="nil"/>
            </w:tcBorders>
          </w:tcPr>
          <w:p w:rsidR="001E2AAD" w:rsidRDefault="001E2AAD">
            <w:pPr>
              <w:spacing w:before="60" w:after="60"/>
              <w:ind w:right="-29"/>
              <w:jc w:val="center"/>
              <w:rPr>
                <w:noProof/>
                <w:sz w:val="18"/>
                <w:szCs w:val="18"/>
              </w:rPr>
            </w:pPr>
          </w:p>
        </w:tc>
        <w:tc>
          <w:tcPr>
            <w:tcW w:w="900" w:type="dxa"/>
            <w:tcBorders>
              <w:top w:val="nil"/>
              <w:left w:val="nil"/>
              <w:bottom w:val="nil"/>
              <w:right w:val="nil"/>
            </w:tcBorders>
          </w:tcPr>
          <w:p w:rsidR="001E2AAD" w:rsidRDefault="001E2AAD">
            <w:pPr>
              <w:spacing w:before="60" w:after="60"/>
              <w:ind w:right="-29"/>
              <w:jc w:val="center"/>
              <w:rPr>
                <w:noProof/>
                <w:sz w:val="18"/>
                <w:szCs w:val="18"/>
              </w:rPr>
            </w:pPr>
          </w:p>
        </w:tc>
      </w:tr>
      <w:tr w:rsidR="001E2AAD">
        <w:trPr>
          <w:trHeight w:hRule="exact" w:val="369"/>
          <w:jc w:val="center"/>
        </w:trPr>
        <w:tc>
          <w:tcPr>
            <w:tcW w:w="1423" w:type="dxa"/>
          </w:tcPr>
          <w:p w:rsidR="001E2AAD" w:rsidRDefault="007B2354">
            <w:pPr>
              <w:ind w:right="-29"/>
              <w:jc w:val="center"/>
              <w:rPr>
                <w:noProof/>
                <w:sz w:val="18"/>
                <w:szCs w:val="18"/>
              </w:rPr>
            </w:pPr>
            <w:r>
              <w:rPr>
                <w:noProof/>
                <w:sz w:val="18"/>
              </w:rPr>
              <w:t>– realizacija</w:t>
            </w:r>
          </w:p>
        </w:tc>
        <w:tc>
          <w:tcPr>
            <w:tcW w:w="720" w:type="dxa"/>
          </w:tcPr>
          <w:p w:rsidR="001E2AAD" w:rsidRDefault="001E2AAD">
            <w:pPr>
              <w:ind w:right="-29"/>
              <w:jc w:val="center"/>
              <w:rPr>
                <w:noProof/>
                <w:sz w:val="18"/>
                <w:szCs w:val="18"/>
              </w:rPr>
            </w:pPr>
          </w:p>
        </w:tc>
        <w:tc>
          <w:tcPr>
            <w:tcW w:w="701" w:type="dxa"/>
          </w:tcPr>
          <w:p w:rsidR="001E2AAD" w:rsidRDefault="001E2AAD">
            <w:pPr>
              <w:ind w:right="-29"/>
              <w:jc w:val="center"/>
              <w:rPr>
                <w:noProof/>
                <w:sz w:val="18"/>
                <w:szCs w:val="18"/>
              </w:rPr>
            </w:pPr>
          </w:p>
        </w:tc>
        <w:tc>
          <w:tcPr>
            <w:tcW w:w="504"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54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900" w:type="dxa"/>
          </w:tcPr>
          <w:p w:rsidR="001E2AAD" w:rsidRDefault="001E2AAD">
            <w:pPr>
              <w:ind w:right="-29"/>
              <w:jc w:val="center"/>
              <w:rPr>
                <w:noProof/>
                <w:sz w:val="18"/>
                <w:szCs w:val="18"/>
              </w:rPr>
            </w:pPr>
          </w:p>
        </w:tc>
        <w:tc>
          <w:tcPr>
            <w:tcW w:w="720" w:type="dxa"/>
            <w:gridSpan w:val="2"/>
          </w:tcPr>
          <w:p w:rsidR="001E2AAD" w:rsidRDefault="001E2AAD">
            <w:pPr>
              <w:ind w:right="-29"/>
              <w:jc w:val="center"/>
              <w:rPr>
                <w:noProof/>
                <w:sz w:val="18"/>
                <w:szCs w:val="18"/>
              </w:rPr>
            </w:pPr>
          </w:p>
        </w:tc>
        <w:tc>
          <w:tcPr>
            <w:tcW w:w="540" w:type="dxa"/>
          </w:tcPr>
          <w:p w:rsidR="001E2AAD" w:rsidRDefault="001E2AAD">
            <w:pPr>
              <w:ind w:right="-29"/>
              <w:jc w:val="center"/>
              <w:rPr>
                <w:noProof/>
                <w:sz w:val="18"/>
                <w:szCs w:val="18"/>
              </w:rPr>
            </w:pPr>
          </w:p>
        </w:tc>
        <w:tc>
          <w:tcPr>
            <w:tcW w:w="648" w:type="dxa"/>
          </w:tcPr>
          <w:p w:rsidR="001E2AAD" w:rsidRDefault="001E2AAD">
            <w:pPr>
              <w:ind w:right="-29"/>
              <w:jc w:val="center"/>
              <w:rPr>
                <w:noProof/>
                <w:sz w:val="18"/>
                <w:szCs w:val="18"/>
              </w:rPr>
            </w:pPr>
          </w:p>
        </w:tc>
        <w:tc>
          <w:tcPr>
            <w:tcW w:w="432"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54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720" w:type="dxa"/>
          </w:tcPr>
          <w:p w:rsidR="001E2AAD" w:rsidRDefault="001E2AAD">
            <w:pPr>
              <w:ind w:right="-29"/>
              <w:jc w:val="center"/>
              <w:rPr>
                <w:noProof/>
                <w:sz w:val="18"/>
                <w:szCs w:val="18"/>
              </w:rPr>
            </w:pPr>
          </w:p>
        </w:tc>
        <w:tc>
          <w:tcPr>
            <w:tcW w:w="900" w:type="dxa"/>
          </w:tcPr>
          <w:p w:rsidR="001E2AAD" w:rsidRDefault="001E2AAD">
            <w:pPr>
              <w:ind w:right="-29"/>
              <w:jc w:val="center"/>
              <w:rPr>
                <w:noProof/>
                <w:sz w:val="18"/>
                <w:szCs w:val="18"/>
              </w:rPr>
            </w:pPr>
          </w:p>
        </w:tc>
      </w:tr>
      <w:tr w:rsidR="001E2AAD">
        <w:trPr>
          <w:jc w:val="center"/>
        </w:trPr>
        <w:tc>
          <w:tcPr>
            <w:tcW w:w="2844" w:type="dxa"/>
            <w:gridSpan w:val="3"/>
            <w:tcBorders>
              <w:bottom w:val="single" w:sz="12" w:space="0" w:color="auto"/>
            </w:tcBorders>
            <w:vAlign w:val="center"/>
          </w:tcPr>
          <w:p w:rsidR="001E2AAD" w:rsidRDefault="007B2354">
            <w:pPr>
              <w:jc w:val="center"/>
              <w:rPr>
                <w:noProof/>
                <w:sz w:val="18"/>
                <w:szCs w:val="18"/>
              </w:rPr>
            </w:pPr>
            <w:r>
              <w:rPr>
                <w:noProof/>
                <w:sz w:val="18"/>
              </w:rPr>
              <w:t>Seštevek za specifični cilj št. 2</w:t>
            </w:r>
          </w:p>
        </w:tc>
        <w:tc>
          <w:tcPr>
            <w:tcW w:w="504"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54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951" w:type="dxa"/>
            <w:gridSpan w:val="2"/>
            <w:tcBorders>
              <w:bottom w:val="single" w:sz="12" w:space="0" w:color="auto"/>
            </w:tcBorders>
          </w:tcPr>
          <w:p w:rsidR="001E2AAD" w:rsidRDefault="001E2AAD">
            <w:pPr>
              <w:ind w:right="-29"/>
              <w:jc w:val="center"/>
              <w:rPr>
                <w:noProof/>
                <w:sz w:val="18"/>
                <w:szCs w:val="18"/>
              </w:rPr>
            </w:pPr>
          </w:p>
        </w:tc>
        <w:tc>
          <w:tcPr>
            <w:tcW w:w="669" w:type="dxa"/>
            <w:tcBorders>
              <w:bottom w:val="single" w:sz="12" w:space="0" w:color="auto"/>
            </w:tcBorders>
          </w:tcPr>
          <w:p w:rsidR="001E2AAD" w:rsidRDefault="001E2AAD">
            <w:pPr>
              <w:ind w:right="-29"/>
              <w:jc w:val="center"/>
              <w:rPr>
                <w:noProof/>
                <w:sz w:val="18"/>
                <w:szCs w:val="18"/>
              </w:rPr>
            </w:pPr>
          </w:p>
        </w:tc>
        <w:tc>
          <w:tcPr>
            <w:tcW w:w="540" w:type="dxa"/>
            <w:tcBorders>
              <w:bottom w:val="single" w:sz="12" w:space="0" w:color="auto"/>
            </w:tcBorders>
          </w:tcPr>
          <w:p w:rsidR="001E2AAD" w:rsidRDefault="001E2AAD">
            <w:pPr>
              <w:ind w:right="-29"/>
              <w:jc w:val="center"/>
              <w:rPr>
                <w:noProof/>
                <w:sz w:val="18"/>
                <w:szCs w:val="18"/>
              </w:rPr>
            </w:pPr>
          </w:p>
        </w:tc>
        <w:tc>
          <w:tcPr>
            <w:tcW w:w="648" w:type="dxa"/>
            <w:tcBorders>
              <w:bottom w:val="single" w:sz="12" w:space="0" w:color="auto"/>
            </w:tcBorders>
          </w:tcPr>
          <w:p w:rsidR="001E2AAD" w:rsidRDefault="001E2AAD">
            <w:pPr>
              <w:ind w:right="-29"/>
              <w:jc w:val="center"/>
              <w:rPr>
                <w:noProof/>
                <w:sz w:val="18"/>
                <w:szCs w:val="18"/>
              </w:rPr>
            </w:pPr>
          </w:p>
        </w:tc>
        <w:tc>
          <w:tcPr>
            <w:tcW w:w="432"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54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720" w:type="dxa"/>
            <w:tcBorders>
              <w:bottom w:val="single" w:sz="12" w:space="0" w:color="auto"/>
            </w:tcBorders>
          </w:tcPr>
          <w:p w:rsidR="001E2AAD" w:rsidRDefault="001E2AAD">
            <w:pPr>
              <w:ind w:right="-29"/>
              <w:jc w:val="center"/>
              <w:rPr>
                <w:noProof/>
                <w:sz w:val="18"/>
                <w:szCs w:val="18"/>
              </w:rPr>
            </w:pPr>
          </w:p>
        </w:tc>
        <w:tc>
          <w:tcPr>
            <w:tcW w:w="900" w:type="dxa"/>
            <w:tcBorders>
              <w:bottom w:val="single" w:sz="12" w:space="0" w:color="auto"/>
            </w:tcBorders>
          </w:tcPr>
          <w:p w:rsidR="001E2AAD" w:rsidRDefault="001E2AAD">
            <w:pPr>
              <w:ind w:right="-29"/>
              <w:jc w:val="center"/>
              <w:rPr>
                <w:noProof/>
                <w:sz w:val="18"/>
                <w:szCs w:val="18"/>
              </w:rPr>
            </w:pPr>
          </w:p>
        </w:tc>
      </w:tr>
      <w:tr w:rsidR="001E2AAD">
        <w:trPr>
          <w:jc w:val="center"/>
        </w:trPr>
        <w:tc>
          <w:tcPr>
            <w:tcW w:w="2844" w:type="dxa"/>
            <w:gridSpan w:val="3"/>
            <w:tcBorders>
              <w:top w:val="single" w:sz="12" w:space="0" w:color="auto"/>
              <w:left w:val="single" w:sz="12" w:space="0" w:color="auto"/>
              <w:bottom w:val="single" w:sz="12" w:space="0" w:color="auto"/>
            </w:tcBorders>
            <w:vAlign w:val="center"/>
          </w:tcPr>
          <w:p w:rsidR="001E2AAD" w:rsidRDefault="007B2354">
            <w:pPr>
              <w:ind w:right="-29"/>
              <w:jc w:val="center"/>
              <w:rPr>
                <w:noProof/>
                <w:sz w:val="18"/>
                <w:szCs w:val="18"/>
              </w:rPr>
            </w:pPr>
            <w:r>
              <w:rPr>
                <w:b/>
                <w:noProof/>
                <w:sz w:val="18"/>
              </w:rPr>
              <w:t>STROŠKI SKUPAJ</w:t>
            </w:r>
          </w:p>
        </w:tc>
        <w:tc>
          <w:tcPr>
            <w:tcW w:w="504"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72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54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72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72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72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90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54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648"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432"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72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54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72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720" w:type="dxa"/>
            <w:tcBorders>
              <w:top w:val="single" w:sz="12" w:space="0" w:color="auto"/>
              <w:bottom w:val="single" w:sz="12" w:space="0" w:color="auto"/>
            </w:tcBorders>
          </w:tcPr>
          <w:p w:rsidR="001E2AAD" w:rsidRDefault="001E2AAD">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1E2AAD" w:rsidRDefault="001E2AAD">
            <w:pPr>
              <w:spacing w:before="180" w:after="180"/>
              <w:ind w:right="-29"/>
              <w:jc w:val="center"/>
              <w:rPr>
                <w:noProof/>
                <w:sz w:val="18"/>
                <w:szCs w:val="18"/>
              </w:rPr>
            </w:pPr>
          </w:p>
        </w:tc>
      </w:tr>
    </w:tbl>
    <w:p w:rsidR="001E2AAD" w:rsidRDefault="001E2AAD">
      <w:pPr>
        <w:rPr>
          <w:noProof/>
        </w:rPr>
        <w:sectPr w:rsidR="001E2AAD" w:rsidSect="007B2354">
          <w:pgSz w:w="16840" w:h="11907" w:orient="landscape" w:code="9"/>
          <w:pgMar w:top="1134" w:right="1418" w:bottom="567" w:left="1418" w:header="709" w:footer="709" w:gutter="0"/>
          <w:cols w:space="708"/>
          <w:docGrid w:linePitch="360"/>
        </w:sectPr>
      </w:pPr>
    </w:p>
    <w:p w:rsidR="001E2AAD" w:rsidRDefault="007B2354">
      <w:pPr>
        <w:pStyle w:val="ManualHeading3"/>
        <w:rPr>
          <w:bCs/>
          <w:noProof/>
          <w:szCs w:val="24"/>
        </w:rPr>
      </w:pPr>
      <w:r>
        <w:t>8.2.3.</w:t>
      </w:r>
      <w:r>
        <w:tab/>
      </w:r>
      <w:r>
        <w:rPr>
          <w:noProof/>
        </w:rPr>
        <w:t>Ocenjene posledice za odobritve za upravne zadeve</w:t>
      </w:r>
    </w:p>
    <w:p w:rsidR="001E2AAD" w:rsidRDefault="007B2354">
      <w:pPr>
        <w:pStyle w:val="ManualHeading4"/>
        <w:rPr>
          <w:noProof/>
        </w:rPr>
      </w:pPr>
      <w:r>
        <w:t>8.2.3.1.</w:t>
      </w:r>
      <w:r>
        <w:tab/>
      </w:r>
      <w:r>
        <w:rPr>
          <w:noProof/>
        </w:rPr>
        <w:t xml:space="preserve">Povzetek </w:t>
      </w:r>
    </w:p>
    <w:p w:rsidR="001E2AAD" w:rsidRDefault="007B2354">
      <w:pPr>
        <w:pStyle w:val="ListDash1"/>
        <w:rPr>
          <w:noProof/>
        </w:rPr>
      </w:pPr>
      <w:r>
        <w:rPr>
          <w:noProof/>
        </w:rPr>
        <w:sym w:font="Wingdings" w:char="F0A8"/>
      </w:r>
      <w:r>
        <w:rPr>
          <w:noProof/>
        </w:rPr>
        <w:tab/>
        <w:t xml:space="preserve">Za predlog/pobudo niso potrebne odobritve za upravne zadeve. </w:t>
      </w:r>
    </w:p>
    <w:p w:rsidR="001E2AAD" w:rsidRDefault="007B2354">
      <w:pPr>
        <w:pStyle w:val="ListDash1"/>
        <w:rPr>
          <w:noProof/>
        </w:rPr>
      </w:pPr>
      <w:r>
        <w:rPr>
          <w:noProof/>
        </w:rPr>
        <w:sym w:font="Wingdings" w:char="F0A8"/>
      </w:r>
      <w:r>
        <w:rPr>
          <w:noProof/>
        </w:rPr>
        <w:tab/>
        <w:t xml:space="preserve">Za predlog/pobudo so potrebne odobritve za upravne zadeve, kot je pojasnjeno v </w:t>
      </w:r>
      <w:r>
        <w:rPr>
          <w:noProof/>
        </w:rPr>
        <w:t>nadaljevanju:</w:t>
      </w:r>
    </w:p>
    <w:p w:rsidR="001E2AAD" w:rsidRDefault="007B2354">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1E2AAD">
        <w:trPr>
          <w:trHeight w:val="585"/>
        </w:trPr>
        <w:tc>
          <w:tcPr>
            <w:tcW w:w="1980" w:type="dxa"/>
          </w:tcPr>
          <w:p w:rsidR="001E2AAD" w:rsidRDefault="001E2AAD">
            <w:pPr>
              <w:spacing w:before="60" w:after="60" w:line="200" w:lineRule="exact"/>
              <w:rPr>
                <w:noProof/>
                <w:sz w:val="16"/>
                <w:szCs w:val="16"/>
              </w:rPr>
            </w:pPr>
          </w:p>
        </w:tc>
        <w:tc>
          <w:tcPr>
            <w:tcW w:w="1080" w:type="dxa"/>
            <w:vAlign w:val="center"/>
          </w:tcPr>
          <w:p w:rsidR="001E2AAD" w:rsidRDefault="007B2354">
            <w:pPr>
              <w:spacing w:before="60" w:after="60" w:line="200" w:lineRule="exact"/>
              <w:jc w:val="center"/>
              <w:rPr>
                <w:noProof/>
                <w:sz w:val="16"/>
                <w:szCs w:val="16"/>
              </w:rPr>
            </w:pPr>
            <w:r>
              <w:rPr>
                <w:noProof/>
                <w:sz w:val="16"/>
              </w:rPr>
              <w:t>Leto</w:t>
            </w:r>
            <w:r>
              <w:rPr>
                <w:noProof/>
                <w:sz w:val="22"/>
              </w:rPr>
              <w:br/>
            </w:r>
            <w:r>
              <w:rPr>
                <w:b/>
                <w:noProof/>
                <w:sz w:val="16"/>
              </w:rPr>
              <w:t>N</w:t>
            </w:r>
            <w:r>
              <w:rPr>
                <w:rStyle w:val="FootnoteReference"/>
                <w:b/>
                <w:noProof/>
                <w:sz w:val="16"/>
              </w:rPr>
              <w:footnoteReference w:id="25"/>
            </w:r>
          </w:p>
        </w:tc>
        <w:tc>
          <w:tcPr>
            <w:tcW w:w="1080" w:type="dxa"/>
            <w:vAlign w:val="center"/>
          </w:tcPr>
          <w:p w:rsidR="001E2AAD" w:rsidRDefault="007B2354">
            <w:pPr>
              <w:spacing w:before="60" w:after="60" w:line="200" w:lineRule="exact"/>
              <w:jc w:val="center"/>
              <w:rPr>
                <w:noProof/>
                <w:sz w:val="16"/>
                <w:szCs w:val="16"/>
              </w:rPr>
            </w:pPr>
            <w:r>
              <w:rPr>
                <w:noProof/>
                <w:sz w:val="16"/>
              </w:rPr>
              <w:t>Leto</w:t>
            </w:r>
            <w:r>
              <w:rPr>
                <w:noProof/>
                <w:sz w:val="22"/>
              </w:rPr>
              <w:br/>
            </w:r>
            <w:r>
              <w:rPr>
                <w:b/>
                <w:noProof/>
                <w:sz w:val="16"/>
              </w:rPr>
              <w:t>N+1</w:t>
            </w:r>
          </w:p>
        </w:tc>
        <w:tc>
          <w:tcPr>
            <w:tcW w:w="1080" w:type="dxa"/>
            <w:vAlign w:val="center"/>
          </w:tcPr>
          <w:p w:rsidR="001E2AAD" w:rsidRDefault="007B2354">
            <w:pPr>
              <w:spacing w:before="60" w:after="60" w:line="200" w:lineRule="exact"/>
              <w:jc w:val="center"/>
              <w:rPr>
                <w:noProof/>
                <w:sz w:val="16"/>
                <w:szCs w:val="16"/>
              </w:rPr>
            </w:pPr>
            <w:r>
              <w:rPr>
                <w:noProof/>
                <w:sz w:val="16"/>
              </w:rPr>
              <w:t>Leto</w:t>
            </w:r>
            <w:r>
              <w:rPr>
                <w:noProof/>
                <w:sz w:val="22"/>
              </w:rPr>
              <w:br/>
            </w:r>
            <w:r>
              <w:rPr>
                <w:b/>
                <w:noProof/>
                <w:sz w:val="16"/>
              </w:rPr>
              <w:t>N+2</w:t>
            </w:r>
          </w:p>
        </w:tc>
        <w:tc>
          <w:tcPr>
            <w:tcW w:w="1080" w:type="dxa"/>
            <w:vAlign w:val="center"/>
          </w:tcPr>
          <w:p w:rsidR="001E2AAD" w:rsidRDefault="007B2354">
            <w:pPr>
              <w:spacing w:before="60" w:after="60" w:line="200" w:lineRule="exact"/>
              <w:jc w:val="center"/>
              <w:rPr>
                <w:noProof/>
                <w:sz w:val="16"/>
                <w:szCs w:val="16"/>
              </w:rPr>
            </w:pPr>
            <w:r>
              <w:rPr>
                <w:noProof/>
                <w:sz w:val="16"/>
              </w:rPr>
              <w:t>Leto</w:t>
            </w:r>
            <w:r>
              <w:rPr>
                <w:noProof/>
                <w:sz w:val="22"/>
              </w:rPr>
              <w:br/>
            </w:r>
            <w:r>
              <w:rPr>
                <w:b/>
                <w:noProof/>
                <w:sz w:val="16"/>
              </w:rPr>
              <w:t>N+3</w:t>
            </w:r>
          </w:p>
        </w:tc>
        <w:tc>
          <w:tcPr>
            <w:tcW w:w="3240" w:type="dxa"/>
            <w:vAlign w:val="center"/>
          </w:tcPr>
          <w:p w:rsidR="001E2AAD" w:rsidRDefault="007B2354">
            <w:pPr>
              <w:spacing w:line="200" w:lineRule="exact"/>
              <w:jc w:val="center"/>
              <w:rPr>
                <w:b/>
                <w:noProof/>
                <w:sz w:val="16"/>
                <w:szCs w:val="16"/>
              </w:rPr>
            </w:pPr>
            <w:r>
              <w:rPr>
                <w:noProof/>
                <w:sz w:val="16"/>
              </w:rPr>
              <w:t>Vstavite ustrezno število let glede na trajanje posledic (gl. točko 1.6)</w:t>
            </w:r>
          </w:p>
        </w:tc>
        <w:tc>
          <w:tcPr>
            <w:tcW w:w="1080" w:type="dxa"/>
            <w:vAlign w:val="center"/>
          </w:tcPr>
          <w:p w:rsidR="001E2AAD" w:rsidRDefault="007B2354">
            <w:pPr>
              <w:spacing w:before="60" w:after="60" w:line="200" w:lineRule="exact"/>
              <w:jc w:val="center"/>
              <w:rPr>
                <w:b/>
                <w:noProof/>
                <w:sz w:val="16"/>
                <w:szCs w:val="16"/>
              </w:rPr>
            </w:pPr>
            <w:r>
              <w:rPr>
                <w:b/>
                <w:noProof/>
                <w:sz w:val="16"/>
              </w:rPr>
              <w:t>SKUPAJ</w:t>
            </w:r>
          </w:p>
        </w:tc>
      </w:tr>
    </w:tbl>
    <w:p w:rsidR="001E2AAD" w:rsidRDefault="001E2AA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E2AAD">
        <w:trPr>
          <w:trHeight w:val="585"/>
        </w:trPr>
        <w:tc>
          <w:tcPr>
            <w:tcW w:w="1980" w:type="dxa"/>
            <w:shd w:val="clear" w:color="auto" w:fill="CCCCCC"/>
            <w:vAlign w:val="center"/>
          </w:tcPr>
          <w:p w:rsidR="001E2AAD" w:rsidRDefault="007B2354">
            <w:pPr>
              <w:spacing w:before="60" w:after="60" w:line="200" w:lineRule="exact"/>
              <w:jc w:val="center"/>
              <w:rPr>
                <w:b/>
                <w:noProof/>
                <w:sz w:val="16"/>
                <w:szCs w:val="16"/>
              </w:rPr>
            </w:pPr>
            <w:r>
              <w:rPr>
                <w:b/>
                <w:noProof/>
                <w:sz w:val="16"/>
              </w:rPr>
              <w:t>RAZDELEK 5</w:t>
            </w:r>
            <w:r>
              <w:rPr>
                <w:b/>
                <w:noProof/>
                <w:sz w:val="16"/>
              </w:rPr>
              <w:br/>
              <w:t>večletnega finančnega okvira</w:t>
            </w:r>
            <w:r>
              <w:rPr>
                <w:noProof/>
                <w:sz w:val="22"/>
              </w:rPr>
              <w:br/>
            </w:r>
            <w:r>
              <w:rPr>
                <w:b/>
                <w:noProof/>
                <w:sz w:val="16"/>
              </w:rPr>
              <w:t>SKUPAJ</w:t>
            </w: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b/>
                <w:noProof/>
                <w:sz w:val="16"/>
                <w:szCs w:val="16"/>
              </w:rPr>
            </w:pPr>
          </w:p>
        </w:tc>
        <w:tc>
          <w:tcPr>
            <w:tcW w:w="1080" w:type="dxa"/>
            <w:vAlign w:val="center"/>
          </w:tcPr>
          <w:p w:rsidR="001E2AAD" w:rsidRDefault="001E2AAD">
            <w:pPr>
              <w:spacing w:before="60" w:after="60" w:line="200" w:lineRule="exact"/>
              <w:jc w:val="right"/>
              <w:rPr>
                <w:b/>
                <w:noProof/>
                <w:sz w:val="16"/>
                <w:szCs w:val="16"/>
              </w:rPr>
            </w:pPr>
          </w:p>
        </w:tc>
      </w:tr>
      <w:tr w:rsidR="001E2AAD">
        <w:trPr>
          <w:trHeight w:val="585"/>
        </w:trPr>
        <w:tc>
          <w:tcPr>
            <w:tcW w:w="1980" w:type="dxa"/>
            <w:vAlign w:val="center"/>
          </w:tcPr>
          <w:p w:rsidR="001E2AAD" w:rsidRDefault="007B2354">
            <w:pPr>
              <w:spacing w:before="60" w:after="60" w:line="200" w:lineRule="exact"/>
              <w:ind w:left="72"/>
              <w:jc w:val="left"/>
              <w:rPr>
                <w:noProof/>
                <w:sz w:val="16"/>
                <w:szCs w:val="16"/>
              </w:rPr>
            </w:pPr>
            <w:r>
              <w:rPr>
                <w:noProof/>
                <w:sz w:val="16"/>
              </w:rPr>
              <w:t xml:space="preserve">Človeški viri </w:t>
            </w: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b/>
                <w:noProof/>
                <w:sz w:val="16"/>
                <w:szCs w:val="16"/>
              </w:rPr>
            </w:pPr>
          </w:p>
        </w:tc>
        <w:tc>
          <w:tcPr>
            <w:tcW w:w="1080" w:type="dxa"/>
            <w:vAlign w:val="center"/>
          </w:tcPr>
          <w:p w:rsidR="001E2AAD" w:rsidRDefault="001E2AAD">
            <w:pPr>
              <w:spacing w:before="60" w:after="60" w:line="200" w:lineRule="exact"/>
              <w:jc w:val="right"/>
              <w:rPr>
                <w:b/>
                <w:noProof/>
                <w:sz w:val="16"/>
                <w:szCs w:val="16"/>
              </w:rPr>
            </w:pPr>
          </w:p>
        </w:tc>
      </w:tr>
      <w:tr w:rsidR="001E2AAD">
        <w:trPr>
          <w:trHeight w:val="585"/>
        </w:trPr>
        <w:tc>
          <w:tcPr>
            <w:tcW w:w="1980" w:type="dxa"/>
            <w:vAlign w:val="center"/>
          </w:tcPr>
          <w:p w:rsidR="001E2AAD" w:rsidRDefault="007B2354">
            <w:pPr>
              <w:spacing w:before="60" w:after="60" w:line="200" w:lineRule="exact"/>
              <w:ind w:left="72"/>
              <w:jc w:val="left"/>
              <w:rPr>
                <w:noProof/>
                <w:sz w:val="16"/>
                <w:szCs w:val="16"/>
              </w:rPr>
            </w:pPr>
            <w:r>
              <w:rPr>
                <w:noProof/>
                <w:sz w:val="16"/>
              </w:rPr>
              <w:t xml:space="preserve">Drugi upravni odhodki </w:t>
            </w: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b/>
                <w:noProof/>
                <w:sz w:val="16"/>
                <w:szCs w:val="16"/>
              </w:rPr>
            </w:pPr>
          </w:p>
        </w:tc>
        <w:tc>
          <w:tcPr>
            <w:tcW w:w="1080" w:type="dxa"/>
            <w:vAlign w:val="center"/>
          </w:tcPr>
          <w:p w:rsidR="001E2AAD" w:rsidRDefault="001E2AAD">
            <w:pPr>
              <w:spacing w:before="60" w:after="60" w:line="200" w:lineRule="exact"/>
              <w:jc w:val="right"/>
              <w:rPr>
                <w:b/>
                <w:noProof/>
                <w:sz w:val="16"/>
                <w:szCs w:val="16"/>
              </w:rPr>
            </w:pPr>
          </w:p>
        </w:tc>
      </w:tr>
      <w:tr w:rsidR="001E2AAD">
        <w:trPr>
          <w:trHeight w:val="585"/>
        </w:trPr>
        <w:tc>
          <w:tcPr>
            <w:tcW w:w="1980" w:type="dxa"/>
            <w:shd w:val="clear" w:color="auto" w:fill="CCCCCC"/>
            <w:vAlign w:val="center"/>
          </w:tcPr>
          <w:p w:rsidR="001E2AAD" w:rsidRDefault="007B2354">
            <w:pPr>
              <w:spacing w:before="60" w:after="60" w:line="200" w:lineRule="exact"/>
              <w:jc w:val="center"/>
              <w:rPr>
                <w:b/>
                <w:noProof/>
                <w:sz w:val="16"/>
                <w:szCs w:val="16"/>
              </w:rPr>
            </w:pPr>
            <w:r>
              <w:rPr>
                <w:b/>
                <w:noProof/>
                <w:sz w:val="16"/>
              </w:rPr>
              <w:t>Seštevek za odobritve iz RAZDELKA 5</w:t>
            </w:r>
            <w:r>
              <w:rPr>
                <w:noProof/>
                <w:sz w:val="22"/>
              </w:rPr>
              <w:br/>
            </w:r>
            <w:r>
              <w:rPr>
                <w:b/>
                <w:noProof/>
                <w:sz w:val="16"/>
              </w:rPr>
              <w:t xml:space="preserve">večletnega finančnega okvira </w:t>
            </w: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b/>
                <w:noProof/>
                <w:sz w:val="16"/>
                <w:szCs w:val="16"/>
              </w:rPr>
            </w:pPr>
          </w:p>
        </w:tc>
        <w:tc>
          <w:tcPr>
            <w:tcW w:w="1080" w:type="dxa"/>
            <w:vAlign w:val="center"/>
          </w:tcPr>
          <w:p w:rsidR="001E2AAD" w:rsidRDefault="001E2AAD">
            <w:pPr>
              <w:spacing w:before="60" w:after="60" w:line="200" w:lineRule="exact"/>
              <w:jc w:val="right"/>
              <w:rPr>
                <w:b/>
                <w:noProof/>
                <w:sz w:val="16"/>
                <w:szCs w:val="16"/>
              </w:rPr>
            </w:pPr>
          </w:p>
        </w:tc>
      </w:tr>
    </w:tbl>
    <w:p w:rsidR="001E2AAD" w:rsidRDefault="001E2AA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E2AAD">
        <w:trPr>
          <w:trHeight w:val="585"/>
        </w:trPr>
        <w:tc>
          <w:tcPr>
            <w:tcW w:w="1980" w:type="dxa"/>
            <w:shd w:val="clear" w:color="auto" w:fill="CCCCCC"/>
            <w:vAlign w:val="center"/>
          </w:tcPr>
          <w:p w:rsidR="001E2AAD" w:rsidRDefault="007B2354">
            <w:pPr>
              <w:spacing w:before="60" w:after="60" w:line="200" w:lineRule="exact"/>
              <w:jc w:val="center"/>
              <w:rPr>
                <w:noProof/>
                <w:sz w:val="16"/>
                <w:szCs w:val="16"/>
              </w:rPr>
            </w:pPr>
            <w:r>
              <w:rPr>
                <w:b/>
                <w:noProof/>
                <w:sz w:val="16"/>
              </w:rPr>
              <w:t>Zunaj RAZDELKA 5</w:t>
            </w:r>
            <w:r>
              <w:rPr>
                <w:rStyle w:val="FootnoteReference"/>
                <w:b/>
                <w:noProof/>
                <w:sz w:val="16"/>
              </w:rPr>
              <w:footnoteReference w:id="26"/>
            </w:r>
            <w:r>
              <w:rPr>
                <w:noProof/>
                <w:sz w:val="22"/>
              </w:rPr>
              <w:br/>
            </w:r>
            <w:r>
              <w:rPr>
                <w:b/>
                <w:noProof/>
                <w:sz w:val="16"/>
              </w:rPr>
              <w:t xml:space="preserve">večletnega finančnega okvira </w:t>
            </w:r>
          </w:p>
          <w:p w:rsidR="001E2AAD" w:rsidRDefault="001E2AAD">
            <w:pPr>
              <w:spacing w:before="0" w:after="0" w:line="200" w:lineRule="exact"/>
              <w:jc w:val="center"/>
              <w:rPr>
                <w:b/>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b/>
                <w:noProof/>
                <w:sz w:val="16"/>
                <w:szCs w:val="16"/>
              </w:rPr>
            </w:pPr>
          </w:p>
        </w:tc>
        <w:tc>
          <w:tcPr>
            <w:tcW w:w="1080" w:type="dxa"/>
            <w:vAlign w:val="center"/>
          </w:tcPr>
          <w:p w:rsidR="001E2AAD" w:rsidRDefault="001E2AAD">
            <w:pPr>
              <w:spacing w:before="60" w:after="60" w:line="200" w:lineRule="exact"/>
              <w:jc w:val="right"/>
              <w:rPr>
                <w:b/>
                <w:noProof/>
                <w:sz w:val="16"/>
                <w:szCs w:val="16"/>
              </w:rPr>
            </w:pPr>
          </w:p>
        </w:tc>
      </w:tr>
      <w:tr w:rsidR="001E2AAD">
        <w:trPr>
          <w:trHeight w:val="585"/>
        </w:trPr>
        <w:tc>
          <w:tcPr>
            <w:tcW w:w="1980" w:type="dxa"/>
            <w:vAlign w:val="center"/>
          </w:tcPr>
          <w:p w:rsidR="001E2AAD" w:rsidRDefault="007B2354">
            <w:pPr>
              <w:spacing w:before="60" w:after="60" w:line="200" w:lineRule="exact"/>
              <w:ind w:left="72"/>
              <w:jc w:val="left"/>
              <w:rPr>
                <w:noProof/>
                <w:sz w:val="16"/>
                <w:szCs w:val="16"/>
              </w:rPr>
            </w:pPr>
            <w:r>
              <w:rPr>
                <w:noProof/>
                <w:sz w:val="16"/>
              </w:rPr>
              <w:t xml:space="preserve">Človeški viri </w:t>
            </w: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b/>
                <w:noProof/>
                <w:sz w:val="16"/>
                <w:szCs w:val="16"/>
              </w:rPr>
            </w:pPr>
          </w:p>
        </w:tc>
        <w:tc>
          <w:tcPr>
            <w:tcW w:w="1080" w:type="dxa"/>
            <w:vAlign w:val="center"/>
          </w:tcPr>
          <w:p w:rsidR="001E2AAD" w:rsidRDefault="001E2AAD">
            <w:pPr>
              <w:spacing w:before="60" w:after="60" w:line="200" w:lineRule="exact"/>
              <w:jc w:val="right"/>
              <w:rPr>
                <w:b/>
                <w:noProof/>
                <w:sz w:val="16"/>
                <w:szCs w:val="16"/>
              </w:rPr>
            </w:pPr>
          </w:p>
        </w:tc>
      </w:tr>
      <w:tr w:rsidR="001E2AAD">
        <w:trPr>
          <w:trHeight w:val="585"/>
        </w:trPr>
        <w:tc>
          <w:tcPr>
            <w:tcW w:w="1980" w:type="dxa"/>
            <w:vAlign w:val="center"/>
          </w:tcPr>
          <w:p w:rsidR="001E2AAD" w:rsidRDefault="007B2354">
            <w:pPr>
              <w:spacing w:before="60" w:after="60" w:line="200" w:lineRule="exact"/>
              <w:ind w:left="72"/>
              <w:jc w:val="left"/>
              <w:rPr>
                <w:noProof/>
                <w:sz w:val="16"/>
                <w:szCs w:val="16"/>
              </w:rPr>
            </w:pPr>
            <w:r>
              <w:rPr>
                <w:noProof/>
                <w:sz w:val="16"/>
              </w:rPr>
              <w:t>Drugi</w:t>
            </w:r>
            <w:r>
              <w:rPr>
                <w:noProof/>
                <w:sz w:val="22"/>
              </w:rPr>
              <w:br/>
            </w:r>
            <w:r>
              <w:rPr>
                <w:noProof/>
                <w:sz w:val="16"/>
              </w:rPr>
              <w:t>upravni odhodki</w:t>
            </w: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b/>
                <w:noProof/>
                <w:sz w:val="16"/>
                <w:szCs w:val="16"/>
              </w:rPr>
            </w:pPr>
          </w:p>
        </w:tc>
        <w:tc>
          <w:tcPr>
            <w:tcW w:w="1080" w:type="dxa"/>
            <w:vAlign w:val="center"/>
          </w:tcPr>
          <w:p w:rsidR="001E2AAD" w:rsidRDefault="001E2AAD">
            <w:pPr>
              <w:spacing w:before="60" w:after="60" w:line="200" w:lineRule="exact"/>
              <w:jc w:val="right"/>
              <w:rPr>
                <w:b/>
                <w:noProof/>
                <w:sz w:val="16"/>
                <w:szCs w:val="16"/>
              </w:rPr>
            </w:pPr>
          </w:p>
        </w:tc>
      </w:tr>
      <w:tr w:rsidR="001E2AAD">
        <w:trPr>
          <w:trHeight w:val="585"/>
        </w:trPr>
        <w:tc>
          <w:tcPr>
            <w:tcW w:w="1980" w:type="dxa"/>
            <w:shd w:val="clear" w:color="auto" w:fill="CCCCCC"/>
            <w:vAlign w:val="center"/>
          </w:tcPr>
          <w:p w:rsidR="001E2AAD" w:rsidRDefault="007B2354">
            <w:pPr>
              <w:spacing w:before="60" w:after="60" w:line="200" w:lineRule="exact"/>
              <w:jc w:val="center"/>
              <w:rPr>
                <w:b/>
                <w:noProof/>
                <w:sz w:val="16"/>
                <w:szCs w:val="16"/>
              </w:rPr>
            </w:pPr>
            <w:r>
              <w:rPr>
                <w:b/>
                <w:noProof/>
                <w:sz w:val="16"/>
              </w:rPr>
              <w:t>Seštevek za odobritve</w:t>
            </w:r>
            <w:r>
              <w:rPr>
                <w:noProof/>
                <w:sz w:val="22"/>
              </w:rPr>
              <w:br/>
            </w:r>
            <w:r>
              <w:rPr>
                <w:b/>
                <w:noProof/>
                <w:sz w:val="16"/>
              </w:rPr>
              <w:t xml:space="preserve">zunaj </w:t>
            </w:r>
            <w:r>
              <w:rPr>
                <w:b/>
                <w:noProof/>
                <w:sz w:val="16"/>
              </w:rPr>
              <w:t>RAZDELKA 5</w:t>
            </w:r>
            <w:r>
              <w:rPr>
                <w:noProof/>
                <w:sz w:val="22"/>
              </w:rPr>
              <w:br/>
            </w:r>
            <w:r>
              <w:rPr>
                <w:b/>
                <w:noProof/>
                <w:sz w:val="16"/>
              </w:rPr>
              <w:t xml:space="preserve">večletnega finančnega okvira </w:t>
            </w: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noProof/>
                <w:sz w:val="16"/>
                <w:szCs w:val="16"/>
              </w:rPr>
            </w:pPr>
          </w:p>
        </w:tc>
        <w:tc>
          <w:tcPr>
            <w:tcW w:w="1080" w:type="dxa"/>
            <w:vAlign w:val="center"/>
          </w:tcPr>
          <w:p w:rsidR="001E2AAD" w:rsidRDefault="001E2AAD">
            <w:pPr>
              <w:spacing w:before="60" w:after="60" w:line="200" w:lineRule="exact"/>
              <w:jc w:val="right"/>
              <w:rPr>
                <w:b/>
                <w:noProof/>
                <w:sz w:val="16"/>
                <w:szCs w:val="16"/>
              </w:rPr>
            </w:pPr>
          </w:p>
        </w:tc>
        <w:tc>
          <w:tcPr>
            <w:tcW w:w="1080" w:type="dxa"/>
            <w:vAlign w:val="center"/>
          </w:tcPr>
          <w:p w:rsidR="001E2AAD" w:rsidRDefault="001E2AAD">
            <w:pPr>
              <w:spacing w:before="60" w:after="60" w:line="200" w:lineRule="exact"/>
              <w:jc w:val="right"/>
              <w:rPr>
                <w:b/>
                <w:noProof/>
                <w:sz w:val="16"/>
                <w:szCs w:val="16"/>
              </w:rPr>
            </w:pPr>
          </w:p>
        </w:tc>
      </w:tr>
    </w:tbl>
    <w:p w:rsidR="001E2AAD" w:rsidRDefault="001E2AA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E2AA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E2AAD" w:rsidRDefault="007B2354">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rsidR="001E2AAD" w:rsidRDefault="001E2A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E2AAD" w:rsidRDefault="001E2A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E2AAD" w:rsidRDefault="001E2A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E2AAD" w:rsidRDefault="001E2A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E2AAD" w:rsidRDefault="001E2A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E2AAD" w:rsidRDefault="001E2A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E2AAD" w:rsidRDefault="001E2AA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1E2AAD" w:rsidRDefault="001E2AAD">
            <w:pPr>
              <w:spacing w:before="60" w:after="60" w:line="200" w:lineRule="exact"/>
              <w:jc w:val="right"/>
              <w:rPr>
                <w:b/>
                <w:noProof/>
                <w:sz w:val="16"/>
                <w:szCs w:val="16"/>
              </w:rPr>
            </w:pPr>
          </w:p>
        </w:tc>
      </w:tr>
    </w:tbl>
    <w:p w:rsidR="001E2AAD" w:rsidRDefault="007B2354">
      <w:pPr>
        <w:rPr>
          <w:noProof/>
          <w:sz w:val="18"/>
        </w:rPr>
        <w:sectPr w:rsidR="001E2AAD" w:rsidSect="007B2354">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 xml:space="preserve">Potrebe po odobritvah za človeške vire in druge upravne odhodke se krijejo z </w:t>
      </w:r>
      <w:r>
        <w:rPr>
          <w:noProof/>
          <w:sz w:val="18"/>
        </w:rPr>
        <w:t>odobritvami GD, ki so že dodeljene za upravljanje ukrepa in/ali so bile prerazporejene znotraj GD, po potrebi skupaj z dodatnimi viri, ki se lahko pristojnemu GD dodelijo v okviru postopka letne dodelitve virov glede na proračunske omejitve.</w:t>
      </w:r>
    </w:p>
    <w:p w:rsidR="001E2AAD" w:rsidRDefault="007B2354">
      <w:pPr>
        <w:pStyle w:val="ManualHeading4"/>
        <w:rPr>
          <w:bCs/>
          <w:noProof/>
          <w:szCs w:val="24"/>
        </w:rPr>
      </w:pPr>
      <w:r>
        <w:t>8.2.3.2.</w:t>
      </w:r>
      <w:r>
        <w:tab/>
      </w:r>
      <w:r>
        <w:rPr>
          <w:noProof/>
        </w:rPr>
        <w:t>Ocenj</w:t>
      </w:r>
      <w:r>
        <w:rPr>
          <w:noProof/>
        </w:rPr>
        <w:t>ene potrebe po človeških virih</w:t>
      </w:r>
    </w:p>
    <w:p w:rsidR="001E2AAD" w:rsidRDefault="007B2354">
      <w:pPr>
        <w:pStyle w:val="ListDash1"/>
        <w:rPr>
          <w:noProof/>
        </w:rPr>
      </w:pPr>
      <w:r>
        <w:rPr>
          <w:noProof/>
        </w:rPr>
        <w:sym w:font="Wingdings" w:char="F0A8"/>
      </w:r>
      <w:r>
        <w:rPr>
          <w:noProof/>
        </w:rPr>
        <w:tab/>
        <w:t xml:space="preserve">Za predlog/pobudo niso potrebni človeški viri. </w:t>
      </w:r>
    </w:p>
    <w:p w:rsidR="001E2AAD" w:rsidRDefault="007B2354">
      <w:pPr>
        <w:pStyle w:val="ListDash1"/>
        <w:rPr>
          <w:noProof/>
        </w:rPr>
      </w:pPr>
      <w:r>
        <w:rPr>
          <w:noProof/>
        </w:rPr>
        <w:sym w:font="Wingdings" w:char="F0A8"/>
      </w:r>
      <w:r>
        <w:rPr>
          <w:noProof/>
        </w:rPr>
        <w:tab/>
        <w:t>Za predlog/pobudo so potrebni človeški viri, kot je pojasnjeno v nadaljevanju:</w:t>
      </w:r>
    </w:p>
    <w:p w:rsidR="001E2AAD" w:rsidRDefault="007B2354">
      <w:pPr>
        <w:spacing w:after="60"/>
        <w:jc w:val="right"/>
        <w:rPr>
          <w:i/>
          <w:noProof/>
          <w:sz w:val="20"/>
        </w:rPr>
      </w:pPr>
      <w:r>
        <w:rPr>
          <w:i/>
          <w:noProof/>
          <w:sz w:val="20"/>
        </w:rPr>
        <w:t>ocena, izražena v ekvivalentu polnega delovnega časa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1E2AAD">
        <w:trPr>
          <w:gridBefore w:val="1"/>
          <w:wBefore w:w="6" w:type="pct"/>
          <w:trHeight w:val="289"/>
          <w:jc w:val="center"/>
        </w:trPr>
        <w:tc>
          <w:tcPr>
            <w:tcW w:w="1897" w:type="pct"/>
            <w:gridSpan w:val="2"/>
            <w:shd w:val="clear" w:color="auto" w:fill="auto"/>
          </w:tcPr>
          <w:p w:rsidR="001E2AAD" w:rsidRDefault="001E2AAD">
            <w:pPr>
              <w:pStyle w:val="Text1"/>
              <w:spacing w:before="40" w:after="40"/>
              <w:ind w:left="0"/>
              <w:jc w:val="center"/>
              <w:rPr>
                <w:i/>
                <w:noProof/>
                <w:sz w:val="16"/>
                <w:szCs w:val="16"/>
              </w:rPr>
            </w:pPr>
          </w:p>
        </w:tc>
        <w:tc>
          <w:tcPr>
            <w:tcW w:w="318" w:type="pct"/>
            <w:shd w:val="clear" w:color="auto" w:fill="auto"/>
            <w:vAlign w:val="center"/>
          </w:tcPr>
          <w:p w:rsidR="001E2AAD" w:rsidRDefault="007B2354">
            <w:pPr>
              <w:spacing w:before="20" w:after="20"/>
              <w:jc w:val="center"/>
              <w:rPr>
                <w:noProof/>
                <w:sz w:val="16"/>
                <w:szCs w:val="16"/>
              </w:rPr>
            </w:pPr>
            <w:r>
              <w:rPr>
                <w:noProof/>
                <w:sz w:val="16"/>
              </w:rPr>
              <w:t>Leto</w:t>
            </w:r>
            <w:r>
              <w:rPr>
                <w:noProof/>
                <w:sz w:val="22"/>
              </w:rPr>
              <w:br/>
            </w:r>
            <w:r>
              <w:rPr>
                <w:b/>
                <w:noProof/>
                <w:sz w:val="16"/>
              </w:rPr>
              <w:t>N</w:t>
            </w:r>
          </w:p>
        </w:tc>
        <w:tc>
          <w:tcPr>
            <w:tcW w:w="318" w:type="pct"/>
            <w:shd w:val="clear" w:color="auto" w:fill="auto"/>
            <w:vAlign w:val="center"/>
          </w:tcPr>
          <w:p w:rsidR="001E2AAD" w:rsidRDefault="007B2354">
            <w:pPr>
              <w:spacing w:before="20" w:after="20"/>
              <w:jc w:val="center"/>
              <w:rPr>
                <w:noProof/>
                <w:sz w:val="16"/>
                <w:szCs w:val="16"/>
              </w:rPr>
            </w:pPr>
            <w:r>
              <w:rPr>
                <w:noProof/>
                <w:sz w:val="16"/>
              </w:rPr>
              <w:t>Leto</w:t>
            </w:r>
            <w:r>
              <w:rPr>
                <w:noProof/>
                <w:sz w:val="22"/>
              </w:rPr>
              <w:br/>
            </w:r>
            <w:r>
              <w:rPr>
                <w:b/>
                <w:noProof/>
                <w:sz w:val="16"/>
              </w:rPr>
              <w:t>N+1</w:t>
            </w:r>
          </w:p>
        </w:tc>
        <w:tc>
          <w:tcPr>
            <w:tcW w:w="1891" w:type="pct"/>
            <w:shd w:val="clear" w:color="auto" w:fill="auto"/>
            <w:vAlign w:val="center"/>
          </w:tcPr>
          <w:p w:rsidR="001E2AAD" w:rsidRDefault="007B2354">
            <w:pPr>
              <w:spacing w:before="20" w:after="20"/>
              <w:jc w:val="center"/>
              <w:rPr>
                <w:noProof/>
                <w:sz w:val="16"/>
                <w:szCs w:val="16"/>
              </w:rPr>
            </w:pPr>
            <w:r>
              <w:rPr>
                <w:noProof/>
                <w:sz w:val="16"/>
              </w:rPr>
              <w:t xml:space="preserve">Leto </w:t>
            </w:r>
            <w:r>
              <w:rPr>
                <w:b/>
                <w:noProof/>
                <w:sz w:val="16"/>
              </w:rPr>
              <w:t>N+2</w:t>
            </w:r>
          </w:p>
        </w:tc>
        <w:tc>
          <w:tcPr>
            <w:tcW w:w="226" w:type="pct"/>
            <w:shd w:val="clear" w:color="auto" w:fill="auto"/>
            <w:vAlign w:val="center"/>
          </w:tcPr>
          <w:p w:rsidR="001E2AAD" w:rsidRDefault="007B2354">
            <w:pPr>
              <w:spacing w:before="20" w:after="20"/>
              <w:jc w:val="center"/>
              <w:rPr>
                <w:noProof/>
                <w:sz w:val="16"/>
                <w:szCs w:val="16"/>
              </w:rPr>
            </w:pPr>
            <w:r>
              <w:rPr>
                <w:noProof/>
                <w:sz w:val="16"/>
              </w:rPr>
              <w:t xml:space="preserve">Leto </w:t>
            </w:r>
            <w:r>
              <w:rPr>
                <w:b/>
                <w:noProof/>
                <w:sz w:val="16"/>
              </w:rPr>
              <w:t>N+3</w:t>
            </w:r>
          </w:p>
        </w:tc>
        <w:tc>
          <w:tcPr>
            <w:tcW w:w="345" w:type="pct"/>
            <w:gridSpan w:val="3"/>
            <w:shd w:val="clear" w:color="auto" w:fill="auto"/>
            <w:vAlign w:val="center"/>
          </w:tcPr>
          <w:p w:rsidR="001E2AAD" w:rsidRDefault="007B2354">
            <w:pPr>
              <w:jc w:val="center"/>
              <w:rPr>
                <w:b/>
                <w:noProof/>
                <w:sz w:val="16"/>
                <w:szCs w:val="16"/>
              </w:rPr>
            </w:pPr>
            <w:r>
              <w:rPr>
                <w:noProof/>
                <w:sz w:val="16"/>
              </w:rPr>
              <w:t>Vstavite ustrezno število let glede na trajanje posledic (gl. točko 1.6)</w:t>
            </w:r>
          </w:p>
        </w:tc>
      </w:tr>
      <w:tr w:rsidR="001E2AAD">
        <w:trPr>
          <w:gridBefore w:val="1"/>
          <w:wBefore w:w="6" w:type="pct"/>
          <w:trHeight w:val="289"/>
          <w:jc w:val="center"/>
        </w:trPr>
        <w:tc>
          <w:tcPr>
            <w:tcW w:w="4424" w:type="pct"/>
            <w:gridSpan w:val="5"/>
            <w:shd w:val="clear" w:color="auto" w:fill="auto"/>
          </w:tcPr>
          <w:p w:rsidR="001E2AAD" w:rsidRDefault="007B2354">
            <w:pPr>
              <w:spacing w:before="20" w:after="20"/>
              <w:rPr>
                <w:noProof/>
                <w:sz w:val="16"/>
                <w:szCs w:val="16"/>
              </w:rPr>
            </w:pPr>
            <w:r>
              <w:rPr>
                <w:b/>
                <w:noProof/>
                <w:sz w:val="16"/>
              </w:rPr>
              <w:sym w:font="Wingdings" w:char="F09F"/>
            </w:r>
            <w:r>
              <w:rPr>
                <w:b/>
                <w:noProof/>
                <w:sz w:val="16"/>
              </w:rPr>
              <w:t>Delovna mesta v skladu s kadrovskim načrtom (uradniki in začasni uslužbenci)</w:t>
            </w:r>
          </w:p>
        </w:tc>
        <w:tc>
          <w:tcPr>
            <w:tcW w:w="226" w:type="pct"/>
            <w:shd w:val="clear" w:color="auto" w:fill="auto"/>
            <w:vAlign w:val="center"/>
          </w:tcPr>
          <w:p w:rsidR="001E2AAD" w:rsidRDefault="001E2AAD">
            <w:pPr>
              <w:spacing w:before="20" w:after="20"/>
              <w:jc w:val="center"/>
              <w:rPr>
                <w:noProof/>
                <w:sz w:val="16"/>
                <w:szCs w:val="16"/>
              </w:rPr>
            </w:pPr>
          </w:p>
        </w:tc>
        <w:tc>
          <w:tcPr>
            <w:tcW w:w="345" w:type="pct"/>
            <w:gridSpan w:val="3"/>
            <w:shd w:val="clear" w:color="auto" w:fill="auto"/>
            <w:vAlign w:val="center"/>
          </w:tcPr>
          <w:p w:rsidR="001E2AAD" w:rsidRDefault="001E2AAD">
            <w:pPr>
              <w:jc w:val="center"/>
              <w:rPr>
                <w:noProof/>
                <w:sz w:val="16"/>
                <w:szCs w:val="16"/>
              </w:rPr>
            </w:pPr>
          </w:p>
        </w:tc>
      </w:tr>
      <w:tr w:rsidR="001E2AAD">
        <w:trPr>
          <w:gridBefore w:val="1"/>
          <w:wBefore w:w="6" w:type="pct"/>
          <w:trHeight w:val="289"/>
          <w:jc w:val="center"/>
        </w:trPr>
        <w:tc>
          <w:tcPr>
            <w:tcW w:w="1897" w:type="pct"/>
            <w:gridSpan w:val="2"/>
            <w:shd w:val="clear" w:color="auto" w:fill="auto"/>
            <w:vAlign w:val="center"/>
          </w:tcPr>
          <w:p w:rsidR="001E2AAD" w:rsidRDefault="007B2354">
            <w:pPr>
              <w:pStyle w:val="Text1"/>
              <w:spacing w:beforeLines="20" w:before="48" w:afterLines="20" w:after="48"/>
              <w:ind w:left="134"/>
              <w:jc w:val="left"/>
              <w:rPr>
                <w:b/>
                <w:noProof/>
                <w:sz w:val="16"/>
                <w:szCs w:val="16"/>
              </w:rPr>
            </w:pPr>
            <w:r>
              <w:rPr>
                <w:noProof/>
                <w:sz w:val="16"/>
              </w:rPr>
              <w:t>XX 01 01 01 (sedež in predstavništva Komisije)</w:t>
            </w: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1897" w:type="pct"/>
            <w:gridSpan w:val="2"/>
            <w:shd w:val="clear" w:color="auto" w:fill="auto"/>
            <w:vAlign w:val="center"/>
          </w:tcPr>
          <w:p w:rsidR="001E2AAD" w:rsidRDefault="007B2354">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1897" w:type="pct"/>
            <w:gridSpan w:val="2"/>
            <w:shd w:val="clear" w:color="auto" w:fill="auto"/>
            <w:vAlign w:val="center"/>
          </w:tcPr>
          <w:p w:rsidR="001E2AAD" w:rsidRDefault="007B2354">
            <w:pPr>
              <w:pStyle w:val="Text1"/>
              <w:spacing w:beforeLines="20" w:before="48" w:afterLines="20" w:after="48"/>
              <w:ind w:left="134"/>
              <w:jc w:val="left"/>
              <w:rPr>
                <w:noProof/>
                <w:sz w:val="16"/>
                <w:szCs w:val="16"/>
              </w:rPr>
            </w:pPr>
            <w:r>
              <w:rPr>
                <w:noProof/>
                <w:sz w:val="16"/>
              </w:rPr>
              <w:t xml:space="preserve">XX 01 05 01 </w:t>
            </w:r>
            <w:r>
              <w:rPr>
                <w:noProof/>
                <w:sz w:val="16"/>
              </w:rPr>
              <w:t>(posredne raziskave)</w:t>
            </w: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1897" w:type="pct"/>
            <w:gridSpan w:val="2"/>
            <w:shd w:val="clear" w:color="auto" w:fill="auto"/>
            <w:vAlign w:val="center"/>
          </w:tcPr>
          <w:p w:rsidR="001E2AAD" w:rsidRDefault="007B2354">
            <w:pPr>
              <w:pStyle w:val="Text1"/>
              <w:spacing w:beforeLines="20" w:before="48" w:afterLines="20" w:after="48"/>
              <w:ind w:left="134"/>
              <w:jc w:val="left"/>
              <w:rPr>
                <w:noProof/>
                <w:sz w:val="16"/>
                <w:szCs w:val="16"/>
              </w:rPr>
            </w:pPr>
            <w:r>
              <w:rPr>
                <w:noProof/>
                <w:sz w:val="16"/>
              </w:rPr>
              <w:t>10 01 05 01 (neposredne raziskave)</w:t>
            </w: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After w:val="4"/>
          <w:wAfter w:w="570" w:type="pct"/>
          <w:trHeight w:val="248"/>
          <w:jc w:val="center"/>
        </w:trPr>
        <w:tc>
          <w:tcPr>
            <w:tcW w:w="4430" w:type="pct"/>
            <w:gridSpan w:val="6"/>
            <w:shd w:val="clear" w:color="auto" w:fill="auto"/>
            <w:vAlign w:val="center"/>
          </w:tcPr>
          <w:p w:rsidR="001E2AAD" w:rsidRDefault="007B2354">
            <w:pPr>
              <w:pStyle w:val="Text1"/>
              <w:spacing w:before="60" w:after="60"/>
              <w:ind w:left="0"/>
              <w:jc w:val="left"/>
              <w:rPr>
                <w:b/>
                <w:noProof/>
                <w:sz w:val="16"/>
                <w:szCs w:val="16"/>
              </w:rPr>
            </w:pPr>
            <w:r>
              <w:rPr>
                <w:b/>
                <w:noProof/>
                <w:sz w:val="16"/>
              </w:rPr>
              <w:sym w:font="Wingdings" w:char="F09F"/>
            </w:r>
            <w:r>
              <w:rPr>
                <w:b/>
                <w:noProof/>
                <w:sz w:val="16"/>
              </w:rPr>
              <w:t>Zunanji sodelavci (v ekvivalentu polnega delovnega časa: EPDČ)</w:t>
            </w:r>
            <w:r>
              <w:rPr>
                <w:rStyle w:val="FootnoteReference"/>
                <w:b/>
                <w:noProof/>
                <w:sz w:val="16"/>
              </w:rPr>
              <w:footnoteReference w:id="27"/>
            </w:r>
          </w:p>
          <w:p w:rsidR="001E2AAD" w:rsidRDefault="001E2AAD">
            <w:pPr>
              <w:pStyle w:val="Text1"/>
              <w:spacing w:before="0" w:after="0"/>
              <w:ind w:left="0"/>
              <w:jc w:val="left"/>
              <w:rPr>
                <w:noProof/>
                <w:sz w:val="16"/>
                <w:szCs w:val="16"/>
              </w:rPr>
            </w:pPr>
          </w:p>
        </w:tc>
      </w:tr>
      <w:tr w:rsidR="001E2AAD">
        <w:trPr>
          <w:gridBefore w:val="1"/>
          <w:wBefore w:w="6" w:type="pct"/>
          <w:trHeight w:val="289"/>
          <w:jc w:val="center"/>
        </w:trPr>
        <w:tc>
          <w:tcPr>
            <w:tcW w:w="1897" w:type="pct"/>
            <w:gridSpan w:val="2"/>
            <w:shd w:val="clear" w:color="auto" w:fill="auto"/>
            <w:vAlign w:val="center"/>
          </w:tcPr>
          <w:p w:rsidR="001E2AAD" w:rsidRDefault="007B2354">
            <w:pPr>
              <w:pStyle w:val="Text1"/>
              <w:spacing w:beforeLines="20" w:before="48" w:afterLines="20" w:after="48"/>
              <w:ind w:left="136"/>
              <w:jc w:val="left"/>
              <w:rPr>
                <w:b/>
                <w:noProof/>
                <w:sz w:val="16"/>
                <w:szCs w:val="16"/>
              </w:rPr>
            </w:pPr>
            <w:r>
              <w:rPr>
                <w:noProof/>
                <w:sz w:val="16"/>
              </w:rPr>
              <w:t>XX 01 02 01 (PU, NNS, ZU iz splošnih sredstev)</w:t>
            </w: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1897" w:type="pct"/>
            <w:gridSpan w:val="2"/>
            <w:shd w:val="clear" w:color="auto" w:fill="auto"/>
            <w:vAlign w:val="center"/>
          </w:tcPr>
          <w:p w:rsidR="001E2AAD" w:rsidRDefault="007B2354">
            <w:pPr>
              <w:pStyle w:val="Text1"/>
              <w:spacing w:beforeLines="20" w:before="48" w:afterLines="20" w:after="48"/>
              <w:ind w:left="136"/>
              <w:jc w:val="left"/>
              <w:rPr>
                <w:noProof/>
                <w:sz w:val="16"/>
                <w:szCs w:val="16"/>
              </w:rPr>
            </w:pPr>
            <w:r>
              <w:rPr>
                <w:noProof/>
                <w:sz w:val="16"/>
              </w:rPr>
              <w:t>XX 01 02 02 (PU, LU, NNS, ZU in MSD na delegacijah)</w:t>
            </w: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948" w:type="pct"/>
            <w:vMerge w:val="restart"/>
            <w:shd w:val="clear" w:color="auto" w:fill="auto"/>
            <w:vAlign w:val="center"/>
          </w:tcPr>
          <w:p w:rsidR="001E2AAD" w:rsidRDefault="007B2354">
            <w:pPr>
              <w:pStyle w:val="Text1"/>
              <w:spacing w:beforeLines="20" w:before="48" w:afterLines="20" w:after="48"/>
              <w:ind w:left="136"/>
              <w:jc w:val="left"/>
              <w:rPr>
                <w:b/>
                <w:noProof/>
                <w:sz w:val="16"/>
                <w:szCs w:val="16"/>
              </w:rPr>
            </w:pPr>
            <w:r>
              <w:rPr>
                <w:b/>
                <w:noProof/>
                <w:sz w:val="16"/>
              </w:rPr>
              <w:t>XX</w:t>
            </w:r>
            <w:r>
              <w:rPr>
                <w:noProof/>
              </w:rPr>
              <w:t> </w:t>
            </w:r>
            <w:r>
              <w:rPr>
                <w:noProof/>
                <w:sz w:val="16"/>
                <w:szCs w:val="16"/>
              </w:rPr>
              <w:t>01 04</w:t>
            </w:r>
            <w:r>
              <w:rPr>
                <w:noProof/>
              </w:rPr>
              <w:t> </w:t>
            </w:r>
            <w:r>
              <w:rPr>
                <w:b/>
                <w:noProof/>
                <w:sz w:val="16"/>
              </w:rPr>
              <w:t>yy</w:t>
            </w:r>
            <w:r>
              <w:rPr>
                <w:b/>
                <w:i/>
                <w:noProof/>
                <w:sz w:val="16"/>
              </w:rPr>
              <w:t xml:space="preserve"> </w:t>
            </w:r>
            <w:r>
              <w:rPr>
                <w:rStyle w:val="FootnoteReference"/>
                <w:b/>
                <w:i/>
                <w:noProof/>
                <w:sz w:val="16"/>
              </w:rPr>
              <w:footnoteReference w:id="28"/>
            </w:r>
          </w:p>
          <w:p w:rsidR="001E2AAD" w:rsidRDefault="001E2AAD">
            <w:pPr>
              <w:pStyle w:val="Text1"/>
              <w:spacing w:beforeLines="20" w:before="48" w:afterLines="20" w:after="48"/>
              <w:ind w:left="136"/>
              <w:jc w:val="left"/>
              <w:rPr>
                <w:b/>
                <w:noProof/>
                <w:sz w:val="16"/>
                <w:szCs w:val="16"/>
              </w:rPr>
            </w:pPr>
          </w:p>
        </w:tc>
        <w:tc>
          <w:tcPr>
            <w:tcW w:w="949" w:type="pct"/>
            <w:shd w:val="clear" w:color="auto" w:fill="auto"/>
            <w:vAlign w:val="center"/>
          </w:tcPr>
          <w:p w:rsidR="001E2AAD" w:rsidRDefault="007B2354">
            <w:pPr>
              <w:pStyle w:val="Text1"/>
              <w:spacing w:beforeLines="20" w:before="48" w:afterLines="20" w:after="48"/>
              <w:ind w:left="136"/>
              <w:jc w:val="left"/>
              <w:rPr>
                <w:b/>
                <w:noProof/>
                <w:sz w:val="16"/>
                <w:szCs w:val="16"/>
              </w:rPr>
            </w:pPr>
            <w:r>
              <w:rPr>
                <w:noProof/>
                <w:sz w:val="16"/>
              </w:rPr>
              <w:t>– na sedežu</w:t>
            </w:r>
          </w:p>
          <w:p w:rsidR="001E2AAD" w:rsidRDefault="001E2AAD">
            <w:pPr>
              <w:pStyle w:val="Text1"/>
              <w:spacing w:beforeLines="20" w:before="48" w:afterLines="20" w:after="48"/>
              <w:ind w:left="136"/>
              <w:jc w:val="left"/>
              <w:rPr>
                <w:b/>
                <w:noProof/>
                <w:sz w:val="16"/>
                <w:szCs w:val="16"/>
              </w:rPr>
            </w:pPr>
          </w:p>
        </w:tc>
        <w:tc>
          <w:tcPr>
            <w:tcW w:w="318" w:type="pct"/>
            <w:shd w:val="clear" w:color="auto" w:fill="auto"/>
            <w:vAlign w:val="center"/>
          </w:tcPr>
          <w:p w:rsidR="001E2AAD" w:rsidRDefault="001E2AAD">
            <w:pPr>
              <w:pStyle w:val="Text1"/>
              <w:spacing w:beforeLines="20" w:before="48" w:afterLines="20" w:after="48"/>
              <w:ind w:left="0"/>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948" w:type="pct"/>
            <w:vMerge/>
            <w:shd w:val="clear" w:color="auto" w:fill="auto"/>
            <w:vAlign w:val="center"/>
          </w:tcPr>
          <w:p w:rsidR="001E2AAD" w:rsidRDefault="001E2AAD">
            <w:pPr>
              <w:pStyle w:val="Text1"/>
              <w:spacing w:beforeLines="20" w:before="48" w:afterLines="20" w:after="48"/>
              <w:ind w:left="136"/>
              <w:jc w:val="left"/>
              <w:rPr>
                <w:b/>
                <w:noProof/>
                <w:sz w:val="16"/>
                <w:szCs w:val="16"/>
              </w:rPr>
            </w:pPr>
          </w:p>
        </w:tc>
        <w:tc>
          <w:tcPr>
            <w:tcW w:w="949" w:type="pct"/>
            <w:shd w:val="clear" w:color="auto" w:fill="auto"/>
            <w:vAlign w:val="center"/>
          </w:tcPr>
          <w:p w:rsidR="001E2AAD" w:rsidRDefault="007B2354">
            <w:pPr>
              <w:pStyle w:val="Text1"/>
              <w:spacing w:beforeLines="20" w:before="48" w:afterLines="20" w:after="48"/>
              <w:ind w:left="136"/>
              <w:jc w:val="left"/>
              <w:rPr>
                <w:b/>
                <w:noProof/>
                <w:sz w:val="16"/>
                <w:szCs w:val="16"/>
              </w:rPr>
            </w:pPr>
            <w:r>
              <w:rPr>
                <w:noProof/>
                <w:sz w:val="16"/>
              </w:rPr>
              <w:t xml:space="preserve">– na delegacijah </w:t>
            </w:r>
          </w:p>
        </w:tc>
        <w:tc>
          <w:tcPr>
            <w:tcW w:w="318" w:type="pct"/>
            <w:shd w:val="clear" w:color="auto" w:fill="auto"/>
            <w:vAlign w:val="center"/>
          </w:tcPr>
          <w:p w:rsidR="001E2AAD" w:rsidRDefault="001E2AAD">
            <w:pPr>
              <w:pStyle w:val="Text1"/>
              <w:spacing w:beforeLines="20" w:before="48" w:afterLines="20" w:after="48"/>
              <w:ind w:left="0"/>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1897" w:type="pct"/>
            <w:gridSpan w:val="2"/>
            <w:shd w:val="clear" w:color="auto" w:fill="auto"/>
            <w:vAlign w:val="center"/>
          </w:tcPr>
          <w:p w:rsidR="001E2AAD" w:rsidRDefault="007B2354">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(PU, NNS, ZU za posredne raziskave)</w:t>
            </w: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1897" w:type="pct"/>
            <w:gridSpan w:val="2"/>
            <w:shd w:val="clear" w:color="auto" w:fill="auto"/>
            <w:vAlign w:val="center"/>
          </w:tcPr>
          <w:p w:rsidR="001E2AAD" w:rsidRDefault="007B2354">
            <w:pPr>
              <w:pStyle w:val="Text1"/>
              <w:spacing w:beforeLines="20" w:before="48" w:afterLines="20" w:after="48"/>
              <w:ind w:left="136"/>
              <w:jc w:val="left"/>
              <w:rPr>
                <w:noProof/>
                <w:sz w:val="16"/>
                <w:szCs w:val="16"/>
              </w:rPr>
            </w:pPr>
            <w:r>
              <w:rPr>
                <w:noProof/>
                <w:sz w:val="16"/>
              </w:rPr>
              <w:t>10 01 05 02 (PU, NNS, ZU za neposredne raziskave)</w:t>
            </w: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318" w:type="pct"/>
            <w:shd w:val="clear" w:color="auto" w:fill="auto"/>
            <w:vAlign w:val="center"/>
          </w:tcPr>
          <w:p w:rsidR="001E2AAD" w:rsidRDefault="001E2AAD">
            <w:pPr>
              <w:spacing w:beforeLines="20" w:before="48" w:afterLines="20" w:after="48"/>
              <w:jc w:val="center"/>
              <w:rPr>
                <w:noProof/>
                <w:sz w:val="16"/>
                <w:szCs w:val="16"/>
              </w:rPr>
            </w:pPr>
          </w:p>
        </w:tc>
        <w:tc>
          <w:tcPr>
            <w:tcW w:w="1891" w:type="pct"/>
            <w:shd w:val="clear" w:color="auto" w:fill="auto"/>
            <w:vAlign w:val="center"/>
          </w:tcPr>
          <w:p w:rsidR="001E2AAD" w:rsidRDefault="001E2AAD">
            <w:pPr>
              <w:spacing w:beforeLines="20" w:before="48" w:afterLines="20" w:after="48"/>
              <w:jc w:val="center"/>
              <w:rPr>
                <w:noProof/>
                <w:sz w:val="16"/>
                <w:szCs w:val="16"/>
              </w:rPr>
            </w:pPr>
          </w:p>
        </w:tc>
        <w:tc>
          <w:tcPr>
            <w:tcW w:w="226"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c>
          <w:tcPr>
            <w:tcW w:w="115" w:type="pct"/>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1897" w:type="pct"/>
            <w:gridSpan w:val="2"/>
            <w:tcBorders>
              <w:bottom w:val="double" w:sz="4" w:space="0" w:color="auto"/>
            </w:tcBorders>
            <w:shd w:val="clear" w:color="auto" w:fill="auto"/>
            <w:vAlign w:val="center"/>
          </w:tcPr>
          <w:p w:rsidR="001E2AAD" w:rsidRDefault="007B2354">
            <w:pPr>
              <w:pStyle w:val="Text1"/>
              <w:spacing w:beforeLines="20" w:before="48" w:afterLines="20" w:after="48"/>
              <w:ind w:left="134"/>
              <w:jc w:val="left"/>
              <w:rPr>
                <w:noProof/>
                <w:sz w:val="16"/>
                <w:szCs w:val="16"/>
              </w:rPr>
            </w:pPr>
            <w:r>
              <w:rPr>
                <w:noProof/>
                <w:sz w:val="16"/>
              </w:rPr>
              <w:t>Druge proračunske vrstice (navedite)</w:t>
            </w:r>
          </w:p>
        </w:tc>
        <w:tc>
          <w:tcPr>
            <w:tcW w:w="318" w:type="pct"/>
            <w:tcBorders>
              <w:bottom w:val="double" w:sz="4" w:space="0" w:color="auto"/>
            </w:tcBorders>
            <w:shd w:val="clear" w:color="auto" w:fill="auto"/>
            <w:vAlign w:val="center"/>
          </w:tcPr>
          <w:p w:rsidR="001E2AAD" w:rsidRDefault="001E2AAD">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1E2AAD" w:rsidRDefault="001E2AAD">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1E2AAD" w:rsidRDefault="001E2AAD">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1E2AAD" w:rsidRDefault="001E2AA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E2AAD" w:rsidRDefault="001E2AA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E2AAD" w:rsidRDefault="001E2AA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E2AAD" w:rsidRDefault="001E2AAD">
            <w:pPr>
              <w:spacing w:beforeLines="20" w:before="48" w:afterLines="20" w:after="48"/>
              <w:jc w:val="center"/>
              <w:rPr>
                <w:noProof/>
                <w:sz w:val="16"/>
                <w:szCs w:val="16"/>
              </w:rPr>
            </w:pPr>
          </w:p>
        </w:tc>
      </w:tr>
      <w:tr w:rsidR="001E2AAD">
        <w:trPr>
          <w:gridBefore w:val="1"/>
          <w:wBefore w:w="6" w:type="pct"/>
          <w:trHeight w:val="289"/>
          <w:jc w:val="center"/>
        </w:trPr>
        <w:tc>
          <w:tcPr>
            <w:tcW w:w="1897" w:type="pct"/>
            <w:gridSpan w:val="2"/>
            <w:tcBorders>
              <w:top w:val="double" w:sz="4" w:space="0" w:color="auto"/>
            </w:tcBorders>
            <w:shd w:val="clear" w:color="auto" w:fill="auto"/>
            <w:vAlign w:val="center"/>
          </w:tcPr>
          <w:p w:rsidR="001E2AAD" w:rsidRDefault="007B2354">
            <w:pPr>
              <w:pStyle w:val="Text1"/>
              <w:spacing w:beforeLines="20" w:before="48" w:afterLines="20" w:after="48"/>
              <w:ind w:left="136"/>
              <w:jc w:val="left"/>
              <w:rPr>
                <w:noProof/>
                <w:sz w:val="16"/>
                <w:szCs w:val="16"/>
              </w:rPr>
            </w:pPr>
            <w:r>
              <w:rPr>
                <w:b/>
                <w:noProof/>
                <w:sz w:val="16"/>
              </w:rPr>
              <w:t>SKUPAJ</w:t>
            </w:r>
          </w:p>
        </w:tc>
        <w:tc>
          <w:tcPr>
            <w:tcW w:w="318" w:type="pct"/>
            <w:tcBorders>
              <w:top w:val="double" w:sz="4" w:space="0" w:color="auto"/>
            </w:tcBorders>
            <w:shd w:val="clear" w:color="auto" w:fill="auto"/>
            <w:vAlign w:val="center"/>
          </w:tcPr>
          <w:p w:rsidR="001E2AAD" w:rsidRDefault="001E2AAD">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1E2AAD" w:rsidRDefault="001E2AAD">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1E2AAD" w:rsidRDefault="001E2AAD">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1E2AAD" w:rsidRDefault="001E2AA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E2AAD" w:rsidRDefault="001E2AA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E2AAD" w:rsidRDefault="001E2AA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E2AAD" w:rsidRDefault="001E2AAD">
            <w:pPr>
              <w:spacing w:beforeLines="20" w:before="48" w:afterLines="20" w:after="48"/>
              <w:jc w:val="center"/>
              <w:rPr>
                <w:b/>
                <w:noProof/>
                <w:sz w:val="16"/>
                <w:szCs w:val="16"/>
              </w:rPr>
            </w:pPr>
          </w:p>
        </w:tc>
      </w:tr>
    </w:tbl>
    <w:p w:rsidR="001E2AAD" w:rsidRDefault="007B2354">
      <w:pPr>
        <w:pStyle w:val="Text1"/>
        <w:spacing w:before="60" w:after="60"/>
        <w:ind w:left="851"/>
        <w:rPr>
          <w:noProof/>
          <w:sz w:val="18"/>
          <w:szCs w:val="18"/>
        </w:rPr>
      </w:pPr>
      <w:r>
        <w:rPr>
          <w:b/>
          <w:noProof/>
          <w:sz w:val="18"/>
        </w:rPr>
        <w:t>XX</w:t>
      </w:r>
      <w:r>
        <w:rPr>
          <w:noProof/>
          <w:sz w:val="18"/>
        </w:rPr>
        <w:t xml:space="preserve"> je zadevno področje ali naslov.</w:t>
      </w:r>
    </w:p>
    <w:p w:rsidR="001E2AAD" w:rsidRDefault="007B2354">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w:t>
      </w:r>
      <w:r>
        <w:rPr>
          <w:noProof/>
          <w:sz w:val="18"/>
        </w:rPr>
        <w:t>a letne dodelitve virov glede na proračunske omejitve.</w:t>
      </w:r>
    </w:p>
    <w:p w:rsidR="001E2AAD" w:rsidRDefault="007B2354">
      <w:pPr>
        <w:rPr>
          <w:noProof/>
          <w:sz w:val="20"/>
        </w:rPr>
      </w:pPr>
      <w:r>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E2AAD">
        <w:tc>
          <w:tcPr>
            <w:tcW w:w="3240" w:type="dxa"/>
          </w:tcPr>
          <w:p w:rsidR="001E2AAD" w:rsidRDefault="007B2354">
            <w:pPr>
              <w:rPr>
                <w:noProof/>
                <w:sz w:val="20"/>
              </w:rPr>
            </w:pPr>
            <w:r>
              <w:rPr>
                <w:noProof/>
                <w:sz w:val="20"/>
              </w:rPr>
              <w:t>Uradniki in začasni uslužbenci</w:t>
            </w:r>
          </w:p>
        </w:tc>
        <w:tc>
          <w:tcPr>
            <w:tcW w:w="7200" w:type="dxa"/>
          </w:tcPr>
          <w:p w:rsidR="001E2AAD" w:rsidRDefault="001E2AAD">
            <w:pPr>
              <w:rPr>
                <w:noProof/>
                <w:sz w:val="20"/>
              </w:rPr>
            </w:pPr>
          </w:p>
        </w:tc>
      </w:tr>
      <w:tr w:rsidR="001E2AAD">
        <w:tc>
          <w:tcPr>
            <w:tcW w:w="3240" w:type="dxa"/>
          </w:tcPr>
          <w:p w:rsidR="001E2AAD" w:rsidRDefault="007B2354">
            <w:pPr>
              <w:spacing w:before="60" w:after="60"/>
              <w:rPr>
                <w:noProof/>
                <w:sz w:val="20"/>
              </w:rPr>
            </w:pPr>
            <w:r>
              <w:rPr>
                <w:noProof/>
                <w:sz w:val="20"/>
              </w:rPr>
              <w:t>Zunanji sodelavci</w:t>
            </w:r>
          </w:p>
        </w:tc>
        <w:tc>
          <w:tcPr>
            <w:tcW w:w="7200" w:type="dxa"/>
          </w:tcPr>
          <w:p w:rsidR="001E2AAD" w:rsidRDefault="001E2AAD">
            <w:pPr>
              <w:rPr>
                <w:noProof/>
                <w:sz w:val="20"/>
              </w:rPr>
            </w:pPr>
          </w:p>
        </w:tc>
      </w:tr>
    </w:tbl>
    <w:p w:rsidR="001E2AAD" w:rsidRDefault="001E2AAD">
      <w:pPr>
        <w:rPr>
          <w:noProof/>
        </w:rPr>
        <w:sectPr w:rsidR="001E2AAD" w:rsidSect="007B2354">
          <w:pgSz w:w="11907" w:h="16840"/>
          <w:pgMar w:top="1134" w:right="1418" w:bottom="1134" w:left="1418" w:header="709" w:footer="709" w:gutter="0"/>
          <w:cols w:space="708"/>
          <w:docGrid w:linePitch="360"/>
        </w:sectPr>
      </w:pPr>
    </w:p>
    <w:p w:rsidR="001E2AAD" w:rsidRDefault="007B2354">
      <w:pPr>
        <w:pStyle w:val="ManualHeading3"/>
        <w:rPr>
          <w:bCs/>
          <w:noProof/>
          <w:szCs w:val="24"/>
        </w:rPr>
      </w:pPr>
      <w:r>
        <w:t>8.2.4.</w:t>
      </w:r>
      <w:r>
        <w:tab/>
      </w:r>
      <w:r>
        <w:rPr>
          <w:noProof/>
        </w:rPr>
        <w:t xml:space="preserve">Skladnost z veljavnim večletnim finančnim okvirom </w:t>
      </w:r>
    </w:p>
    <w:p w:rsidR="001E2AAD" w:rsidRDefault="007B2354">
      <w:pPr>
        <w:pStyle w:val="ListDash1"/>
        <w:rPr>
          <w:noProof/>
        </w:rPr>
      </w:pPr>
      <w:r>
        <w:rPr>
          <w:noProof/>
        </w:rPr>
        <w:sym w:font="Wingdings" w:char="F0A8"/>
      </w:r>
      <w:r>
        <w:rPr>
          <w:noProof/>
        </w:rPr>
        <w:tab/>
        <w:t xml:space="preserve">Predlog/pobuda je v skladu z veljavnim večletnim </w:t>
      </w:r>
      <w:r>
        <w:rPr>
          <w:noProof/>
        </w:rPr>
        <w:t>finančnim okvirom.</w:t>
      </w:r>
    </w:p>
    <w:p w:rsidR="001E2AAD" w:rsidRDefault="007B2354">
      <w:pPr>
        <w:pStyle w:val="ListDash1"/>
        <w:rPr>
          <w:noProof/>
        </w:rPr>
      </w:pPr>
      <w:r>
        <w:rPr>
          <w:noProof/>
        </w:rPr>
        <w:sym w:font="Wingdings" w:char="F0A8"/>
      </w:r>
      <w:r>
        <w:rPr>
          <w:noProof/>
        </w:rPr>
        <w:tab/>
        <w:t>Za predlog/pobudo je potrebna sprememba zadevnega razdelka večletnega finančnega okvira.</w:t>
      </w:r>
    </w:p>
    <w:p w:rsidR="001E2AAD" w:rsidRDefault="007B2354">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rsidR="001E2AAD" w:rsidRDefault="001E2AAD">
      <w:pPr>
        <w:pStyle w:val="Text1"/>
        <w:pBdr>
          <w:top w:val="single" w:sz="4" w:space="1" w:color="auto"/>
          <w:left w:val="single" w:sz="4" w:space="4" w:color="auto"/>
          <w:bottom w:val="single" w:sz="4" w:space="1" w:color="auto"/>
          <w:right w:val="single" w:sz="4" w:space="4" w:color="auto"/>
        </w:pBdr>
        <w:rPr>
          <w:noProof/>
        </w:rPr>
      </w:pPr>
    </w:p>
    <w:p w:rsidR="001E2AAD" w:rsidRDefault="007B2354">
      <w:pPr>
        <w:pStyle w:val="ListDash1"/>
        <w:rPr>
          <w:noProof/>
        </w:rPr>
      </w:pPr>
      <w:r>
        <w:rPr>
          <w:noProof/>
        </w:rPr>
        <w:sym w:font="Wingdings" w:char="F0A8"/>
      </w:r>
      <w:r>
        <w:rPr>
          <w:noProof/>
        </w:rPr>
        <w:tab/>
        <w:t xml:space="preserve">Za predlog/pobudo je potrebna uporaba instrumenta </w:t>
      </w:r>
      <w:r>
        <w:rPr>
          <w:noProof/>
        </w:rPr>
        <w:t>prilagodljivosti ali sprememba večletnega finančnega okvira.</w:t>
      </w:r>
    </w:p>
    <w:p w:rsidR="001E2AAD" w:rsidRDefault="007B2354">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rsidR="001E2AAD" w:rsidRDefault="001E2AAD">
      <w:pPr>
        <w:pStyle w:val="Text1"/>
        <w:pBdr>
          <w:top w:val="single" w:sz="4" w:space="1" w:color="auto"/>
          <w:left w:val="single" w:sz="4" w:space="4" w:color="auto"/>
          <w:bottom w:val="single" w:sz="4" w:space="1" w:color="auto"/>
          <w:right w:val="single" w:sz="4" w:space="4" w:color="auto"/>
        </w:pBdr>
        <w:rPr>
          <w:noProof/>
        </w:rPr>
      </w:pPr>
    </w:p>
    <w:p w:rsidR="001E2AAD" w:rsidRDefault="007B2354">
      <w:pPr>
        <w:pStyle w:val="ManualHeading3"/>
        <w:rPr>
          <w:bCs/>
          <w:noProof/>
          <w:szCs w:val="24"/>
        </w:rPr>
      </w:pPr>
      <w:r>
        <w:t>8.2.5.</w:t>
      </w:r>
      <w:r>
        <w:tab/>
      </w:r>
      <w:r>
        <w:rPr>
          <w:noProof/>
        </w:rPr>
        <w:t xml:space="preserve">Udeležba tretjih oseb pri financiranju </w:t>
      </w:r>
    </w:p>
    <w:p w:rsidR="001E2AAD" w:rsidRDefault="007B2354">
      <w:pPr>
        <w:pStyle w:val="ListDash1"/>
        <w:rPr>
          <w:noProof/>
        </w:rPr>
      </w:pPr>
      <w:r>
        <w:rPr>
          <w:noProof/>
        </w:rPr>
        <w:t>V predlogu/pobudi ni načrtovano sofinanciranje tretj</w:t>
      </w:r>
      <w:r>
        <w:rPr>
          <w:noProof/>
        </w:rPr>
        <w:t xml:space="preserve">ih oseb. </w:t>
      </w:r>
    </w:p>
    <w:p w:rsidR="001E2AAD" w:rsidRDefault="007B2354">
      <w:pPr>
        <w:pStyle w:val="ListDash1"/>
        <w:rPr>
          <w:noProof/>
        </w:rPr>
      </w:pPr>
      <w:r>
        <w:rPr>
          <w:noProof/>
        </w:rPr>
        <w:t>V predlogu/pobudi je načrtovano sofinanciranje, kot je ocenjeno v nadaljevanju:</w:t>
      </w:r>
    </w:p>
    <w:p w:rsidR="001E2AAD" w:rsidRDefault="007B2354">
      <w:pPr>
        <w:jc w:val="right"/>
        <w:rPr>
          <w:noProof/>
          <w:sz w:val="20"/>
        </w:rPr>
      </w:pPr>
      <w:r>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E2AAD">
        <w:trPr>
          <w:cantSplit/>
        </w:trPr>
        <w:tc>
          <w:tcPr>
            <w:tcW w:w="2340" w:type="dxa"/>
          </w:tcPr>
          <w:p w:rsidR="001E2AAD" w:rsidRDefault="001E2AAD">
            <w:pPr>
              <w:spacing w:before="60" w:after="60"/>
              <w:rPr>
                <w:noProof/>
                <w:sz w:val="20"/>
              </w:rPr>
            </w:pPr>
          </w:p>
        </w:tc>
        <w:tc>
          <w:tcPr>
            <w:tcW w:w="964" w:type="dxa"/>
            <w:vAlign w:val="center"/>
          </w:tcPr>
          <w:p w:rsidR="001E2AAD" w:rsidRDefault="007B2354">
            <w:pPr>
              <w:jc w:val="center"/>
              <w:rPr>
                <w:noProof/>
                <w:sz w:val="20"/>
              </w:rPr>
            </w:pPr>
            <w:r>
              <w:rPr>
                <w:noProof/>
                <w:sz w:val="20"/>
              </w:rPr>
              <w:t>Leto</w:t>
            </w:r>
            <w:r>
              <w:rPr>
                <w:noProof/>
                <w:sz w:val="22"/>
              </w:rPr>
              <w:br/>
            </w:r>
            <w:r>
              <w:rPr>
                <w:b/>
                <w:noProof/>
                <w:sz w:val="20"/>
              </w:rPr>
              <w:t>N</w:t>
            </w:r>
          </w:p>
        </w:tc>
        <w:tc>
          <w:tcPr>
            <w:tcW w:w="964" w:type="dxa"/>
            <w:vAlign w:val="center"/>
          </w:tcPr>
          <w:p w:rsidR="001E2AAD" w:rsidRDefault="007B2354">
            <w:pPr>
              <w:jc w:val="center"/>
              <w:rPr>
                <w:noProof/>
                <w:sz w:val="20"/>
              </w:rPr>
            </w:pPr>
            <w:r>
              <w:rPr>
                <w:noProof/>
                <w:sz w:val="20"/>
              </w:rPr>
              <w:t>Leto</w:t>
            </w:r>
            <w:r>
              <w:rPr>
                <w:noProof/>
                <w:sz w:val="22"/>
              </w:rPr>
              <w:br/>
            </w:r>
            <w:r>
              <w:rPr>
                <w:b/>
                <w:noProof/>
                <w:sz w:val="20"/>
              </w:rPr>
              <w:t>N+1</w:t>
            </w:r>
          </w:p>
        </w:tc>
        <w:tc>
          <w:tcPr>
            <w:tcW w:w="964" w:type="dxa"/>
            <w:vAlign w:val="center"/>
          </w:tcPr>
          <w:p w:rsidR="001E2AAD" w:rsidRDefault="007B2354">
            <w:pPr>
              <w:jc w:val="center"/>
              <w:rPr>
                <w:noProof/>
                <w:sz w:val="20"/>
              </w:rPr>
            </w:pPr>
            <w:r>
              <w:rPr>
                <w:noProof/>
                <w:sz w:val="20"/>
              </w:rPr>
              <w:t>Leto</w:t>
            </w:r>
            <w:r>
              <w:rPr>
                <w:noProof/>
                <w:sz w:val="22"/>
              </w:rPr>
              <w:br/>
            </w:r>
            <w:r>
              <w:rPr>
                <w:b/>
                <w:noProof/>
                <w:sz w:val="20"/>
              </w:rPr>
              <w:t>N+2</w:t>
            </w:r>
          </w:p>
        </w:tc>
        <w:tc>
          <w:tcPr>
            <w:tcW w:w="964" w:type="dxa"/>
            <w:vAlign w:val="center"/>
          </w:tcPr>
          <w:p w:rsidR="001E2AAD" w:rsidRDefault="007B2354">
            <w:pPr>
              <w:jc w:val="center"/>
              <w:rPr>
                <w:noProof/>
                <w:sz w:val="20"/>
              </w:rPr>
            </w:pPr>
            <w:r>
              <w:rPr>
                <w:noProof/>
                <w:sz w:val="20"/>
              </w:rPr>
              <w:t>Leto</w:t>
            </w:r>
            <w:r>
              <w:rPr>
                <w:noProof/>
                <w:sz w:val="22"/>
              </w:rPr>
              <w:br/>
            </w:r>
            <w:r>
              <w:rPr>
                <w:b/>
                <w:noProof/>
                <w:sz w:val="20"/>
              </w:rPr>
              <w:t>N+3</w:t>
            </w:r>
          </w:p>
        </w:tc>
        <w:tc>
          <w:tcPr>
            <w:tcW w:w="2892" w:type="dxa"/>
            <w:gridSpan w:val="3"/>
            <w:vAlign w:val="center"/>
          </w:tcPr>
          <w:p w:rsidR="001E2AAD" w:rsidRDefault="007B2354">
            <w:pPr>
              <w:jc w:val="center"/>
              <w:rPr>
                <w:b/>
                <w:noProof/>
                <w:sz w:val="20"/>
              </w:rPr>
            </w:pPr>
            <w:r>
              <w:rPr>
                <w:noProof/>
                <w:sz w:val="20"/>
              </w:rPr>
              <w:t>Vstavite ustrezno število let glede na trajanje posledic (gl. točko 1.6)</w:t>
            </w:r>
          </w:p>
        </w:tc>
        <w:tc>
          <w:tcPr>
            <w:tcW w:w="1158" w:type="dxa"/>
            <w:vAlign w:val="center"/>
          </w:tcPr>
          <w:p w:rsidR="001E2AAD" w:rsidRDefault="007B2354">
            <w:pPr>
              <w:spacing w:before="60" w:after="60"/>
              <w:jc w:val="center"/>
              <w:rPr>
                <w:noProof/>
                <w:sz w:val="20"/>
              </w:rPr>
            </w:pPr>
            <w:r>
              <w:rPr>
                <w:noProof/>
                <w:sz w:val="20"/>
              </w:rPr>
              <w:t>Sku</w:t>
            </w:r>
            <w:r>
              <w:rPr>
                <w:noProof/>
                <w:sz w:val="20"/>
              </w:rPr>
              <w:t>paj</w:t>
            </w:r>
          </w:p>
        </w:tc>
      </w:tr>
      <w:tr w:rsidR="001E2AAD">
        <w:trPr>
          <w:cantSplit/>
        </w:trPr>
        <w:tc>
          <w:tcPr>
            <w:tcW w:w="2340" w:type="dxa"/>
          </w:tcPr>
          <w:p w:rsidR="001E2AAD" w:rsidRDefault="007B2354">
            <w:pPr>
              <w:rPr>
                <w:noProof/>
                <w:sz w:val="22"/>
              </w:rPr>
            </w:pPr>
            <w:r>
              <w:rPr>
                <w:noProof/>
                <w:sz w:val="20"/>
              </w:rPr>
              <w:t>Navedite organ, ki bo sofinanciral predlog/pobudo</w:t>
            </w:r>
            <w:r>
              <w:rPr>
                <w:i/>
                <w:noProof/>
                <w:sz w:val="20"/>
              </w:rPr>
              <w:t xml:space="preserve"> </w:t>
            </w: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1158" w:type="dxa"/>
            <w:vAlign w:val="center"/>
          </w:tcPr>
          <w:p w:rsidR="001E2AAD" w:rsidRDefault="001E2AAD">
            <w:pPr>
              <w:spacing w:before="60" w:after="60"/>
              <w:jc w:val="center"/>
              <w:rPr>
                <w:noProof/>
                <w:sz w:val="20"/>
              </w:rPr>
            </w:pPr>
          </w:p>
        </w:tc>
      </w:tr>
      <w:tr w:rsidR="001E2AAD">
        <w:trPr>
          <w:cantSplit/>
        </w:trPr>
        <w:tc>
          <w:tcPr>
            <w:tcW w:w="2340" w:type="dxa"/>
          </w:tcPr>
          <w:p w:rsidR="001E2AAD" w:rsidRDefault="007B2354">
            <w:pPr>
              <w:spacing w:before="60" w:after="60"/>
              <w:jc w:val="left"/>
              <w:rPr>
                <w:noProof/>
                <w:sz w:val="20"/>
              </w:rPr>
            </w:pPr>
            <w:r>
              <w:rPr>
                <w:noProof/>
                <w:sz w:val="20"/>
              </w:rPr>
              <w:t xml:space="preserve">Sofinancirane odobritve SKUPAJ </w:t>
            </w: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964" w:type="dxa"/>
            <w:vAlign w:val="center"/>
          </w:tcPr>
          <w:p w:rsidR="001E2AAD" w:rsidRDefault="001E2AAD">
            <w:pPr>
              <w:spacing w:before="60" w:after="60"/>
              <w:jc w:val="center"/>
              <w:rPr>
                <w:noProof/>
                <w:sz w:val="20"/>
              </w:rPr>
            </w:pPr>
          </w:p>
        </w:tc>
        <w:tc>
          <w:tcPr>
            <w:tcW w:w="1158" w:type="dxa"/>
            <w:vAlign w:val="center"/>
          </w:tcPr>
          <w:p w:rsidR="001E2AAD" w:rsidRDefault="001E2AAD">
            <w:pPr>
              <w:spacing w:before="60" w:after="60"/>
              <w:jc w:val="center"/>
              <w:rPr>
                <w:noProof/>
                <w:sz w:val="20"/>
              </w:rPr>
            </w:pPr>
          </w:p>
        </w:tc>
      </w:tr>
    </w:tbl>
    <w:p w:rsidR="001E2AAD" w:rsidRDefault="007B2354">
      <w:pPr>
        <w:rPr>
          <w:noProof/>
        </w:rPr>
      </w:pPr>
      <w:r>
        <w:rPr>
          <w:noProof/>
        </w:rPr>
        <w:br/>
      </w:r>
    </w:p>
    <w:p w:rsidR="001E2AAD" w:rsidRDefault="007B2354">
      <w:pPr>
        <w:pStyle w:val="ManualHeading2"/>
        <w:rPr>
          <w:noProof/>
        </w:rPr>
      </w:pPr>
      <w:r>
        <w:rPr>
          <w:noProof/>
        </w:rPr>
        <w:br w:type="page"/>
      </w:r>
      <w:r>
        <w:t>8.3.</w:t>
      </w:r>
      <w:r>
        <w:tab/>
      </w:r>
      <w:r>
        <w:rPr>
          <w:noProof/>
        </w:rPr>
        <w:t xml:space="preserve">Ocenjene posledice za prihodke </w:t>
      </w:r>
    </w:p>
    <w:p w:rsidR="001E2AAD" w:rsidRDefault="007B2354">
      <w:pPr>
        <w:pStyle w:val="Text1"/>
        <w:rPr>
          <w:i/>
          <w:noProof/>
        </w:rPr>
      </w:pPr>
      <w:r>
        <w:rPr>
          <w:i/>
          <w:noProof/>
        </w:rPr>
        <w:t>Ne vpliva na proračun Unije.</w:t>
      </w:r>
    </w:p>
    <w:p w:rsidR="001E2AAD" w:rsidRDefault="007B2354">
      <w:pPr>
        <w:pStyle w:val="ListDash1"/>
        <w:rPr>
          <w:noProof/>
        </w:rPr>
      </w:pPr>
      <w:r>
        <w:rPr>
          <w:noProof/>
        </w:rPr>
        <w:sym w:font="Wingdings" w:char="F0A8"/>
      </w:r>
      <w:r>
        <w:rPr>
          <w:noProof/>
        </w:rPr>
        <w:tab/>
        <w:t>Predlog/pobuda nima finančnih posledic za prihodke.</w:t>
      </w:r>
    </w:p>
    <w:p w:rsidR="001E2AAD" w:rsidRDefault="007B2354">
      <w:pPr>
        <w:pStyle w:val="ListDash1"/>
        <w:rPr>
          <w:noProof/>
        </w:rPr>
      </w:pPr>
      <w:r>
        <w:rPr>
          <w:noProof/>
        </w:rPr>
        <w:sym w:font="Wingdings" w:char="F0A8"/>
      </w:r>
      <w:r>
        <w:rPr>
          <w:noProof/>
        </w:rPr>
        <w:tab/>
        <w:t xml:space="preserve">Predlog/pobuda ima </w:t>
      </w:r>
      <w:r>
        <w:rPr>
          <w:noProof/>
        </w:rPr>
        <w:t>finančne posledice, kot je pojasnjeno v nadaljevanju:</w:t>
      </w:r>
    </w:p>
    <w:p w:rsidR="001E2AAD" w:rsidRDefault="007B2354">
      <w:pPr>
        <w:pStyle w:val="ListNumberLevel3"/>
        <w:tabs>
          <w:tab w:val="clear" w:pos="2126"/>
        </w:tabs>
        <w:rPr>
          <w:noProof/>
        </w:rPr>
      </w:pPr>
      <w:r>
        <w:rPr>
          <w:noProof/>
        </w:rPr>
        <w:sym w:font="Wingdings" w:char="F0A8"/>
      </w:r>
      <w:r>
        <w:rPr>
          <w:noProof/>
        </w:rPr>
        <w:tab/>
        <w:t xml:space="preserve">za lastna sredstva, </w:t>
      </w:r>
    </w:p>
    <w:p w:rsidR="001E2AAD" w:rsidRDefault="007B2354">
      <w:pPr>
        <w:pStyle w:val="ListNumberLevel3"/>
        <w:tabs>
          <w:tab w:val="clear" w:pos="2126"/>
        </w:tabs>
        <w:rPr>
          <w:noProof/>
        </w:rPr>
      </w:pPr>
      <w:r>
        <w:rPr>
          <w:noProof/>
        </w:rPr>
        <w:sym w:font="Wingdings" w:char="F0A8"/>
      </w:r>
      <w:r>
        <w:rPr>
          <w:noProof/>
        </w:rPr>
        <w:tab/>
        <w:t xml:space="preserve">za razne prihodke. </w:t>
      </w:r>
    </w:p>
    <w:p w:rsidR="001E2AAD" w:rsidRDefault="007B2354">
      <w:pPr>
        <w:jc w:val="right"/>
        <w:rPr>
          <w:i/>
          <w:noProof/>
          <w:sz w:val="20"/>
        </w:rPr>
      </w:pPr>
      <w:r>
        <w:rPr>
          <w:noProof/>
        </w:rPr>
        <w:t>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E2AAD">
        <w:trPr>
          <w:trHeight w:val="388"/>
        </w:trPr>
        <w:tc>
          <w:tcPr>
            <w:tcW w:w="2144" w:type="dxa"/>
            <w:vMerge w:val="restart"/>
            <w:vAlign w:val="center"/>
          </w:tcPr>
          <w:p w:rsidR="001E2AAD" w:rsidRDefault="007B2354">
            <w:pPr>
              <w:spacing w:before="40" w:after="40"/>
              <w:rPr>
                <w:noProof/>
                <w:sz w:val="18"/>
              </w:rPr>
            </w:pPr>
            <w:r>
              <w:rPr>
                <w:noProof/>
                <w:sz w:val="18"/>
              </w:rPr>
              <w:t>Prihodkovna proračunska vrstica</w:t>
            </w:r>
          </w:p>
        </w:tc>
        <w:tc>
          <w:tcPr>
            <w:tcW w:w="1276" w:type="dxa"/>
            <w:vMerge w:val="restart"/>
            <w:vAlign w:val="center"/>
          </w:tcPr>
          <w:p w:rsidR="001E2AAD" w:rsidRDefault="007B2354">
            <w:pPr>
              <w:jc w:val="center"/>
              <w:rPr>
                <w:noProof/>
                <w:sz w:val="18"/>
              </w:rPr>
            </w:pPr>
            <w:r>
              <w:rPr>
                <w:noProof/>
                <w:sz w:val="18"/>
              </w:rPr>
              <w:t>Odobritve na voljo za tekoče proračunsko leto</w:t>
            </w:r>
          </w:p>
        </w:tc>
        <w:tc>
          <w:tcPr>
            <w:tcW w:w="7200" w:type="dxa"/>
            <w:gridSpan w:val="7"/>
            <w:vAlign w:val="center"/>
          </w:tcPr>
          <w:p w:rsidR="001E2AAD" w:rsidRDefault="007B2354">
            <w:pPr>
              <w:jc w:val="center"/>
              <w:rPr>
                <w:noProof/>
                <w:sz w:val="18"/>
              </w:rPr>
            </w:pPr>
            <w:r>
              <w:rPr>
                <w:noProof/>
                <w:sz w:val="18"/>
              </w:rPr>
              <w:t>Posledice predloga/pobude</w:t>
            </w:r>
            <w:r>
              <w:rPr>
                <w:rStyle w:val="FootnoteReference"/>
                <w:noProof/>
                <w:sz w:val="18"/>
              </w:rPr>
              <w:footnoteReference w:id="29"/>
            </w:r>
          </w:p>
        </w:tc>
      </w:tr>
      <w:tr w:rsidR="001E2AAD">
        <w:trPr>
          <w:trHeight w:val="388"/>
        </w:trPr>
        <w:tc>
          <w:tcPr>
            <w:tcW w:w="2144" w:type="dxa"/>
            <w:vMerge/>
          </w:tcPr>
          <w:p w:rsidR="001E2AAD" w:rsidRDefault="001E2AAD">
            <w:pPr>
              <w:spacing w:before="40" w:after="40"/>
              <w:rPr>
                <w:noProof/>
                <w:sz w:val="18"/>
              </w:rPr>
            </w:pPr>
          </w:p>
        </w:tc>
        <w:tc>
          <w:tcPr>
            <w:tcW w:w="1276" w:type="dxa"/>
            <w:vMerge/>
          </w:tcPr>
          <w:p w:rsidR="001E2AAD" w:rsidRDefault="001E2AAD">
            <w:pPr>
              <w:spacing w:beforeLines="40" w:before="96" w:afterLines="40" w:after="96"/>
              <w:rPr>
                <w:i/>
                <w:noProof/>
                <w:sz w:val="18"/>
              </w:rPr>
            </w:pPr>
          </w:p>
        </w:tc>
        <w:tc>
          <w:tcPr>
            <w:tcW w:w="1080" w:type="dxa"/>
            <w:vAlign w:val="center"/>
          </w:tcPr>
          <w:p w:rsidR="001E2AAD" w:rsidRDefault="007B2354">
            <w:pPr>
              <w:jc w:val="center"/>
              <w:rPr>
                <w:noProof/>
                <w:sz w:val="18"/>
              </w:rPr>
            </w:pPr>
            <w:r>
              <w:rPr>
                <w:noProof/>
                <w:sz w:val="18"/>
              </w:rPr>
              <w:t>Leto</w:t>
            </w:r>
            <w:r>
              <w:rPr>
                <w:noProof/>
                <w:sz w:val="22"/>
              </w:rPr>
              <w:br/>
            </w:r>
            <w:r>
              <w:rPr>
                <w:b/>
                <w:noProof/>
                <w:sz w:val="18"/>
              </w:rPr>
              <w:t>N</w:t>
            </w:r>
          </w:p>
        </w:tc>
        <w:tc>
          <w:tcPr>
            <w:tcW w:w="900" w:type="dxa"/>
            <w:vAlign w:val="center"/>
          </w:tcPr>
          <w:p w:rsidR="001E2AAD" w:rsidRDefault="007B2354">
            <w:pPr>
              <w:jc w:val="center"/>
              <w:rPr>
                <w:noProof/>
                <w:sz w:val="18"/>
              </w:rPr>
            </w:pPr>
            <w:r>
              <w:rPr>
                <w:noProof/>
                <w:sz w:val="18"/>
              </w:rPr>
              <w:t>Leto</w:t>
            </w:r>
            <w:r>
              <w:rPr>
                <w:noProof/>
                <w:sz w:val="22"/>
              </w:rPr>
              <w:br/>
            </w:r>
            <w:r>
              <w:rPr>
                <w:b/>
                <w:noProof/>
                <w:sz w:val="18"/>
              </w:rPr>
              <w:t>N+1</w:t>
            </w:r>
          </w:p>
        </w:tc>
        <w:tc>
          <w:tcPr>
            <w:tcW w:w="900" w:type="dxa"/>
            <w:vAlign w:val="center"/>
          </w:tcPr>
          <w:p w:rsidR="001E2AAD" w:rsidRDefault="007B2354">
            <w:pPr>
              <w:jc w:val="center"/>
              <w:rPr>
                <w:noProof/>
                <w:sz w:val="18"/>
              </w:rPr>
            </w:pPr>
            <w:r>
              <w:rPr>
                <w:noProof/>
                <w:sz w:val="18"/>
              </w:rPr>
              <w:t>Leto</w:t>
            </w:r>
            <w:r>
              <w:rPr>
                <w:noProof/>
                <w:sz w:val="22"/>
              </w:rPr>
              <w:br/>
            </w:r>
            <w:r>
              <w:rPr>
                <w:b/>
                <w:noProof/>
                <w:sz w:val="18"/>
              </w:rPr>
              <w:t>N+2</w:t>
            </w:r>
          </w:p>
        </w:tc>
        <w:tc>
          <w:tcPr>
            <w:tcW w:w="1080" w:type="dxa"/>
            <w:vAlign w:val="center"/>
          </w:tcPr>
          <w:p w:rsidR="001E2AAD" w:rsidRDefault="007B2354">
            <w:pPr>
              <w:jc w:val="center"/>
              <w:rPr>
                <w:noProof/>
                <w:sz w:val="18"/>
              </w:rPr>
            </w:pPr>
            <w:r>
              <w:rPr>
                <w:noProof/>
                <w:sz w:val="18"/>
              </w:rPr>
              <w:t>Leto</w:t>
            </w:r>
            <w:r>
              <w:rPr>
                <w:noProof/>
                <w:sz w:val="22"/>
              </w:rPr>
              <w:br/>
            </w:r>
            <w:r>
              <w:rPr>
                <w:b/>
                <w:noProof/>
                <w:sz w:val="18"/>
              </w:rPr>
              <w:t>N+3</w:t>
            </w:r>
          </w:p>
        </w:tc>
        <w:tc>
          <w:tcPr>
            <w:tcW w:w="3240" w:type="dxa"/>
            <w:gridSpan w:val="3"/>
            <w:vAlign w:val="center"/>
          </w:tcPr>
          <w:p w:rsidR="001E2AAD" w:rsidRDefault="007B2354">
            <w:pPr>
              <w:jc w:val="center"/>
              <w:rPr>
                <w:b/>
                <w:noProof/>
                <w:sz w:val="18"/>
              </w:rPr>
            </w:pPr>
            <w:r>
              <w:rPr>
                <w:noProof/>
                <w:sz w:val="18"/>
              </w:rPr>
              <w:t>Vstavite ustrezno število let glede na trajanje posledic (gl. točko 1.6)</w:t>
            </w:r>
          </w:p>
        </w:tc>
      </w:tr>
      <w:tr w:rsidR="001E2AAD">
        <w:trPr>
          <w:trHeight w:val="388"/>
        </w:trPr>
        <w:tc>
          <w:tcPr>
            <w:tcW w:w="2144" w:type="dxa"/>
            <w:vAlign w:val="center"/>
          </w:tcPr>
          <w:p w:rsidR="001E2AAD" w:rsidRDefault="007B2354">
            <w:pPr>
              <w:spacing w:before="40" w:after="40"/>
              <w:rPr>
                <w:noProof/>
                <w:sz w:val="18"/>
              </w:rPr>
            </w:pPr>
            <w:r>
              <w:rPr>
                <w:noProof/>
                <w:sz w:val="18"/>
              </w:rPr>
              <w:t>Člen ………….</w:t>
            </w:r>
          </w:p>
        </w:tc>
        <w:tc>
          <w:tcPr>
            <w:tcW w:w="1276" w:type="dxa"/>
          </w:tcPr>
          <w:p w:rsidR="001E2AAD" w:rsidRDefault="001E2AAD">
            <w:pPr>
              <w:spacing w:beforeLines="40" w:before="96" w:afterLines="40" w:after="96"/>
              <w:jc w:val="center"/>
              <w:rPr>
                <w:i/>
                <w:noProof/>
                <w:sz w:val="18"/>
              </w:rPr>
            </w:pPr>
          </w:p>
        </w:tc>
        <w:tc>
          <w:tcPr>
            <w:tcW w:w="1080" w:type="dxa"/>
          </w:tcPr>
          <w:p w:rsidR="001E2AAD" w:rsidRDefault="001E2AAD">
            <w:pPr>
              <w:spacing w:beforeLines="40" w:before="96" w:afterLines="40" w:after="96"/>
              <w:jc w:val="center"/>
              <w:rPr>
                <w:noProof/>
                <w:sz w:val="18"/>
              </w:rPr>
            </w:pPr>
          </w:p>
        </w:tc>
        <w:tc>
          <w:tcPr>
            <w:tcW w:w="900" w:type="dxa"/>
          </w:tcPr>
          <w:p w:rsidR="001E2AAD" w:rsidRDefault="001E2AAD">
            <w:pPr>
              <w:spacing w:beforeLines="40" w:before="96" w:afterLines="40" w:after="96"/>
              <w:jc w:val="center"/>
              <w:rPr>
                <w:noProof/>
                <w:sz w:val="18"/>
              </w:rPr>
            </w:pPr>
          </w:p>
        </w:tc>
        <w:tc>
          <w:tcPr>
            <w:tcW w:w="900" w:type="dxa"/>
          </w:tcPr>
          <w:p w:rsidR="001E2AAD" w:rsidRDefault="001E2AAD">
            <w:pPr>
              <w:spacing w:beforeLines="40" w:before="96" w:afterLines="40" w:after="96"/>
              <w:jc w:val="center"/>
              <w:rPr>
                <w:noProof/>
                <w:sz w:val="18"/>
              </w:rPr>
            </w:pPr>
          </w:p>
        </w:tc>
        <w:tc>
          <w:tcPr>
            <w:tcW w:w="1080" w:type="dxa"/>
          </w:tcPr>
          <w:p w:rsidR="001E2AAD" w:rsidRDefault="001E2AAD">
            <w:pPr>
              <w:spacing w:beforeLines="40" w:before="96" w:afterLines="40" w:after="96"/>
              <w:jc w:val="center"/>
              <w:rPr>
                <w:noProof/>
                <w:sz w:val="18"/>
              </w:rPr>
            </w:pPr>
          </w:p>
        </w:tc>
        <w:tc>
          <w:tcPr>
            <w:tcW w:w="1080" w:type="dxa"/>
          </w:tcPr>
          <w:p w:rsidR="001E2AAD" w:rsidRDefault="001E2AAD">
            <w:pPr>
              <w:spacing w:beforeLines="40" w:before="96" w:afterLines="40" w:after="96"/>
              <w:jc w:val="center"/>
              <w:rPr>
                <w:noProof/>
                <w:sz w:val="18"/>
              </w:rPr>
            </w:pPr>
          </w:p>
        </w:tc>
        <w:tc>
          <w:tcPr>
            <w:tcW w:w="1080" w:type="dxa"/>
          </w:tcPr>
          <w:p w:rsidR="001E2AAD" w:rsidRDefault="001E2AAD">
            <w:pPr>
              <w:spacing w:beforeLines="40" w:before="96" w:afterLines="40" w:after="96"/>
              <w:jc w:val="center"/>
              <w:rPr>
                <w:noProof/>
                <w:sz w:val="18"/>
              </w:rPr>
            </w:pPr>
          </w:p>
        </w:tc>
        <w:tc>
          <w:tcPr>
            <w:tcW w:w="1080" w:type="dxa"/>
          </w:tcPr>
          <w:p w:rsidR="001E2AAD" w:rsidRDefault="001E2AAD">
            <w:pPr>
              <w:spacing w:beforeLines="40" w:before="96" w:afterLines="40" w:after="96"/>
              <w:jc w:val="center"/>
              <w:rPr>
                <w:noProof/>
                <w:sz w:val="18"/>
              </w:rPr>
            </w:pPr>
          </w:p>
        </w:tc>
      </w:tr>
    </w:tbl>
    <w:p w:rsidR="001E2AAD" w:rsidRDefault="007B2354">
      <w:pPr>
        <w:pStyle w:val="Text1"/>
        <w:rPr>
          <w:noProof/>
          <w:sz w:val="20"/>
        </w:rPr>
      </w:pPr>
      <w:r>
        <w:rPr>
          <w:noProof/>
          <w:sz w:val="20"/>
        </w:rPr>
        <w:t>Za razne namenske prejemke navedite zadevne proračunske vrstice odhodkov.</w:t>
      </w:r>
    </w:p>
    <w:p w:rsidR="001E2AAD" w:rsidRDefault="001E2AAD">
      <w:pPr>
        <w:pStyle w:val="Text1"/>
        <w:pBdr>
          <w:top w:val="single" w:sz="4" w:space="1" w:color="auto"/>
          <w:left w:val="single" w:sz="4" w:space="4" w:color="auto"/>
          <w:bottom w:val="single" w:sz="4" w:space="1" w:color="auto"/>
          <w:right w:val="single" w:sz="4" w:space="4" w:color="auto"/>
        </w:pBdr>
        <w:rPr>
          <w:noProof/>
        </w:rPr>
      </w:pPr>
    </w:p>
    <w:p w:rsidR="001E2AAD" w:rsidRDefault="007B2354">
      <w:pPr>
        <w:pStyle w:val="Text1"/>
        <w:rPr>
          <w:noProof/>
          <w:sz w:val="20"/>
        </w:rPr>
      </w:pPr>
      <w:r>
        <w:rPr>
          <w:noProof/>
          <w:sz w:val="20"/>
        </w:rPr>
        <w:t>Navedite metodo za izračun posledic za prihodke.</w:t>
      </w:r>
    </w:p>
    <w:p w:rsidR="001E2AAD" w:rsidRDefault="001E2AAD">
      <w:pPr>
        <w:pStyle w:val="Text1"/>
        <w:pBdr>
          <w:top w:val="single" w:sz="4" w:space="1" w:color="auto"/>
          <w:left w:val="single" w:sz="4" w:space="4" w:color="auto"/>
          <w:bottom w:val="single" w:sz="4" w:space="1" w:color="auto"/>
          <w:right w:val="single" w:sz="4" w:space="4" w:color="auto"/>
        </w:pBdr>
        <w:rPr>
          <w:noProof/>
        </w:rPr>
      </w:pPr>
    </w:p>
    <w:p w:rsidR="001E2AAD" w:rsidRDefault="001E2AAD">
      <w:pPr>
        <w:rPr>
          <w:noProof/>
        </w:rPr>
      </w:pPr>
    </w:p>
    <w:sectPr w:rsidR="001E2AAD" w:rsidSect="007B2354">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AD" w:rsidRDefault="007B2354">
      <w:pPr>
        <w:spacing w:before="0" w:after="0"/>
      </w:pPr>
      <w:r>
        <w:separator/>
      </w:r>
    </w:p>
  </w:endnote>
  <w:endnote w:type="continuationSeparator" w:id="0">
    <w:p w:rsidR="001E2AAD" w:rsidRDefault="007B23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54" w:rsidRPr="007B2354" w:rsidRDefault="007B2354" w:rsidP="007B2354">
    <w:pPr>
      <w:pStyle w:val="Footer"/>
      <w:rPr>
        <w:rFonts w:ascii="Arial" w:hAnsi="Arial" w:cs="Arial"/>
        <w:b/>
        <w:sz w:val="48"/>
      </w:rPr>
    </w:pPr>
    <w:r w:rsidRPr="007B2354">
      <w:rPr>
        <w:rFonts w:ascii="Arial" w:hAnsi="Arial" w:cs="Arial"/>
        <w:b/>
        <w:sz w:val="48"/>
      </w:rPr>
      <w:t>SL</w:t>
    </w:r>
    <w:r w:rsidRPr="007B2354">
      <w:rPr>
        <w:rFonts w:ascii="Arial" w:hAnsi="Arial" w:cs="Arial"/>
        <w:b/>
        <w:sz w:val="48"/>
      </w:rPr>
      <w:tab/>
    </w:r>
    <w:r w:rsidRPr="007B2354">
      <w:rPr>
        <w:rFonts w:ascii="Arial" w:hAnsi="Arial" w:cs="Arial"/>
        <w:b/>
        <w:sz w:val="48"/>
      </w:rPr>
      <w:tab/>
    </w:r>
    <w:fldSimple w:instr=" DOCVARIABLE &quot;LW_Confidence&quot; \* MERGEFORMAT ">
      <w:r>
        <w:t xml:space="preserve"> </w:t>
      </w:r>
    </w:fldSimple>
    <w:r w:rsidRPr="007B2354">
      <w:tab/>
    </w:r>
    <w:proofErr w:type="spellStart"/>
    <w:r w:rsidRPr="007B2354">
      <w:rPr>
        <w:rFonts w:ascii="Arial" w:hAnsi="Arial" w:cs="Arial"/>
        <w:b/>
        <w:sz w:val="48"/>
      </w:rPr>
      <w:t>SL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54" w:rsidRPr="007B2354" w:rsidRDefault="007B2354" w:rsidP="007B2354">
    <w:pPr>
      <w:pStyle w:val="Footer"/>
      <w:rPr>
        <w:rFonts w:ascii="Arial" w:hAnsi="Arial" w:cs="Arial"/>
        <w:b/>
        <w:sz w:val="48"/>
      </w:rPr>
    </w:pPr>
    <w:r w:rsidRPr="007B2354">
      <w:rPr>
        <w:rFonts w:ascii="Arial" w:hAnsi="Arial" w:cs="Arial"/>
        <w:b/>
        <w:sz w:val="48"/>
      </w:rPr>
      <w:t>SL</w:t>
    </w:r>
    <w:r w:rsidRPr="007B2354">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7B2354">
      <w:tab/>
    </w:r>
    <w:r w:rsidRPr="007B2354">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54" w:rsidRPr="007B2354" w:rsidRDefault="007B2354" w:rsidP="007B23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D" w:rsidRPr="007B2354" w:rsidRDefault="007B2354" w:rsidP="007B2354">
    <w:pPr>
      <w:pStyle w:val="FooterLandscape"/>
      <w:rPr>
        <w:rFonts w:ascii="Arial" w:hAnsi="Arial" w:cs="Arial"/>
        <w:b/>
        <w:sz w:val="48"/>
      </w:rPr>
    </w:pPr>
    <w:r w:rsidRPr="007B2354">
      <w:rPr>
        <w:rFonts w:ascii="Arial" w:hAnsi="Arial" w:cs="Arial"/>
        <w:b/>
        <w:sz w:val="48"/>
      </w:rPr>
      <w:t>SL</w:t>
    </w:r>
    <w:r w:rsidRPr="007B2354">
      <w:rPr>
        <w:rFonts w:ascii="Arial" w:hAnsi="Arial" w:cs="Arial"/>
        <w:b/>
        <w:sz w:val="48"/>
      </w:rPr>
      <w:tab/>
    </w:r>
    <w:r>
      <w:fldChar w:fldCharType="begin"/>
    </w:r>
    <w:r>
      <w:instrText xml:space="preserve"> PAGE  \* MERGEFORMAT </w:instrText>
    </w:r>
    <w:r>
      <w:fldChar w:fldCharType="separate"/>
    </w:r>
    <w:r>
      <w:rPr>
        <w:noProof/>
      </w:rPr>
      <w:t>63</w:t>
    </w:r>
    <w:r>
      <w:fldChar w:fldCharType="end"/>
    </w:r>
    <w:r>
      <w:tab/>
    </w:r>
    <w:fldSimple w:instr=" DOCVARIABLE &quot;LW_Confidence&quot; \* MERGEFORMAT ">
      <w:r>
        <w:t xml:space="preserve"> </w:t>
      </w:r>
    </w:fldSimple>
    <w:r w:rsidRPr="007B2354">
      <w:tab/>
    </w:r>
    <w:r w:rsidRPr="007B2354">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54" w:rsidRPr="007B2354" w:rsidRDefault="007B2354" w:rsidP="007B2354">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D" w:rsidRPr="007B2354" w:rsidRDefault="007B2354" w:rsidP="007B2354">
    <w:pPr>
      <w:pStyle w:val="Footer"/>
      <w:rPr>
        <w:rFonts w:ascii="Arial" w:hAnsi="Arial" w:cs="Arial"/>
        <w:b/>
        <w:sz w:val="48"/>
      </w:rPr>
    </w:pPr>
    <w:r w:rsidRPr="007B2354">
      <w:rPr>
        <w:rFonts w:ascii="Arial" w:hAnsi="Arial" w:cs="Arial"/>
        <w:b/>
        <w:sz w:val="48"/>
      </w:rPr>
      <w:t>SL</w:t>
    </w:r>
    <w:r w:rsidRPr="007B2354">
      <w:rPr>
        <w:rFonts w:ascii="Arial" w:hAnsi="Arial" w:cs="Arial"/>
        <w:b/>
        <w:sz w:val="48"/>
      </w:rPr>
      <w:tab/>
    </w:r>
    <w:r>
      <w:fldChar w:fldCharType="begin"/>
    </w:r>
    <w:r>
      <w:instrText xml:space="preserve"> PAGE  \* MERGEFORMAT </w:instrText>
    </w:r>
    <w:r>
      <w:fldChar w:fldCharType="separate"/>
    </w:r>
    <w:r>
      <w:rPr>
        <w:noProof/>
      </w:rPr>
      <w:t>67</w:t>
    </w:r>
    <w:r>
      <w:fldChar w:fldCharType="end"/>
    </w:r>
    <w:r>
      <w:tab/>
    </w:r>
    <w:fldSimple w:instr=" DOCVARIABLE &quot;LW_Confidence&quot; \* MERGEFORMAT ">
      <w:r>
        <w:t xml:space="preserve"> </w:t>
      </w:r>
    </w:fldSimple>
    <w:r w:rsidRPr="007B2354">
      <w:tab/>
    </w:r>
    <w:r w:rsidRPr="007B2354">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54" w:rsidRPr="007B2354" w:rsidRDefault="007B2354" w:rsidP="007B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AD" w:rsidRDefault="007B2354">
      <w:pPr>
        <w:spacing w:before="0" w:after="0"/>
      </w:pPr>
      <w:r>
        <w:separator/>
      </w:r>
    </w:p>
  </w:footnote>
  <w:footnote w:type="continuationSeparator" w:id="0">
    <w:p w:rsidR="001E2AAD" w:rsidRDefault="007B2354">
      <w:pPr>
        <w:spacing w:before="0" w:after="0"/>
      </w:pPr>
      <w:r>
        <w:continuationSeparator/>
      </w:r>
    </w:p>
  </w:footnote>
  <w:footnote w:id="1">
    <w:p w:rsidR="001E2AAD" w:rsidRDefault="007B2354">
      <w:pPr>
        <w:rPr>
          <w:sz w:val="20"/>
          <w:szCs w:val="20"/>
        </w:rPr>
      </w:pPr>
      <w:r>
        <w:rPr>
          <w:rStyle w:val="FootnoteReference"/>
        </w:rPr>
        <w:footnoteRef/>
      </w:r>
      <w:r>
        <w:rPr>
          <w:sz w:val="20"/>
          <w:szCs w:val="20"/>
        </w:rPr>
        <w:tab/>
      </w:r>
      <w:r>
        <w:rPr>
          <w:sz w:val="20"/>
          <w:szCs w:val="20"/>
        </w:rPr>
        <w:t>Sporočilo Komisije Evropskemu parlamentu in Svetu z naslovom „Časovni načrt za uvedbo bančne unije“, COM(2012) 510, 12.9.2012.</w:t>
      </w:r>
    </w:p>
  </w:footnote>
  <w:footnote w:id="2">
    <w:p w:rsidR="001E2AAD" w:rsidRDefault="007B2354">
      <w:pPr>
        <w:rPr>
          <w:sz w:val="20"/>
          <w:szCs w:val="20"/>
        </w:rPr>
      </w:pPr>
      <w:r>
        <w:rPr>
          <w:rStyle w:val="FootnoteReference"/>
        </w:rPr>
        <w:footnoteRef/>
      </w:r>
      <w:r>
        <w:rPr>
          <w:sz w:val="20"/>
          <w:szCs w:val="20"/>
        </w:rPr>
        <w:tab/>
      </w:r>
      <w:r>
        <w:rPr>
          <w:sz w:val="20"/>
          <w:szCs w:val="20"/>
        </w:rPr>
        <w:t>Poročilo petih predsednikov z dne 22. junija 2015 z naslovom „Dokončanje evropske ekonomske in monetarne unije“, http://ec.euro</w:t>
      </w:r>
      <w:r>
        <w:rPr>
          <w:sz w:val="20"/>
          <w:szCs w:val="20"/>
        </w:rPr>
        <w:t xml:space="preserve">pa.eu/priorities/economic-monetary-union/docs/5-presidents-report_sl.pdf. </w:t>
      </w:r>
    </w:p>
  </w:footnote>
  <w:footnote w:id="3">
    <w:p w:rsidR="001E2AAD" w:rsidRDefault="007B2354">
      <w:pPr>
        <w:rPr>
          <w:sz w:val="20"/>
          <w:szCs w:val="20"/>
        </w:rPr>
      </w:pPr>
      <w:r>
        <w:rPr>
          <w:rStyle w:val="FootnoteReference"/>
        </w:rPr>
        <w:footnoteRef/>
      </w:r>
      <w:r>
        <w:rPr>
          <w:sz w:val="20"/>
          <w:szCs w:val="20"/>
        </w:rPr>
        <w:tab/>
      </w:r>
      <w:r>
        <w:rPr>
          <w:sz w:val="20"/>
          <w:szCs w:val="20"/>
        </w:rPr>
        <w:t xml:space="preserve">Sporočilo Komisije Evropskemu parlamentu, Svetu in Evropski Centralni Banki o korakih za dokončanje ekonomske in monetarne unije, COM(2015) 600 </w:t>
      </w:r>
      <w:proofErr w:type="spellStart"/>
      <w:r>
        <w:rPr>
          <w:sz w:val="20"/>
          <w:szCs w:val="20"/>
        </w:rPr>
        <w:t>final</w:t>
      </w:r>
      <w:proofErr w:type="spellEnd"/>
      <w:r>
        <w:rPr>
          <w:sz w:val="20"/>
          <w:szCs w:val="20"/>
        </w:rPr>
        <w:t xml:space="preserve"> 21.10.2015.</w:t>
      </w:r>
    </w:p>
  </w:footnote>
  <w:footnote w:id="4">
    <w:p w:rsidR="001E2AAD" w:rsidRDefault="007B2354">
      <w:pPr>
        <w:rPr>
          <w:rFonts w:eastAsia="Times New Roman"/>
          <w:sz w:val="20"/>
          <w:szCs w:val="20"/>
          <w:lang w:eastAsia="en-GB"/>
        </w:rPr>
      </w:pPr>
      <w:r>
        <w:rPr>
          <w:rStyle w:val="FootnoteReference"/>
        </w:rPr>
        <w:footnoteRef/>
      </w:r>
      <w:r>
        <w:rPr>
          <w:sz w:val="20"/>
          <w:szCs w:val="20"/>
        </w:rPr>
        <w:tab/>
      </w:r>
      <w:r>
        <w:rPr>
          <w:sz w:val="20"/>
          <w:szCs w:val="20"/>
        </w:rPr>
        <w:t xml:space="preserve">Uredba Sveta </w:t>
      </w:r>
      <w:r>
        <w:rPr>
          <w:sz w:val="20"/>
          <w:szCs w:val="20"/>
        </w:rPr>
        <w:t>(EU) št. 1024/2013 z dne 15. oktobra 2013 o prenosu posebnih nalog, ki se nanašajo na politike bonitetnega nadzora kreditnih institucij, na Evropsko centralno banko (UL L 287, 29.10.2013, str. 63–89).</w:t>
      </w:r>
    </w:p>
  </w:footnote>
  <w:footnote w:id="5">
    <w:p w:rsidR="001E2AAD" w:rsidRDefault="007B2354">
      <w:pPr>
        <w:rPr>
          <w:sz w:val="20"/>
          <w:szCs w:val="20"/>
        </w:rPr>
      </w:pPr>
      <w:r>
        <w:rPr>
          <w:rStyle w:val="FootnoteReference"/>
        </w:rPr>
        <w:footnoteRef/>
      </w:r>
      <w:r>
        <w:rPr>
          <w:sz w:val="20"/>
          <w:szCs w:val="20"/>
        </w:rPr>
        <w:tab/>
      </w:r>
      <w:r>
        <w:rPr>
          <w:sz w:val="20"/>
          <w:szCs w:val="20"/>
        </w:rPr>
        <w:t>Uredba (EU) št. 806/2014 Evropskega parlamenta in Sve</w:t>
      </w:r>
      <w:r>
        <w:rPr>
          <w:sz w:val="20"/>
          <w:szCs w:val="20"/>
        </w:rPr>
        <w:t>ta z dne 15. julija 2014 o določitvi enotnih pravil in enotnega postopka za reševanje kreditnih institucij in določenih investicijskih podjetij v okviru enotnega mehanizma za reševanje in enotnega sklada za reševanje ter o spremembi Uredbe (EU) št. 1093/20</w:t>
      </w:r>
      <w:r>
        <w:rPr>
          <w:sz w:val="20"/>
          <w:szCs w:val="20"/>
        </w:rPr>
        <w:t>10 (UL L 225, 30.7.2014, str. 1–90).</w:t>
      </w:r>
    </w:p>
  </w:footnote>
  <w:footnote w:id="6">
    <w:p w:rsidR="001E2AAD" w:rsidRDefault="007B2354">
      <w:pPr>
        <w:shd w:val="clear" w:color="auto" w:fill="FFFFFF" w:themeFill="background1"/>
        <w:spacing w:line="312" w:lineRule="atLeast"/>
        <w:rPr>
          <w:sz w:val="20"/>
          <w:szCs w:val="20"/>
        </w:rPr>
      </w:pPr>
      <w:r>
        <w:rPr>
          <w:rStyle w:val="FootnoteReference"/>
        </w:rPr>
        <w:footnoteRef/>
      </w:r>
      <w:r>
        <w:rPr>
          <w:sz w:val="20"/>
          <w:szCs w:val="20"/>
        </w:rPr>
        <w:tab/>
      </w:r>
      <w:r>
        <w:rPr>
          <w:sz w:val="20"/>
          <w:szCs w:val="20"/>
        </w:rPr>
        <w:t>Direktiva 2014/49/EU Evropskega parlamenta in Sveta z dne 16. aprila 2014 o sistemih jamstva za vloge (UL L 173, 12.6.2014, str. 149–178).</w:t>
      </w:r>
    </w:p>
  </w:footnote>
  <w:footnote w:id="7">
    <w:p w:rsidR="001E2AAD" w:rsidRDefault="007B2354">
      <w:pPr>
        <w:pStyle w:val="FootnoteText"/>
      </w:pPr>
      <w:r>
        <w:rPr>
          <w:rStyle w:val="FootnoteReference"/>
        </w:rPr>
        <w:footnoteRef/>
      </w:r>
      <w:r>
        <w:tab/>
      </w:r>
      <w:r>
        <w:t>Plačilo razlike v skladu s členom 75 Direktive 2014/59/EU: predpostavlja se,</w:t>
      </w:r>
      <w:r>
        <w:t xml:space="preserve"> da to pravilo velja po analogiji tudi za primere reševanja z EMR iz člena 79.</w:t>
      </w:r>
    </w:p>
  </w:footnote>
  <w:footnote w:id="8">
    <w:p w:rsidR="001E2AAD" w:rsidRDefault="007B2354">
      <w:pPr>
        <w:pStyle w:val="FootnoteText"/>
      </w:pPr>
      <w:r>
        <w:rPr>
          <w:rStyle w:val="FootnoteReference"/>
        </w:rPr>
        <w:footnoteRef/>
      </w:r>
      <w:r>
        <w:tab/>
      </w:r>
      <w:r>
        <w:t>Graf, ki primerja razvoj sredstev ESJV z razvojem sredstev sodelujočega SJV, če se država članica in sodelujoči SJV odločita za izravnavo predhodnih prispevkov, ki jih banka č</w:t>
      </w:r>
      <w:r>
        <w:t>lanica plača za ESJV, je na voljo na spletni strani Komisije: http://ec.europa.eu/finance/general-policy/banking-union/european-deposit-insurance-scheme/index_en.htm</w:t>
      </w:r>
    </w:p>
  </w:footnote>
  <w:footnote w:id="9">
    <w:p w:rsidR="001E2AAD" w:rsidRDefault="007B2354">
      <w:pPr>
        <w:pStyle w:val="FootnoteText"/>
        <w:rPr>
          <w:lang w:val="pl-PL"/>
        </w:rPr>
      </w:pPr>
      <w:r>
        <w:rPr>
          <w:rStyle w:val="FootnoteReference"/>
        </w:rPr>
        <w:footnoteRef/>
      </w:r>
      <w:r>
        <w:rPr>
          <w:lang w:val="pl-PL"/>
        </w:rPr>
        <w:tab/>
        <w:t xml:space="preserve">UL </w:t>
      </w:r>
      <w:proofErr w:type="gramStart"/>
      <w:r>
        <w:rPr>
          <w:lang w:val="pl-PL"/>
        </w:rPr>
        <w:t xml:space="preserve">C , , </w:t>
      </w:r>
      <w:proofErr w:type="gramEnd"/>
      <w:r>
        <w:rPr>
          <w:lang w:val="pl-PL"/>
        </w:rPr>
        <w:t>str. .</w:t>
      </w:r>
    </w:p>
  </w:footnote>
  <w:footnote w:id="10">
    <w:p w:rsidR="001E2AAD" w:rsidRDefault="007B2354">
      <w:pPr>
        <w:pStyle w:val="FootnoteText"/>
        <w:rPr>
          <w:lang w:val="pl-PL"/>
        </w:rPr>
      </w:pPr>
      <w:r>
        <w:rPr>
          <w:rStyle w:val="FootnoteReference"/>
        </w:rPr>
        <w:footnoteRef/>
      </w:r>
      <w:r>
        <w:rPr>
          <w:lang w:val="pl-PL"/>
        </w:rPr>
        <w:tab/>
        <w:t xml:space="preserve">UL </w:t>
      </w:r>
      <w:proofErr w:type="gramStart"/>
      <w:r>
        <w:rPr>
          <w:lang w:val="pl-PL"/>
        </w:rPr>
        <w:t xml:space="preserve">C , , </w:t>
      </w:r>
      <w:proofErr w:type="gramEnd"/>
      <w:r>
        <w:rPr>
          <w:lang w:val="pl-PL"/>
        </w:rPr>
        <w:t>str. .</w:t>
      </w:r>
    </w:p>
  </w:footnote>
  <w:footnote w:id="11">
    <w:p w:rsidR="001E2AAD" w:rsidRDefault="007B2354">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w:t>
      </w:r>
      <w:proofErr w:type="spellStart"/>
      <w:r>
        <w:rPr>
          <w:lang w:val="pl-PL"/>
        </w:rPr>
        <w:t>Sveta</w:t>
      </w:r>
      <w:proofErr w:type="spellEnd"/>
      <w:r>
        <w:rPr>
          <w:lang w:val="pl-PL"/>
        </w:rPr>
        <w:t xml:space="preserve"> (EU) </w:t>
      </w:r>
      <w:proofErr w:type="spellStart"/>
      <w:r>
        <w:rPr>
          <w:lang w:val="pl-PL"/>
        </w:rPr>
        <w:t>št</w:t>
      </w:r>
      <w:proofErr w:type="spellEnd"/>
      <w:r>
        <w:rPr>
          <w:lang w:val="pl-PL"/>
        </w:rPr>
        <w:t xml:space="preserve">. 1024/2013 z </w:t>
      </w:r>
      <w:proofErr w:type="spellStart"/>
      <w:r>
        <w:rPr>
          <w:lang w:val="pl-PL"/>
        </w:rPr>
        <w:t>dne</w:t>
      </w:r>
      <w:proofErr w:type="spellEnd"/>
      <w:r>
        <w:rPr>
          <w:lang w:val="pl-PL"/>
        </w:rPr>
        <w:t xml:space="preserve"> 15. </w:t>
      </w:r>
      <w:proofErr w:type="spellStart"/>
      <w:proofErr w:type="gramStart"/>
      <w:r>
        <w:rPr>
          <w:lang w:val="pl-PL"/>
        </w:rPr>
        <w:t>oktobra</w:t>
      </w:r>
      <w:proofErr w:type="spellEnd"/>
      <w:proofErr w:type="gramEnd"/>
      <w:r>
        <w:rPr>
          <w:lang w:val="pl-PL"/>
        </w:rPr>
        <w:t xml:space="preserve"> 20</w:t>
      </w:r>
      <w:r>
        <w:rPr>
          <w:lang w:val="pl-PL"/>
        </w:rPr>
        <w:t xml:space="preserve">13 o </w:t>
      </w:r>
      <w:proofErr w:type="spellStart"/>
      <w:r>
        <w:rPr>
          <w:lang w:val="pl-PL"/>
        </w:rPr>
        <w:t>prenosu</w:t>
      </w:r>
      <w:proofErr w:type="spellEnd"/>
      <w:r>
        <w:rPr>
          <w:lang w:val="pl-PL"/>
        </w:rPr>
        <w:t xml:space="preserve"> </w:t>
      </w:r>
      <w:proofErr w:type="spellStart"/>
      <w:r>
        <w:rPr>
          <w:lang w:val="pl-PL"/>
        </w:rPr>
        <w:t>posebnih</w:t>
      </w:r>
      <w:proofErr w:type="spellEnd"/>
      <w:r>
        <w:rPr>
          <w:lang w:val="pl-PL"/>
        </w:rPr>
        <w:t xml:space="preserve"> </w:t>
      </w:r>
      <w:proofErr w:type="spellStart"/>
      <w:r>
        <w:rPr>
          <w:lang w:val="pl-PL"/>
        </w:rPr>
        <w:t>nalog</w:t>
      </w:r>
      <w:proofErr w:type="spellEnd"/>
      <w:r>
        <w:rPr>
          <w:lang w:val="pl-PL"/>
        </w:rPr>
        <w:t xml:space="preserve">, ki </w:t>
      </w:r>
      <w:proofErr w:type="spellStart"/>
      <w:r>
        <w:rPr>
          <w:lang w:val="pl-PL"/>
        </w:rPr>
        <w:t>se</w:t>
      </w:r>
      <w:proofErr w:type="spellEnd"/>
      <w:r>
        <w:rPr>
          <w:lang w:val="pl-PL"/>
        </w:rPr>
        <w:t xml:space="preserve"> </w:t>
      </w:r>
      <w:proofErr w:type="spellStart"/>
      <w:r>
        <w:rPr>
          <w:lang w:val="pl-PL"/>
        </w:rPr>
        <w:t>nanašajo</w:t>
      </w:r>
      <w:proofErr w:type="spellEnd"/>
      <w:r>
        <w:rPr>
          <w:lang w:val="pl-PL"/>
        </w:rPr>
        <w:t xml:space="preserve"> na </w:t>
      </w:r>
      <w:proofErr w:type="spellStart"/>
      <w:r>
        <w:rPr>
          <w:lang w:val="pl-PL"/>
        </w:rPr>
        <w:t>politike</w:t>
      </w:r>
      <w:proofErr w:type="spellEnd"/>
      <w:r>
        <w:rPr>
          <w:lang w:val="pl-PL"/>
        </w:rPr>
        <w:t xml:space="preserve"> </w:t>
      </w:r>
      <w:proofErr w:type="spellStart"/>
      <w:r>
        <w:rPr>
          <w:lang w:val="pl-PL"/>
        </w:rPr>
        <w:t>bonitetnega</w:t>
      </w:r>
      <w:proofErr w:type="spellEnd"/>
      <w:r>
        <w:rPr>
          <w:lang w:val="pl-PL"/>
        </w:rPr>
        <w:t xml:space="preserve"> </w:t>
      </w:r>
      <w:proofErr w:type="spellStart"/>
      <w:r>
        <w:rPr>
          <w:lang w:val="pl-PL"/>
        </w:rPr>
        <w:t>nadzora</w:t>
      </w:r>
      <w:proofErr w:type="spellEnd"/>
      <w:r>
        <w:rPr>
          <w:lang w:val="pl-PL"/>
        </w:rPr>
        <w:t xml:space="preserve"> </w:t>
      </w:r>
      <w:proofErr w:type="spellStart"/>
      <w:r>
        <w:rPr>
          <w:lang w:val="pl-PL"/>
        </w:rPr>
        <w:t>kreditnih</w:t>
      </w:r>
      <w:proofErr w:type="spellEnd"/>
      <w:r>
        <w:rPr>
          <w:lang w:val="pl-PL"/>
        </w:rPr>
        <w:t xml:space="preserve"> </w:t>
      </w:r>
      <w:proofErr w:type="spellStart"/>
      <w:r>
        <w:rPr>
          <w:lang w:val="pl-PL"/>
        </w:rPr>
        <w:t>institucij</w:t>
      </w:r>
      <w:proofErr w:type="spellEnd"/>
      <w:r>
        <w:rPr>
          <w:lang w:val="pl-PL"/>
        </w:rPr>
        <w:t xml:space="preserve">, na </w:t>
      </w:r>
      <w:proofErr w:type="spellStart"/>
      <w:r>
        <w:rPr>
          <w:lang w:val="pl-PL"/>
        </w:rPr>
        <w:t>Evropsko</w:t>
      </w:r>
      <w:proofErr w:type="spellEnd"/>
      <w:r>
        <w:rPr>
          <w:lang w:val="pl-PL"/>
        </w:rPr>
        <w:t xml:space="preserve"> </w:t>
      </w:r>
      <w:proofErr w:type="spellStart"/>
      <w:r>
        <w:rPr>
          <w:lang w:val="pl-PL"/>
        </w:rPr>
        <w:t>centralno</w:t>
      </w:r>
      <w:proofErr w:type="spellEnd"/>
      <w:r>
        <w:rPr>
          <w:lang w:val="pl-PL"/>
        </w:rPr>
        <w:t xml:space="preserve"> </w:t>
      </w:r>
      <w:proofErr w:type="spellStart"/>
      <w:r>
        <w:rPr>
          <w:lang w:val="pl-PL"/>
        </w:rPr>
        <w:t>banko</w:t>
      </w:r>
      <w:proofErr w:type="spellEnd"/>
      <w:r>
        <w:rPr>
          <w:lang w:val="pl-PL"/>
        </w:rPr>
        <w:t xml:space="preserve"> (UL L 287, 29.10.2013, </w:t>
      </w:r>
      <w:proofErr w:type="gramStart"/>
      <w:r>
        <w:rPr>
          <w:lang w:val="pl-PL"/>
        </w:rPr>
        <w:t>str</w:t>
      </w:r>
      <w:proofErr w:type="gramEnd"/>
      <w:r>
        <w:rPr>
          <w:lang w:val="pl-PL"/>
        </w:rPr>
        <w:t>. 63).</w:t>
      </w:r>
    </w:p>
  </w:footnote>
  <w:footnote w:id="12">
    <w:p w:rsidR="001E2AAD" w:rsidRDefault="007B2354">
      <w:pPr>
        <w:pStyle w:val="FootnoteText"/>
        <w:rPr>
          <w:lang w:val="pl-PL"/>
        </w:rPr>
      </w:pPr>
      <w:r>
        <w:rPr>
          <w:rStyle w:val="FootnoteReference"/>
        </w:rPr>
        <w:footnoteRef/>
      </w:r>
      <w:r>
        <w:rPr>
          <w:lang w:val="pl-PL"/>
        </w:rPr>
        <w:tab/>
      </w:r>
      <w:proofErr w:type="spellStart"/>
      <w:r>
        <w:rPr>
          <w:lang w:val="pl-PL"/>
        </w:rPr>
        <w:t>Direktiva</w:t>
      </w:r>
      <w:proofErr w:type="spellEnd"/>
      <w:r>
        <w:rPr>
          <w:lang w:val="pl-PL"/>
        </w:rPr>
        <w:t xml:space="preserve"> 2014/49/EU </w:t>
      </w:r>
      <w:proofErr w:type="spellStart"/>
      <w:r>
        <w:rPr>
          <w:lang w:val="pl-PL"/>
        </w:rPr>
        <w:t>Evropskega</w:t>
      </w:r>
      <w:proofErr w:type="spellEnd"/>
      <w:r>
        <w:rPr>
          <w:lang w:val="pl-PL"/>
        </w:rPr>
        <w:t xml:space="preserve"> </w:t>
      </w:r>
      <w:proofErr w:type="spellStart"/>
      <w:r>
        <w:rPr>
          <w:lang w:val="pl-PL"/>
        </w:rPr>
        <w:t>parlamenta</w:t>
      </w:r>
      <w:proofErr w:type="spellEnd"/>
      <w:r>
        <w:rPr>
          <w:lang w:val="pl-PL"/>
        </w:rPr>
        <w:t xml:space="preserve"> in </w:t>
      </w:r>
      <w:proofErr w:type="spellStart"/>
      <w:r>
        <w:rPr>
          <w:lang w:val="pl-PL"/>
        </w:rPr>
        <w:t>Sveta</w:t>
      </w:r>
      <w:proofErr w:type="spellEnd"/>
      <w:r>
        <w:rPr>
          <w:lang w:val="pl-PL"/>
        </w:rPr>
        <w:t xml:space="preserve"> z </w:t>
      </w:r>
      <w:proofErr w:type="spellStart"/>
      <w:r>
        <w:rPr>
          <w:lang w:val="pl-PL"/>
        </w:rPr>
        <w:t>dne</w:t>
      </w:r>
      <w:proofErr w:type="spellEnd"/>
      <w:r>
        <w:rPr>
          <w:lang w:val="pl-PL"/>
        </w:rPr>
        <w:t xml:space="preserve"> 16. </w:t>
      </w:r>
      <w:proofErr w:type="spellStart"/>
      <w:proofErr w:type="gramStart"/>
      <w:r>
        <w:rPr>
          <w:lang w:val="pl-PL"/>
        </w:rPr>
        <w:t>aprila</w:t>
      </w:r>
      <w:proofErr w:type="spellEnd"/>
      <w:proofErr w:type="gramEnd"/>
      <w:r>
        <w:rPr>
          <w:lang w:val="pl-PL"/>
        </w:rPr>
        <w:t xml:space="preserve"> 2014 o </w:t>
      </w:r>
      <w:proofErr w:type="spellStart"/>
      <w:r>
        <w:rPr>
          <w:lang w:val="pl-PL"/>
        </w:rPr>
        <w:t>sistemih</w:t>
      </w:r>
      <w:proofErr w:type="spellEnd"/>
      <w:r>
        <w:rPr>
          <w:lang w:val="pl-PL"/>
        </w:rPr>
        <w:t xml:space="preserve"> </w:t>
      </w:r>
      <w:proofErr w:type="spellStart"/>
      <w:r>
        <w:rPr>
          <w:lang w:val="pl-PL"/>
        </w:rPr>
        <w:t>jamstva</w:t>
      </w:r>
      <w:proofErr w:type="spellEnd"/>
      <w:r>
        <w:rPr>
          <w:lang w:val="pl-PL"/>
        </w:rPr>
        <w:t xml:space="preserve"> za</w:t>
      </w:r>
      <w:r>
        <w:rPr>
          <w:lang w:val="pl-PL"/>
        </w:rPr>
        <w:t xml:space="preserve"> </w:t>
      </w:r>
      <w:proofErr w:type="spellStart"/>
      <w:r>
        <w:rPr>
          <w:lang w:val="pl-PL"/>
        </w:rPr>
        <w:t>vloge</w:t>
      </w:r>
      <w:proofErr w:type="spellEnd"/>
      <w:r>
        <w:rPr>
          <w:lang w:val="pl-PL"/>
        </w:rPr>
        <w:t xml:space="preserve"> (UL L 173, 12.6.2014, </w:t>
      </w:r>
      <w:proofErr w:type="gramStart"/>
      <w:r>
        <w:rPr>
          <w:lang w:val="pl-PL"/>
        </w:rPr>
        <w:t>str</w:t>
      </w:r>
      <w:proofErr w:type="gramEnd"/>
      <w:r>
        <w:rPr>
          <w:lang w:val="pl-PL"/>
        </w:rPr>
        <w:t>. 149).</w:t>
      </w:r>
    </w:p>
  </w:footnote>
  <w:footnote w:id="13">
    <w:p w:rsidR="001E2AAD" w:rsidRDefault="007B2354">
      <w:pPr>
        <w:pStyle w:val="FootnoteText"/>
        <w:rPr>
          <w:lang w:val="pl-PL"/>
        </w:rPr>
      </w:pPr>
      <w:r>
        <w:rPr>
          <w:rStyle w:val="FootnoteReference"/>
        </w:rPr>
        <w:footnoteRef/>
      </w:r>
      <w:r>
        <w:rPr>
          <w:lang w:val="pl-PL"/>
        </w:rPr>
        <w:tab/>
      </w:r>
      <w:proofErr w:type="spellStart"/>
      <w:r>
        <w:rPr>
          <w:lang w:val="pl-PL"/>
        </w:rPr>
        <w:t>Uredba</w:t>
      </w:r>
      <w:proofErr w:type="spellEnd"/>
      <w:r>
        <w:rPr>
          <w:lang w:val="pl-PL"/>
        </w:rPr>
        <w:t xml:space="preserve"> (EU) </w:t>
      </w:r>
      <w:proofErr w:type="spellStart"/>
      <w:r>
        <w:rPr>
          <w:lang w:val="pl-PL"/>
        </w:rPr>
        <w:t>št</w:t>
      </w:r>
      <w:proofErr w:type="spellEnd"/>
      <w:r>
        <w:rPr>
          <w:lang w:val="pl-PL"/>
        </w:rPr>
        <w:t xml:space="preserve">. 806/2014 </w:t>
      </w:r>
      <w:proofErr w:type="spellStart"/>
      <w:r>
        <w:rPr>
          <w:lang w:val="pl-PL"/>
        </w:rPr>
        <w:t>Evropskega</w:t>
      </w:r>
      <w:proofErr w:type="spellEnd"/>
      <w:r>
        <w:rPr>
          <w:lang w:val="pl-PL"/>
        </w:rPr>
        <w:t xml:space="preserve"> </w:t>
      </w:r>
      <w:proofErr w:type="spellStart"/>
      <w:r>
        <w:rPr>
          <w:lang w:val="pl-PL"/>
        </w:rPr>
        <w:t>parlamenta</w:t>
      </w:r>
      <w:proofErr w:type="spellEnd"/>
      <w:r>
        <w:rPr>
          <w:lang w:val="pl-PL"/>
        </w:rPr>
        <w:t xml:space="preserve"> in </w:t>
      </w:r>
      <w:proofErr w:type="spellStart"/>
      <w:r>
        <w:rPr>
          <w:lang w:val="pl-PL"/>
        </w:rPr>
        <w:t>Sveta</w:t>
      </w:r>
      <w:proofErr w:type="spellEnd"/>
      <w:r>
        <w:rPr>
          <w:lang w:val="pl-PL"/>
        </w:rPr>
        <w:t xml:space="preserve"> z </w:t>
      </w:r>
      <w:proofErr w:type="spellStart"/>
      <w:r>
        <w:rPr>
          <w:lang w:val="pl-PL"/>
        </w:rPr>
        <w:t>dne</w:t>
      </w:r>
      <w:proofErr w:type="spellEnd"/>
      <w:r>
        <w:rPr>
          <w:lang w:val="pl-PL"/>
        </w:rPr>
        <w:t xml:space="preserve"> 15. </w:t>
      </w:r>
      <w:proofErr w:type="spellStart"/>
      <w:proofErr w:type="gramStart"/>
      <w:r>
        <w:rPr>
          <w:lang w:val="pl-PL"/>
        </w:rPr>
        <w:t>julija</w:t>
      </w:r>
      <w:proofErr w:type="spellEnd"/>
      <w:proofErr w:type="gramEnd"/>
      <w:r>
        <w:rPr>
          <w:lang w:val="pl-PL"/>
        </w:rPr>
        <w:t xml:space="preserve"> 2014 o </w:t>
      </w:r>
      <w:proofErr w:type="spellStart"/>
      <w:r>
        <w:rPr>
          <w:lang w:val="pl-PL"/>
        </w:rPr>
        <w:t>določitvi</w:t>
      </w:r>
      <w:proofErr w:type="spellEnd"/>
      <w:r>
        <w:rPr>
          <w:lang w:val="pl-PL"/>
        </w:rPr>
        <w:t xml:space="preserve"> </w:t>
      </w:r>
      <w:proofErr w:type="spellStart"/>
      <w:r>
        <w:rPr>
          <w:lang w:val="pl-PL"/>
        </w:rPr>
        <w:t>enotnih</w:t>
      </w:r>
      <w:proofErr w:type="spellEnd"/>
      <w:r>
        <w:rPr>
          <w:lang w:val="pl-PL"/>
        </w:rPr>
        <w:t xml:space="preserve"> </w:t>
      </w:r>
      <w:proofErr w:type="spellStart"/>
      <w:r>
        <w:rPr>
          <w:lang w:val="pl-PL"/>
        </w:rPr>
        <w:t>pravil</w:t>
      </w:r>
      <w:proofErr w:type="spellEnd"/>
      <w:r>
        <w:rPr>
          <w:lang w:val="pl-PL"/>
        </w:rPr>
        <w:t xml:space="preserve"> in </w:t>
      </w:r>
      <w:proofErr w:type="spellStart"/>
      <w:r>
        <w:rPr>
          <w:lang w:val="pl-PL"/>
        </w:rPr>
        <w:t>enotnega</w:t>
      </w:r>
      <w:proofErr w:type="spellEnd"/>
      <w:r>
        <w:rPr>
          <w:lang w:val="pl-PL"/>
        </w:rPr>
        <w:t xml:space="preserve"> </w:t>
      </w:r>
      <w:proofErr w:type="spellStart"/>
      <w:r>
        <w:rPr>
          <w:lang w:val="pl-PL"/>
        </w:rPr>
        <w:t>postopka</w:t>
      </w:r>
      <w:proofErr w:type="spellEnd"/>
      <w:r>
        <w:rPr>
          <w:lang w:val="pl-PL"/>
        </w:rPr>
        <w:t xml:space="preserve"> za </w:t>
      </w:r>
      <w:proofErr w:type="spellStart"/>
      <w:r>
        <w:rPr>
          <w:lang w:val="pl-PL"/>
        </w:rPr>
        <w:t>reševanje</w:t>
      </w:r>
      <w:proofErr w:type="spellEnd"/>
      <w:r>
        <w:rPr>
          <w:lang w:val="pl-PL"/>
        </w:rPr>
        <w:t xml:space="preserve"> </w:t>
      </w:r>
      <w:proofErr w:type="spellStart"/>
      <w:r>
        <w:rPr>
          <w:lang w:val="pl-PL"/>
        </w:rPr>
        <w:t>kreditnih</w:t>
      </w:r>
      <w:proofErr w:type="spellEnd"/>
      <w:r>
        <w:rPr>
          <w:lang w:val="pl-PL"/>
        </w:rPr>
        <w:t xml:space="preserve"> </w:t>
      </w:r>
      <w:proofErr w:type="spellStart"/>
      <w:r>
        <w:rPr>
          <w:lang w:val="pl-PL"/>
        </w:rPr>
        <w:t>institucij</w:t>
      </w:r>
      <w:proofErr w:type="spellEnd"/>
      <w:r>
        <w:rPr>
          <w:lang w:val="pl-PL"/>
        </w:rPr>
        <w:t xml:space="preserve"> in </w:t>
      </w:r>
      <w:proofErr w:type="spellStart"/>
      <w:r>
        <w:rPr>
          <w:lang w:val="pl-PL"/>
        </w:rPr>
        <w:t>določenih</w:t>
      </w:r>
      <w:proofErr w:type="spellEnd"/>
      <w:r>
        <w:rPr>
          <w:lang w:val="pl-PL"/>
        </w:rPr>
        <w:t xml:space="preserve"> </w:t>
      </w:r>
      <w:proofErr w:type="spellStart"/>
      <w:r>
        <w:rPr>
          <w:lang w:val="pl-PL"/>
        </w:rPr>
        <w:t>investicijskih</w:t>
      </w:r>
      <w:proofErr w:type="spellEnd"/>
      <w:r>
        <w:rPr>
          <w:lang w:val="pl-PL"/>
        </w:rPr>
        <w:t xml:space="preserve"> </w:t>
      </w:r>
      <w:proofErr w:type="spellStart"/>
      <w:r>
        <w:rPr>
          <w:lang w:val="pl-PL"/>
        </w:rPr>
        <w:t>podjetij</w:t>
      </w:r>
      <w:proofErr w:type="spellEnd"/>
      <w:r>
        <w:rPr>
          <w:lang w:val="pl-PL"/>
        </w:rPr>
        <w:t xml:space="preserve"> v </w:t>
      </w:r>
      <w:proofErr w:type="spellStart"/>
      <w:r>
        <w:rPr>
          <w:lang w:val="pl-PL"/>
        </w:rPr>
        <w:t>okviru</w:t>
      </w:r>
      <w:proofErr w:type="spellEnd"/>
      <w:r>
        <w:rPr>
          <w:lang w:val="pl-PL"/>
        </w:rPr>
        <w:t xml:space="preserve"> </w:t>
      </w:r>
      <w:proofErr w:type="spellStart"/>
      <w:r>
        <w:rPr>
          <w:lang w:val="pl-PL"/>
        </w:rPr>
        <w:t>enotnega</w:t>
      </w:r>
      <w:proofErr w:type="spellEnd"/>
      <w:r>
        <w:rPr>
          <w:lang w:val="pl-PL"/>
        </w:rPr>
        <w:t xml:space="preserve"> </w:t>
      </w:r>
      <w:proofErr w:type="spellStart"/>
      <w:r>
        <w:rPr>
          <w:lang w:val="pl-PL"/>
        </w:rPr>
        <w:t>mehanizma</w:t>
      </w:r>
      <w:proofErr w:type="spellEnd"/>
      <w:r>
        <w:rPr>
          <w:lang w:val="pl-PL"/>
        </w:rPr>
        <w:t xml:space="preserve"> za </w:t>
      </w:r>
      <w:proofErr w:type="spellStart"/>
      <w:r>
        <w:rPr>
          <w:lang w:val="pl-PL"/>
        </w:rPr>
        <w:t>reševanje</w:t>
      </w:r>
      <w:proofErr w:type="spellEnd"/>
      <w:r>
        <w:rPr>
          <w:lang w:val="pl-PL"/>
        </w:rPr>
        <w:t xml:space="preserve"> in </w:t>
      </w:r>
      <w:proofErr w:type="spellStart"/>
      <w:r>
        <w:rPr>
          <w:lang w:val="pl-PL"/>
        </w:rPr>
        <w:t>enotnega</w:t>
      </w:r>
      <w:proofErr w:type="spellEnd"/>
      <w:r>
        <w:rPr>
          <w:lang w:val="pl-PL"/>
        </w:rPr>
        <w:t xml:space="preserve"> </w:t>
      </w:r>
      <w:proofErr w:type="spellStart"/>
      <w:r>
        <w:rPr>
          <w:lang w:val="pl-PL"/>
        </w:rPr>
        <w:t>sklada</w:t>
      </w:r>
      <w:proofErr w:type="spellEnd"/>
      <w:r>
        <w:rPr>
          <w:lang w:val="pl-PL"/>
        </w:rPr>
        <w:t xml:space="preserve"> za </w:t>
      </w:r>
      <w:proofErr w:type="spellStart"/>
      <w:r>
        <w:rPr>
          <w:lang w:val="pl-PL"/>
        </w:rPr>
        <w:t>reševanje</w:t>
      </w:r>
      <w:proofErr w:type="spellEnd"/>
      <w:r>
        <w:rPr>
          <w:lang w:val="pl-PL"/>
        </w:rPr>
        <w:t xml:space="preserve"> ter o </w:t>
      </w:r>
      <w:proofErr w:type="spellStart"/>
      <w:r>
        <w:rPr>
          <w:lang w:val="pl-PL"/>
        </w:rPr>
        <w:t>spremembi</w:t>
      </w:r>
      <w:proofErr w:type="spellEnd"/>
      <w:r>
        <w:rPr>
          <w:lang w:val="pl-PL"/>
        </w:rPr>
        <w:t xml:space="preserve"> </w:t>
      </w:r>
      <w:proofErr w:type="spellStart"/>
      <w:r>
        <w:rPr>
          <w:lang w:val="pl-PL"/>
        </w:rPr>
        <w:t>Uredbe</w:t>
      </w:r>
      <w:proofErr w:type="spellEnd"/>
      <w:r>
        <w:rPr>
          <w:lang w:val="pl-PL"/>
        </w:rPr>
        <w:t xml:space="preserve"> (EU) </w:t>
      </w:r>
      <w:proofErr w:type="spellStart"/>
      <w:r>
        <w:rPr>
          <w:lang w:val="pl-PL"/>
        </w:rPr>
        <w:t>št</w:t>
      </w:r>
      <w:proofErr w:type="spellEnd"/>
      <w:r>
        <w:rPr>
          <w:lang w:val="pl-PL"/>
        </w:rPr>
        <w:t xml:space="preserve">. 1093/2010 (UL L 225, 30.7.2014, </w:t>
      </w:r>
      <w:proofErr w:type="gramStart"/>
      <w:r>
        <w:rPr>
          <w:lang w:val="pl-PL"/>
        </w:rPr>
        <w:t>str</w:t>
      </w:r>
      <w:proofErr w:type="gramEnd"/>
      <w:r>
        <w:rPr>
          <w:lang w:val="pl-PL"/>
        </w:rPr>
        <w:t>. 1).</w:t>
      </w:r>
    </w:p>
  </w:footnote>
  <w:footnote w:id="14">
    <w:p w:rsidR="001E2AAD" w:rsidRDefault="007B2354">
      <w:pPr>
        <w:pStyle w:val="FootnoteText"/>
      </w:pPr>
      <w:r>
        <w:rPr>
          <w:rStyle w:val="FootnoteReference"/>
        </w:rPr>
        <w:footnoteRef/>
      </w:r>
      <w:r>
        <w:tab/>
      </w:r>
      <w:r>
        <w:t>ABM: upravljanje po dejavnostih; ABB: oblikovanje proračuna po dejavnostih.</w:t>
      </w:r>
    </w:p>
  </w:footnote>
  <w:footnote w:id="15">
    <w:p w:rsidR="001E2AAD" w:rsidRDefault="007B2354">
      <w:pPr>
        <w:pStyle w:val="FootnoteText"/>
      </w:pPr>
      <w:r>
        <w:rPr>
          <w:rStyle w:val="FootnoteReference"/>
        </w:rPr>
        <w:footnoteRef/>
      </w:r>
      <w:r>
        <w:tab/>
      </w:r>
      <w:r>
        <w:t>Po členu 54(2)(a) oz. (b) finančne uredbe.</w:t>
      </w:r>
    </w:p>
  </w:footnote>
  <w:footnote w:id="16">
    <w:p w:rsidR="001E2AAD" w:rsidRDefault="007B2354">
      <w:pPr>
        <w:pStyle w:val="FootnoteText"/>
      </w:pPr>
      <w:r>
        <w:rPr>
          <w:rStyle w:val="FootnoteReference"/>
        </w:rPr>
        <w:footnoteRef/>
      </w:r>
      <w:r>
        <w:tab/>
      </w:r>
      <w:r>
        <w:t>Po</w:t>
      </w:r>
      <w:r>
        <w:t xml:space="preserve">jasnitve načinov upravljanja in sklicevanje na finančno uredbo so na voljo na spletišču </w:t>
      </w:r>
      <w:proofErr w:type="spellStart"/>
      <w:r>
        <w:t>BudgWeb</w:t>
      </w:r>
      <w:proofErr w:type="spellEnd"/>
      <w:r>
        <w:t xml:space="preserve">: </w:t>
      </w:r>
      <w:hyperlink r:id="rId1">
        <w:r>
          <w:rPr>
            <w:rStyle w:val="Hyperlink"/>
          </w:rPr>
          <w:t>http://www.cc.cec/budg/man/budgmanag/budgmanag_en.html.</w:t>
        </w:r>
      </w:hyperlink>
    </w:p>
  </w:footnote>
  <w:footnote w:id="17">
    <w:p w:rsidR="001E2AAD" w:rsidRDefault="007B2354">
      <w:pPr>
        <w:pStyle w:val="FootnoteText"/>
      </w:pPr>
      <w:r>
        <w:rPr>
          <w:rStyle w:val="FootnoteReference"/>
        </w:rPr>
        <w:footnoteRef/>
      </w:r>
      <w:r>
        <w:tab/>
      </w:r>
      <w:proofErr w:type="spellStart"/>
      <w:r>
        <w:t>Dif</w:t>
      </w:r>
      <w:proofErr w:type="spellEnd"/>
      <w:r>
        <w:t>. = diferencirana sredst</w:t>
      </w:r>
      <w:r>
        <w:t xml:space="preserve">va / </w:t>
      </w:r>
      <w:proofErr w:type="spellStart"/>
      <w:r>
        <w:t>nedif</w:t>
      </w:r>
      <w:proofErr w:type="spellEnd"/>
      <w:r>
        <w:t>. = nediferencirana sredstva.</w:t>
      </w:r>
    </w:p>
  </w:footnote>
  <w:footnote w:id="18">
    <w:p w:rsidR="001E2AAD" w:rsidRDefault="007B2354">
      <w:pPr>
        <w:pStyle w:val="FootnoteText"/>
      </w:pPr>
      <w:r>
        <w:rPr>
          <w:rStyle w:val="FootnoteReference"/>
        </w:rPr>
        <w:footnoteRef/>
      </w:r>
      <w:r>
        <w:tab/>
      </w:r>
      <w:r>
        <w:t xml:space="preserve">Efta: Evropsko združenje za prosto trgovino. </w:t>
      </w:r>
    </w:p>
  </w:footnote>
  <w:footnote w:id="19">
    <w:p w:rsidR="001E2AAD" w:rsidRDefault="007B2354">
      <w:pPr>
        <w:pStyle w:val="FootnoteText"/>
      </w:pPr>
      <w:r>
        <w:rPr>
          <w:rStyle w:val="FootnoteReference"/>
        </w:rPr>
        <w:footnoteRef/>
      </w:r>
      <w:r>
        <w:tab/>
      </w:r>
      <w:r>
        <w:t>Države kandidatke in po potrebi potencialne države kandidatke z zahodnega Balkana.</w:t>
      </w:r>
    </w:p>
  </w:footnote>
  <w:footnote w:id="20">
    <w:p w:rsidR="001E2AAD" w:rsidRDefault="007B2354">
      <w:pPr>
        <w:pStyle w:val="FootnoteText"/>
      </w:pPr>
      <w:r>
        <w:rPr>
          <w:rStyle w:val="FootnoteReference"/>
        </w:rPr>
        <w:footnoteRef/>
      </w:r>
      <w:r>
        <w:tab/>
      </w:r>
      <w:r>
        <w:t>Leto N je leto začetka izvajanja predloga/pobude.</w:t>
      </w:r>
    </w:p>
  </w:footnote>
  <w:footnote w:id="21">
    <w:p w:rsidR="001E2AAD" w:rsidRDefault="007B2354">
      <w:pPr>
        <w:pStyle w:val="FootnoteText"/>
      </w:pPr>
      <w:r>
        <w:rPr>
          <w:rStyle w:val="FootnoteReference"/>
        </w:rPr>
        <w:footnoteRef/>
      </w:r>
      <w:r>
        <w:tab/>
      </w:r>
      <w:r>
        <w:t>Tehnična in/ali upravna pomoč</w:t>
      </w:r>
      <w:r>
        <w:t xml:space="preserve"> ter odhodki za podporo izvajanja programov in/ali ukrepov EU (prej vrstice BA), posredne raziskave, neposredne raziskave.</w:t>
      </w:r>
    </w:p>
  </w:footnote>
  <w:footnote w:id="22">
    <w:p w:rsidR="001E2AAD" w:rsidRDefault="007B2354">
      <w:pPr>
        <w:pStyle w:val="FootnoteText"/>
      </w:pPr>
      <w:r>
        <w:rPr>
          <w:rStyle w:val="FootnoteReference"/>
        </w:rPr>
        <w:footnoteRef/>
      </w:r>
      <w:r>
        <w:tab/>
      </w:r>
      <w:r>
        <w:t>Leto N je leto začetka izvajanja predloga/pobude.</w:t>
      </w:r>
    </w:p>
  </w:footnote>
  <w:footnote w:id="23">
    <w:p w:rsidR="001E2AAD" w:rsidRDefault="007B2354">
      <w:pPr>
        <w:pStyle w:val="FootnoteText"/>
      </w:pPr>
      <w:r>
        <w:rPr>
          <w:rStyle w:val="FootnoteReference"/>
        </w:rPr>
        <w:footnoteRef/>
      </w:r>
      <w:r>
        <w:tab/>
      </w:r>
      <w:r>
        <w:t>Realizacije so dobavljeni proizvodi in opravljene storitve (npr. število financ</w:t>
      </w:r>
      <w:r>
        <w:t>iranih izmenjav študentov, število kilometrov novozgrajenih cest…).</w:t>
      </w:r>
    </w:p>
  </w:footnote>
  <w:footnote w:id="24">
    <w:p w:rsidR="001E2AAD" w:rsidRDefault="007B2354">
      <w:pPr>
        <w:pStyle w:val="FootnoteText"/>
      </w:pPr>
      <w:r>
        <w:rPr>
          <w:rStyle w:val="FootnoteReference"/>
        </w:rPr>
        <w:footnoteRef/>
      </w:r>
      <w:r>
        <w:tab/>
      </w:r>
      <w:r>
        <w:t xml:space="preserve">Kakor je opisan v točki 1.4.2. „Specifični cilji …“. </w:t>
      </w:r>
    </w:p>
  </w:footnote>
  <w:footnote w:id="25">
    <w:p w:rsidR="001E2AAD" w:rsidRDefault="007B2354">
      <w:pPr>
        <w:pStyle w:val="FootnoteText"/>
      </w:pPr>
      <w:r>
        <w:rPr>
          <w:rStyle w:val="FootnoteReference"/>
        </w:rPr>
        <w:footnoteRef/>
      </w:r>
      <w:r>
        <w:tab/>
      </w:r>
      <w:r>
        <w:t>Leto N je leto začetka izvajanja predloga/pobude.</w:t>
      </w:r>
    </w:p>
  </w:footnote>
  <w:footnote w:id="26">
    <w:p w:rsidR="001E2AAD" w:rsidRDefault="007B2354">
      <w:pPr>
        <w:pStyle w:val="FootnoteText"/>
      </w:pPr>
      <w:r>
        <w:rPr>
          <w:rStyle w:val="FootnoteReference"/>
        </w:rPr>
        <w:footnoteRef/>
      </w:r>
      <w:r>
        <w:tab/>
      </w:r>
      <w:r>
        <w:t xml:space="preserve">Tehnična in/ali upravna pomoč ter odhodki za podporo izvajanja programov </w:t>
      </w:r>
      <w:r>
        <w:t>in/ali ukrepov EU (prej vrstice BA), posredne raziskave, neposredne raziskave.</w:t>
      </w:r>
    </w:p>
  </w:footnote>
  <w:footnote w:id="27">
    <w:p w:rsidR="001E2AAD" w:rsidRDefault="007B2354">
      <w:pPr>
        <w:pStyle w:val="FootnoteText"/>
      </w:pPr>
      <w:r>
        <w:rPr>
          <w:rStyle w:val="FootnoteReference"/>
        </w:rPr>
        <w:footnoteRef/>
      </w:r>
      <w:r>
        <w:tab/>
      </w:r>
      <w:r>
        <w:t xml:space="preserve">PU = pogodbeni uslužbenec; LU = lokalni uslužbenec; NNS = napoteni nacionalni strokovnjak; ZU = začasni uslužbenec; MSD = mladi strokovnjak na delegaciji. </w:t>
      </w:r>
    </w:p>
  </w:footnote>
  <w:footnote w:id="28">
    <w:p w:rsidR="001E2AAD" w:rsidRDefault="007B2354">
      <w:pPr>
        <w:pStyle w:val="FootnoteText"/>
      </w:pPr>
      <w:r>
        <w:rPr>
          <w:rStyle w:val="FootnoteReference"/>
        </w:rPr>
        <w:footnoteRef/>
      </w:r>
      <w:r>
        <w:tab/>
      </w:r>
      <w:r>
        <w:t>Dodatna zgornja m</w:t>
      </w:r>
      <w:r>
        <w:t>eja za zunanje sodelavce v okviru odobritev za poslovanje (prej vrstice BA).</w:t>
      </w:r>
    </w:p>
  </w:footnote>
  <w:footnote w:id="29">
    <w:p w:rsidR="001E2AAD" w:rsidRDefault="007B2354">
      <w:pPr>
        <w:pStyle w:val="FootnoteText"/>
      </w:pPr>
      <w:r>
        <w:rPr>
          <w:rStyle w:val="FootnoteReference"/>
        </w:rPr>
        <w:footnoteRef/>
      </w:r>
      <w:r>
        <w:tab/>
      </w:r>
      <w:r>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D" w:rsidRDefault="001E2AAD" w:rsidP="007B2354">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54" w:rsidRPr="007B2354" w:rsidRDefault="007B2354" w:rsidP="007B2354">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D" w:rsidRDefault="001E2AAD" w:rsidP="007B23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54" w:rsidRPr="007B2354" w:rsidRDefault="007B2354" w:rsidP="007B2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8A00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921EC2"/>
    <w:lvl w:ilvl="0">
      <w:start w:val="1"/>
      <w:numFmt w:val="decimal"/>
      <w:pStyle w:val="ListNumber3"/>
      <w:lvlText w:val="%1."/>
      <w:lvlJc w:val="left"/>
      <w:pPr>
        <w:tabs>
          <w:tab w:val="num" w:pos="926"/>
        </w:tabs>
        <w:ind w:left="92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F"/>
    <w:multiLevelType w:val="singleLevel"/>
    <w:tmpl w:val="86DE59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64D8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9E92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A488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1696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1029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E1BA4C9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26F29354"/>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num>
  <w:num w:numId="11">
    <w:abstractNumId w:val="8"/>
  </w:num>
  <w:num w:numId="12">
    <w:abstractNumId w:val="19"/>
  </w:num>
  <w:num w:numId="13">
    <w:abstractNumId w:val="18"/>
  </w:num>
  <w:num w:numId="14">
    <w:abstractNumId w:val="1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10"/>
  </w:num>
  <w:num w:numId="18">
    <w:abstractNumId w:val="23"/>
    <w:lvlOverride w:ilvl="0">
      <w:startOverride w:val="1"/>
    </w:lvlOverride>
  </w:num>
  <w:num w:numId="19">
    <w:abstractNumId w:val="23"/>
  </w:num>
  <w:num w:numId="20">
    <w:abstractNumId w:val="24"/>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lvlOverride w:ilvl="0">
      <w:startOverride w:val="1"/>
    </w:lvlOverride>
  </w:num>
  <w:num w:numId="25">
    <w:abstractNumId w:val="1"/>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num>
  <w:num w:numId="56">
    <w:abstractNumId w:val="1"/>
    <w:lvlOverride w:ilvl="0">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num>
  <w:num w:numId="74">
    <w:abstractNumId w:val="15"/>
  </w:num>
  <w:num w:numId="75">
    <w:abstractNumId w:val="25"/>
  </w:num>
  <w:num w:numId="76">
    <w:abstractNumId w:val="12"/>
  </w:num>
  <w:num w:numId="77">
    <w:abstractNumId w:val="16"/>
  </w:num>
  <w:num w:numId="78">
    <w:abstractNumId w:val="10"/>
  </w:num>
  <w:num w:numId="79">
    <w:abstractNumId w:val="24"/>
  </w:num>
  <w:num w:numId="80">
    <w:abstractNumId w:val="9"/>
  </w:num>
  <w:num w:numId="81">
    <w:abstractNumId w:val="17"/>
  </w:num>
  <w:num w:numId="82">
    <w:abstractNumId w:val="21"/>
  </w:num>
  <w:num w:numId="83">
    <w:abstractNumId w:val="22"/>
  </w:num>
  <w:num w:numId="84">
    <w:abstractNumId w:val="11"/>
  </w:num>
  <w:num w:numId="85">
    <w:abstractNumId w:val="20"/>
  </w:num>
  <w:num w:numId="86">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1 10:20:4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1"/>
    <w:docVar w:name="DQCResult_StructureCheck" w:val="0;0"/>
    <w:docVar w:name="DQCResult_SuperfluousWhitespace" w:val="0;24"/>
    <w:docVar w:name="DQCResult_UnknownFonts" w:val="0;0"/>
    <w:docVar w:name="DQCResult_UnknownStyles" w:val="0;8"/>
    <w:docVar w:name="DQCStatus" w:val="Yellow"/>
    <w:docVar w:name="DQCVersion" w:val="3"/>
    <w:docVar w:name="DQCWithWarnings" w:val="0"/>
    <w:docVar w:name="LW_CONFIDENCE" w:val=" "/>
    <w:docVar w:name="LW_CONST_RESTREINT_UE" w:val="RESTREINT UE/EU RESTRICTED"/>
    <w:docVar w:name="LW_CORRIGENDUM" w:val="&lt;UNUSED&gt;"/>
    <w:docVar w:name="LW_COVERPAGE_GUID" w:val="961E04F312304A63B90E783D48BB689A"/>
    <w:docVar w:name="LW_CROSSREFERENCE" w:val="&lt;UNUSED&gt;"/>
    <w:docVar w:name="LW_DocType" w:val="COM"/>
    <w:docVar w:name="LW_EMISSION" w:val="24.11.2015"/>
    <w:docVar w:name="LW_EMISSION_ISODATE" w:val="2015-11-24"/>
    <w:docVar w:name="LW_EMISSION_LOCATION" w:val="STR"/>
    <w:docVar w:name="LW_EMISSION_PREFIX" w:val="Strasbo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70"/>
    <w:docVar w:name="LW_REF.II.NEW.CP_YEAR" w:val="2015"/>
    <w:docVar w:name="LW_REF.INST.NEW" w:val="COM"/>
    <w:docVar w:name="LW_REF.INST.NEW_ADOPTED" w:val="final"/>
    <w:docVar w:name="LW_REF.INST.NEW_TEXT" w:val="(2015) 586"/>
    <w:docVar w:name="LW_REF.INTERNE" w:val="&lt;UNUSED&gt;"/>
    <w:docVar w:name="LW_SOUS.TITRE.OBJ.CP" w:val="&lt;UNUSED&gt;"/>
    <w:docVar w:name="LW_STATUT.CP" w:val="Predlog"/>
    <w:docVar w:name="LW_SUPERTITRE" w:val="&lt;UNUSED&gt;"/>
    <w:docVar w:name="LW_TITRE.OBJ.CP" w:val="o spremembi Uredbe (EU) \u353?t. 806/2014 za vzpostavitev evropskega sistema jamstva za vloge"/>
    <w:docVar w:name="LW_TYPE.DOC.CP" w:val="UREDBA EVROPSKEGA PARLAMENTA IN SVETA"/>
  </w:docVars>
  <w:rsids>
    <w:rsidRoot w:val="001E2AAD"/>
    <w:rsid w:val="001E2AAD"/>
    <w:rsid w:val="007B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paragraph" w:styleId="Heading5">
    <w:name w:val="heading 5"/>
    <w:basedOn w:val="Normal"/>
    <w:next w:val="Normal"/>
    <w:link w:val="Heading5Char"/>
    <w:uiPriority w:val="9"/>
    <w:qFormat/>
    <w:pPr>
      <w:numPr>
        <w:ilvl w:val="4"/>
        <w:numId w:val="10"/>
      </w:numPr>
      <w:spacing w:before="240" w:after="60"/>
      <w:jc w:val="left"/>
      <w:outlineLvl w:val="4"/>
    </w:pPr>
    <w:rPr>
      <w:rFonts w:eastAsia="Times New Roman"/>
      <w:szCs w:val="20"/>
      <w:lang w:val="en-US" w:eastAsia="en-GB"/>
    </w:rPr>
  </w:style>
  <w:style w:type="paragraph" w:styleId="Heading6">
    <w:name w:val="heading 6"/>
    <w:basedOn w:val="Normal"/>
    <w:next w:val="Normal"/>
    <w:link w:val="Heading6Char"/>
    <w:uiPriority w:val="9"/>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uiPriority w:val="9"/>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uiPriority w:val="9"/>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uiPriority w:val="9"/>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uiPriority w:val="9"/>
    <w:rPr>
      <w:rFonts w:ascii="Arial" w:eastAsia="Times New Roman" w:hAnsi="Arial" w:cs="Times New Roman"/>
      <w:b/>
      <w:i/>
      <w:sz w:val="18"/>
      <w:szCs w:val="20"/>
      <w:lang w:val="en-GB" w:eastAsia="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ManualNumPar1Char">
    <w:name w:val="Manual NumPar 1 Char"/>
    <w:locked/>
    <w:rPr>
      <w:rFonts w:ascii="Times New Roman" w:hAnsi="Times New Roman" w:cs="Times New Roman"/>
      <w:sz w:val="24"/>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ext1Carcter">
    <w:name w:val="Text 1 Carácter"/>
    <w:locked/>
    <w:rPr>
      <w:rFonts w:ascii="Times New Roman" w:hAnsi="Times New Roman" w:cs="Times New Roman"/>
      <w:sz w:val="24"/>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nhideWhenUsed/>
    <w:pPr>
      <w:numPr>
        <w:numId w:val="6"/>
      </w:numPr>
      <w:ind w:right="360"/>
      <w:contextualSpacing/>
      <w:outlineLvl w:val="1"/>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link w:val="RevisionChar"/>
    <w:hidden/>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rPr>
      <w:rFonts w:ascii="Times New Roman" w:eastAsia="Times New Roman" w:hAnsi="Times New Roman" w:cs="Times New Roman"/>
      <w:sz w:val="24"/>
      <w:szCs w:val="24"/>
      <w:lang w:val="en-GB"/>
    </w:rPr>
  </w:style>
  <w:style w:type="character" w:customStyle="1" w:styleId="HeaderCouncilLargeChar">
    <w:name w:val="Header Council Large Char"/>
    <w:link w:val="HeaderCouncilLarge"/>
    <w:rPr>
      <w:rFonts w:ascii="Times New Roman" w:eastAsia="Times New Roman" w:hAnsi="Times New Roman" w:cs="Times New Roman"/>
      <w:sz w:val="2"/>
      <w:szCs w:val="24"/>
      <w:lang w:val="en-GB"/>
    </w:rPr>
  </w:style>
  <w:style w:type="paragraph" w:customStyle="1" w:styleId="FooterText">
    <w:name w:val="Footer Text"/>
    <w:basedOn w:val="Normal"/>
    <w:pPr>
      <w:spacing w:before="0" w:after="0"/>
      <w:jc w:val="left"/>
    </w:pPr>
    <w:rPr>
      <w:rFonts w:eastAsia="Times New Roman"/>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lang w:val="fr-FR" w:eastAsia="en-GB"/>
    </w:rPr>
  </w:style>
  <w:style w:type="paragraph" w:customStyle="1" w:styleId="ATHeading2">
    <w:name w:val="AT Heading 2"/>
    <w:basedOn w:val="Normal"/>
    <w:next w:val="Normal"/>
    <w:pPr>
      <w:jc w:val="left"/>
      <w:outlineLvl w:val="1"/>
    </w:pPr>
    <w:rPr>
      <w:rFonts w:eastAsia="Times New Roman"/>
      <w:b/>
      <w:noProof/>
      <w:sz w:val="28"/>
      <w:szCs w:val="20"/>
      <w:lang w:val="fr-FR" w:eastAsia="en-GB"/>
    </w:rPr>
  </w:style>
  <w:style w:type="paragraph" w:customStyle="1" w:styleId="ATHeading3">
    <w:name w:val="AT Heading 3"/>
    <w:basedOn w:val="Normal"/>
    <w:next w:val="Normal"/>
    <w:pPr>
      <w:keepNext/>
      <w:keepLines/>
      <w:jc w:val="left"/>
      <w:outlineLvl w:val="2"/>
    </w:pPr>
    <w:rPr>
      <w:rFonts w:eastAsia="Times New Roman"/>
      <w:b/>
      <w:noProof/>
      <w:szCs w:val="20"/>
      <w:lang w:val="fr-FR" w:eastAsia="en-GB"/>
    </w:rPr>
  </w:style>
  <w:style w:type="paragraph" w:customStyle="1" w:styleId="ATHeading4">
    <w:name w:val="AT Heading 4"/>
    <w:basedOn w:val="Normal"/>
    <w:next w:val="Normal"/>
    <w:pPr>
      <w:keepNext/>
      <w:keepLines/>
      <w:jc w:val="left"/>
    </w:pPr>
    <w:rPr>
      <w:rFonts w:eastAsia="Times New Roman"/>
      <w:b/>
      <w:i/>
      <w:noProof/>
      <w:szCs w:val="20"/>
      <w:lang w:val="fr-FR" w:eastAsia="en-GB"/>
    </w:rPr>
  </w:style>
  <w:style w:type="paragraph" w:customStyle="1" w:styleId="ATHeading5">
    <w:name w:val="AT Heading 5"/>
    <w:basedOn w:val="Normal"/>
    <w:next w:val="Normal"/>
    <w:pPr>
      <w:keepNext/>
      <w:keepLines/>
      <w:jc w:val="left"/>
    </w:pPr>
    <w:rPr>
      <w:rFonts w:eastAsia="Times New Roman"/>
      <w:i/>
      <w:noProof/>
      <w:szCs w:val="20"/>
      <w:lang w:val="fr-FR" w:eastAsia="en-GB"/>
    </w:rPr>
  </w:style>
  <w:style w:type="paragraph" w:customStyle="1" w:styleId="ATHeadingMotiv">
    <w:name w:val="AT Heading Motiv"/>
    <w:basedOn w:val="Normal"/>
    <w:next w:val="Normal"/>
    <w:pPr>
      <w:keepNext/>
      <w:spacing w:before="60" w:after="60"/>
      <w:jc w:val="center"/>
    </w:pPr>
    <w:rPr>
      <w:rFonts w:eastAsia="Times New Roman"/>
      <w:i/>
      <w:szCs w:val="20"/>
      <w:lang w:val="fr-FR" w:eastAsia="en-GB"/>
    </w:rPr>
  </w:style>
  <w:style w:type="paragraph" w:customStyle="1" w:styleId="ATTOCTitle">
    <w:name w:val="AT TOC Title"/>
    <w:basedOn w:val="Normal"/>
    <w:pPr>
      <w:keepNext/>
      <w:keepLines/>
      <w:spacing w:before="0" w:after="240"/>
      <w:jc w:val="center"/>
    </w:pPr>
    <w:rPr>
      <w:rFonts w:eastAsia="Times New Roman"/>
      <w:b/>
      <w:caps/>
      <w:sz w:val="28"/>
      <w:szCs w:val="20"/>
      <w:lang w:val="fr-FR" w:eastAsia="en-GB"/>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lang w:val="fr-FR"/>
    </w:rPr>
  </w:style>
  <w:style w:type="character" w:styleId="PageNumber">
    <w:name w:val="page number"/>
  </w:style>
  <w:style w:type="paragraph" w:customStyle="1" w:styleId="ATHeading6">
    <w:name w:val="AT Heading 6"/>
    <w:basedOn w:val="Normal"/>
    <w:next w:val="Normal"/>
    <w:pPr>
      <w:keepNext/>
      <w:keepLines/>
      <w:jc w:val="left"/>
    </w:pPr>
    <w:rPr>
      <w:rFonts w:eastAsia="Times New Roman"/>
      <w:smallCaps/>
      <w:noProof/>
      <w:szCs w:val="20"/>
      <w:lang w:val="fr-FR" w:eastAsia="en-GB"/>
    </w:rPr>
  </w:style>
  <w:style w:type="paragraph" w:customStyle="1" w:styleId="CODConsidrants">
    <w:name w:val="COD Considérants"/>
    <w:basedOn w:val="Normal"/>
    <w:pPr>
      <w:tabs>
        <w:tab w:val="num" w:pos="2551"/>
      </w:tabs>
      <w:spacing w:before="0" w:after="240"/>
      <w:ind w:left="2551" w:hanging="567"/>
    </w:pPr>
    <w:rPr>
      <w:rFonts w:eastAsia="Times New Roman"/>
      <w:szCs w:val="20"/>
      <w:lang w:val="fr-FR" w:eastAsia="en-GB"/>
    </w:rPr>
  </w:style>
  <w:style w:type="paragraph" w:customStyle="1" w:styleId="CODVisas">
    <w:name w:val="COD Visas"/>
    <w:basedOn w:val="Normal"/>
    <w:pPr>
      <w:spacing w:before="0" w:after="240"/>
    </w:pPr>
    <w:rPr>
      <w:rFonts w:eastAsia="Times New Roman"/>
      <w:lang w:val="fr-FR" w:eastAsia="en-GB"/>
    </w:rPr>
  </w:style>
  <w:style w:type="paragraph" w:customStyle="1" w:styleId="CODLeParlementeuropen">
    <w:name w:val="COD Le Parlement européen"/>
    <w:basedOn w:val="Normal"/>
    <w:pPr>
      <w:spacing w:before="600" w:after="360"/>
    </w:pPr>
    <w:rPr>
      <w:rFonts w:eastAsia="Times New Roman"/>
      <w:szCs w:val="20"/>
      <w:lang w:val="fr-FR" w:eastAsia="en-GB"/>
    </w:rPr>
  </w:style>
  <w:style w:type="paragraph" w:customStyle="1" w:styleId="CODOntarrt">
    <w:name w:val="COD Ont arrêté ..."/>
    <w:basedOn w:val="Normal"/>
    <w:pPr>
      <w:spacing w:before="0" w:after="360"/>
    </w:pPr>
    <w:rPr>
      <w:rFonts w:eastAsia="Times New Roman"/>
      <w:szCs w:val="20"/>
      <w:lang w:val="fr-FR" w:eastAsia="en-GB"/>
    </w:rPr>
  </w:style>
  <w:style w:type="paragraph" w:customStyle="1" w:styleId="CODParagraphes">
    <w:name w:val="COD Paragraphes"/>
    <w:basedOn w:val="Normal"/>
    <w:pPr>
      <w:tabs>
        <w:tab w:val="left" w:pos="709"/>
      </w:tabs>
      <w:spacing w:before="0" w:after="240"/>
    </w:pPr>
    <w:rPr>
      <w:rFonts w:eastAsia="Times New Roman"/>
      <w:lang w:val="fr-FR" w:eastAsia="en-GB"/>
    </w:rPr>
  </w:style>
  <w:style w:type="paragraph" w:customStyle="1" w:styleId="CODArticle0">
    <w:name w:val="COD Article + 0"/>
    <w:basedOn w:val="Normal"/>
    <w:pPr>
      <w:spacing w:before="0" w:after="0"/>
      <w:jc w:val="center"/>
    </w:pPr>
    <w:rPr>
      <w:rFonts w:eastAsia="Times New Roman"/>
      <w:szCs w:val="20"/>
      <w:lang w:val="fr-FR" w:eastAsia="en-GB"/>
    </w:rPr>
  </w:style>
  <w:style w:type="paragraph" w:customStyle="1" w:styleId="CODArticle12">
    <w:name w:val="COD Article + 12"/>
    <w:basedOn w:val="Normal"/>
    <w:pPr>
      <w:spacing w:before="0" w:after="240"/>
      <w:jc w:val="center"/>
    </w:pPr>
    <w:rPr>
      <w:rFonts w:eastAsia="Times New Roman"/>
      <w:szCs w:val="20"/>
      <w:lang w:val="fr-FR" w:eastAsia="en-GB"/>
    </w:rPr>
  </w:style>
  <w:style w:type="paragraph" w:customStyle="1" w:styleId="StyleCODParagraphesFirstline002cm">
    <w:name w:val="Style COD Paragraphes + First line:  002 cm"/>
    <w:basedOn w:val="CODParagraphes"/>
  </w:style>
  <w:style w:type="paragraph" w:customStyle="1" w:styleId="CODParagraphesretrait">
    <w:name w:val="COD Paragraphes retrait"/>
    <w:basedOn w:val="CODParagraphes"/>
  </w:style>
  <w:style w:type="paragraph" w:customStyle="1" w:styleId="Considrants">
    <w:name w:val="Considérants"/>
    <w:basedOn w:val="CODConsidrants"/>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12"/>
  </w:style>
  <w:style w:type="paragraph" w:customStyle="1" w:styleId="Normal12">
    <w:name w:val="Normal12"/>
    <w:basedOn w:val="Normal"/>
    <w:pPr>
      <w:widowControl w:val="0"/>
      <w:spacing w:before="0" w:after="240"/>
      <w:jc w:val="left"/>
    </w:pPr>
    <w:rPr>
      <w:rFonts w:eastAsia="Times New Roman"/>
      <w:szCs w:val="20"/>
      <w:lang w:eastAsia="en-GB"/>
    </w:rPr>
  </w:style>
  <w:style w:type="paragraph" w:customStyle="1" w:styleId="TOCPage">
    <w:name w:val="TOC Page"/>
    <w:basedOn w:val="Normal12"/>
    <w:next w:val="TOC1"/>
  </w:style>
  <w:style w:type="paragraph" w:customStyle="1" w:styleId="TableofEntries">
    <w:name w:val="Table of Entries"/>
    <w:basedOn w:val="Normal12"/>
  </w:style>
  <w:style w:type="paragraph" w:customStyle="1" w:styleId="PageHeading">
    <w:name w:val="PageHeading"/>
    <w:basedOn w:val="Normal12a12b"/>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character" w:customStyle="1" w:styleId="NormalBoldChar">
    <w:name w:val="NormalBold Char"/>
    <w:link w:val="NormalBold"/>
    <w:locked/>
    <w:rPr>
      <w:rFonts w:ascii="Times New Roman" w:eastAsia="Times New Roman" w:hAnsi="Times New Roman" w:cs="Times New Roman"/>
      <w:b/>
      <w:sz w:val="24"/>
      <w:szCs w:val="20"/>
      <w:lang w:val="en-GB" w:eastAsia="en-GB"/>
    </w:rPr>
  </w:style>
  <w:style w:type="paragraph" w:customStyle="1" w:styleId="Normal12Bold">
    <w:name w:val="Normal12Bold"/>
    <w:basedOn w:val="Normal12"/>
  </w:style>
  <w:style w:type="paragraph" w:customStyle="1" w:styleId="Normal12Hanging">
    <w:name w:val="Normal12Hanging"/>
    <w:basedOn w:val="Normal12"/>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style>
  <w:style w:type="paragraph" w:customStyle="1" w:styleId="Cover24">
    <w:name w:val="Cover24"/>
    <w:basedOn w:val="Normal24"/>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DocRef">
    <w:name w:val="DocRef"/>
    <w:basedOn w:val="Normal"/>
    <w:pPr>
      <w:widowControl w:val="0"/>
      <w:spacing w:before="0" w:after="960"/>
      <w:jc w:val="center"/>
    </w:pPr>
    <w:rPr>
      <w:rFonts w:ascii="Arial" w:eastAsia="Times New Roman" w:hAnsi="Arial"/>
      <w:b/>
      <w:szCs w:val="20"/>
      <w:lang w:eastAsia="en-GB"/>
    </w:rPr>
  </w:style>
  <w:style w:type="paragraph" w:customStyle="1" w:styleId="DocType">
    <w:name w:val="DocType"/>
    <w:basedOn w:val="Normal12"/>
  </w:style>
  <w:style w:type="paragraph" w:customStyle="1" w:styleId="EntPE">
    <w:name w:val="EntPE"/>
    <w:basedOn w:val="Normal12"/>
  </w:style>
  <w:style w:type="paragraph" w:customStyle="1" w:styleId="Normal12Centre">
    <w:name w:val="Normal12Centre"/>
    <w:basedOn w:val="Normal12"/>
  </w:style>
  <w:style w:type="paragraph" w:customStyle="1" w:styleId="Normal12Keep">
    <w:name w:val="Normal12Keep"/>
    <w:basedOn w:val="Normal12"/>
  </w:style>
  <w:style w:type="paragraph" w:customStyle="1" w:styleId="Normal12Tab">
    <w:name w:val="Normal12Tab"/>
    <w:basedOn w:val="Normal12"/>
  </w:style>
  <w:style w:type="paragraph" w:customStyle="1" w:styleId="RefProc">
    <w:name w:val="RefProc"/>
    <w:basedOn w:val="Normal"/>
    <w:pPr>
      <w:widowControl w:val="0"/>
      <w:spacing w:before="240" w:after="24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TypeDoc">
    <w:name w:val="TypeDoc"/>
    <w:basedOn w:val="Normal24"/>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style>
  <w:style w:type="paragraph" w:customStyle="1" w:styleId="AMNumberTabs">
    <w:name w:val="AMNumberTabs"/>
    <w:basedOn w:val="Normal"/>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val="x-none" w:eastAsia="x-none"/>
    </w:rPr>
  </w:style>
  <w:style w:type="character" w:customStyle="1" w:styleId="HeaderChar1">
    <w:name w:val="Header Char1"/>
    <w:locked/>
    <w:rPr>
      <w:rFonts w:ascii="Times New Roman" w:eastAsia="Times New Roman" w:hAnsi="Times New Roman" w:cs="Times New Roman"/>
      <w:b/>
      <w:sz w:val="24"/>
      <w:szCs w:val="20"/>
      <w:lang w:val="x-none" w:eastAsia="x-none"/>
    </w:rPr>
  </w:style>
  <w:style w:type="paragraph" w:customStyle="1" w:styleId="ConsHeading">
    <w:name w:val="ConsHeading"/>
    <w:basedOn w:val="Normal12Centre"/>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widowControl w:val="0"/>
      <w:spacing w:before="0" w:after="0"/>
      <w:jc w:val="center"/>
    </w:pPr>
    <w:rPr>
      <w:rFonts w:ascii="Arial" w:eastAsia="Times New Roman" w:hAnsi="Arial"/>
      <w:i/>
      <w:sz w:val="22"/>
      <w:szCs w:val="20"/>
      <w:lang w:val="fr-FR" w:eastAsia="x-none"/>
    </w:rPr>
  </w:style>
  <w:style w:type="character" w:customStyle="1" w:styleId="HeaderChar2">
    <w:name w:val="Header Char2"/>
    <w:locked/>
    <w:rPr>
      <w:rFonts w:ascii="Arial" w:eastAsia="Times New Roman" w:hAnsi="Arial" w:cs="Times New Roman"/>
      <w:i/>
      <w:szCs w:val="20"/>
      <w:lang w:val="fr-FR" w:eastAsia="x-none"/>
    </w:rPr>
  </w:style>
  <w:style w:type="paragraph" w:customStyle="1" w:styleId="LineTop">
    <w:name w:val="LineTop"/>
    <w:basedOn w:val="Normal"/>
    <w:next w:val="ZCommittee"/>
    <w:pPr>
      <w:widowControl w:val="0"/>
      <w:pBdr>
        <w:top w:val="single" w:sz="4" w:space="1" w:color="auto"/>
      </w:pBdr>
      <w:spacing w:before="0" w:after="0"/>
      <w:jc w:val="center"/>
    </w:pPr>
    <w:rPr>
      <w:rFonts w:ascii="Arial" w:eastAsia="Times New Roman" w:hAnsi="Arial"/>
      <w:sz w:val="16"/>
      <w:szCs w:val="16"/>
      <w:lang w:val="fr-FR" w:eastAsia="en-GB"/>
    </w:rPr>
  </w:style>
  <w:style w:type="paragraph" w:customStyle="1" w:styleId="LineBottom">
    <w:name w:val="LineBottom"/>
    <w:basedOn w:val="Normal"/>
    <w:next w:val="Normal"/>
    <w:pPr>
      <w:widowControl w:val="0"/>
      <w:pBdr>
        <w:bottom w:val="single" w:sz="4" w:space="1" w:color="auto"/>
      </w:pBdr>
      <w:spacing w:before="0" w:after="8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val="fr-FR"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val="fr-FR"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before="720" w:after="0"/>
      <w:jc w:val="center"/>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z w:val="18"/>
      <w:szCs w:val="20"/>
      <w:lang w:val="en-US"/>
    </w:rPr>
  </w:style>
  <w:style w:type="paragraph" w:customStyle="1" w:styleId="Lgendetitre">
    <w:name w:val="Légende titre"/>
    <w:basedOn w:val="Normal"/>
    <w:pPr>
      <w:widowControl w:val="0"/>
      <w:spacing w:before="240" w:after="240"/>
      <w:jc w:val="left"/>
    </w:pPr>
    <w:rPr>
      <w:rFonts w:eastAsia="Times New Roman"/>
      <w:b/>
      <w:i/>
      <w:szCs w:val="20"/>
      <w:lang w:val="en-US"/>
    </w:rPr>
  </w:style>
  <w:style w:type="paragraph" w:customStyle="1" w:styleId="Lgendestandard">
    <w:name w:val="Légende standard"/>
    <w:basedOn w:val="Lgendesigne"/>
    <w:pPr>
      <w:ind w:left="0" w:firstLine="0"/>
    </w:pPr>
  </w:style>
  <w:style w:type="paragraph" w:styleId="Title">
    <w:name w:val="Title"/>
    <w:basedOn w:val="Normal"/>
    <w:next w:val="Normal"/>
    <w:link w:val="TitleChar"/>
    <w:uiPriority w:val="10"/>
    <w:qFormat/>
    <w:pPr>
      <w:widowControl w:val="0"/>
      <w:spacing w:before="240" w:after="60"/>
      <w:jc w:val="center"/>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eastAsia="en-GB"/>
    </w:rPr>
  </w:style>
  <w:style w:type="character" w:customStyle="1" w:styleId="Point1letterChar">
    <w:name w:val="Point 1 (letter) Char"/>
    <w:locked/>
    <w:rPr>
      <w:rFonts w:ascii="Times New Roman" w:hAnsi="Times New Roman" w:cs="Times New Roman"/>
      <w:sz w:val="24"/>
      <w:lang w:val="en-GB"/>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240" w:after="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lang w:val="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character" w:customStyle="1" w:styleId="RevisionChar">
    <w:name w:val="Revision Char"/>
    <w:link w:val="Revision"/>
    <w:semiHidden/>
    <w:locked/>
    <w:rPr>
      <w:rFonts w:ascii="Times New Roman" w:hAnsi="Times New Roman" w:cs="Times New Roman"/>
      <w:sz w:val="24"/>
      <w:lang w:val="en-GB"/>
    </w:rPr>
  </w:style>
  <w:style w:type="paragraph" w:customStyle="1" w:styleId="AMNumber">
    <w:name w:val="AMNumber"/>
    <w:basedOn w:val="Normal"/>
    <w:pPr>
      <w:keepNext/>
      <w:widowControl w:val="0"/>
      <w:spacing w:before="360" w:after="0"/>
      <w:jc w:val="center"/>
    </w:pPr>
    <w:rPr>
      <w:rFonts w:eastAsia="Times New Roman"/>
      <w:szCs w:val="20"/>
      <w:lang w:eastAsia="en-GB"/>
    </w:rPr>
  </w:style>
  <w:style w:type="character" w:customStyle="1" w:styleId="HideTWBExt">
    <w:name w:val="HideTWBExt"/>
    <w:rPr>
      <w:rFonts w:ascii="Arial" w:hAnsi="Arial"/>
      <w:noProof/>
      <w:vanish/>
      <w:color w:val="000080"/>
      <w:sz w:val="20"/>
    </w:rPr>
  </w:style>
  <w:style w:type="paragraph" w:customStyle="1" w:styleId="ProjRap">
    <w:name w:val="ProjRap"/>
    <w:basedOn w:val="Normal"/>
    <w:pPr>
      <w:widowControl w:val="0"/>
      <w:tabs>
        <w:tab w:val="right" w:pos="9072"/>
      </w:tabs>
      <w:spacing w:before="0" w:after="0"/>
      <w:ind w:right="-284"/>
      <w:jc w:val="left"/>
    </w:pPr>
    <w:rPr>
      <w:rFonts w:eastAsia="Times New Roman"/>
      <w:b/>
      <w:szCs w:val="20"/>
      <w:lang w:eastAsia="en-GB"/>
    </w:rPr>
  </w:style>
  <w:style w:type="character" w:customStyle="1" w:styleId="HideTWBInt">
    <w:name w:val="HideTWBInt"/>
    <w:rPr>
      <w:vanish/>
      <w:color w:val="808080"/>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Normal"/>
    <w:pPr>
      <w:widowControl w:val="0"/>
      <w:tabs>
        <w:tab w:val="right" w:pos="9072"/>
      </w:tabs>
      <w:spacing w:before="0" w:after="0"/>
      <w:ind w:right="-284"/>
      <w:jc w:val="left"/>
    </w:pPr>
    <w:rPr>
      <w:rFonts w:eastAsia="Times New Roman"/>
      <w:szCs w:val="20"/>
      <w:lang w:eastAsia="en-GB"/>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en-US"/>
    </w:rPr>
  </w:style>
  <w:style w:type="paragraph" w:customStyle="1" w:styleId="Justification">
    <w:name w:val="Justification"/>
    <w:basedOn w:val="Normal12"/>
    <w:rPr>
      <w:i/>
    </w:rPr>
  </w:style>
  <w:style w:type="character" w:customStyle="1" w:styleId="Normal6Char">
    <w:name w:val="Normal6 Char"/>
    <w:link w:val="Normal6"/>
    <w:rPr>
      <w:rFonts w:ascii="Times New Roman" w:eastAsia="Times New Roman" w:hAnsi="Times New Roman" w:cs="Times New Roman"/>
      <w:sz w:val="24"/>
      <w:szCs w:val="20"/>
      <w:lang w:val="en-GB" w:eastAsia="en-GB"/>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character" w:customStyle="1" w:styleId="highlight">
    <w:name w:val="highlight"/>
  </w:style>
  <w:style w:type="paragraph" w:styleId="NormalWeb">
    <w:name w:val="Normal (Web)"/>
    <w:basedOn w:val="Normal"/>
    <w:uiPriority w:val="99"/>
    <w:unhideWhenUsed/>
    <w:pPr>
      <w:spacing w:before="100" w:beforeAutospacing="1" w:after="100" w:afterAutospacing="1"/>
      <w:jc w:val="left"/>
    </w:pPr>
    <w:rPr>
      <w:rFonts w:eastAsia="Times New Roman"/>
      <w:szCs w:val="24"/>
      <w:lang w:val="en-US"/>
    </w:rPr>
  </w:style>
  <w:style w:type="paragraph" w:customStyle="1" w:styleId="Sev">
    <w:name w:val="Sev"/>
    <w:basedOn w:val="Text1"/>
    <w:rPr>
      <w:rFonts w:eastAsia="Times New Roman"/>
      <w:szCs w:val="24"/>
    </w:rPr>
  </w:style>
  <w:style w:type="paragraph" w:styleId="BodyText3">
    <w:name w:val="Body Text 3"/>
    <w:basedOn w:val="Normal"/>
    <w:link w:val="BodyText3Char"/>
    <w:uiPriority w:val="99"/>
    <w:rPr>
      <w:rFonts w:eastAsia="Times New Roman"/>
      <w:szCs w:val="20"/>
      <w:lang w:eastAsia="x-none"/>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0"/>
      <w:lang w:val="en-GB" w:eastAsia="x-none"/>
    </w:rPr>
  </w:style>
  <w:style w:type="paragraph" w:styleId="BodyText">
    <w:name w:val="Body Text"/>
    <w:basedOn w:val="Normal"/>
    <w:link w:val="BodyTextChar"/>
    <w:uiPriority w:val="99"/>
    <w:unhideWhenUsed/>
    <w:rPr>
      <w:rFonts w:eastAsia="Times New Roman"/>
      <w:szCs w:val="20"/>
      <w:lang w:eastAsia="x-none"/>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eastAsia="x-none"/>
    </w:rPr>
  </w:style>
  <w:style w:type="paragraph" w:styleId="BodyTextFirstIndent">
    <w:name w:val="Body Text First Indent"/>
    <w:basedOn w:val="BodyText"/>
    <w:link w:val="BodyTextFirstIndentChar"/>
    <w:uiPriority w:val="99"/>
    <w:pPr>
      <w:ind w:firstLine="210"/>
    </w:pPr>
    <w:rPr>
      <w:szCs w:val="24"/>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pPr>
      <w:ind w:left="283"/>
    </w:pPr>
    <w:rPr>
      <w:rFonts w:eastAsia="Times New Roman"/>
      <w:szCs w:val="20"/>
      <w:lang w:eastAsia="x-none"/>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n-GB" w:eastAsia="x-none"/>
    </w:rPr>
  </w:style>
  <w:style w:type="paragraph" w:styleId="BodyTextFirstIndent2">
    <w:name w:val="Body Text First Indent 2"/>
    <w:basedOn w:val="BodyTextIndent"/>
    <w:link w:val="BodyTextFirstIndent2Char"/>
    <w:uiPriority w:val="99"/>
    <w:pPr>
      <w:ind w:firstLine="210"/>
    </w:pPr>
    <w:rPr>
      <w:szCs w:val="24"/>
    </w:r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x-none"/>
    </w:rPr>
  </w:style>
  <w:style w:type="paragraph" w:customStyle="1" w:styleId="ListDash">
    <w:name w:val="List Dash"/>
    <w:basedOn w:val="Normal"/>
    <w:pPr>
      <w:numPr>
        <w:numId w:val="14"/>
      </w:numPr>
    </w:pPr>
    <w:rPr>
      <w:rFonts w:eastAsia="Times New Roman"/>
      <w:szCs w:val="24"/>
      <w:lang w:eastAsia="en-GB"/>
    </w:rP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num">
    <w:name w:val="num"/>
    <w:basedOn w:val="ManualNumPar1"/>
    <w:rPr>
      <w:rFonts w:eastAsia="Times New Roman"/>
      <w:szCs w:val="24"/>
    </w:rPr>
  </w:style>
  <w:style w:type="character" w:customStyle="1" w:styleId="at2">
    <w:name w:val="a__t2"/>
  </w:style>
  <w:style w:type="paragraph" w:customStyle="1" w:styleId="Foonote">
    <w:name w:val="Foonote"/>
    <w:basedOn w:val="Default"/>
    <w:pPr>
      <w:jc w:val="both"/>
    </w:pPr>
    <w:rPr>
      <w:rFonts w:eastAsia="Times New Roman"/>
      <w:bCs/>
      <w:sz w:val="20"/>
      <w:szCs w:val="20"/>
      <w:lang w:val="en-US"/>
    </w:rPr>
  </w:style>
  <w:style w:type="numbering" w:customStyle="1" w:styleId="NoList2">
    <w:name w:val="No List2"/>
    <w:next w:val="NoList"/>
    <w:semiHidden/>
  </w:style>
  <w:style w:type="numbering" w:customStyle="1" w:styleId="NoList11">
    <w:name w:val="No List11"/>
    <w:next w:val="NoList"/>
    <w:uiPriority w:val="99"/>
    <w:semiHidden/>
    <w:unhideWhenUsed/>
  </w:style>
  <w:style w:type="paragraph" w:customStyle="1" w:styleId="ZDateAdd">
    <w:name w:val="ZDateAdd"/>
    <w:basedOn w:val="Normal"/>
    <w:next w:val="Normal"/>
    <w:pPr>
      <w:widowControl w:val="0"/>
      <w:tabs>
        <w:tab w:val="right" w:pos="9072"/>
      </w:tabs>
      <w:spacing w:before="0" w:after="240"/>
      <w:jc w:val="left"/>
    </w:pPr>
    <w:rPr>
      <w:rFonts w:eastAsia="Times New Roman"/>
      <w:szCs w:val="20"/>
      <w:lang w:eastAsia="en-GB"/>
    </w:rPr>
  </w:style>
  <w:style w:type="paragraph" w:customStyle="1" w:styleId="Normal12a12bCentre">
    <w:name w:val="Normal12a12bCentre"/>
    <w:basedOn w:val="NormalCentre"/>
    <w:pPr>
      <w:spacing w:before="240" w:after="240"/>
    </w:pPr>
  </w:style>
  <w:style w:type="paragraph" w:customStyle="1" w:styleId="Normal12a12bBold">
    <w:name w:val="Normal12a12bBold"/>
    <w:basedOn w:val="NormalBold"/>
    <w:pPr>
      <w:spacing w:before="240" w:after="240"/>
    </w:pPr>
  </w:style>
  <w:style w:type="paragraph" w:customStyle="1" w:styleId="Normal24a12b">
    <w:name w:val="Normal24a12b"/>
    <w:basedOn w:val="Normal"/>
    <w:pPr>
      <w:widowControl w:val="0"/>
      <w:spacing w:before="240" w:after="480"/>
      <w:jc w:val="left"/>
    </w:pPr>
    <w:rPr>
      <w:rFonts w:eastAsia="Times New Roman"/>
      <w:szCs w:val="20"/>
      <w:lang w:eastAsia="en-GB"/>
    </w:r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styleId="Subtitle">
    <w:name w:val="Subtitle"/>
    <w:basedOn w:val="Normal"/>
    <w:next w:val="Normal"/>
    <w:link w:val="SubtitleChar"/>
    <w:uiPriority w:val="11"/>
    <w:qFormat/>
    <w:pPr>
      <w:numPr>
        <w:ilvl w:val="1"/>
      </w:numPr>
      <w:spacing w:before="0" w:after="240"/>
      <w:jc w:val="left"/>
    </w:pPr>
    <w:rPr>
      <w:rFonts w:ascii="Calibri Light" w:eastAsia="SimSun" w:hAnsi="Calibri Light"/>
      <w:color w:val="5B9BD5"/>
      <w:sz w:val="28"/>
      <w:szCs w:val="28"/>
      <w:lang w:eastAsia="en-GB"/>
    </w:rPr>
  </w:style>
  <w:style w:type="character" w:customStyle="1" w:styleId="SubtitleChar">
    <w:name w:val="Subtitle Char"/>
    <w:basedOn w:val="DefaultParagraphFont"/>
    <w:link w:val="Subtitle"/>
    <w:uiPriority w:val="11"/>
    <w:rPr>
      <w:rFonts w:ascii="Calibri Light" w:eastAsia="SimSun" w:hAnsi="Calibri Light" w:cs="Times New Roman"/>
      <w:color w:val="5B9BD5"/>
      <w:sz w:val="28"/>
      <w:szCs w:val="28"/>
      <w:lang w:val="en-GB" w:eastAsia="en-GB"/>
    </w:rPr>
  </w:style>
  <w:style w:type="paragraph" w:styleId="NoSpacing">
    <w:name w:val="No Spacing"/>
    <w:uiPriority w:val="1"/>
    <w:qFormat/>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pPr>
      <w:spacing w:line="259" w:lineRule="auto"/>
      <w:ind w:left="720"/>
      <w:jc w:val="left"/>
    </w:pPr>
    <w:rPr>
      <w:rFonts w:ascii="Calibri" w:eastAsia="Times New Roman" w:hAnsi="Calibri"/>
      <w:color w:val="44546A"/>
      <w:szCs w:val="24"/>
      <w:lang w:eastAsia="en-GB"/>
    </w:rPr>
  </w:style>
  <w:style w:type="character" w:customStyle="1" w:styleId="QuoteChar">
    <w:name w:val="Quote Char"/>
    <w:basedOn w:val="DefaultParagraphFont"/>
    <w:link w:val="Quote"/>
    <w:uiPriority w:val="29"/>
    <w:rPr>
      <w:rFonts w:ascii="Calibri" w:eastAsia="Times New Roman" w:hAnsi="Calibri" w:cs="Times New Roman"/>
      <w:color w:val="44546A"/>
      <w:sz w:val="24"/>
      <w:szCs w:val="24"/>
      <w:lang w:val="en-GB" w:eastAsia="en-GB"/>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Calibri Light" w:eastAsia="SimSun" w:hAnsi="Calibri Light"/>
      <w:color w:val="44546A"/>
      <w:spacing w:val="-6"/>
      <w:sz w:val="32"/>
      <w:szCs w:val="32"/>
      <w:lang w:eastAsia="en-GB"/>
    </w:rPr>
  </w:style>
  <w:style w:type="character" w:customStyle="1" w:styleId="IntenseQuoteChar">
    <w:name w:val="Intense Quote Char"/>
    <w:basedOn w:val="DefaultParagraphFont"/>
    <w:link w:val="IntenseQuote"/>
    <w:uiPriority w:val="30"/>
    <w:rPr>
      <w:rFonts w:ascii="Calibri Light" w:eastAsia="SimSun" w:hAnsi="Calibri Light" w:cs="Times New Roman"/>
      <w:color w:val="44546A"/>
      <w:spacing w:val="-6"/>
      <w:sz w:val="32"/>
      <w:szCs w:val="32"/>
      <w:lang w:val="en-GB" w:eastAsia="en-GB"/>
    </w:rPr>
  </w:style>
  <w:style w:type="character" w:styleId="SubtleEmphasis">
    <w:name w:val="Subtle Emphasis"/>
    <w:uiPriority w:val="19"/>
    <w:qFormat/>
    <w:rPr>
      <w:i/>
      <w:iCs/>
      <w:color w:val="595959"/>
    </w:rPr>
  </w:style>
  <w:style w:type="character" w:styleId="IntenseEmphasis">
    <w:name w:val="Intense Emphasis"/>
    <w:uiPriority w:val="21"/>
    <w:qFormat/>
    <w:rPr>
      <w:b/>
      <w:bCs/>
      <w:i/>
      <w:iCs/>
    </w:rPr>
  </w:style>
  <w:style w:type="character" w:styleId="SubtleReference">
    <w:name w:val="Subtle Reference"/>
    <w:uiPriority w:val="31"/>
    <w:qFormat/>
    <w:rPr>
      <w:smallCaps/>
      <w:color w:val="595959"/>
      <w:u w:val="none" w:color="7F7F7F"/>
      <w:bdr w:val="none" w:sz="0" w:space="0" w:color="auto"/>
    </w:rPr>
  </w:style>
  <w:style w:type="character" w:styleId="IntenseReference">
    <w:name w:val="Intense Reference"/>
    <w:uiPriority w:val="32"/>
    <w:qFormat/>
    <w:rPr>
      <w:b/>
      <w:bCs/>
      <w:smallCaps/>
      <w:color w:val="44546A"/>
      <w:u w:val="single"/>
    </w:rPr>
  </w:style>
  <w:style w:type="character" w:styleId="BookTitle">
    <w:name w:val="Book Title"/>
    <w:uiPriority w:val="33"/>
    <w:qFormat/>
    <w:rPr>
      <w:b/>
      <w:bCs/>
      <w:smallCaps/>
      <w:spacing w:val="10"/>
    </w:rPr>
  </w:style>
  <w:style w:type="paragraph" w:styleId="PlainText">
    <w:name w:val="Plain Text"/>
    <w:basedOn w:val="Normal"/>
    <w:link w:val="PlainTextChar"/>
    <w:uiPriority w:val="99"/>
    <w:unhideWhenUsed/>
    <w:pPr>
      <w:spacing w:before="0" w:after="0"/>
      <w:jc w:val="left"/>
    </w:pPr>
    <w:rPr>
      <w:rFonts w:ascii="Calibri" w:eastAsia="Calibri" w:hAnsi="Calibri" w:cs="Calibri"/>
      <w:sz w:val="22"/>
    </w:rPr>
  </w:style>
  <w:style w:type="character" w:customStyle="1" w:styleId="PlainTextChar">
    <w:name w:val="Plain Text Char"/>
    <w:basedOn w:val="DefaultParagraphFont"/>
    <w:link w:val="PlainText"/>
    <w:uiPriority w:val="99"/>
    <w:rPr>
      <w:rFonts w:ascii="Calibri" w:eastAsia="Calibri" w:hAnsi="Calibri" w:cs="Calibri"/>
      <w:lang w:val="en-GB"/>
    </w:rPr>
  </w:style>
  <w:style w:type="character" w:customStyle="1" w:styleId="link-size">
    <w:name w:val="link-size"/>
    <w:basedOn w:val="DefaultParagraphFont"/>
  </w:style>
  <w:style w:type="character" w:customStyle="1" w:styleId="s">
    <w:name w:val="s"/>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character" w:customStyle="1" w:styleId="Added5">
    <w:name w:val="Added"/>
    <w:basedOn w:val="DefaultParagraphFont"/>
    <w:rPr>
      <w:b/>
      <w:u w:val="single"/>
      <w:shd w:val="clear" w:color="auto" w:fill="auto"/>
    </w:rPr>
  </w:style>
  <w:style w:type="character" w:customStyle="1" w:styleId="Added6">
    <w:name w:val="Added"/>
    <w:basedOn w:val="DefaultParagraphFont"/>
    <w:rPr>
      <w:b/>
      <w:u w:val="single"/>
      <w:shd w:val="clear" w:color="auto" w:fill="auto"/>
    </w:rPr>
  </w:style>
  <w:style w:type="character" w:customStyle="1" w:styleId="Added7">
    <w:name w:val="Added"/>
    <w:basedOn w:val="DefaultParagraphFont"/>
    <w:rPr>
      <w:b/>
      <w:u w:val="single"/>
      <w:shd w:val="clear" w:color="auto" w:fill="auto"/>
    </w:rPr>
  </w:style>
  <w:style w:type="character" w:customStyle="1" w:styleId="Added8">
    <w:name w:val="Added"/>
    <w:basedOn w:val="DefaultParagraphFont"/>
    <w:rPr>
      <w:b/>
      <w:u w:val="single"/>
      <w:shd w:val="clear" w:color="auto" w:fill="auto"/>
    </w:rPr>
  </w:style>
  <w:style w:type="character" w:customStyle="1" w:styleId="Added9">
    <w:name w:val="Added"/>
    <w:basedOn w:val="DefaultParagraphFont"/>
    <w:rPr>
      <w:b/>
      <w:u w:val="single"/>
      <w:shd w:val="clear" w:color="auto" w:fill="auto"/>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numbering" w:customStyle="1" w:styleId="NoList3">
    <w:name w:val="No List3"/>
    <w:next w:val="NoList"/>
    <w:uiPriority w:val="99"/>
    <w:semiHidden/>
    <w:unhideWhenUsed/>
  </w:style>
  <w:style w:type="paragraph" w:customStyle="1" w:styleId="Text10">
    <w:name w:val="Text  1"/>
    <w:basedOn w:val="Considrant"/>
    <w:pPr>
      <w:numPr>
        <w:numId w:val="0"/>
      </w:numPr>
    </w:pPr>
    <w:rPr>
      <w:rFonts w:eastAsia="Times New Roman"/>
      <w:lang w:eastAsia="en-GB"/>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1">
    <w:name w:val="No List21"/>
    <w:next w:val="NoList"/>
    <w:semiHidden/>
  </w:style>
  <w:style w:type="numbering" w:customStyle="1" w:styleId="NoList111">
    <w:name w:val="No List111"/>
    <w:next w:val="NoList"/>
    <w:uiPriority w:val="99"/>
    <w:semiHidden/>
    <w:unhideWhenUsed/>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character" w:customStyle="1" w:styleId="Addedf6">
    <w:name w:val="Added"/>
    <w:basedOn w:val="DefaultParagraphFont"/>
    <w:rPr>
      <w:b/>
      <w:u w:val="single"/>
      <w:shd w:val="clear" w:color="auto" w:fill="auto"/>
    </w:rPr>
  </w:style>
  <w:style w:type="character" w:customStyle="1" w:styleId="Addedf7">
    <w:name w:val="Added"/>
    <w:basedOn w:val="DefaultParagraphFont"/>
    <w:rPr>
      <w:b/>
      <w:u w:val="single"/>
      <w:shd w:val="clear" w:color="auto" w:fill="auto"/>
    </w:rPr>
  </w:style>
  <w:style w:type="character" w:customStyle="1" w:styleId="Addedf8">
    <w:name w:val="Added"/>
    <w:basedOn w:val="DefaultParagraphFont"/>
    <w:rPr>
      <w:b/>
      <w:u w:val="single"/>
      <w:shd w:val="clear" w:color="auto" w:fill="auto"/>
    </w:rPr>
  </w:style>
  <w:style w:type="character" w:customStyle="1" w:styleId="Addedf9">
    <w:name w:val="Added"/>
    <w:basedOn w:val="DefaultParagraphFont"/>
    <w:rPr>
      <w:b/>
      <w:u w:val="single"/>
      <w:shd w:val="clear" w:color="auto" w:fill="auto"/>
    </w:rPr>
  </w:style>
  <w:style w:type="character" w:customStyle="1" w:styleId="Addedfa">
    <w:name w:val="Added"/>
    <w:basedOn w:val="DefaultParagraphFont"/>
    <w:rPr>
      <w:b/>
      <w:u w:val="single"/>
      <w:shd w:val="clear" w:color="auto" w:fill="auto"/>
    </w:rPr>
  </w:style>
  <w:style w:type="character" w:customStyle="1" w:styleId="Addedfb">
    <w:name w:val="Added"/>
    <w:basedOn w:val="DefaultParagraphFont"/>
    <w:rPr>
      <w:b/>
      <w:u w:val="single"/>
      <w:shd w:val="clear" w:color="auto" w:fill="auto"/>
    </w:rPr>
  </w:style>
  <w:style w:type="character" w:customStyle="1" w:styleId="Addedfc">
    <w:name w:val="Added"/>
    <w:basedOn w:val="DefaultParagraphFont"/>
    <w:rPr>
      <w:b/>
      <w:u w:val="single"/>
      <w:shd w:val="clear" w:color="auto" w:fill="auto"/>
    </w:rPr>
  </w:style>
  <w:style w:type="paragraph" w:styleId="Header">
    <w:name w:val="header"/>
    <w:basedOn w:val="Normal"/>
    <w:link w:val="HeaderChar"/>
    <w:uiPriority w:val="99"/>
    <w:unhideWhenUsed/>
    <w:rsid w:val="007B2354"/>
    <w:pPr>
      <w:tabs>
        <w:tab w:val="center" w:pos="4535"/>
        <w:tab w:val="right" w:pos="9071"/>
      </w:tabs>
      <w:spacing w:before="0"/>
    </w:pPr>
  </w:style>
  <w:style w:type="character" w:customStyle="1" w:styleId="HeaderChar">
    <w:name w:val="Header Char"/>
    <w:basedOn w:val="DefaultParagraphFont"/>
    <w:link w:val="Header"/>
    <w:uiPriority w:val="99"/>
    <w:rsid w:val="007B2354"/>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B2354"/>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7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9"/>
      </w:numPr>
      <w:outlineLvl w:val="3"/>
    </w:pPr>
    <w:rPr>
      <w:rFonts w:eastAsiaTheme="majorEastAsia"/>
      <w:bCs/>
      <w:iCs/>
    </w:rPr>
  </w:style>
  <w:style w:type="paragraph" w:styleId="Heading5">
    <w:name w:val="heading 5"/>
    <w:basedOn w:val="Normal"/>
    <w:next w:val="Normal"/>
    <w:link w:val="Heading5Char"/>
    <w:uiPriority w:val="9"/>
    <w:qFormat/>
    <w:pPr>
      <w:numPr>
        <w:ilvl w:val="4"/>
        <w:numId w:val="10"/>
      </w:numPr>
      <w:spacing w:before="240" w:after="60"/>
      <w:jc w:val="left"/>
      <w:outlineLvl w:val="4"/>
    </w:pPr>
    <w:rPr>
      <w:rFonts w:eastAsia="Times New Roman"/>
      <w:szCs w:val="20"/>
      <w:lang w:val="en-US" w:eastAsia="en-GB"/>
    </w:rPr>
  </w:style>
  <w:style w:type="paragraph" w:styleId="Heading6">
    <w:name w:val="heading 6"/>
    <w:basedOn w:val="Normal"/>
    <w:next w:val="Normal"/>
    <w:link w:val="Heading6Char"/>
    <w:uiPriority w:val="9"/>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uiPriority w:val="9"/>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uiPriority w:val="9"/>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uiPriority w:val="9"/>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uiPriority w:val="9"/>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uiPriority w:val="9"/>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uiPriority w:val="9"/>
    <w:rPr>
      <w:rFonts w:ascii="Arial" w:eastAsia="Times New Roman" w:hAnsi="Arial" w:cs="Times New Roman"/>
      <w:b/>
      <w:i/>
      <w:sz w:val="18"/>
      <w:szCs w:val="20"/>
      <w:lang w:val="en-GB" w:eastAsia="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ManualNumPar1Char">
    <w:name w:val="Manual NumPar 1 Char"/>
    <w:locked/>
    <w:rPr>
      <w:rFonts w:ascii="Times New Roman" w:hAnsi="Times New Roman" w:cs="Times New Roman"/>
      <w:sz w:val="24"/>
      <w:lang w:val="en-GB"/>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customStyle="1" w:styleId="Text1Carcter">
    <w:name w:val="Text 1 Carácter"/>
    <w:locked/>
    <w:rPr>
      <w:rFonts w:ascii="Times New Roman" w:hAnsi="Times New Roman" w:cs="Times New Roman"/>
      <w:sz w:val="24"/>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
    <w:name w:val="List Number"/>
    <w:basedOn w:val="Normal"/>
    <w:unhideWhenUsed/>
    <w:pPr>
      <w:numPr>
        <w:numId w:val="6"/>
      </w:numPr>
      <w:ind w:right="360"/>
      <w:contextualSpacing/>
      <w:outlineLvl w:val="1"/>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pPr>
  </w:style>
  <w:style w:type="paragraph" w:styleId="ListNumber4">
    <w:name w:val="List Number 4"/>
    <w:basedOn w:val="Normal"/>
    <w:uiPriority w:val="99"/>
    <w:unhideWhenUsed/>
    <w:pPr>
      <w:numPr>
        <w:numId w:val="9"/>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link w:val="RevisionChar"/>
    <w:hidden/>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eaderCouncil">
    <w:name w:val="Header Council"/>
    <w:basedOn w:val="Normal"/>
    <w:pPr>
      <w:spacing w:before="0" w:after="0"/>
      <w:jc w:val="left"/>
    </w:pPr>
    <w:rPr>
      <w:rFonts w:eastAsia="Times New Roman"/>
      <w:sz w:val="2"/>
      <w:szCs w:val="24"/>
    </w:rPr>
  </w:style>
  <w:style w:type="paragraph" w:customStyle="1" w:styleId="FooterCouncil">
    <w:name w:val="Footer Council"/>
    <w:basedOn w:val="Normal"/>
    <w:pPr>
      <w:spacing w:before="0" w:after="0"/>
      <w:jc w:val="left"/>
    </w:pPr>
    <w:rPr>
      <w:rFonts w:eastAsia="Times New Roman"/>
      <w:sz w:val="2"/>
      <w:szCs w:val="24"/>
    </w:rPr>
  </w:style>
  <w:style w:type="paragraph" w:customStyle="1" w:styleId="TechnicalBlock">
    <w:name w:val="Technical Block"/>
    <w:basedOn w:val="Normal"/>
    <w:next w:val="Normal"/>
    <w:link w:val="TechnicalBlockChar"/>
    <w:pPr>
      <w:spacing w:before="0" w:after="240"/>
      <w:jc w:val="center"/>
    </w:pPr>
    <w:rPr>
      <w:rFonts w:eastAsia="Times New Roman"/>
      <w:szCs w:val="24"/>
    </w:rPr>
  </w:style>
  <w:style w:type="paragraph" w:customStyle="1" w:styleId="Annexetitreacte">
    <w:name w:val="Annexe titre (acte)"/>
    <w:basedOn w:val="Normal"/>
    <w:next w:val="Normal"/>
    <w:pPr>
      <w:spacing w:line="360" w:lineRule="auto"/>
      <w:jc w:val="center"/>
    </w:pPr>
    <w:rPr>
      <w:rFonts w:eastAsia="Times New Roman"/>
      <w:b/>
      <w:szCs w:val="24"/>
      <w:u w:val="single"/>
    </w:rPr>
  </w:style>
  <w:style w:type="paragraph" w:customStyle="1" w:styleId="Annexetitreglobale">
    <w:name w:val="Annexe titre (globale)"/>
    <w:basedOn w:val="Normal"/>
    <w:next w:val="Normal"/>
    <w:pPr>
      <w:spacing w:line="360" w:lineRule="auto"/>
      <w:jc w:val="center"/>
    </w:pPr>
    <w:rPr>
      <w:rFonts w:eastAsia="Times New Roman"/>
      <w:b/>
      <w:szCs w:val="24"/>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rFonts w:eastAsia="Times New Roman"/>
      <w:b/>
      <w:szCs w:val="24"/>
    </w:rPr>
  </w:style>
  <w:style w:type="paragraph" w:customStyle="1" w:styleId="Rfrenceinterinstitutionelle">
    <w:name w:val="Référence interinstitutionelle"/>
    <w:basedOn w:val="Normal"/>
    <w:next w:val="Statut"/>
    <w:pPr>
      <w:spacing w:before="0" w:after="0" w:line="360" w:lineRule="auto"/>
      <w:ind w:left="5103"/>
      <w:jc w:val="left"/>
    </w:pPr>
    <w:rPr>
      <w:rFonts w:eastAsia="Times New Roman"/>
      <w:szCs w:val="24"/>
    </w:rPr>
  </w:style>
  <w:style w:type="paragraph" w:customStyle="1" w:styleId="EntLogo">
    <w:name w:val="EntLogo"/>
    <w:basedOn w:val="Normal"/>
    <w:pPr>
      <w:tabs>
        <w:tab w:val="right" w:pos="9639"/>
      </w:tabs>
      <w:spacing w:before="0" w:after="0" w:line="360" w:lineRule="auto"/>
      <w:jc w:val="left"/>
    </w:pPr>
    <w:rPr>
      <w:rFonts w:eastAsia="Times New Roman"/>
      <w:b/>
      <w:szCs w:val="24"/>
    </w:rPr>
  </w:style>
  <w:style w:type="paragraph" w:customStyle="1" w:styleId="EntInstit">
    <w:name w:val="EntInstit"/>
    <w:basedOn w:val="Normal"/>
    <w:pPr>
      <w:spacing w:before="0" w:after="0"/>
      <w:jc w:val="right"/>
    </w:pPr>
    <w:rPr>
      <w:rFonts w:eastAsia="Times New Roman"/>
      <w:b/>
      <w:szCs w:val="24"/>
    </w:rPr>
  </w:style>
  <w:style w:type="paragraph" w:customStyle="1" w:styleId="EntRefer">
    <w:name w:val="EntRefer"/>
    <w:basedOn w:val="Normal"/>
    <w:pPr>
      <w:spacing w:before="0" w:after="0"/>
      <w:jc w:val="left"/>
    </w:pPr>
    <w:rPr>
      <w:rFonts w:eastAsia="Times New Roman"/>
      <w:b/>
      <w:szCs w:val="24"/>
    </w:rPr>
  </w:style>
  <w:style w:type="paragraph" w:customStyle="1" w:styleId="EntEmet">
    <w:name w:val="EntEmet"/>
    <w:basedOn w:val="Normal"/>
    <w:pPr>
      <w:spacing w:before="40" w:after="0"/>
      <w:jc w:val="left"/>
    </w:pPr>
    <w:rPr>
      <w:rFonts w:eastAsia="Times New Roman"/>
      <w:szCs w:val="24"/>
    </w:rPr>
  </w:style>
  <w:style w:type="paragraph" w:customStyle="1" w:styleId="EntText">
    <w:name w:val="EntText"/>
    <w:basedOn w:val="Normal"/>
    <w:pPr>
      <w:spacing w:line="360" w:lineRule="auto"/>
      <w:jc w:val="left"/>
    </w:pPr>
    <w:rPr>
      <w:rFonts w:eastAsia="Times New Roman"/>
      <w:szCs w:val="24"/>
    </w:rPr>
  </w:style>
  <w:style w:type="paragraph" w:customStyle="1" w:styleId="EntEU">
    <w:name w:val="EntEU"/>
    <w:basedOn w:val="Normal"/>
    <w:pPr>
      <w:spacing w:before="240" w:after="240"/>
      <w:jc w:val="center"/>
    </w:pPr>
    <w:rPr>
      <w:rFonts w:eastAsia="Times New Roman"/>
      <w:b/>
      <w:sz w:val="36"/>
      <w:szCs w:val="24"/>
    </w:rPr>
  </w:style>
  <w:style w:type="paragraph" w:customStyle="1" w:styleId="EntASSOC">
    <w:name w:val="EntASSOC"/>
    <w:basedOn w:val="Normal"/>
    <w:pPr>
      <w:spacing w:before="0" w:after="0"/>
      <w:jc w:val="center"/>
    </w:pPr>
    <w:rPr>
      <w:rFonts w:eastAsia="Times New Roman"/>
      <w:b/>
      <w:szCs w:val="24"/>
    </w:rPr>
  </w:style>
  <w:style w:type="paragraph" w:customStyle="1" w:styleId="EntACP">
    <w:name w:val="EntACP"/>
    <w:basedOn w:val="Normal"/>
    <w:pPr>
      <w:spacing w:before="0" w:after="180"/>
      <w:jc w:val="center"/>
    </w:pPr>
    <w:rPr>
      <w:rFonts w:eastAsia="Times New Roman"/>
      <w:b/>
      <w:spacing w:val="40"/>
      <w:sz w:val="28"/>
      <w:szCs w:val="24"/>
    </w:rPr>
  </w:style>
  <w:style w:type="paragraph" w:customStyle="1" w:styleId="EntInstitACP">
    <w:name w:val="EntInstitACP"/>
    <w:basedOn w:val="Normal"/>
    <w:pPr>
      <w:spacing w:before="0" w:after="0"/>
      <w:jc w:val="center"/>
    </w:pPr>
    <w:rPr>
      <w:rFonts w:eastAsia="Times New Roman"/>
      <w:b/>
      <w:szCs w:val="24"/>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rPr>
      <w:rFonts w:eastAsia="Times New Roman"/>
      <w:szCs w:val="24"/>
    </w:rPr>
  </w:style>
  <w:style w:type="paragraph" w:customStyle="1" w:styleId="FooterAccord">
    <w:name w:val="Footer Accord"/>
    <w:basedOn w:val="Normal"/>
    <w:pPr>
      <w:tabs>
        <w:tab w:val="center" w:pos="4819"/>
        <w:tab w:val="center" w:pos="7370"/>
        <w:tab w:val="right" w:pos="9638"/>
      </w:tabs>
      <w:spacing w:before="360" w:after="0"/>
      <w:jc w:val="center"/>
    </w:pPr>
    <w:rPr>
      <w:rFonts w:eastAsia="Times New Roman"/>
      <w:szCs w:val="24"/>
    </w:rPr>
  </w:style>
  <w:style w:type="paragraph" w:customStyle="1" w:styleId="FooterLandscapeAccord">
    <w:name w:val="FooterLandscape Accord"/>
    <w:basedOn w:val="Normal"/>
    <w:pPr>
      <w:tabs>
        <w:tab w:val="center" w:pos="7285"/>
        <w:tab w:val="center" w:pos="10930"/>
        <w:tab w:val="right" w:pos="14570"/>
      </w:tabs>
      <w:spacing w:before="360" w:after="0"/>
      <w:jc w:val="center"/>
    </w:pPr>
    <w:rPr>
      <w:rFonts w:eastAsia="Times New Roman"/>
      <w:szCs w:val="24"/>
    </w:rPr>
  </w:style>
  <w:style w:type="paragraph" w:customStyle="1" w:styleId="TitrearticleAccord">
    <w:name w:val="Titre article Accord"/>
    <w:basedOn w:val="Normal"/>
    <w:next w:val="Normal"/>
    <w:pPr>
      <w:keepNext/>
      <w:spacing w:before="600" w:line="360" w:lineRule="auto"/>
      <w:jc w:val="center"/>
    </w:pPr>
    <w:rPr>
      <w:rFonts w:eastAsia="Times New Roman"/>
      <w:i/>
      <w:szCs w:val="24"/>
    </w:rPr>
  </w:style>
  <w:style w:type="paragraph" w:customStyle="1" w:styleId="HeaderCouncilLarge">
    <w:name w:val="Header Council Large"/>
    <w:basedOn w:val="Normal"/>
    <w:link w:val="HeaderCouncilLargeChar"/>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rPr>
      <w:rFonts w:ascii="Times New Roman" w:eastAsia="Times New Roman" w:hAnsi="Times New Roman" w:cs="Times New Roman"/>
      <w:sz w:val="24"/>
      <w:szCs w:val="24"/>
      <w:lang w:val="en-GB"/>
    </w:rPr>
  </w:style>
  <w:style w:type="character" w:customStyle="1" w:styleId="HeaderCouncilLargeChar">
    <w:name w:val="Header Council Large Char"/>
    <w:link w:val="HeaderCouncilLarge"/>
    <w:rPr>
      <w:rFonts w:ascii="Times New Roman" w:eastAsia="Times New Roman" w:hAnsi="Times New Roman" w:cs="Times New Roman"/>
      <w:sz w:val="2"/>
      <w:szCs w:val="24"/>
      <w:lang w:val="en-GB"/>
    </w:rPr>
  </w:style>
  <w:style w:type="paragraph" w:customStyle="1" w:styleId="FooterText">
    <w:name w:val="Footer Text"/>
    <w:basedOn w:val="Normal"/>
    <w:pPr>
      <w:spacing w:before="0" w:after="0"/>
      <w:jc w:val="left"/>
    </w:pPr>
    <w:rPr>
      <w:rFonts w:eastAsia="Times New Roman"/>
      <w:szCs w:val="24"/>
    </w:rPr>
  </w:style>
  <w:style w:type="paragraph" w:customStyle="1" w:styleId="ATHeading1">
    <w:name w:val="AT Heading 1"/>
    <w:basedOn w:val="Normal"/>
    <w:next w:val="Normal"/>
    <w:pPr>
      <w:keepNext/>
      <w:keepLines/>
      <w:spacing w:before="0"/>
      <w:jc w:val="left"/>
      <w:outlineLvl w:val="0"/>
    </w:pPr>
    <w:rPr>
      <w:rFonts w:eastAsia="Times New Roman"/>
      <w:b/>
      <w:noProof/>
      <w:sz w:val="28"/>
      <w:szCs w:val="20"/>
      <w:lang w:val="fr-FR" w:eastAsia="en-GB"/>
    </w:rPr>
  </w:style>
  <w:style w:type="paragraph" w:customStyle="1" w:styleId="ATHeading2">
    <w:name w:val="AT Heading 2"/>
    <w:basedOn w:val="Normal"/>
    <w:next w:val="Normal"/>
    <w:pPr>
      <w:jc w:val="left"/>
      <w:outlineLvl w:val="1"/>
    </w:pPr>
    <w:rPr>
      <w:rFonts w:eastAsia="Times New Roman"/>
      <w:b/>
      <w:noProof/>
      <w:sz w:val="28"/>
      <w:szCs w:val="20"/>
      <w:lang w:val="fr-FR" w:eastAsia="en-GB"/>
    </w:rPr>
  </w:style>
  <w:style w:type="paragraph" w:customStyle="1" w:styleId="ATHeading3">
    <w:name w:val="AT Heading 3"/>
    <w:basedOn w:val="Normal"/>
    <w:next w:val="Normal"/>
    <w:pPr>
      <w:keepNext/>
      <w:keepLines/>
      <w:jc w:val="left"/>
      <w:outlineLvl w:val="2"/>
    </w:pPr>
    <w:rPr>
      <w:rFonts w:eastAsia="Times New Roman"/>
      <w:b/>
      <w:noProof/>
      <w:szCs w:val="20"/>
      <w:lang w:val="fr-FR" w:eastAsia="en-GB"/>
    </w:rPr>
  </w:style>
  <w:style w:type="paragraph" w:customStyle="1" w:styleId="ATHeading4">
    <w:name w:val="AT Heading 4"/>
    <w:basedOn w:val="Normal"/>
    <w:next w:val="Normal"/>
    <w:pPr>
      <w:keepNext/>
      <w:keepLines/>
      <w:jc w:val="left"/>
    </w:pPr>
    <w:rPr>
      <w:rFonts w:eastAsia="Times New Roman"/>
      <w:b/>
      <w:i/>
      <w:noProof/>
      <w:szCs w:val="20"/>
      <w:lang w:val="fr-FR" w:eastAsia="en-GB"/>
    </w:rPr>
  </w:style>
  <w:style w:type="paragraph" w:customStyle="1" w:styleId="ATHeading5">
    <w:name w:val="AT Heading 5"/>
    <w:basedOn w:val="Normal"/>
    <w:next w:val="Normal"/>
    <w:pPr>
      <w:keepNext/>
      <w:keepLines/>
      <w:jc w:val="left"/>
    </w:pPr>
    <w:rPr>
      <w:rFonts w:eastAsia="Times New Roman"/>
      <w:i/>
      <w:noProof/>
      <w:szCs w:val="20"/>
      <w:lang w:val="fr-FR" w:eastAsia="en-GB"/>
    </w:rPr>
  </w:style>
  <w:style w:type="paragraph" w:customStyle="1" w:styleId="ATHeadingMotiv">
    <w:name w:val="AT Heading Motiv"/>
    <w:basedOn w:val="Normal"/>
    <w:next w:val="Normal"/>
    <w:pPr>
      <w:keepNext/>
      <w:spacing w:before="60" w:after="60"/>
      <w:jc w:val="center"/>
    </w:pPr>
    <w:rPr>
      <w:rFonts w:eastAsia="Times New Roman"/>
      <w:i/>
      <w:szCs w:val="20"/>
      <w:lang w:val="fr-FR" w:eastAsia="en-GB"/>
    </w:rPr>
  </w:style>
  <w:style w:type="paragraph" w:customStyle="1" w:styleId="ATTOCTitle">
    <w:name w:val="AT TOC Title"/>
    <w:basedOn w:val="Normal"/>
    <w:pPr>
      <w:keepNext/>
      <w:keepLines/>
      <w:spacing w:before="0" w:after="240"/>
      <w:jc w:val="center"/>
    </w:pPr>
    <w:rPr>
      <w:rFonts w:eastAsia="Times New Roman"/>
      <w:b/>
      <w:caps/>
      <w:sz w:val="28"/>
      <w:szCs w:val="20"/>
      <w:lang w:val="fr-FR" w:eastAsia="en-GB"/>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lang w:val="fr-FR"/>
    </w:rPr>
  </w:style>
  <w:style w:type="character" w:styleId="PageNumber">
    <w:name w:val="page number"/>
  </w:style>
  <w:style w:type="paragraph" w:customStyle="1" w:styleId="ATHeading6">
    <w:name w:val="AT Heading 6"/>
    <w:basedOn w:val="Normal"/>
    <w:next w:val="Normal"/>
    <w:pPr>
      <w:keepNext/>
      <w:keepLines/>
      <w:jc w:val="left"/>
    </w:pPr>
    <w:rPr>
      <w:rFonts w:eastAsia="Times New Roman"/>
      <w:smallCaps/>
      <w:noProof/>
      <w:szCs w:val="20"/>
      <w:lang w:val="fr-FR" w:eastAsia="en-GB"/>
    </w:rPr>
  </w:style>
  <w:style w:type="paragraph" w:customStyle="1" w:styleId="CODConsidrants">
    <w:name w:val="COD Considérants"/>
    <w:basedOn w:val="Normal"/>
    <w:pPr>
      <w:tabs>
        <w:tab w:val="num" w:pos="2551"/>
      </w:tabs>
      <w:spacing w:before="0" w:after="240"/>
      <w:ind w:left="2551" w:hanging="567"/>
    </w:pPr>
    <w:rPr>
      <w:rFonts w:eastAsia="Times New Roman"/>
      <w:szCs w:val="20"/>
      <w:lang w:val="fr-FR" w:eastAsia="en-GB"/>
    </w:rPr>
  </w:style>
  <w:style w:type="paragraph" w:customStyle="1" w:styleId="CODVisas">
    <w:name w:val="COD Visas"/>
    <w:basedOn w:val="Normal"/>
    <w:pPr>
      <w:spacing w:before="0" w:after="240"/>
    </w:pPr>
    <w:rPr>
      <w:rFonts w:eastAsia="Times New Roman"/>
      <w:lang w:val="fr-FR" w:eastAsia="en-GB"/>
    </w:rPr>
  </w:style>
  <w:style w:type="paragraph" w:customStyle="1" w:styleId="CODLeParlementeuropen">
    <w:name w:val="COD Le Parlement européen"/>
    <w:basedOn w:val="Normal"/>
    <w:pPr>
      <w:spacing w:before="600" w:after="360"/>
    </w:pPr>
    <w:rPr>
      <w:rFonts w:eastAsia="Times New Roman"/>
      <w:szCs w:val="20"/>
      <w:lang w:val="fr-FR" w:eastAsia="en-GB"/>
    </w:rPr>
  </w:style>
  <w:style w:type="paragraph" w:customStyle="1" w:styleId="CODOntarrt">
    <w:name w:val="COD Ont arrêté ..."/>
    <w:basedOn w:val="Normal"/>
    <w:pPr>
      <w:spacing w:before="0" w:after="360"/>
    </w:pPr>
    <w:rPr>
      <w:rFonts w:eastAsia="Times New Roman"/>
      <w:szCs w:val="20"/>
      <w:lang w:val="fr-FR" w:eastAsia="en-GB"/>
    </w:rPr>
  </w:style>
  <w:style w:type="paragraph" w:customStyle="1" w:styleId="CODParagraphes">
    <w:name w:val="COD Paragraphes"/>
    <w:basedOn w:val="Normal"/>
    <w:pPr>
      <w:tabs>
        <w:tab w:val="left" w:pos="709"/>
      </w:tabs>
      <w:spacing w:before="0" w:after="240"/>
    </w:pPr>
    <w:rPr>
      <w:rFonts w:eastAsia="Times New Roman"/>
      <w:lang w:val="fr-FR" w:eastAsia="en-GB"/>
    </w:rPr>
  </w:style>
  <w:style w:type="paragraph" w:customStyle="1" w:styleId="CODArticle0">
    <w:name w:val="COD Article + 0"/>
    <w:basedOn w:val="Normal"/>
    <w:pPr>
      <w:spacing w:before="0" w:after="0"/>
      <w:jc w:val="center"/>
    </w:pPr>
    <w:rPr>
      <w:rFonts w:eastAsia="Times New Roman"/>
      <w:szCs w:val="20"/>
      <w:lang w:val="fr-FR" w:eastAsia="en-GB"/>
    </w:rPr>
  </w:style>
  <w:style w:type="paragraph" w:customStyle="1" w:styleId="CODArticle12">
    <w:name w:val="COD Article + 12"/>
    <w:basedOn w:val="Normal"/>
    <w:pPr>
      <w:spacing w:before="0" w:after="240"/>
      <w:jc w:val="center"/>
    </w:pPr>
    <w:rPr>
      <w:rFonts w:eastAsia="Times New Roman"/>
      <w:szCs w:val="20"/>
      <w:lang w:val="fr-FR" w:eastAsia="en-GB"/>
    </w:rPr>
  </w:style>
  <w:style w:type="paragraph" w:customStyle="1" w:styleId="StyleCODParagraphesFirstline002cm">
    <w:name w:val="Style COD Paragraphes + First line:  002 cm"/>
    <w:basedOn w:val="CODParagraphes"/>
  </w:style>
  <w:style w:type="paragraph" w:customStyle="1" w:styleId="CODParagraphesretrait">
    <w:name w:val="COD Paragraphes retrait"/>
    <w:basedOn w:val="CODParagraphes"/>
  </w:style>
  <w:style w:type="paragraph" w:customStyle="1" w:styleId="Considrants">
    <w:name w:val="Considérants"/>
    <w:basedOn w:val="CODConsidrants"/>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12"/>
  </w:style>
  <w:style w:type="paragraph" w:customStyle="1" w:styleId="Normal12">
    <w:name w:val="Normal12"/>
    <w:basedOn w:val="Normal"/>
    <w:pPr>
      <w:widowControl w:val="0"/>
      <w:spacing w:before="0" w:after="240"/>
      <w:jc w:val="left"/>
    </w:pPr>
    <w:rPr>
      <w:rFonts w:eastAsia="Times New Roman"/>
      <w:szCs w:val="20"/>
      <w:lang w:eastAsia="en-GB"/>
    </w:rPr>
  </w:style>
  <w:style w:type="paragraph" w:customStyle="1" w:styleId="TOCPage">
    <w:name w:val="TOC Page"/>
    <w:basedOn w:val="Normal12"/>
    <w:next w:val="TOC1"/>
  </w:style>
  <w:style w:type="paragraph" w:customStyle="1" w:styleId="TableofEntries">
    <w:name w:val="Table of Entries"/>
    <w:basedOn w:val="Normal12"/>
  </w:style>
  <w:style w:type="paragraph" w:customStyle="1" w:styleId="PageHeading">
    <w:name w:val="PageHeading"/>
    <w:basedOn w:val="Normal12a12b"/>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character" w:customStyle="1" w:styleId="NormalBoldChar">
    <w:name w:val="NormalBold Char"/>
    <w:link w:val="NormalBold"/>
    <w:locked/>
    <w:rPr>
      <w:rFonts w:ascii="Times New Roman" w:eastAsia="Times New Roman" w:hAnsi="Times New Roman" w:cs="Times New Roman"/>
      <w:b/>
      <w:sz w:val="24"/>
      <w:szCs w:val="20"/>
      <w:lang w:val="en-GB" w:eastAsia="en-GB"/>
    </w:rPr>
  </w:style>
  <w:style w:type="paragraph" w:customStyle="1" w:styleId="Normal12Bold">
    <w:name w:val="Normal12Bold"/>
    <w:basedOn w:val="Normal12"/>
  </w:style>
  <w:style w:type="paragraph" w:customStyle="1" w:styleId="Normal12Hanging">
    <w:name w:val="Normal12Hanging"/>
    <w:basedOn w:val="Normal12"/>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style>
  <w:style w:type="paragraph" w:customStyle="1" w:styleId="Cover24">
    <w:name w:val="Cover24"/>
    <w:basedOn w:val="Normal24"/>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DocRef">
    <w:name w:val="DocRef"/>
    <w:basedOn w:val="Normal"/>
    <w:pPr>
      <w:widowControl w:val="0"/>
      <w:spacing w:before="0" w:after="960"/>
      <w:jc w:val="center"/>
    </w:pPr>
    <w:rPr>
      <w:rFonts w:ascii="Arial" w:eastAsia="Times New Roman" w:hAnsi="Arial"/>
      <w:b/>
      <w:szCs w:val="20"/>
      <w:lang w:eastAsia="en-GB"/>
    </w:rPr>
  </w:style>
  <w:style w:type="paragraph" w:customStyle="1" w:styleId="DocType">
    <w:name w:val="DocType"/>
    <w:basedOn w:val="Normal12"/>
  </w:style>
  <w:style w:type="paragraph" w:customStyle="1" w:styleId="EntPE">
    <w:name w:val="EntPE"/>
    <w:basedOn w:val="Normal12"/>
  </w:style>
  <w:style w:type="paragraph" w:customStyle="1" w:styleId="Normal12Centre">
    <w:name w:val="Normal12Centre"/>
    <w:basedOn w:val="Normal12"/>
  </w:style>
  <w:style w:type="paragraph" w:customStyle="1" w:styleId="Normal12Keep">
    <w:name w:val="Normal12Keep"/>
    <w:basedOn w:val="Normal12"/>
  </w:style>
  <w:style w:type="paragraph" w:customStyle="1" w:styleId="Normal12Tab">
    <w:name w:val="Normal12Tab"/>
    <w:basedOn w:val="Normal12"/>
  </w:style>
  <w:style w:type="paragraph" w:customStyle="1" w:styleId="RefProc">
    <w:name w:val="RefProc"/>
    <w:basedOn w:val="Normal"/>
    <w:pPr>
      <w:widowControl w:val="0"/>
      <w:spacing w:before="240" w:after="24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TypeDoc">
    <w:name w:val="TypeDoc"/>
    <w:basedOn w:val="Normal24"/>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style>
  <w:style w:type="paragraph" w:customStyle="1" w:styleId="AMNumberTabs">
    <w:name w:val="AMNumberTabs"/>
    <w:basedOn w:val="Normal"/>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val="x-none" w:eastAsia="x-none"/>
    </w:rPr>
  </w:style>
  <w:style w:type="character" w:customStyle="1" w:styleId="HeaderChar1">
    <w:name w:val="Header Char1"/>
    <w:locked/>
    <w:rPr>
      <w:rFonts w:ascii="Times New Roman" w:eastAsia="Times New Roman" w:hAnsi="Times New Roman" w:cs="Times New Roman"/>
      <w:b/>
      <w:sz w:val="24"/>
      <w:szCs w:val="20"/>
      <w:lang w:val="x-none" w:eastAsia="x-none"/>
    </w:rPr>
  </w:style>
  <w:style w:type="paragraph" w:customStyle="1" w:styleId="ConsHeading">
    <w:name w:val="ConsHeading"/>
    <w:basedOn w:val="Normal12Centre"/>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pPr>
      <w:widowControl w:val="0"/>
      <w:spacing w:before="0" w:after="0"/>
      <w:jc w:val="center"/>
    </w:pPr>
    <w:rPr>
      <w:rFonts w:ascii="Arial" w:eastAsia="Times New Roman" w:hAnsi="Arial"/>
      <w:i/>
      <w:sz w:val="22"/>
      <w:szCs w:val="20"/>
      <w:lang w:val="fr-FR" w:eastAsia="x-none"/>
    </w:rPr>
  </w:style>
  <w:style w:type="character" w:customStyle="1" w:styleId="HeaderChar2">
    <w:name w:val="Header Char2"/>
    <w:locked/>
    <w:rPr>
      <w:rFonts w:ascii="Arial" w:eastAsia="Times New Roman" w:hAnsi="Arial" w:cs="Times New Roman"/>
      <w:i/>
      <w:szCs w:val="20"/>
      <w:lang w:val="fr-FR" w:eastAsia="x-none"/>
    </w:rPr>
  </w:style>
  <w:style w:type="paragraph" w:customStyle="1" w:styleId="LineTop">
    <w:name w:val="LineTop"/>
    <w:basedOn w:val="Normal"/>
    <w:next w:val="ZCommittee"/>
    <w:pPr>
      <w:widowControl w:val="0"/>
      <w:pBdr>
        <w:top w:val="single" w:sz="4" w:space="1" w:color="auto"/>
      </w:pBdr>
      <w:spacing w:before="0" w:after="0"/>
      <w:jc w:val="center"/>
    </w:pPr>
    <w:rPr>
      <w:rFonts w:ascii="Arial" w:eastAsia="Times New Roman" w:hAnsi="Arial"/>
      <w:sz w:val="16"/>
      <w:szCs w:val="16"/>
      <w:lang w:val="fr-FR" w:eastAsia="en-GB"/>
    </w:rPr>
  </w:style>
  <w:style w:type="paragraph" w:customStyle="1" w:styleId="LineBottom">
    <w:name w:val="LineBottom"/>
    <w:basedOn w:val="Normal"/>
    <w:next w:val="Normal"/>
    <w:pPr>
      <w:widowControl w:val="0"/>
      <w:pBdr>
        <w:bottom w:val="single" w:sz="4" w:space="1" w:color="auto"/>
      </w:pBdr>
      <w:spacing w:before="0" w:after="8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val="fr-FR"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val="fr-FR"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before="720" w:after="0"/>
      <w:jc w:val="center"/>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z w:val="18"/>
      <w:szCs w:val="20"/>
      <w:lang w:val="en-US"/>
    </w:rPr>
  </w:style>
  <w:style w:type="paragraph" w:customStyle="1" w:styleId="Lgendetitre">
    <w:name w:val="Légende titre"/>
    <w:basedOn w:val="Normal"/>
    <w:pPr>
      <w:widowControl w:val="0"/>
      <w:spacing w:before="240" w:after="240"/>
      <w:jc w:val="left"/>
    </w:pPr>
    <w:rPr>
      <w:rFonts w:eastAsia="Times New Roman"/>
      <w:b/>
      <w:i/>
      <w:szCs w:val="20"/>
      <w:lang w:val="en-US"/>
    </w:rPr>
  </w:style>
  <w:style w:type="paragraph" w:customStyle="1" w:styleId="Lgendestandard">
    <w:name w:val="Légende standard"/>
    <w:basedOn w:val="Lgendesigne"/>
    <w:pPr>
      <w:ind w:left="0" w:firstLine="0"/>
    </w:pPr>
  </w:style>
  <w:style w:type="paragraph" w:styleId="Title">
    <w:name w:val="Title"/>
    <w:basedOn w:val="Normal"/>
    <w:next w:val="Normal"/>
    <w:link w:val="TitleChar"/>
    <w:uiPriority w:val="10"/>
    <w:qFormat/>
    <w:pPr>
      <w:widowControl w:val="0"/>
      <w:spacing w:before="240" w:after="60"/>
      <w:jc w:val="center"/>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eastAsia="en-GB"/>
    </w:rPr>
  </w:style>
  <w:style w:type="character" w:customStyle="1" w:styleId="Point1letterChar">
    <w:name w:val="Point 1 (letter) Char"/>
    <w:locked/>
    <w:rPr>
      <w:rFonts w:ascii="Times New Roman" w:hAnsi="Times New Roman" w:cs="Times New Roman"/>
      <w:sz w:val="24"/>
      <w:lang w:val="en-GB"/>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240" w:after="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lang w:val="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character" w:customStyle="1" w:styleId="RevisionChar">
    <w:name w:val="Revision Char"/>
    <w:link w:val="Revision"/>
    <w:semiHidden/>
    <w:locked/>
    <w:rPr>
      <w:rFonts w:ascii="Times New Roman" w:hAnsi="Times New Roman" w:cs="Times New Roman"/>
      <w:sz w:val="24"/>
      <w:lang w:val="en-GB"/>
    </w:rPr>
  </w:style>
  <w:style w:type="paragraph" w:customStyle="1" w:styleId="AMNumber">
    <w:name w:val="AMNumber"/>
    <w:basedOn w:val="Normal"/>
    <w:pPr>
      <w:keepNext/>
      <w:widowControl w:val="0"/>
      <w:spacing w:before="360" w:after="0"/>
      <w:jc w:val="center"/>
    </w:pPr>
    <w:rPr>
      <w:rFonts w:eastAsia="Times New Roman"/>
      <w:szCs w:val="20"/>
      <w:lang w:eastAsia="en-GB"/>
    </w:rPr>
  </w:style>
  <w:style w:type="character" w:customStyle="1" w:styleId="HideTWBExt">
    <w:name w:val="HideTWBExt"/>
    <w:rPr>
      <w:rFonts w:ascii="Arial" w:hAnsi="Arial"/>
      <w:noProof/>
      <w:vanish/>
      <w:color w:val="000080"/>
      <w:sz w:val="20"/>
    </w:rPr>
  </w:style>
  <w:style w:type="paragraph" w:customStyle="1" w:styleId="ProjRap">
    <w:name w:val="ProjRap"/>
    <w:basedOn w:val="Normal"/>
    <w:pPr>
      <w:widowControl w:val="0"/>
      <w:tabs>
        <w:tab w:val="right" w:pos="9072"/>
      </w:tabs>
      <w:spacing w:before="0" w:after="0"/>
      <w:ind w:right="-284"/>
      <w:jc w:val="left"/>
    </w:pPr>
    <w:rPr>
      <w:rFonts w:eastAsia="Times New Roman"/>
      <w:b/>
      <w:szCs w:val="20"/>
      <w:lang w:eastAsia="en-GB"/>
    </w:rPr>
  </w:style>
  <w:style w:type="character" w:customStyle="1" w:styleId="HideTWBInt">
    <w:name w:val="HideTWBInt"/>
    <w:rPr>
      <w:vanish/>
      <w:color w:val="808080"/>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ZDateAM">
    <w:name w:val="ZDateAM"/>
    <w:basedOn w:val="Normal"/>
    <w:pPr>
      <w:widowControl w:val="0"/>
      <w:tabs>
        <w:tab w:val="right" w:pos="9072"/>
      </w:tabs>
      <w:spacing w:before="0" w:after="0"/>
      <w:ind w:right="-284"/>
      <w:jc w:val="left"/>
    </w:pPr>
    <w:rPr>
      <w:rFonts w:eastAsia="Times New Roman"/>
      <w:szCs w:val="20"/>
      <w:lang w:eastAsia="en-GB"/>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en-US"/>
    </w:rPr>
  </w:style>
  <w:style w:type="paragraph" w:customStyle="1" w:styleId="Justification">
    <w:name w:val="Justification"/>
    <w:basedOn w:val="Normal12"/>
    <w:rPr>
      <w:i/>
    </w:rPr>
  </w:style>
  <w:style w:type="character" w:customStyle="1" w:styleId="Normal6Char">
    <w:name w:val="Normal6 Char"/>
    <w:link w:val="Normal6"/>
    <w:rPr>
      <w:rFonts w:ascii="Times New Roman" w:eastAsia="Times New Roman" w:hAnsi="Times New Roman" w:cs="Times New Roman"/>
      <w:sz w:val="24"/>
      <w:szCs w:val="20"/>
      <w:lang w:val="en-GB" w:eastAsia="en-GB"/>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NumberLevel2">
    <w:name w:val="List Number (Level 2)"/>
    <w:basedOn w:val="Normal"/>
    <w:pPr>
      <w:tabs>
        <w:tab w:val="num" w:pos="1417"/>
      </w:tabs>
      <w:ind w:left="1417" w:hanging="708"/>
    </w:pPr>
    <w:rPr>
      <w:rFonts w:eastAsia="Times New Roman"/>
      <w:szCs w:val="24"/>
      <w:lang w:eastAsia="de-DE"/>
    </w:rPr>
  </w:style>
  <w:style w:type="paragraph" w:customStyle="1" w:styleId="ListNumberLevel3">
    <w:name w:val="List Number (Level 3)"/>
    <w:basedOn w:val="Normal"/>
    <w:pPr>
      <w:tabs>
        <w:tab w:val="num" w:pos="2126"/>
      </w:tabs>
      <w:ind w:left="2126" w:hanging="709"/>
    </w:pPr>
    <w:rPr>
      <w:rFonts w:eastAsia="Times New Roman"/>
      <w:szCs w:val="24"/>
      <w:lang w:eastAsia="de-DE"/>
    </w:rPr>
  </w:style>
  <w:style w:type="paragraph" w:customStyle="1" w:styleId="ListNumberLevel4">
    <w:name w:val="List Number (Level 4)"/>
    <w:basedOn w:val="Normal"/>
    <w:pPr>
      <w:tabs>
        <w:tab w:val="num" w:pos="2835"/>
      </w:tabs>
      <w:ind w:left="2835" w:hanging="709"/>
    </w:pPr>
    <w:rPr>
      <w:rFonts w:eastAsia="Times New Roman"/>
      <w:szCs w:val="24"/>
      <w:lang w:eastAsia="de-DE"/>
    </w:rPr>
  </w:style>
  <w:style w:type="character" w:customStyle="1" w:styleId="highlight">
    <w:name w:val="highlight"/>
  </w:style>
  <w:style w:type="paragraph" w:styleId="NormalWeb">
    <w:name w:val="Normal (Web)"/>
    <w:basedOn w:val="Normal"/>
    <w:uiPriority w:val="99"/>
    <w:unhideWhenUsed/>
    <w:pPr>
      <w:spacing w:before="100" w:beforeAutospacing="1" w:after="100" w:afterAutospacing="1"/>
      <w:jc w:val="left"/>
    </w:pPr>
    <w:rPr>
      <w:rFonts w:eastAsia="Times New Roman"/>
      <w:szCs w:val="24"/>
      <w:lang w:val="en-US"/>
    </w:rPr>
  </w:style>
  <w:style w:type="paragraph" w:customStyle="1" w:styleId="Sev">
    <w:name w:val="Sev"/>
    <w:basedOn w:val="Text1"/>
    <w:rPr>
      <w:rFonts w:eastAsia="Times New Roman"/>
      <w:szCs w:val="24"/>
    </w:rPr>
  </w:style>
  <w:style w:type="paragraph" w:styleId="BodyText3">
    <w:name w:val="Body Text 3"/>
    <w:basedOn w:val="Normal"/>
    <w:link w:val="BodyText3Char"/>
    <w:uiPriority w:val="99"/>
    <w:rPr>
      <w:rFonts w:eastAsia="Times New Roman"/>
      <w:szCs w:val="20"/>
      <w:lang w:eastAsia="x-none"/>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24"/>
      <w:szCs w:val="20"/>
      <w:lang w:val="en-GB" w:eastAsia="x-none"/>
    </w:rPr>
  </w:style>
  <w:style w:type="paragraph" w:styleId="BodyText">
    <w:name w:val="Body Text"/>
    <w:basedOn w:val="Normal"/>
    <w:link w:val="BodyTextChar"/>
    <w:uiPriority w:val="99"/>
    <w:unhideWhenUsed/>
    <w:rPr>
      <w:rFonts w:eastAsia="Times New Roman"/>
      <w:szCs w:val="20"/>
      <w:lang w:eastAsia="x-none"/>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eastAsia="x-none"/>
    </w:rPr>
  </w:style>
  <w:style w:type="paragraph" w:styleId="BodyTextFirstIndent">
    <w:name w:val="Body Text First Indent"/>
    <w:basedOn w:val="BodyText"/>
    <w:link w:val="BodyTextFirstIndentChar"/>
    <w:uiPriority w:val="99"/>
    <w:pPr>
      <w:ind w:firstLine="210"/>
    </w:pPr>
    <w:rPr>
      <w:szCs w:val="24"/>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pPr>
      <w:ind w:left="283"/>
    </w:pPr>
    <w:rPr>
      <w:rFonts w:eastAsia="Times New Roman"/>
      <w:szCs w:val="20"/>
      <w:lang w:eastAsia="x-none"/>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en-GB" w:eastAsia="x-none"/>
    </w:rPr>
  </w:style>
  <w:style w:type="paragraph" w:styleId="BodyTextFirstIndent2">
    <w:name w:val="Body Text First Indent 2"/>
    <w:basedOn w:val="BodyTextIndent"/>
    <w:link w:val="BodyTextFirstIndent2Char"/>
    <w:uiPriority w:val="99"/>
    <w:pPr>
      <w:ind w:firstLine="210"/>
    </w:pPr>
    <w:rPr>
      <w:szCs w:val="24"/>
    </w:r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x-none"/>
    </w:rPr>
  </w:style>
  <w:style w:type="paragraph" w:customStyle="1" w:styleId="ListDash">
    <w:name w:val="List Dash"/>
    <w:basedOn w:val="Normal"/>
    <w:pPr>
      <w:numPr>
        <w:numId w:val="14"/>
      </w:numPr>
    </w:pPr>
    <w:rPr>
      <w:rFonts w:eastAsia="Times New Roman"/>
      <w:szCs w:val="24"/>
      <w:lang w:eastAsia="en-GB"/>
    </w:rP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ListNumber4Level2">
    <w:name w:val="List Number 4 (Level 2)"/>
    <w:basedOn w:val="Text4"/>
    <w:pPr>
      <w:tabs>
        <w:tab w:val="num" w:pos="2268"/>
      </w:tabs>
      <w:ind w:left="2268" w:hanging="708"/>
    </w:pPr>
    <w:rPr>
      <w:rFonts w:eastAsia="Times New Roman"/>
      <w:szCs w:val="24"/>
      <w:lang w:eastAsia="de-DE"/>
    </w:rPr>
  </w:style>
  <w:style w:type="paragraph" w:customStyle="1" w:styleId="ListNumber4Level3">
    <w:name w:val="List Number 4 (Level 3)"/>
    <w:basedOn w:val="Text4"/>
    <w:pPr>
      <w:tabs>
        <w:tab w:val="num" w:pos="2977"/>
      </w:tabs>
      <w:ind w:left="2977" w:hanging="709"/>
    </w:pPr>
    <w:rPr>
      <w:rFonts w:eastAsia="Times New Roman"/>
      <w:szCs w:val="24"/>
      <w:lang w:eastAsia="de-DE"/>
    </w:rPr>
  </w:style>
  <w:style w:type="paragraph" w:customStyle="1" w:styleId="ListNumber4Level4">
    <w:name w:val="List Number 4 (Level 4)"/>
    <w:basedOn w:val="Text4"/>
    <w:pPr>
      <w:tabs>
        <w:tab w:val="num" w:pos="3686"/>
      </w:tabs>
      <w:ind w:left="3686" w:hanging="709"/>
    </w:pPr>
    <w:rPr>
      <w:rFonts w:eastAsia="Times New Roman"/>
      <w:szCs w:val="24"/>
      <w:lang w:eastAsia="de-DE"/>
    </w:rPr>
  </w:style>
  <w:style w:type="paragraph" w:customStyle="1" w:styleId="num">
    <w:name w:val="num"/>
    <w:basedOn w:val="ManualNumPar1"/>
    <w:rPr>
      <w:rFonts w:eastAsia="Times New Roman"/>
      <w:szCs w:val="24"/>
    </w:rPr>
  </w:style>
  <w:style w:type="character" w:customStyle="1" w:styleId="at2">
    <w:name w:val="a__t2"/>
  </w:style>
  <w:style w:type="paragraph" w:customStyle="1" w:styleId="Foonote">
    <w:name w:val="Foonote"/>
    <w:basedOn w:val="Default"/>
    <w:pPr>
      <w:jc w:val="both"/>
    </w:pPr>
    <w:rPr>
      <w:rFonts w:eastAsia="Times New Roman"/>
      <w:bCs/>
      <w:sz w:val="20"/>
      <w:szCs w:val="20"/>
      <w:lang w:val="en-US"/>
    </w:rPr>
  </w:style>
  <w:style w:type="numbering" w:customStyle="1" w:styleId="NoList2">
    <w:name w:val="No List2"/>
    <w:next w:val="NoList"/>
    <w:semiHidden/>
  </w:style>
  <w:style w:type="numbering" w:customStyle="1" w:styleId="NoList11">
    <w:name w:val="No List11"/>
    <w:next w:val="NoList"/>
    <w:uiPriority w:val="99"/>
    <w:semiHidden/>
    <w:unhideWhenUsed/>
  </w:style>
  <w:style w:type="paragraph" w:customStyle="1" w:styleId="ZDateAdd">
    <w:name w:val="ZDateAdd"/>
    <w:basedOn w:val="Normal"/>
    <w:next w:val="Normal"/>
    <w:pPr>
      <w:widowControl w:val="0"/>
      <w:tabs>
        <w:tab w:val="right" w:pos="9072"/>
      </w:tabs>
      <w:spacing w:before="0" w:after="240"/>
      <w:jc w:val="left"/>
    </w:pPr>
    <w:rPr>
      <w:rFonts w:eastAsia="Times New Roman"/>
      <w:szCs w:val="20"/>
      <w:lang w:eastAsia="en-GB"/>
    </w:rPr>
  </w:style>
  <w:style w:type="paragraph" w:customStyle="1" w:styleId="Normal12a12bCentre">
    <w:name w:val="Normal12a12bCentre"/>
    <w:basedOn w:val="NormalCentre"/>
    <w:pPr>
      <w:spacing w:before="240" w:after="240"/>
    </w:pPr>
  </w:style>
  <w:style w:type="paragraph" w:customStyle="1" w:styleId="Normal12a12bBold">
    <w:name w:val="Normal12a12bBold"/>
    <w:basedOn w:val="NormalBold"/>
    <w:pPr>
      <w:spacing w:before="240" w:after="240"/>
    </w:pPr>
  </w:style>
  <w:style w:type="paragraph" w:customStyle="1" w:styleId="Normal24a12b">
    <w:name w:val="Normal24a12b"/>
    <w:basedOn w:val="Normal"/>
    <w:pPr>
      <w:widowControl w:val="0"/>
      <w:spacing w:before="240" w:after="480"/>
      <w:jc w:val="left"/>
    </w:pPr>
    <w:rPr>
      <w:rFonts w:eastAsia="Times New Roman"/>
      <w:szCs w:val="20"/>
      <w:lang w:eastAsia="en-GB"/>
    </w:r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styleId="Subtitle">
    <w:name w:val="Subtitle"/>
    <w:basedOn w:val="Normal"/>
    <w:next w:val="Normal"/>
    <w:link w:val="SubtitleChar"/>
    <w:uiPriority w:val="11"/>
    <w:qFormat/>
    <w:pPr>
      <w:numPr>
        <w:ilvl w:val="1"/>
      </w:numPr>
      <w:spacing w:before="0" w:after="240"/>
      <w:jc w:val="left"/>
    </w:pPr>
    <w:rPr>
      <w:rFonts w:ascii="Calibri Light" w:eastAsia="SimSun" w:hAnsi="Calibri Light"/>
      <w:color w:val="5B9BD5"/>
      <w:sz w:val="28"/>
      <w:szCs w:val="28"/>
      <w:lang w:eastAsia="en-GB"/>
    </w:rPr>
  </w:style>
  <w:style w:type="character" w:customStyle="1" w:styleId="SubtitleChar">
    <w:name w:val="Subtitle Char"/>
    <w:basedOn w:val="DefaultParagraphFont"/>
    <w:link w:val="Subtitle"/>
    <w:uiPriority w:val="11"/>
    <w:rPr>
      <w:rFonts w:ascii="Calibri Light" w:eastAsia="SimSun" w:hAnsi="Calibri Light" w:cs="Times New Roman"/>
      <w:color w:val="5B9BD5"/>
      <w:sz w:val="28"/>
      <w:szCs w:val="28"/>
      <w:lang w:val="en-GB" w:eastAsia="en-GB"/>
    </w:rPr>
  </w:style>
  <w:style w:type="paragraph" w:styleId="NoSpacing">
    <w:name w:val="No Spacing"/>
    <w:uiPriority w:val="1"/>
    <w:qFormat/>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pPr>
      <w:spacing w:line="259" w:lineRule="auto"/>
      <w:ind w:left="720"/>
      <w:jc w:val="left"/>
    </w:pPr>
    <w:rPr>
      <w:rFonts w:ascii="Calibri" w:eastAsia="Times New Roman" w:hAnsi="Calibri"/>
      <w:color w:val="44546A"/>
      <w:szCs w:val="24"/>
      <w:lang w:eastAsia="en-GB"/>
    </w:rPr>
  </w:style>
  <w:style w:type="character" w:customStyle="1" w:styleId="QuoteChar">
    <w:name w:val="Quote Char"/>
    <w:basedOn w:val="DefaultParagraphFont"/>
    <w:link w:val="Quote"/>
    <w:uiPriority w:val="29"/>
    <w:rPr>
      <w:rFonts w:ascii="Calibri" w:eastAsia="Times New Roman" w:hAnsi="Calibri" w:cs="Times New Roman"/>
      <w:color w:val="44546A"/>
      <w:sz w:val="24"/>
      <w:szCs w:val="24"/>
      <w:lang w:val="en-GB" w:eastAsia="en-GB"/>
    </w:rPr>
  </w:style>
  <w:style w:type="paragraph" w:styleId="IntenseQuote">
    <w:name w:val="Intense Quote"/>
    <w:basedOn w:val="Normal"/>
    <w:next w:val="Normal"/>
    <w:link w:val="IntenseQuoteChar"/>
    <w:uiPriority w:val="30"/>
    <w:qFormat/>
    <w:pPr>
      <w:spacing w:before="100" w:beforeAutospacing="1" w:after="240"/>
      <w:ind w:left="720"/>
      <w:jc w:val="center"/>
    </w:pPr>
    <w:rPr>
      <w:rFonts w:ascii="Calibri Light" w:eastAsia="SimSun" w:hAnsi="Calibri Light"/>
      <w:color w:val="44546A"/>
      <w:spacing w:val="-6"/>
      <w:sz w:val="32"/>
      <w:szCs w:val="32"/>
      <w:lang w:eastAsia="en-GB"/>
    </w:rPr>
  </w:style>
  <w:style w:type="character" w:customStyle="1" w:styleId="IntenseQuoteChar">
    <w:name w:val="Intense Quote Char"/>
    <w:basedOn w:val="DefaultParagraphFont"/>
    <w:link w:val="IntenseQuote"/>
    <w:uiPriority w:val="30"/>
    <w:rPr>
      <w:rFonts w:ascii="Calibri Light" w:eastAsia="SimSun" w:hAnsi="Calibri Light" w:cs="Times New Roman"/>
      <w:color w:val="44546A"/>
      <w:spacing w:val="-6"/>
      <w:sz w:val="32"/>
      <w:szCs w:val="32"/>
      <w:lang w:val="en-GB" w:eastAsia="en-GB"/>
    </w:rPr>
  </w:style>
  <w:style w:type="character" w:styleId="SubtleEmphasis">
    <w:name w:val="Subtle Emphasis"/>
    <w:uiPriority w:val="19"/>
    <w:qFormat/>
    <w:rPr>
      <w:i/>
      <w:iCs/>
      <w:color w:val="595959"/>
    </w:rPr>
  </w:style>
  <w:style w:type="character" w:styleId="IntenseEmphasis">
    <w:name w:val="Intense Emphasis"/>
    <w:uiPriority w:val="21"/>
    <w:qFormat/>
    <w:rPr>
      <w:b/>
      <w:bCs/>
      <w:i/>
      <w:iCs/>
    </w:rPr>
  </w:style>
  <w:style w:type="character" w:styleId="SubtleReference">
    <w:name w:val="Subtle Reference"/>
    <w:uiPriority w:val="31"/>
    <w:qFormat/>
    <w:rPr>
      <w:smallCaps/>
      <w:color w:val="595959"/>
      <w:u w:val="none" w:color="7F7F7F"/>
      <w:bdr w:val="none" w:sz="0" w:space="0" w:color="auto"/>
    </w:rPr>
  </w:style>
  <w:style w:type="character" w:styleId="IntenseReference">
    <w:name w:val="Intense Reference"/>
    <w:uiPriority w:val="32"/>
    <w:qFormat/>
    <w:rPr>
      <w:b/>
      <w:bCs/>
      <w:smallCaps/>
      <w:color w:val="44546A"/>
      <w:u w:val="single"/>
    </w:rPr>
  </w:style>
  <w:style w:type="character" w:styleId="BookTitle">
    <w:name w:val="Book Title"/>
    <w:uiPriority w:val="33"/>
    <w:qFormat/>
    <w:rPr>
      <w:b/>
      <w:bCs/>
      <w:smallCaps/>
      <w:spacing w:val="10"/>
    </w:rPr>
  </w:style>
  <w:style w:type="paragraph" w:styleId="PlainText">
    <w:name w:val="Plain Text"/>
    <w:basedOn w:val="Normal"/>
    <w:link w:val="PlainTextChar"/>
    <w:uiPriority w:val="99"/>
    <w:unhideWhenUsed/>
    <w:pPr>
      <w:spacing w:before="0" w:after="0"/>
      <w:jc w:val="left"/>
    </w:pPr>
    <w:rPr>
      <w:rFonts w:ascii="Calibri" w:eastAsia="Calibri" w:hAnsi="Calibri" w:cs="Calibri"/>
      <w:sz w:val="22"/>
    </w:rPr>
  </w:style>
  <w:style w:type="character" w:customStyle="1" w:styleId="PlainTextChar">
    <w:name w:val="Plain Text Char"/>
    <w:basedOn w:val="DefaultParagraphFont"/>
    <w:link w:val="PlainText"/>
    <w:uiPriority w:val="99"/>
    <w:rPr>
      <w:rFonts w:ascii="Calibri" w:eastAsia="Calibri" w:hAnsi="Calibri" w:cs="Calibri"/>
      <w:lang w:val="en-GB"/>
    </w:rPr>
  </w:style>
  <w:style w:type="character" w:customStyle="1" w:styleId="link-size">
    <w:name w:val="link-size"/>
    <w:basedOn w:val="DefaultParagraphFont"/>
  </w:style>
  <w:style w:type="character" w:customStyle="1" w:styleId="s">
    <w:name w:val="s"/>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character" w:customStyle="1" w:styleId="Added5">
    <w:name w:val="Added"/>
    <w:basedOn w:val="DefaultParagraphFont"/>
    <w:rPr>
      <w:b/>
      <w:u w:val="single"/>
      <w:shd w:val="clear" w:color="auto" w:fill="auto"/>
    </w:rPr>
  </w:style>
  <w:style w:type="character" w:customStyle="1" w:styleId="Added6">
    <w:name w:val="Added"/>
    <w:basedOn w:val="DefaultParagraphFont"/>
    <w:rPr>
      <w:b/>
      <w:u w:val="single"/>
      <w:shd w:val="clear" w:color="auto" w:fill="auto"/>
    </w:rPr>
  </w:style>
  <w:style w:type="character" w:customStyle="1" w:styleId="Added7">
    <w:name w:val="Added"/>
    <w:basedOn w:val="DefaultParagraphFont"/>
    <w:rPr>
      <w:b/>
      <w:u w:val="single"/>
      <w:shd w:val="clear" w:color="auto" w:fill="auto"/>
    </w:rPr>
  </w:style>
  <w:style w:type="character" w:customStyle="1" w:styleId="Added8">
    <w:name w:val="Added"/>
    <w:basedOn w:val="DefaultParagraphFont"/>
    <w:rPr>
      <w:b/>
      <w:u w:val="single"/>
      <w:shd w:val="clear" w:color="auto" w:fill="auto"/>
    </w:rPr>
  </w:style>
  <w:style w:type="character" w:customStyle="1" w:styleId="Added9">
    <w:name w:val="Added"/>
    <w:basedOn w:val="DefaultParagraphFont"/>
    <w:rPr>
      <w:b/>
      <w:u w:val="single"/>
      <w:shd w:val="clear" w:color="auto" w:fill="auto"/>
    </w:rPr>
  </w:style>
  <w:style w:type="character" w:customStyle="1" w:styleId="Addeda">
    <w:name w:val="Added"/>
    <w:basedOn w:val="DefaultParagraphFont"/>
    <w:rPr>
      <w:b/>
      <w:u w:val="single"/>
      <w:shd w:val="clear" w:color="auto" w:fill="auto"/>
    </w:rPr>
  </w:style>
  <w:style w:type="character" w:customStyle="1" w:styleId="Addedb">
    <w:name w:val="Added"/>
    <w:basedOn w:val="DefaultParagraphFont"/>
    <w:rPr>
      <w:b/>
      <w:u w:val="single"/>
      <w:shd w:val="clear" w:color="auto" w:fill="auto"/>
    </w:rPr>
  </w:style>
  <w:style w:type="numbering" w:customStyle="1" w:styleId="NoList3">
    <w:name w:val="No List3"/>
    <w:next w:val="NoList"/>
    <w:uiPriority w:val="99"/>
    <w:semiHidden/>
    <w:unhideWhenUsed/>
  </w:style>
  <w:style w:type="paragraph" w:customStyle="1" w:styleId="Text10">
    <w:name w:val="Text  1"/>
    <w:basedOn w:val="Considrant"/>
    <w:pPr>
      <w:numPr>
        <w:numId w:val="0"/>
      </w:numPr>
    </w:pPr>
    <w:rPr>
      <w:rFonts w:eastAsia="Times New Roman"/>
      <w:lang w:eastAsia="en-GB"/>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numbering" w:customStyle="1" w:styleId="NoList21">
    <w:name w:val="No List21"/>
    <w:next w:val="NoList"/>
    <w:semiHidden/>
  </w:style>
  <w:style w:type="numbering" w:customStyle="1" w:styleId="NoList111">
    <w:name w:val="No List111"/>
    <w:next w:val="NoList"/>
    <w:uiPriority w:val="99"/>
    <w:semiHidden/>
    <w:unhideWhenUsed/>
  </w:style>
  <w:style w:type="character" w:customStyle="1" w:styleId="Addedc">
    <w:name w:val="Added"/>
    <w:basedOn w:val="DefaultParagraphFont"/>
    <w:rPr>
      <w:b/>
      <w:u w:val="single"/>
      <w:shd w:val="clear" w:color="auto" w:fill="auto"/>
    </w:rPr>
  </w:style>
  <w:style w:type="character" w:customStyle="1" w:styleId="Addedd">
    <w:name w:val="Added"/>
    <w:basedOn w:val="DefaultParagraphFont"/>
    <w:rPr>
      <w:b/>
      <w:u w:val="single"/>
      <w:shd w:val="clear" w:color="auto" w:fill="auto"/>
    </w:rPr>
  </w:style>
  <w:style w:type="character" w:customStyle="1" w:styleId="Addede">
    <w:name w:val="Added"/>
    <w:basedOn w:val="DefaultParagraphFont"/>
    <w:rPr>
      <w:b/>
      <w:u w:val="single"/>
      <w:shd w:val="clear" w:color="auto" w:fill="auto"/>
    </w:rPr>
  </w:style>
  <w:style w:type="character" w:customStyle="1" w:styleId="Addedf">
    <w:name w:val="Added"/>
    <w:basedOn w:val="DefaultParagraphFont"/>
    <w:rPr>
      <w:b/>
      <w:u w:val="single"/>
      <w:shd w:val="clear" w:color="auto" w:fill="auto"/>
    </w:rPr>
  </w:style>
  <w:style w:type="character" w:customStyle="1" w:styleId="Addedf0">
    <w:name w:val="Added"/>
    <w:basedOn w:val="DefaultParagraphFont"/>
    <w:rPr>
      <w:b/>
      <w:u w:val="single"/>
      <w:shd w:val="clear" w:color="auto" w:fill="auto"/>
    </w:rPr>
  </w:style>
  <w:style w:type="character" w:customStyle="1" w:styleId="Addedf1">
    <w:name w:val="Added"/>
    <w:basedOn w:val="DefaultParagraphFont"/>
    <w:rPr>
      <w:b/>
      <w:u w:val="single"/>
      <w:shd w:val="clear" w:color="auto" w:fill="auto"/>
    </w:rPr>
  </w:style>
  <w:style w:type="character" w:customStyle="1" w:styleId="Addedf2">
    <w:name w:val="Added"/>
    <w:basedOn w:val="DefaultParagraphFont"/>
    <w:rPr>
      <w:b/>
      <w:u w:val="single"/>
      <w:shd w:val="clear" w:color="auto" w:fill="auto"/>
    </w:rPr>
  </w:style>
  <w:style w:type="character" w:customStyle="1" w:styleId="Addedf3">
    <w:name w:val="Added"/>
    <w:basedOn w:val="DefaultParagraphFont"/>
    <w:rPr>
      <w:b/>
      <w:u w:val="single"/>
      <w:shd w:val="clear" w:color="auto" w:fill="auto"/>
    </w:rPr>
  </w:style>
  <w:style w:type="character" w:customStyle="1" w:styleId="Addedf4">
    <w:name w:val="Added"/>
    <w:basedOn w:val="DefaultParagraphFont"/>
    <w:rPr>
      <w:b/>
      <w:u w:val="single"/>
      <w:shd w:val="clear" w:color="auto" w:fill="auto"/>
    </w:rPr>
  </w:style>
  <w:style w:type="character" w:customStyle="1" w:styleId="Addedf5">
    <w:name w:val="Added"/>
    <w:basedOn w:val="DefaultParagraphFont"/>
    <w:rPr>
      <w:b/>
      <w:u w:val="single"/>
      <w:shd w:val="clear" w:color="auto" w:fill="auto"/>
    </w:rPr>
  </w:style>
  <w:style w:type="character" w:customStyle="1" w:styleId="Addedf6">
    <w:name w:val="Added"/>
    <w:basedOn w:val="DefaultParagraphFont"/>
    <w:rPr>
      <w:b/>
      <w:u w:val="single"/>
      <w:shd w:val="clear" w:color="auto" w:fill="auto"/>
    </w:rPr>
  </w:style>
  <w:style w:type="character" w:customStyle="1" w:styleId="Addedf7">
    <w:name w:val="Added"/>
    <w:basedOn w:val="DefaultParagraphFont"/>
    <w:rPr>
      <w:b/>
      <w:u w:val="single"/>
      <w:shd w:val="clear" w:color="auto" w:fill="auto"/>
    </w:rPr>
  </w:style>
  <w:style w:type="character" w:customStyle="1" w:styleId="Addedf8">
    <w:name w:val="Added"/>
    <w:basedOn w:val="DefaultParagraphFont"/>
    <w:rPr>
      <w:b/>
      <w:u w:val="single"/>
      <w:shd w:val="clear" w:color="auto" w:fill="auto"/>
    </w:rPr>
  </w:style>
  <w:style w:type="character" w:customStyle="1" w:styleId="Addedf9">
    <w:name w:val="Added"/>
    <w:basedOn w:val="DefaultParagraphFont"/>
    <w:rPr>
      <w:b/>
      <w:u w:val="single"/>
      <w:shd w:val="clear" w:color="auto" w:fill="auto"/>
    </w:rPr>
  </w:style>
  <w:style w:type="character" w:customStyle="1" w:styleId="Addedfa">
    <w:name w:val="Added"/>
    <w:basedOn w:val="DefaultParagraphFont"/>
    <w:rPr>
      <w:b/>
      <w:u w:val="single"/>
      <w:shd w:val="clear" w:color="auto" w:fill="auto"/>
    </w:rPr>
  </w:style>
  <w:style w:type="character" w:customStyle="1" w:styleId="Addedfb">
    <w:name w:val="Added"/>
    <w:basedOn w:val="DefaultParagraphFont"/>
    <w:rPr>
      <w:b/>
      <w:u w:val="single"/>
      <w:shd w:val="clear" w:color="auto" w:fill="auto"/>
    </w:rPr>
  </w:style>
  <w:style w:type="character" w:customStyle="1" w:styleId="Addedfc">
    <w:name w:val="Added"/>
    <w:basedOn w:val="DefaultParagraphFont"/>
    <w:rPr>
      <w:b/>
      <w:u w:val="single"/>
      <w:shd w:val="clear" w:color="auto" w:fill="auto"/>
    </w:rPr>
  </w:style>
  <w:style w:type="paragraph" w:styleId="Header">
    <w:name w:val="header"/>
    <w:basedOn w:val="Normal"/>
    <w:link w:val="HeaderChar"/>
    <w:uiPriority w:val="99"/>
    <w:unhideWhenUsed/>
    <w:rsid w:val="007B2354"/>
    <w:pPr>
      <w:tabs>
        <w:tab w:val="center" w:pos="4535"/>
        <w:tab w:val="right" w:pos="9071"/>
      </w:tabs>
      <w:spacing w:before="0"/>
    </w:pPr>
  </w:style>
  <w:style w:type="character" w:customStyle="1" w:styleId="HeaderChar">
    <w:name w:val="Header Char"/>
    <w:basedOn w:val="DefaultParagraphFont"/>
    <w:link w:val="Header"/>
    <w:uiPriority w:val="99"/>
    <w:rsid w:val="007B2354"/>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B2354"/>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3"/>
      </w:numPr>
    </w:pPr>
  </w:style>
  <w:style w:type="paragraph" w:customStyle="1" w:styleId="Tiret1">
    <w:name w:val="Tiret 1"/>
    <w:basedOn w:val="Point1"/>
    <w:pPr>
      <w:numPr>
        <w:numId w:val="74"/>
      </w:numPr>
    </w:pPr>
  </w:style>
  <w:style w:type="paragraph" w:customStyle="1" w:styleId="Tiret2">
    <w:name w:val="Tiret 2"/>
    <w:basedOn w:val="Point2"/>
    <w:pPr>
      <w:numPr>
        <w:numId w:val="75"/>
      </w:numPr>
    </w:pPr>
  </w:style>
  <w:style w:type="paragraph" w:customStyle="1" w:styleId="Tiret3">
    <w:name w:val="Tiret 3"/>
    <w:basedOn w:val="Point3"/>
    <w:pPr>
      <w:numPr>
        <w:numId w:val="76"/>
      </w:numPr>
    </w:pPr>
  </w:style>
  <w:style w:type="paragraph" w:customStyle="1" w:styleId="Tiret4">
    <w:name w:val="Tiret 4"/>
    <w:basedOn w:val="Point4"/>
    <w:pPr>
      <w:numPr>
        <w:numId w:val="7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8"/>
      </w:numPr>
    </w:pPr>
  </w:style>
  <w:style w:type="paragraph" w:customStyle="1" w:styleId="NumPar2">
    <w:name w:val="NumPar 2"/>
    <w:basedOn w:val="Normal"/>
    <w:next w:val="Text1"/>
    <w:pPr>
      <w:numPr>
        <w:ilvl w:val="1"/>
        <w:numId w:val="78"/>
      </w:numPr>
    </w:pPr>
  </w:style>
  <w:style w:type="paragraph" w:customStyle="1" w:styleId="NumPar3">
    <w:name w:val="NumPar 3"/>
    <w:basedOn w:val="Normal"/>
    <w:next w:val="Text1"/>
    <w:pPr>
      <w:numPr>
        <w:ilvl w:val="2"/>
        <w:numId w:val="78"/>
      </w:numPr>
    </w:pPr>
  </w:style>
  <w:style w:type="paragraph" w:customStyle="1" w:styleId="NumPar4">
    <w:name w:val="NumPar 4"/>
    <w:basedOn w:val="Normal"/>
    <w:next w:val="Text1"/>
    <w:pPr>
      <w:numPr>
        <w:ilvl w:val="3"/>
        <w:numId w:val="7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80"/>
      </w:numPr>
    </w:pPr>
  </w:style>
  <w:style w:type="paragraph" w:customStyle="1" w:styleId="Point1number">
    <w:name w:val="Point 1 (number)"/>
    <w:basedOn w:val="Normal"/>
    <w:pPr>
      <w:numPr>
        <w:ilvl w:val="2"/>
        <w:numId w:val="80"/>
      </w:numPr>
    </w:pPr>
  </w:style>
  <w:style w:type="paragraph" w:customStyle="1" w:styleId="Point2number">
    <w:name w:val="Point 2 (number)"/>
    <w:basedOn w:val="Normal"/>
    <w:pPr>
      <w:numPr>
        <w:ilvl w:val="4"/>
        <w:numId w:val="80"/>
      </w:numPr>
    </w:pPr>
  </w:style>
  <w:style w:type="paragraph" w:customStyle="1" w:styleId="Point3number">
    <w:name w:val="Point 3 (number)"/>
    <w:basedOn w:val="Normal"/>
    <w:pPr>
      <w:numPr>
        <w:ilvl w:val="6"/>
        <w:numId w:val="80"/>
      </w:numPr>
    </w:pPr>
  </w:style>
  <w:style w:type="paragraph" w:customStyle="1" w:styleId="Point0letter">
    <w:name w:val="Point 0 (letter)"/>
    <w:basedOn w:val="Normal"/>
    <w:pPr>
      <w:numPr>
        <w:ilvl w:val="1"/>
        <w:numId w:val="80"/>
      </w:numPr>
    </w:pPr>
  </w:style>
  <w:style w:type="paragraph" w:customStyle="1" w:styleId="Point1letter">
    <w:name w:val="Point 1 (letter)"/>
    <w:basedOn w:val="Normal"/>
    <w:pPr>
      <w:numPr>
        <w:ilvl w:val="3"/>
        <w:numId w:val="80"/>
      </w:numPr>
    </w:pPr>
  </w:style>
  <w:style w:type="paragraph" w:customStyle="1" w:styleId="Point2letter">
    <w:name w:val="Point 2 (letter)"/>
    <w:basedOn w:val="Normal"/>
    <w:pPr>
      <w:numPr>
        <w:ilvl w:val="5"/>
        <w:numId w:val="80"/>
      </w:numPr>
    </w:pPr>
  </w:style>
  <w:style w:type="paragraph" w:customStyle="1" w:styleId="Point3letter">
    <w:name w:val="Point 3 (letter)"/>
    <w:basedOn w:val="Normal"/>
    <w:pPr>
      <w:numPr>
        <w:ilvl w:val="7"/>
        <w:numId w:val="80"/>
      </w:numPr>
    </w:pPr>
  </w:style>
  <w:style w:type="paragraph" w:customStyle="1" w:styleId="Point4letter">
    <w:name w:val="Point 4 (letter)"/>
    <w:basedOn w:val="Normal"/>
    <w:pPr>
      <w:numPr>
        <w:ilvl w:val="8"/>
        <w:numId w:val="80"/>
      </w:numPr>
    </w:pPr>
  </w:style>
  <w:style w:type="paragraph" w:customStyle="1" w:styleId="Bullet0">
    <w:name w:val="Bullet 0"/>
    <w:basedOn w:val="Normal"/>
    <w:pPr>
      <w:numPr>
        <w:numId w:val="81"/>
      </w:numPr>
    </w:pPr>
  </w:style>
  <w:style w:type="paragraph" w:customStyle="1" w:styleId="Bullet1">
    <w:name w:val="Bullet 1"/>
    <w:basedOn w:val="Normal"/>
    <w:pPr>
      <w:numPr>
        <w:numId w:val="82"/>
      </w:numPr>
    </w:pPr>
  </w:style>
  <w:style w:type="paragraph" w:customStyle="1" w:styleId="Bullet2">
    <w:name w:val="Bullet 2"/>
    <w:basedOn w:val="Normal"/>
    <w:pPr>
      <w:numPr>
        <w:numId w:val="83"/>
      </w:numPr>
    </w:pPr>
  </w:style>
  <w:style w:type="paragraph" w:customStyle="1" w:styleId="Bullet3">
    <w:name w:val="Bullet 3"/>
    <w:basedOn w:val="Normal"/>
    <w:pPr>
      <w:numPr>
        <w:numId w:val="84"/>
      </w:numPr>
    </w:pPr>
  </w:style>
  <w:style w:type="paragraph" w:customStyle="1" w:styleId="Bullet4">
    <w:name w:val="Bullet 4"/>
    <w:basedOn w:val="Normal"/>
    <w:pPr>
      <w:numPr>
        <w:numId w:val="8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f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3663">
      <w:bodyDiv w:val="1"/>
      <w:marLeft w:val="0"/>
      <w:marRight w:val="0"/>
      <w:marTop w:val="0"/>
      <w:marBottom w:val="0"/>
      <w:divBdr>
        <w:top w:val="none" w:sz="0" w:space="0" w:color="auto"/>
        <w:left w:val="none" w:sz="0" w:space="0" w:color="auto"/>
        <w:bottom w:val="none" w:sz="0" w:space="0" w:color="auto"/>
        <w:right w:val="none" w:sz="0" w:space="0" w:color="auto"/>
      </w:divBdr>
    </w:div>
    <w:div w:id="16092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9986E9B7303A845A4E2CA3988BF706A" ma:contentTypeVersion="0" ma:contentTypeDescription="Create a new document in this library." ma:contentTypeScope="" ma:versionID="5491b8584cc09507a8169dfa55d4222e">
  <xsd:schema xmlns:xsd="http://www.w3.org/2001/XMLSchema" xmlns:xs="http://www.w3.org/2001/XMLSchema" xmlns:p="http://schemas.microsoft.com/office/2006/metadata/properties" xmlns:ns2="http://schemas.microsoft.com/sharepoint/v3/fields" xmlns:ns3="07014256-a917-4912-bdc2-41a9350e14d5" targetNamespace="http://schemas.microsoft.com/office/2006/metadata/properties" ma:root="true" ma:fieldsID="3aa71d739b767bea74833ec75d54915e" ns2:_="" ns3:_="">
    <xsd:import namespace="http://schemas.microsoft.com/sharepoint/v3/fields"/>
    <xsd:import namespace="07014256-a917-4912-bdc2-41a9350e14d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014256-a917-4912-bdc2-41a9350e14d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07014256-a917-4912-bdc2-41a9350e14d5">EN</EC_Collab_DocumentLanguage>
    <_Status xmlns="http://schemas.microsoft.com/sharepoint/v3/fields">Not Started</_Status>
    <EC_Collab_Status xmlns="07014256-a917-4912-bdc2-41a9350e14d5">Not Started</EC_Collab_Status>
    <EC_Collab_Reference xmlns="07014256-a917-4912-bdc2-41a9350e14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45A0-5754-4555-9BE5-5FFE6148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014256-a917-4912-bdc2-41a9350e1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E90BD-D4BA-495A-94D7-1A3C3BE32C86}">
  <ds:schemaRefs>
    <ds:schemaRef ds:uri="http://schemas.microsoft.com/sharepoint/v3/contenttype/forms"/>
  </ds:schemaRefs>
</ds:datastoreItem>
</file>

<file path=customXml/itemProps3.xml><?xml version="1.0" encoding="utf-8"?>
<ds:datastoreItem xmlns:ds="http://schemas.openxmlformats.org/officeDocument/2006/customXml" ds:itemID="{9C4B3362-128B-4208-9280-821E833C0B8B}">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07014256-a917-4912-bdc2-41a9350e14d5"/>
    <ds:schemaRef ds:uri="http://www.w3.org/XML/1998/namespace"/>
    <ds:schemaRef ds:uri="http://schemas.microsoft.com/office/2006/metadata/properties"/>
    <ds:schemaRef ds:uri="http://schemas.microsoft.com/sharepoint/v3/fields"/>
    <ds:schemaRef ds:uri="http://schemas.openxmlformats.org/package/2006/metadata/core-properties"/>
  </ds:schemaRefs>
</ds:datastoreItem>
</file>

<file path=customXml/itemProps4.xml><?xml version="1.0" encoding="utf-8"?>
<ds:datastoreItem xmlns:ds="http://schemas.openxmlformats.org/officeDocument/2006/customXml" ds:itemID="{BE73EFF1-C63C-4EF5-9C3A-EBB960F6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67</Pages>
  <Words>24011</Words>
  <Characters>135183</Characters>
  <Application>Microsoft Office Word</Application>
  <DocSecurity>0</DocSecurity>
  <Lines>3379</Lines>
  <Paragraphs>1304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2015-11-18T08:28:00Z</cp:lastPrinted>
  <dcterms:created xsi:type="dcterms:W3CDTF">2015-12-18T13:40:00Z</dcterms:created>
  <dcterms:modified xsi:type="dcterms:W3CDTF">2015-12-21T09:48:00Z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ContentTypeId">
    <vt:lpwstr>0x010100258AA79CEB83498886A3A086811232500019986E9B7303A845A4E2CA3988BF706A</vt:lpwstr>
  </property>
  <property fmtid="{D5CDD505-2E9C-101B-9397-08002B2CF9AE}" pid="12" name="DQCStatus">
    <vt:lpwstr>Yellow (DQC version 03)</vt:lpwstr>
  </property>
</Properties>
</file>