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81D1260A89C42E5A3D54AB880550112" style="width:450.75pt;height:42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rPr>
          <w:noProof/>
        </w:rPr>
      </w:pPr>
      <w:r>
        <w:rPr>
          <w:noProof/>
        </w:rPr>
        <w:t>Prenova direktive o prospektu</w:t>
      </w:r>
      <w:r>
        <w:rPr>
          <w:rStyle w:val="FootnoteReference"/>
          <w:noProof/>
        </w:rPr>
        <w:footnoteReference w:id="1"/>
      </w:r>
      <w:r>
        <w:rPr>
          <w:noProof/>
        </w:rPr>
        <w:t xml:space="preserve"> je pomemben korak k vzpostavitvi unije kapitalskih trgov. Usklajen prospekt EU izdajateljem, ki potrebujejo financiranje, omogoča dostop do evropskih kapitalskih trgov. Reforma pravil o prospektu je bila objavljena v naložbenem načrtu za Evropo</w:t>
      </w:r>
      <w:r>
        <w:rPr>
          <w:rStyle w:val="FootnoteReference"/>
          <w:noProof/>
        </w:rPr>
        <w:footnoteReference w:id="2"/>
      </w:r>
      <w:r>
        <w:rPr>
          <w:noProof/>
        </w:rPr>
        <w:t xml:space="preserve"> kot del tretjega stebra za izboljšanje poslovnega okolja in je eden od temeljnih elementov unije kapitalskih trgov. Akcijski načrt za unijo kapitalskih trgov</w:t>
      </w:r>
      <w:r>
        <w:rPr>
          <w:rStyle w:val="FootnoteReference"/>
          <w:noProof/>
        </w:rPr>
        <w:footnoteReference w:id="3"/>
      </w:r>
      <w:r>
        <w:rPr>
          <w:noProof/>
        </w:rPr>
        <w:t xml:space="preserve"> je celovit in ambiciozen program ukrepov za okrepitev vloge, ki jo ima financiranje na trgu, v evropskem gospodarstvu.</w:t>
      </w:r>
    </w:p>
    <w:p>
      <w:pPr>
        <w:rPr>
          <w:noProof/>
        </w:rPr>
      </w:pPr>
      <w:r>
        <w:rPr>
          <w:noProof/>
        </w:rPr>
        <w:t xml:space="preserve">Glavni cilj unije kapitalskih trgov je zlasti olajšati zbiranje kapitala na kapitalskih trgih. Kapitalski trgi omogočajo dostop do širokega kroga ponudnikov financiranja ter zasebnemu kapitalu in poslovnim angelom, ki vlagajo v podjetja v zgodnji fazi razvoja, zagotavljajo priložnost za izstop. </w:t>
      </w:r>
    </w:p>
    <w:p>
      <w:pPr>
        <w:rPr>
          <w:noProof/>
        </w:rPr>
      </w:pPr>
      <w:r>
        <w:rPr>
          <w:noProof/>
        </w:rPr>
        <w:t>Prospekti so zakonsko predpisani dokumenti, ki vsebujejo informacije o podjetju. Cilj teh informacij je zagotoviti osnovo, na podlagi katere se lahko vlagatelji odločijo, ali bodo vlagali v različne vrednostne papirje, ki jih izda podjetje. Zato je izredno pomembno, da prospekt ni nepotrebna ovira pri dostopu do javnih trgov za zbiranje kapitala. Zlasti MSP lahko administrativna obremenitev in visoki stroški, ki pri tem nastanejo, odvrnejo od javne ponudbe vrednostnih papirjev. Podjetjem bi bilo treba olajšati izpolnjevanje administrativnih obveznosti, pri čemer je treba zagotoviti, da so vlagatelji še vedno dobro seznanjeni s proizvodi, v katere vlagajo.</w:t>
      </w:r>
    </w:p>
    <w:p>
      <w:pPr>
        <w:pBdr>
          <w:top w:val="nil"/>
          <w:left w:val="nil"/>
          <w:bottom w:val="nil"/>
          <w:right w:val="nil"/>
          <w:between w:val="nil"/>
          <w:bar w:val="nil"/>
        </w:pBdr>
        <w:spacing w:before="0" w:after="240"/>
        <w:rPr>
          <w:rFonts w:eastAsia="Arial Unicode MS"/>
          <w:noProof/>
        </w:rPr>
      </w:pPr>
      <w:r>
        <w:rPr>
          <w:noProof/>
        </w:rPr>
        <w:t>Čeprav ureditev za prospekte na splošno deluje dobro, bi se lahko nekatere zahteve direktive o prospektu še izboljšale, da bi se zmanjšalo upravno breme za podjetja, ki pripravijo prospekt (zlasti MSP), in da bi prospekt postal dragocenejše orodje za razkrivanje informacij potencialnim vlagateljem. Z dodatno uskladitvijo pravil o prospektu z drugimi pravili EU o razkritju (npr. direktivo o preglednosti</w:t>
      </w:r>
      <w:r>
        <w:rPr>
          <w:rStyle w:val="FootnoteReference"/>
          <w:noProof/>
        </w:rPr>
        <w:footnoteReference w:id="4"/>
      </w:r>
      <w:r>
        <w:rPr>
          <w:noProof/>
        </w:rPr>
        <w:t xml:space="preserve"> in uredbo o dokumentih s ključnimi informacijami o paketnih naložbenih produktih za male vlagatelje in zavarovalnih naložbenih produktih (v nadaljnjem besedilu: uredba PRIIP))</w:t>
      </w:r>
      <w:r>
        <w:rPr>
          <w:rStyle w:val="FootnoteReference"/>
          <w:noProof/>
        </w:rPr>
        <w:footnoteReference w:id="5"/>
      </w:r>
      <w:r>
        <w:rPr>
          <w:noProof/>
        </w:rPr>
        <w:t xml:space="preserve"> se učinkovitost prospekta lahko še poveča. Pregled direktive o prospektu je v akcijskem načrtu za unijo kapitalskih trgov izpostavljen kot eden njegovih prvih in prednostnih ukrepov. Splošni namen pregleda je zmanjšati eno od glavnih regulativnih omejitev, s katero se srečujejo izdajatelji pri ponudbi lastniških in dolžniških vrednostnih papirjev javnosti, ki vanje vlaga. Ta predlog prispeva k cilju pregleda zakonodaje, da se opredelijo konkretna področja, kjer se lahko poenostavijo pravila, zmanjšajo bremena in prihranijo stroški. Zato ocena učinka, ki jo je izvedla Komisija, temelji na ugotovitvah ovrednotenja, izvedenega v okviru Programa ustreznosti in uspešnosti predpisov (REFIT, COM(2014)368). </w:t>
      </w:r>
    </w:p>
    <w:p>
      <w:pPr>
        <w:pBdr>
          <w:top w:val="nil"/>
          <w:left w:val="nil"/>
          <w:bottom w:val="nil"/>
          <w:right w:val="nil"/>
          <w:between w:val="nil"/>
          <w:bar w:val="nil"/>
        </w:pBdr>
        <w:spacing w:before="0" w:after="240"/>
        <w:rPr>
          <w:rFonts w:eastAsia="Arial Unicode MS"/>
          <w:noProof/>
        </w:rPr>
      </w:pPr>
      <w:r>
        <w:rPr>
          <w:noProof/>
        </w:rPr>
        <w:t xml:space="preserve">Cilj revizije direktive o prospektu je preprost, in sicer za vse vrste izdajateljev zagotoviti pravila o razkritju, prilagojena njihovim posebnim potrebam, ter hkrati doseči, da postane prospekt ustreznejše orodje za razkrivanje informacij potencialnim vlagateljem. Zato je v predlogu poseben poudarek na štirih skupinah izdajateljev: (1) izdajatelji, ki že kotirajo na reguliranem trgu ali zagonskem trgu MSP in ki želijo zbrati dodatni kapital s sekundarno izdajo, (2) MSP, (3) pogosti izdajatelji vseh vrst vrednostnih papirjev in (4) izdajatelji nelastniških vrednostnih papirjev. Namen tega predloga je tudi dodatno spodbuditi uporabo dovoljenja za čezmejno uporabo za odobrene prospekte, ki je bilo uvedeno z direktivo o prospektu. </w:t>
      </w:r>
    </w:p>
    <w:p>
      <w:pPr>
        <w:pBdr>
          <w:top w:val="nil"/>
          <w:left w:val="nil"/>
          <w:bottom w:val="nil"/>
          <w:right w:val="nil"/>
          <w:between w:val="nil"/>
          <w:bar w:val="nil"/>
        </w:pBdr>
        <w:spacing w:before="0" w:after="240"/>
        <w:rPr>
          <w:rFonts w:eastAsia="Arial Unicode MS"/>
          <w:iCs/>
          <w:noProof/>
        </w:rPr>
      </w:pPr>
      <w:r>
        <w:rPr>
          <w:noProof/>
        </w:rPr>
        <w:t>Predlagani ukrepi bi morali (i) zmanjšati upravno breme pri pripravi prospekta za vse izdajatelje, zlasti za MSP, pogoste izdajatelje vrednostnih papirjev in sekundarne izdaje; (ii) zagotoviti, da postane prospekt ustreznejše orodje za razkrivanje informacij potencialnim vlagateljem, zlasti MSP; in (iii) doseči večjo konvergenco med prospektom EU in drugimi pravili EU o razkritju.</w:t>
      </w:r>
    </w:p>
    <w:p>
      <w:pPr>
        <w:pBdr>
          <w:top w:val="nil"/>
          <w:left w:val="nil"/>
          <w:bottom w:val="nil"/>
          <w:right w:val="nil"/>
          <w:between w:val="nil"/>
          <w:bar w:val="nil"/>
        </w:pBdr>
        <w:spacing w:before="0" w:after="240"/>
        <w:rPr>
          <w:rFonts w:eastAsia="Arial Unicode MS"/>
          <w:i/>
          <w:iCs/>
          <w:noProof/>
        </w:rPr>
      </w:pPr>
      <w:r>
        <w:rPr>
          <w:i/>
          <w:noProof/>
        </w:rPr>
        <w:t>Sekundarne izdaje</w:t>
      </w:r>
    </w:p>
    <w:p>
      <w:pPr>
        <w:pBdr>
          <w:top w:val="nil"/>
          <w:left w:val="nil"/>
          <w:bottom w:val="nil"/>
          <w:right w:val="nil"/>
          <w:between w:val="nil"/>
          <w:bar w:val="nil"/>
        </w:pBdr>
        <w:spacing w:before="0" w:after="240"/>
        <w:rPr>
          <w:rFonts w:eastAsia="Arial Unicode MS"/>
          <w:iCs/>
          <w:noProof/>
        </w:rPr>
      </w:pPr>
      <w:r>
        <w:rPr>
          <w:noProof/>
        </w:rPr>
        <w:t xml:space="preserve">Izdajateljem, katerih vrednostni papirji že kotirajo na reguliranem trgu (ta kategorija predstavlja približno 70 % vseh odobrenih prospektov v danem letu) ali na prihodnjem zagonskem trgu MSP, bi bilo treba omogočiti, da pri sekundarnih izdajah izkoristijo prednosti poenostavljenega prospekta. Pričakuje se, da bodo spremenjena pravila o minimalnem razkritju za sekundarne izdaje zmanjšala stroške priprave prospektov in zagotovila relevantnejša razkritja za potencialne vlagatelje. </w:t>
      </w:r>
    </w:p>
    <w:p>
      <w:pPr>
        <w:pBdr>
          <w:top w:val="nil"/>
          <w:left w:val="nil"/>
          <w:bottom w:val="nil"/>
          <w:right w:val="nil"/>
          <w:between w:val="nil"/>
          <w:bar w:val="nil"/>
        </w:pBdr>
        <w:spacing w:before="0" w:after="240"/>
        <w:rPr>
          <w:rFonts w:eastAsia="Arial Unicode MS"/>
          <w:i/>
          <w:iCs/>
          <w:noProof/>
        </w:rPr>
      </w:pPr>
      <w:r>
        <w:rPr>
          <w:i/>
          <w:noProof/>
        </w:rPr>
        <w:t>MSP</w:t>
      </w:r>
    </w:p>
    <w:p>
      <w:pPr>
        <w:pBdr>
          <w:top w:val="nil"/>
          <w:left w:val="nil"/>
          <w:bottom w:val="nil"/>
          <w:right w:val="nil"/>
          <w:between w:val="nil"/>
          <w:bar w:val="nil"/>
        </w:pBdr>
        <w:spacing w:before="0" w:after="240"/>
        <w:rPr>
          <w:rFonts w:eastAsia="Arial Unicode MS"/>
          <w:iCs/>
          <w:noProof/>
        </w:rPr>
      </w:pPr>
      <w:r>
        <w:rPr>
          <w:noProof/>
        </w:rPr>
        <w:t>MSP bi bilo treba prav tako omogočiti, da pri javni ponudbi vrednostnih papirjev pripravijo jasen, prilagojen prospekt, ki je osredotočen na bistvene informacije, pomembne za podjetja take velikosti. Vendar tak prospekt ne bi smel biti na voljo MSP, katerih vrednostni papirji so sprejeti v trgovanje na reguliranih trgih, da se prepreči nastanek dvotirnega standarda za razkritje na reguliranih trgih, ki bi lahko ogrozil zaupanje vlagateljev. Poleg tega se pričakuje, da bo nova neobvezna oblika tipa „vprašanja in odgovori“ MSP pomagala pri pripravi njihovih prospektov in tako prihranila znatne pravne stroške.</w:t>
      </w:r>
    </w:p>
    <w:p>
      <w:pPr>
        <w:pBdr>
          <w:top w:val="nil"/>
          <w:left w:val="nil"/>
          <w:bottom w:val="nil"/>
          <w:right w:val="nil"/>
          <w:between w:val="nil"/>
          <w:bar w:val="nil"/>
        </w:pBdr>
        <w:spacing w:before="0" w:after="240"/>
        <w:rPr>
          <w:rFonts w:eastAsia="Arial Unicode MS"/>
          <w:i/>
          <w:iCs/>
          <w:noProof/>
        </w:rPr>
      </w:pPr>
      <w:r>
        <w:rPr>
          <w:i/>
          <w:noProof/>
        </w:rPr>
        <w:t>Pogosti izdajatelji</w:t>
      </w:r>
    </w:p>
    <w:p>
      <w:pPr>
        <w:pBdr>
          <w:top w:val="nil"/>
          <w:left w:val="nil"/>
          <w:bottom w:val="nil"/>
          <w:right w:val="nil"/>
          <w:between w:val="nil"/>
          <w:bar w:val="nil"/>
        </w:pBdr>
        <w:spacing w:before="0" w:after="240"/>
        <w:rPr>
          <w:rFonts w:eastAsia="Arial Unicode MS"/>
          <w:iCs/>
          <w:noProof/>
        </w:rPr>
      </w:pPr>
      <w:r>
        <w:rPr>
          <w:noProof/>
        </w:rPr>
        <w:t xml:space="preserve">Predvideni letni „univerzalni registracijski dokument“ za pogoste izdajatelje bi moral zmanjšati stroške za podjetja, ki nameravajo pogosto dostopati do kapitalskih trgov in želijo imeti univerzalen registracijski dokument, ki ga potrdi pristojni organ in ki jim omogoča, da hitro izkoristijo priložnosti za zbiranje kapitala. Namen uporabe predlaganega univerzalnega registracijskega dokumenta je skrajšati odobritve prospekta s sedanjih 10 na 5 delovnih dni po tem, ko se pojavi priložnost za zbiranje kapitala. </w:t>
      </w:r>
    </w:p>
    <w:p>
      <w:pPr>
        <w:pBdr>
          <w:top w:val="nil"/>
          <w:left w:val="nil"/>
          <w:bottom w:val="nil"/>
          <w:right w:val="nil"/>
          <w:between w:val="nil"/>
          <w:bar w:val="nil"/>
        </w:pBdr>
        <w:spacing w:before="0" w:after="240"/>
        <w:rPr>
          <w:rFonts w:eastAsia="Arial Unicode MS"/>
          <w:i/>
          <w:iCs/>
          <w:noProof/>
        </w:rPr>
      </w:pPr>
      <w:r>
        <w:rPr>
          <w:i/>
          <w:noProof/>
        </w:rPr>
        <w:t>Obravnava nelastniških vrednostnih papirjev z visoko nominalno vrednostjo na enoto</w:t>
      </w:r>
    </w:p>
    <w:p>
      <w:pPr>
        <w:pBdr>
          <w:top w:val="nil"/>
          <w:left w:val="nil"/>
          <w:bottom w:val="nil"/>
          <w:right w:val="nil"/>
          <w:between w:val="nil"/>
          <w:bar w:val="nil"/>
        </w:pBdr>
        <w:spacing w:before="0" w:after="240"/>
        <w:rPr>
          <w:rFonts w:eastAsia="Arial Unicode MS"/>
          <w:iCs/>
          <w:noProof/>
        </w:rPr>
      </w:pPr>
      <w:r>
        <w:rPr>
          <w:noProof/>
        </w:rPr>
        <w:t>Na podlagi dokazov, predstavljenih v oceni učinka, je imela ugodna obravnava, ki jo direktiva o prospektu zagotavlja nelastniškim vrednostnim papirjem z nominalno vrednostjo na enoto, ki znaša najmanj 100 000 EUR, nepredvidene posledice, saj je povzročila izkrivljenje razmer na evropskih trgih obveznic in mnogim vlagateljem onemogočila dostop do znatnega deleža obveznic, ki so jih izdala podjetja naložbenega razreda. Uredba zato ukinja spodbude za izdajo dolžniških vrednostnih papirjev z visoko nominalno vrednostjo, da se bo odpravila ena od identificiranih ovir za sekundarno likvidnost na evropskih trgih obveznic.</w:t>
      </w:r>
    </w:p>
    <w:p>
      <w:pPr>
        <w:pStyle w:val="ManualHeading2"/>
        <w:rPr>
          <w:rFonts w:eastAsia="Arial Unicode MS"/>
          <w:noProof/>
        </w:rPr>
      </w:pPr>
      <w:r>
        <w:rPr>
          <w:noProof/>
          <w:color w:val="000000"/>
          <w:u w:color="000000"/>
          <w:bdr w:val="nil"/>
        </w:rPr>
        <w:t>•</w:t>
      </w:r>
      <w:r>
        <w:rPr>
          <w:noProof/>
        </w:rPr>
        <w:tab/>
        <w:t>Usklajenost z drugimi politikami Unije</w:t>
      </w:r>
    </w:p>
    <w:p>
      <w:pPr>
        <w:rPr>
          <w:noProof/>
        </w:rPr>
      </w:pPr>
      <w:r>
        <w:rPr>
          <w:noProof/>
        </w:rPr>
        <w:t xml:space="preserve">Namen reforme prospekta je dopolniti cilje unije kapitalskih trgov glede zmanjšanja razdrobljenosti finančnih trgov, diverzifikacije virov financiranja in okrepitve čezmejnega pretoka kapitala. Najpomembnejša prednostna naloga Komisije je spodbuditi evropsko gospodarstvo in vlaganja, da se ustvarijo delovna mesta. Stabilnejši evropski kapitalski trgi so pomemben del odziva na ta pereč izziv, ker lahko povečajo obseg razpoložljivega financiranja in ga učinkoviteje usmerijo v potencialno dobre naložbe po vsej EU. </w:t>
      </w:r>
    </w:p>
    <w:p>
      <w:pPr>
        <w:rPr>
          <w:noProof/>
        </w:rPr>
      </w:pPr>
      <w:r>
        <w:rPr>
          <w:noProof/>
        </w:rPr>
        <w:t>Del akcijskega načrta za unijo kapitalskih trgov je prepričanje, da lahko financiranje na kapitalskih trgih v vseh svojih oblikah, vključno s tveganim kapitalom, množičnim financiranjem in sektorjem upravljanja premoženja, zagotovi finančno rešitev za podjetja, ki potrebujejo več kapitala za vodenje ali širitev svoje dejavnosti. Namen akcijskega načrta za unijo kapitalskih trgov je tudi omogočiti več zasebnih naložb v infrastrukturne projekte, vlagateljem in varčevalcem zagotoviti dodatne priložnosti za učinkovitejše upravljanje z denarjem in odpraviti ovire za čezmejne naložbe.</w:t>
      </w:r>
    </w:p>
    <w:p>
      <w:pPr>
        <w:rPr>
          <w:noProof/>
        </w:rPr>
      </w:pPr>
      <w:r>
        <w:rPr>
          <w:noProof/>
        </w:rPr>
        <w:t>Unija kapitalskih trgov bo delovala v korist vseh 28 držav članic. Države članice z najmanjšimi trgi in velikim potencialom rasti bodo lahko veliko pridobile od boljšega usmerjanja kapitala in naložb v svoje projekte. Razvitejša tržna gospodarstva bodo lahko izkoristila večji obseg čezmejnih naložb in možnosti varčevanja. Bolj raznolika mešanica financiranja bo prav tako zagotovila dodatne prednosti: podprla bo finančno stabilnost ter zmanjšala odvisnost poslovnega sektorja in širšega gospodarstva od bančnih posojil. Zato je unija kapitalskih trgov tudi pomemben del prizadevanj za uresničevanje evropske ekonomske in monetarne unije.</w:t>
      </w:r>
    </w:p>
    <w:p>
      <w:pPr>
        <w:pBdr>
          <w:top w:val="nil"/>
          <w:left w:val="nil"/>
          <w:bottom w:val="nil"/>
          <w:right w:val="nil"/>
          <w:between w:val="nil"/>
          <w:bar w:val="nil"/>
        </w:pBdr>
        <w:spacing w:before="0" w:after="240"/>
        <w:rPr>
          <w:rFonts w:eastAsia="Arial Unicode MS"/>
          <w:iCs/>
          <w:noProof/>
        </w:rPr>
      </w:pPr>
      <w:r>
        <w:rPr>
          <w:noProof/>
        </w:rPr>
        <w:t>S tem pregledom se lahko prav tako olajša sodelovanje vlagateljev pri vlaganju v javno ponujene lastniške in dolžniške vrednostne papirje, tako da se natančneje določijo informacije, ki se morajo zagotoviti, in osredotoči na informacije, ki vlagateljem omogočajo premišljeno oceno predlagane naložbe.</w:t>
      </w:r>
    </w:p>
    <w:p>
      <w:pPr>
        <w:pStyle w:val="ManualHeading2"/>
        <w:rPr>
          <w:rFonts w:eastAsia="Arial Unicode MS"/>
          <w:noProof/>
          <w:szCs w:val="24"/>
          <w:u w:color="000000"/>
          <w:bdr w:val="nil"/>
        </w:rPr>
      </w:pPr>
      <w:r>
        <w:rPr>
          <w:noProof/>
          <w:color w:val="000000"/>
          <w:u w:color="000000"/>
          <w:bdr w:val="nil"/>
        </w:rPr>
        <w:t>•</w:t>
      </w:r>
      <w:r>
        <w:rPr>
          <w:noProof/>
        </w:rPr>
        <w:tab/>
        <w:t>Usklajenost z obstoječimi določbami na področju politike</w:t>
      </w:r>
    </w:p>
    <w:p>
      <w:pPr>
        <w:rPr>
          <w:noProof/>
        </w:rPr>
      </w:pPr>
      <w:r>
        <w:rPr>
          <w:noProof/>
        </w:rPr>
        <w:t>Direktiva o prospektu določa, da se prospekt objavi ob javni ponudbi ali sprejemu vrednostnih papirjev v trgovanje na reguliranem trgu. Prvotni cilj Direktive je bil podjetjem omogočiti lažje in cenejše zbiranje kapitala v vsej Uniji na podlagi enotne odobritve s strani regulativnega organa („matičnega pristojnega organa“) v samo eni državi članici. Izdajatelji, ponudniki ali osebe, ki prosijo za sprejem v trgovanje na reguliranem trgu, lahko v skladu z Direktivo svoje prospekte opremijo z enotnim dovoljenjem za čezmejne ponudbe in kotacije.</w:t>
      </w:r>
    </w:p>
    <w:p>
      <w:pPr>
        <w:pBdr>
          <w:top w:val="nil"/>
          <w:left w:val="nil"/>
          <w:bottom w:val="nil"/>
          <w:right w:val="nil"/>
          <w:between w:val="nil"/>
          <w:bar w:val="nil"/>
        </w:pBdr>
        <w:spacing w:before="0" w:after="240"/>
        <w:rPr>
          <w:rFonts w:eastAsia="Arial Unicode MS"/>
          <w:noProof/>
        </w:rPr>
      </w:pPr>
      <w:r>
        <w:rPr>
          <w:noProof/>
        </w:rPr>
        <w:t xml:space="preserve">Da se zagotovi usklajeno minimalno varstvo vlagateljev z vključitvijo jasnih, celovitih in standardiziranih informacij v prospekte ob vsaki njihovi objavi, ki jih vlagatelji potrebujejo za sprejetje informirane odločitve o naložbi, direktiva o prospektu dopolnjuje tekoče in </w:t>
      </w:r>
      <w:r>
        <w:rPr>
          <w:i/>
          <w:noProof/>
        </w:rPr>
        <w:t>ad hoc</w:t>
      </w:r>
      <w:r>
        <w:rPr>
          <w:noProof/>
        </w:rPr>
        <w:t xml:space="preserve"> obveznosti poročanja, določene zlasti v direktivi o preglednosti in uredbi o zlorabi trga</w:t>
      </w:r>
      <w:r>
        <w:rPr>
          <w:rStyle w:val="FootnoteReference"/>
          <w:noProof/>
        </w:rPr>
        <w:footnoteReference w:id="6"/>
      </w:r>
      <w:r>
        <w:rPr>
          <w:noProof/>
        </w:rPr>
        <w:t>. Dopolnilna narava izhaja iz dejstva, da se direktiva o prospektu nanaša samo na zahteve po prvem razkritju za javne ponudbe ali kotacije na reguliranem trgu.</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rPr>
          <w:noProof/>
        </w:rPr>
      </w:pPr>
      <w:r>
        <w:rPr>
          <w:noProof/>
        </w:rPr>
        <w:t>Pravna podlaga za ukrepanje je člen 114 Pogodbe o delovanju Evropske unije. Izbira te pravne podlage odraža ključno vlogo usklajene ureditve za prospekte pri delovanju notranjega trga za zbiranje lastniškega in dolžniškega kapitala, ki hkrati omogoča tudi pridobitev enotnega dovoljenja za čezmejno uporabo.</w:t>
      </w:r>
    </w:p>
    <w:p>
      <w:pPr>
        <w:pBdr>
          <w:top w:val="nil"/>
          <w:left w:val="nil"/>
          <w:bottom w:val="nil"/>
          <w:right w:val="nil"/>
          <w:between w:val="nil"/>
          <w:bar w:val="nil"/>
        </w:pBdr>
        <w:spacing w:before="0" w:after="240"/>
        <w:rPr>
          <w:noProof/>
        </w:rPr>
      </w:pPr>
      <w:r>
        <w:rPr>
          <w:noProof/>
        </w:rPr>
        <w:t>Razkritje informacij v primeru javnih ponudb ali sprejema vrednostnih papirjev v trgovanje na reguliranem trgu je ključnega pomena za zaščito vlagateljev, saj odpravlja neusklajenost informacij med vlagatelji in izdajatelji. Z uskladitvijo tega razkritja je omogočena vzpostavitev mehanizma enotnega dovoljenja za čezmejno uporabo, ki prispeva k učinkovitemu delovanju notranjega trga za širok nabor vrednostnih papirjev. Različni pristopi bi privedli do razdrobljenosti notranjega trga, saj bi za izdajatelje, ponudnike in osebe, ki prosijo za sprejem v trgovanje, v različnih državah članicah veljala različna pravila in prospektov, odobrenih v eni državi članici, morda ne bi bilo mogoče uporabljati v drugih državah članicah. Brez usklajenega okvira, ki zagotavlja enotno razkritje in učinek dovoljenja za čezmejno uporabo v Uniji, bi razlike v zakonodajah držav članic verjetno ovirale nemoteno delovanje notranjega trga vrednostnih papirjev. Zato je za zagotovitev ustreznega delovanja notranjega trga in izboljšanje pogojev njegovega delovanja, zlasti kar zadeva kapitalske trge, ter zagotovitev visoke ravni varstva potrošnikov in vlagateljev primerno določiti regulativni okvir za prospekte na ravni Unije.</w:t>
      </w:r>
    </w:p>
    <w:p>
      <w:pPr>
        <w:pStyle w:val="ManualHeading2"/>
        <w:rPr>
          <w:rFonts w:eastAsia="Arial Unicode MS"/>
          <w:noProof/>
          <w:szCs w:val="24"/>
          <w:u w:color="000000"/>
          <w:bdr w:val="nil"/>
        </w:rPr>
      </w:pPr>
      <w:r>
        <w:rPr>
          <w:noProof/>
        </w:rPr>
        <w:t>•</w:t>
      </w:r>
      <w:r>
        <w:rPr>
          <w:noProof/>
        </w:rPr>
        <w:tab/>
        <w:t>Subsidiarnost</w:t>
      </w:r>
    </w:p>
    <w:p>
      <w:pPr>
        <w:rPr>
          <w:noProof/>
        </w:rPr>
      </w:pPr>
      <w:r>
        <w:rPr>
          <w:noProof/>
        </w:rPr>
        <w:t xml:space="preserve">Usklajeni prospekt EU je temeljno orodje za integracijo kapitalskih trgov v Uniji. Ko pristojni nacionalni organ odobri prospekt, lahko izdajatelj zaprosi za dovoljenje za čezmejno uporabo, ki mu omogoča uporabo tega prospekta v drugi državi članici EU. V tej državi članici „gostiteljici“ ne bodo potrebne nadaljnje odobritve ali upravni postopki v zvezi s prospektom. To dovoljenje temelji na predpostavki, da je minimalna vsebina prospekta usklajena na ravni EU v skladu z veljavnimi pravili o prospektu (osnovnimi pravili ter delegiranimi in izvedbenimi akti). </w:t>
      </w:r>
    </w:p>
    <w:p>
      <w:pPr>
        <w:rPr>
          <w:noProof/>
        </w:rPr>
      </w:pPr>
      <w:r>
        <w:rPr>
          <w:noProof/>
        </w:rPr>
        <w:t xml:space="preserve">Ker je dovoljenje po naravi evropsko, se lahko kakršne koli izboljšave dovoljenja izvedejo samo na ravni EU. Druge možnosti, kot je ukrepanje na ravni države članice, ne morejo zadostno in učinkovito doseči ciljev, da se ustvari usklajena podlaga za opremljanje prospektov z enotnim dovoljenjem za čezmejno uporabo. </w:t>
      </w:r>
    </w:p>
    <w:p>
      <w:pPr>
        <w:rPr>
          <w:noProof/>
        </w:rPr>
      </w:pPr>
      <w:r>
        <w:rPr>
          <w:noProof/>
        </w:rPr>
        <w:t xml:space="preserve">Pričakuje se, da bo racionalizacija navedenih vidikov prospekta EU zagotovila enotnejše konkurenčne pogoje delovanja za vse izdajatelje in vlagatelje ter da bo prispevala k izogibanju regulativni arbitraži. Predlagane reforme bi po vsej EU imele jasno in dosledno sporočilo, in sicer da je ureditev za prospekte delovala dobro tudi med finančno krizo, da pa so potrebne izboljšave, da se ustvari resnično enoten trg za tiste ciljne skupine, ki doslej niso mogle v celoti izkoristiti usklajene ureditve za prospekte (MSP, pogosti in/ali sekundarni izdajatelji). Zagotovitev boljšega dostopa do prospekta za MSP in pogoste izdajatelje lahko privede do poglobitve vseevropskih skladov kapitala, ki so na voljo takim izdajateljem. V primeru MSP to vključuje oblikovanje posebne ureditve za prospekte z vsebino in obliko, ki ustrezata izdajateljem in vlagateljem. To je ključno za vzpostavitev unije kapitalskih trgov. Vendar teh ciljev države članice ne morejo doseči same, ampak se lažje dosežejo na ravni Unije. </w:t>
      </w:r>
    </w:p>
    <w:p>
      <w:pPr>
        <w:pStyle w:val="ManualHeading2"/>
        <w:rPr>
          <w:rFonts w:eastAsia="Arial Unicode MS"/>
          <w:noProof/>
          <w:szCs w:val="24"/>
          <w:u w:color="000000"/>
          <w:bdr w:val="nil"/>
        </w:rPr>
      </w:pPr>
      <w:r>
        <w:rPr>
          <w:noProof/>
        </w:rPr>
        <w:t>•</w:t>
      </w:r>
      <w:r>
        <w:rPr>
          <w:noProof/>
        </w:rPr>
        <w:tab/>
        <w:t>Sorazmernost</w:t>
      </w:r>
    </w:p>
    <w:p>
      <w:pPr>
        <w:rPr>
          <w:noProof/>
        </w:rPr>
      </w:pPr>
      <w:r>
        <w:rPr>
          <w:noProof/>
        </w:rPr>
        <w:t xml:space="preserve">Namen izbranih možnosti je na splošno zmanjšati breme, povezano z zagotavljanjem skladnosti, za naslednje ciljne skupine: MSP, sekundarne izdajatelje, pogoste izdajatelje, izdajatelje nelastniških vrednostnih papirjev. </w:t>
      </w:r>
    </w:p>
    <w:p>
      <w:pPr>
        <w:rPr>
          <w:noProof/>
        </w:rPr>
      </w:pPr>
      <w:r>
        <w:rPr>
          <w:noProof/>
        </w:rPr>
        <w:t>Pričakuje se, da bodo lahko vse te skupine različno izkoristile predlagane reforme.</w:t>
      </w:r>
    </w:p>
    <w:p>
      <w:pPr>
        <w:rPr>
          <w:noProof/>
        </w:rPr>
      </w:pPr>
      <w:r>
        <w:rPr>
          <w:noProof/>
        </w:rPr>
        <w:t>Ocena učinka vsebuje prvotne ocene znižanja stroškov, ki temeljijo na dejanskih in realnih predpostavkah v zvezi z uvedbo univerzalnega registracijskega dokumenta in dveh predlaganih ureditev glede obveznosti razkritja informacij za MSP oziroma sekundarne izdajatelje.</w:t>
      </w:r>
    </w:p>
    <w:p>
      <w:pPr>
        <w:rPr>
          <w:i/>
          <w:noProof/>
        </w:rPr>
      </w:pPr>
      <w:r>
        <w:rPr>
          <w:i/>
          <w:noProof/>
        </w:rPr>
        <w:t>MSP</w:t>
      </w:r>
    </w:p>
    <w:p>
      <w:pPr>
        <w:rPr>
          <w:noProof/>
        </w:rPr>
      </w:pPr>
      <w:r>
        <w:rPr>
          <w:noProof/>
        </w:rPr>
        <w:t>Če vrednostni papirji MSP niso sprejeti v trgovanje na reguliranem trgu, bodo lahko MSP, ki želijo kapital zbrati prek javne ponudbe, izkoristila nova pravila o razkritju, vključno z novo obliko, ki temelji na vprašanjih in odgovorih, s katerimi bi se morali zmanjšati stroški priprave prospekta. Pričakuje se, da bodo tista MSP, ki kotirajo na reguliranem trgu ali na zagonskem trgu MSP, dodatno prihranila, ker bodo lahko izkoristila poenostavljeno ureditev za razkritja, ki bo veljala za sekundarne izdaje (glej v nadaljevanju). Z uporabo nove ureditve za razkritja za MSP bi lahko slednja po grobih ocenah skupaj prihranila približno 45 milijonov EUR na leto.</w:t>
      </w:r>
    </w:p>
    <w:p>
      <w:pPr>
        <w:rPr>
          <w:i/>
          <w:noProof/>
        </w:rPr>
      </w:pPr>
      <w:r>
        <w:rPr>
          <w:i/>
          <w:noProof/>
        </w:rPr>
        <w:t xml:space="preserve">Sekundarne izdaje </w:t>
      </w:r>
    </w:p>
    <w:p>
      <w:pPr>
        <w:rPr>
          <w:noProof/>
        </w:rPr>
      </w:pPr>
      <w:r>
        <w:rPr>
          <w:noProof/>
        </w:rPr>
        <w:t xml:space="preserve">Po podatkih, ki so jih zagotovile države članice, se približno 70 % vseh prospektov, odobrenih v danem referenčnem letu, nanaša na sekundarno izdajo vrednostnih papirjev s strani podjetij, katerih vrednostni papirji so že sprejeti v trgovanje na reguliranem trgu ali v večstranski sistem trgovanja. Iz ekstrapolacije razpoložljivih podatkov v zvezi s prospekti o lastniškem kapitalu izhaja, da bi lahko približno 700 prospektov na leto izkoristilo poenostavljeno ureditev za razkritja za sekundarne izdaje. Podatki o stroških priprave prospekta, ki temeljijo na javnem posvetovanju, kažejo, da se lahko na ta način prihrani približno 130 milijonov na leto. </w:t>
      </w:r>
    </w:p>
    <w:p>
      <w:pPr>
        <w:rPr>
          <w:i/>
          <w:noProof/>
        </w:rPr>
      </w:pPr>
      <w:r>
        <w:rPr>
          <w:i/>
          <w:noProof/>
        </w:rPr>
        <w:t>Pogosti izdajatelji</w:t>
      </w:r>
    </w:p>
    <w:p>
      <w:pPr>
        <w:rPr>
          <w:noProof/>
        </w:rPr>
      </w:pPr>
      <w:r>
        <w:rPr>
          <w:noProof/>
        </w:rPr>
        <w:t>Povečana uporaba predlaganega univerzalnega registracijskega dokumenta za prospekte o lastniških in nelastniških vrednostnih papirjih lahko pospeši odobritve prospektov, pri čemer bi se število prospektov, ki se vsako leto odobrijo v manj kot 10 delovnih dneh, povečalo za 150 % (prospekti o lastniških vrednostih papirjih) oziroma za 70 % (prospekti o nelastniških vrednostnih papirjih).</w:t>
      </w:r>
    </w:p>
    <w:p>
      <w:pPr>
        <w:rPr>
          <w:i/>
          <w:noProof/>
        </w:rPr>
      </w:pPr>
      <w:r>
        <w:rPr>
          <w:i/>
          <w:noProof/>
        </w:rPr>
        <w:t>Izdajatelji dolžniških instrumentov</w:t>
      </w:r>
    </w:p>
    <w:p>
      <w:pPr>
        <w:rPr>
          <w:noProof/>
        </w:rPr>
      </w:pPr>
      <w:r>
        <w:rPr>
          <w:noProof/>
        </w:rPr>
        <w:t>Zahteva po enotnem prospektu za izdaje obveznic ne glede na višino njihove nominalne vrednosti pomeni spodbudo za vse izdajatelje dolžniških instrumentov, da izberejo nominalno vrednost, na podlagi katere bodo njihove obveznice privlačnejše za širši krog vlagateljev. Zato se pričakuje, da se bo povečalo zanimanje širšega kroga vlagateljev za nakup in prodajo obveznic, posledično pa tudi likvidnost na trgih podjetniških obveznic v EU.</w:t>
      </w:r>
    </w:p>
    <w:p>
      <w:pPr>
        <w:rPr>
          <w:i/>
          <w:noProof/>
        </w:rPr>
      </w:pPr>
      <w:r>
        <w:rPr>
          <w:i/>
          <w:noProof/>
        </w:rPr>
        <w:t>Vlagatelji</w:t>
      </w:r>
    </w:p>
    <w:p>
      <w:pPr>
        <w:rPr>
          <w:noProof/>
        </w:rPr>
      </w:pPr>
      <w:r>
        <w:rPr>
          <w:noProof/>
        </w:rPr>
        <w:t xml:space="preserve">Prospekti, pripravljeni na bralcu prijaznejši način in osredotočeni na konkreten položaj njihovega izdajatelja, imajo dvojno prednost, ki se kaže v zmanjšanju stroškov in povečanju relevantnosti prospekta za potencialne vlagatelje. Vlagatelji bodo lahko na podlagi nove osredotočenosti dejavnikov tveganja iz prospekta na pomembna in posebna tveganja prepoznali informacije, ki so bistvene za sprejetje informirane odločitve o naložbi. </w:t>
      </w:r>
    </w:p>
    <w:p>
      <w:pPr>
        <w:rPr>
          <w:noProof/>
        </w:rPr>
      </w:pPr>
      <w:r>
        <w:rPr>
          <w:noProof/>
        </w:rPr>
        <w:t xml:space="preserve">Prednosti, ki izhajajo iz reforme izvlečka prospekta in uvedbe podatkovne baze prospektov, po kateri se lahko išče, je težje kvantitativno opredeliti: ocena učinka v teh pogledih temelji na bolj kvalitativni oceni. Kljub temu razlog za reformo izvlečka prospekta temelji na delu, ki je že bilo opravljeno v okviru dokumenta s ključnimi informacijami o paketnih naložbenih produktih. </w:t>
      </w:r>
    </w:p>
    <w:p>
      <w:pPr>
        <w:rPr>
          <w:i/>
          <w:noProof/>
        </w:rPr>
      </w:pPr>
      <w:r>
        <w:rPr>
          <w:i/>
          <w:noProof/>
        </w:rPr>
        <w:t>Nacionalni organi in ESMA</w:t>
      </w:r>
    </w:p>
    <w:p>
      <w:pPr>
        <w:rPr>
          <w:noProof/>
        </w:rPr>
      </w:pPr>
      <w:r>
        <w:rPr>
          <w:noProof/>
        </w:rPr>
        <w:t xml:space="preserve">Predlagane poenostavitve ne bi smele povzročiti znatnih stroškov za nacionalne proračune in uprave. Nasprotno, pristojni nacionalni organi bi morali imeti koristi od poenostavitve prospekta, ker bi se s tem olajšal tudi postopek odobritve prospektov. </w:t>
      </w:r>
    </w:p>
    <w:p>
      <w:pPr>
        <w:rPr>
          <w:noProof/>
        </w:rPr>
      </w:pPr>
      <w:r>
        <w:rPr>
          <w:noProof/>
        </w:rPr>
        <w:t>Z omogočanjem spletnega iskanja po vseh prospektih na spletnem mestu ESMA se lahko zanj povečajo stroški informacijske tehnologije. Vendar se ti stroški zdijo upravičeni, če se primerjajo z znatnimi prednostmi nižjih stroškov iskanja ter enostavnega in centraliziranega dostopa za vlagatelje in potencialne vlagatelje, ki jih zanima zelo raznovrstna ponudba vrednostnih papirjev, izdanih v EU.</w:t>
      </w:r>
    </w:p>
    <w:p>
      <w:pPr>
        <w:rPr>
          <w:i/>
          <w:noProof/>
        </w:rPr>
      </w:pPr>
      <w:r>
        <w:rPr>
          <w:i/>
          <w:noProof/>
        </w:rPr>
        <w:t>Stroški zagotavljanja skladnosti, ki jih imajo izdajatelji</w:t>
      </w:r>
    </w:p>
    <w:p>
      <w:pPr>
        <w:rPr>
          <w:noProof/>
        </w:rPr>
      </w:pPr>
      <w:r>
        <w:rPr>
          <w:noProof/>
        </w:rPr>
        <w:t xml:space="preserve">Odločitev o prenovi v obliki uredbe ne bi smela bistveno vplivati na stroške zagotavljanja skladnosti, ki jih imajo izdajatelji, in na stroške izvrševanja, ki jih imajo pristojni organi. Učinek predlaganih ukrepov na stroške zagotavljanja skladnosti in stroške izvrševanja se lahko povzame, kot je navedeno v nadaljevanju. </w:t>
      </w:r>
    </w:p>
    <w:p>
      <w:pPr>
        <w:rPr>
          <w:noProof/>
        </w:rPr>
      </w:pPr>
      <w:r>
        <w:rPr>
          <w:noProof/>
        </w:rPr>
        <w:t>Novi ureditvi za razkritja za sekundarne izdaje in MSP bi morali zaradi manjše količine informacij, ki jih bo treba razkriti in pregledati, zmanjšati stroške usklajevanja za izdajatelje in tudi delovno obremenitev pristojnih organov. Tako zmanjšanje stroškov bi bilo še bolj očitno pri izdajateljih, ki doslej niso imeli možnosti izkoriščanja teh obveznosti, bodo pa do tega upravičeni v prihodnje. Za izdajatelje, ki uporabljajo trenutne sezname, bi se stroški zaradi morebitne potrebe po seznanitvi z novimi pravili nekoliko povečali.</w:t>
      </w:r>
    </w:p>
    <w:p>
      <w:pPr>
        <w:rPr>
          <w:noProof/>
        </w:rPr>
      </w:pPr>
      <w:r>
        <w:rPr>
          <w:noProof/>
        </w:rPr>
        <w:t xml:space="preserve">Deležniki, ki bi imeli višje stroške z zagotavljanjem skladnosti, bi bili izdajatelji, ki zdaj izkoriščajo izvzetje iz obveznosti objave prospekta in poenostavitve za ponudbe nelastniških vrednostnih papirjev z nominalno vrednostjo najmanj 100 000 EUR. Tisti, ki ne morejo izkoristiti drugih izvzetij, bodo morali prospekt pripraviti na podlagi standardnega sistema, osnovne ureditve za prospekte ali posebne ureditve za razkritja za sekundarne izdaje, kjer je primerno. </w:t>
      </w:r>
    </w:p>
    <w:p>
      <w:pPr>
        <w:rPr>
          <w:noProof/>
        </w:rPr>
      </w:pPr>
      <w:r>
        <w:rPr>
          <w:noProof/>
        </w:rPr>
        <w:t>Pretvorba izvlečka prospekta v dokument, ki je podoben dokumentu s ključnimi informacijami za vlagatelja, bi tudi znatno zmanjšala stroške zagotavljanja skladnosti, ker bi bil izvleček bistveno krajši in zato cenejši. Če poleg tega vrednostni papirji spadajo v okvir te uredbe in Uredbe (EU) št. 1286/2014, bi bilo treba dovoliti ponovno uporabo vsebine dokumenta s ključnimi informacijami v celoti, da se zmanjšajo stroški zagotavljanja skladnosti in upravno breme za izdajatelje.</w:t>
      </w:r>
    </w:p>
    <w:p>
      <w:pPr>
        <w:pStyle w:val="ManualHeading2"/>
        <w:rPr>
          <w:rFonts w:eastAsia="Arial Unicode MS"/>
          <w:noProof/>
          <w:szCs w:val="24"/>
          <w:u w:color="000000"/>
          <w:bdr w:val="nil"/>
        </w:rPr>
      </w:pPr>
      <w:r>
        <w:rPr>
          <w:noProof/>
        </w:rPr>
        <w:t>•</w:t>
      </w:r>
      <w:r>
        <w:rPr>
          <w:noProof/>
        </w:rPr>
        <w:tab/>
        <w:t>Izbira instrumenta</w:t>
      </w:r>
    </w:p>
    <w:p>
      <w:pPr>
        <w:rPr>
          <w:noProof/>
        </w:rPr>
      </w:pPr>
      <w:r>
        <w:rPr>
          <w:noProof/>
        </w:rPr>
        <w:t>Direktiva o prospektu iz leta 2003 je, tudi po njeni reformi leta 2010, privedla do več primerov različnega izvajanja direktive o prospektu v nekaterih državah članicah. S spremembo direktive o prospektu v uredbo bi se take težave, ki običajno nastanejo ob prenosu direktive, odpravile, okrepila pa bi se tudi doslednost in povezanost na celotnem notranjem trgu, pri čemer bi se zmanjšal obseg razhajajočih in razdrobljenih pravil po Uniji, kar bi bilo v skladu s cilji unije kapitalskih trgov.</w:t>
      </w:r>
    </w:p>
    <w:p>
      <w:pPr>
        <w:rPr>
          <w:noProof/>
        </w:rPr>
      </w:pPr>
      <w:r>
        <w:rPr>
          <w:noProof/>
        </w:rPr>
        <w:t>Z enotnimi pravili bi se odpravila tudi težava, da že razmeroma majhna razhajanja v nacionalnem pravu od izdajateljev in vlagateljev, ki želijo zbrati ali vlagati kapital v drugih državah, zahtevajo primerjavo nacionalnih pravil, tako da zagotovijo, da so v celoti razumeli ustrezno zakonodajo in da ravnajo v skladu z njo. Z uredbo bi se takim neproduktivnim stroškom iskanja lahko izognili. Prilagoditev nacionalnih zakonov, s katerimi se je prenesla sedanja direktiva o prospektu, v predlagano uredbo, bi moralo olajšati dejstvo, da imajo veljavni izvedbeni ukrepi že obliko uredbe. Zato je najprimernejša možnost direktivo o prospektu spremeniti v uredbo.</w:t>
      </w:r>
    </w:p>
    <w:p>
      <w:pPr>
        <w:pStyle w:val="ManualHeading1"/>
        <w:rPr>
          <w:noProof/>
          <w:szCs w:val="24"/>
        </w:rPr>
      </w:pPr>
      <w:r>
        <w:rPr>
          <w:noProof/>
        </w:rPr>
        <w:t>3.</w:t>
      </w:r>
      <w:r>
        <w:rPr>
          <w:noProof/>
        </w:rPr>
        <w:tab/>
        <w:t>REZULTATI NAKNADNIH OCEN, POSVETOVANJ Z DELEŽNIKI IN OCEN UČINKA</w:t>
      </w:r>
    </w:p>
    <w:p>
      <w:pPr>
        <w:pStyle w:val="ManualHeading2"/>
        <w:rPr>
          <w:rFonts w:eastAsia="Arial Unicode MS"/>
          <w:noProof/>
          <w:szCs w:val="24"/>
          <w:u w:color="000000"/>
          <w:bdr w:val="nil"/>
        </w:rPr>
      </w:pPr>
      <w:r>
        <w:rPr>
          <w:noProof/>
        </w:rPr>
        <w:t>•</w:t>
      </w:r>
      <w:r>
        <w:rPr>
          <w:noProof/>
        </w:rPr>
        <w:tab/>
        <w:t>Naknadne ocene in preverjanja ustreznosti obstoječe zakonodaje</w:t>
      </w:r>
    </w:p>
    <w:p>
      <w:pPr>
        <w:rPr>
          <w:noProof/>
        </w:rPr>
      </w:pPr>
      <w:r>
        <w:rPr>
          <w:noProof/>
        </w:rPr>
        <w:t>Direktiva o prospektu je vključena v program Evropske komisije o ustreznosti in uspešnosti predpisov (REFIT). Podrobne informacije o tej oceni so v oddelku „Ustreznost in poenostavitev“ v nadaljevanju.</w:t>
      </w:r>
    </w:p>
    <w:p>
      <w:pPr>
        <w:pStyle w:val="ManualHeading2"/>
        <w:rPr>
          <w:rFonts w:eastAsia="Arial Unicode MS"/>
          <w:noProof/>
          <w:szCs w:val="24"/>
          <w:u w:color="000000"/>
          <w:bdr w:val="nil"/>
        </w:rPr>
      </w:pPr>
      <w:r>
        <w:rPr>
          <w:noProof/>
        </w:rPr>
        <w:t>•</w:t>
      </w:r>
      <w:r>
        <w:rPr>
          <w:noProof/>
        </w:rPr>
        <w:tab/>
        <w:t>Posvetovanje z deležniki</w:t>
      </w:r>
    </w:p>
    <w:p>
      <w:pPr>
        <w:rPr>
          <w:noProof/>
        </w:rPr>
      </w:pPr>
      <w:r>
        <w:rPr>
          <w:noProof/>
        </w:rPr>
        <w:t>Načela boljše pravne ureditve, kot so opisana v Smernicah za boljšo pravno ureditev (SWD(2015) 111 final) in ustrezni zbirki orodij, so se upoštevala tako, da se je od 18. februarja do 13. maja 2015 izvedlo javno posvetovanje. Skupaj je prispelo 182 odgovorov, od katerih so jih 124 poslale organizacije (združenja) in podjetja (banke, borze, platforme za množično financiranje), 22 javni organi (države članice, nacionalni pristojni organi in ESMA), 36 pa fizične osebe. Glede na posamezne države je bilo 21 % odgovorov iz Nemčije (38 odgovorov), 21 % iz Velike Britanije (37), 11 % iz Francije (20), 9,5 % iz Belgije (17), preostali pa iz drugih držav članic.</w:t>
      </w:r>
    </w:p>
    <w:p>
      <w:pPr>
        <w:rPr>
          <w:noProof/>
        </w:rPr>
      </w:pPr>
      <w:r>
        <w:rPr>
          <w:noProof/>
        </w:rPr>
        <w:t>Deležniki so med posvetovanjem v glavnem podprli pregled in predlagane možnosti. S splošnim ciljem zmanjšati nepotrebne in ponavljajoče se informacije v prospektu za pogoste izdajatelje, sekundarne izdaje in MSP so se strinjali vsi deležniki, vključno z državami članicami. Deležniki so podprli tudi pripravo nove oblike izvlečka prospekta na podlagi modela dokumenta s ključnimi informacijami in centraliziranega mehanizma ESMA za shranjevanje prospektov.</w:t>
      </w:r>
    </w:p>
    <w:p>
      <w:pPr>
        <w:pStyle w:val="ManualHeading2"/>
        <w:rPr>
          <w:rFonts w:eastAsia="Arial Unicode MS"/>
          <w:noProof/>
          <w:szCs w:val="24"/>
          <w:u w:color="000000"/>
          <w:bdr w:val="nil"/>
        </w:rPr>
      </w:pPr>
      <w:r>
        <w:rPr>
          <w:noProof/>
        </w:rPr>
        <w:t>•</w:t>
      </w:r>
      <w:r>
        <w:rPr>
          <w:noProof/>
        </w:rPr>
        <w:tab/>
        <w:t>Ocena učinka</w:t>
      </w:r>
    </w:p>
    <w:p>
      <w:pPr>
        <w:rPr>
          <w:rFonts w:eastAsia="Arial Unicode MS"/>
          <w:noProof/>
        </w:rPr>
      </w:pPr>
      <w:r>
        <w:rPr>
          <w:noProof/>
        </w:rPr>
        <w:t xml:space="preserve">Ocena učinka vsebuje analizo več možnosti politike za dosego obeh ciljev, tj. zmanjšati upravno breme za podjetja, ki pripravijo projekt (zlasti MSP), in prospekt oblikovati v dragocenejše orodje za razkrivanje informacij potencialnim vlagateljem. Prav tako obravnava vprašanje, kako povečati bazo vlagateljev za izdaje nelastniških vrednostnih papirjev (nominalne vrednosti). </w:t>
      </w:r>
    </w:p>
    <w:p>
      <w:pPr>
        <w:rPr>
          <w:rFonts w:eastAsia="Times New Roman"/>
          <w:noProof/>
          <w:szCs w:val="20"/>
        </w:rPr>
      </w:pPr>
      <w:r>
        <w:rPr>
          <w:noProof/>
        </w:rPr>
        <w:t xml:space="preserve">Spodnja preglednica vsebuje pregled različnih poenostavitev in izbranih ukrepov za zaščito vlagateljev ter njihov učinek na zadevne deležnike in trge, na katerih ti deležniki poslujejo. </w:t>
      </w:r>
    </w:p>
    <w:tbl>
      <w:tblPr>
        <w:tblStyle w:val="TableGrid"/>
        <w:tblW w:w="0" w:type="auto"/>
        <w:tblLook w:val="04A0" w:firstRow="1" w:lastRow="0" w:firstColumn="1" w:lastColumn="0" w:noHBand="0" w:noVBand="1"/>
      </w:tblPr>
      <w:tblGrid>
        <w:gridCol w:w="2660"/>
        <w:gridCol w:w="3532"/>
        <w:gridCol w:w="3096"/>
      </w:tblGrid>
      <w:tr>
        <w:trPr>
          <w:tblHeader/>
        </w:trPr>
        <w:tc>
          <w:tcPr>
            <w:tcW w:w="2660" w:type="dxa"/>
          </w:tcPr>
          <w:p>
            <w:pPr>
              <w:spacing w:before="0" w:after="0"/>
              <w:jc w:val="center"/>
              <w:rPr>
                <w:b/>
                <w:noProof/>
                <w:sz w:val="22"/>
              </w:rPr>
            </w:pPr>
            <w:r>
              <w:rPr>
                <w:b/>
                <w:noProof/>
                <w:sz w:val="22"/>
              </w:rPr>
              <w:t>Prednostne možnosti politike</w:t>
            </w:r>
          </w:p>
        </w:tc>
        <w:tc>
          <w:tcPr>
            <w:tcW w:w="3532" w:type="dxa"/>
          </w:tcPr>
          <w:p>
            <w:pPr>
              <w:spacing w:before="0" w:after="0"/>
              <w:jc w:val="center"/>
              <w:rPr>
                <w:b/>
                <w:noProof/>
                <w:sz w:val="22"/>
              </w:rPr>
            </w:pPr>
            <w:r>
              <w:rPr>
                <w:b/>
                <w:noProof/>
                <w:sz w:val="22"/>
              </w:rPr>
              <w:t>Vpliv na stroške deležnikov</w:t>
            </w:r>
          </w:p>
        </w:tc>
        <w:tc>
          <w:tcPr>
            <w:tcW w:w="3096" w:type="dxa"/>
          </w:tcPr>
          <w:p>
            <w:pPr>
              <w:spacing w:before="0" w:after="0"/>
              <w:jc w:val="center"/>
              <w:rPr>
                <w:b/>
                <w:noProof/>
                <w:sz w:val="22"/>
              </w:rPr>
            </w:pPr>
            <w:r>
              <w:rPr>
                <w:b/>
                <w:noProof/>
                <w:sz w:val="22"/>
              </w:rPr>
              <w:t>Vpliv na zadevne trge/sektorje</w:t>
            </w:r>
          </w:p>
        </w:tc>
      </w:tr>
      <w:tr>
        <w:tc>
          <w:tcPr>
            <w:tcW w:w="2660" w:type="dxa"/>
          </w:tcPr>
          <w:p>
            <w:pPr>
              <w:spacing w:before="0" w:after="0"/>
              <w:jc w:val="left"/>
              <w:rPr>
                <w:b/>
                <w:noProof/>
                <w:sz w:val="22"/>
              </w:rPr>
            </w:pPr>
            <w:r>
              <w:rPr>
                <w:b/>
                <w:noProof/>
                <w:sz w:val="22"/>
              </w:rPr>
              <w:t>Določitev najvišje vrednosti ponudbe, pod katero se države članice lahko odločijo, da za domače ponudbe ne bodo pripravile prospekta EU, na 10 milijonov EUR</w:t>
            </w:r>
            <w:r>
              <w:rPr>
                <w:noProof/>
                <w:sz w:val="22"/>
              </w:rPr>
              <w:t xml:space="preserve"> </w:t>
            </w:r>
          </w:p>
        </w:tc>
        <w:tc>
          <w:tcPr>
            <w:tcW w:w="3532" w:type="dxa"/>
          </w:tcPr>
          <w:p>
            <w:pPr>
              <w:spacing w:before="0" w:after="0"/>
              <w:jc w:val="left"/>
              <w:rPr>
                <w:noProof/>
                <w:sz w:val="22"/>
              </w:rPr>
            </w:pPr>
            <w:r>
              <w:rPr>
                <w:noProof/>
                <w:sz w:val="22"/>
              </w:rPr>
              <w:t>Približno 100 prospektom (tj. približno 3 % letno odobrenim prospektom) morda ne bo več treba pripraviti prospekta EU, kar je odvisno od odločitve držav članic.</w:t>
            </w:r>
          </w:p>
        </w:tc>
        <w:tc>
          <w:tcPr>
            <w:tcW w:w="3096" w:type="dxa"/>
          </w:tcPr>
          <w:p>
            <w:pPr>
              <w:spacing w:before="0" w:after="0"/>
              <w:jc w:val="left"/>
              <w:rPr>
                <w:noProof/>
                <w:sz w:val="22"/>
              </w:rPr>
            </w:pPr>
            <w:r>
              <w:rPr>
                <w:noProof/>
                <w:sz w:val="22"/>
              </w:rPr>
              <w:t xml:space="preserve">Prihranek stroškov je odvisen od tega, ali bodo države članice domače ponudbe s skupno vrednostjo pod 10 milijonov EUR izvzele iz obveznosti objave prospekta. </w:t>
            </w:r>
          </w:p>
        </w:tc>
      </w:tr>
      <w:tr>
        <w:tc>
          <w:tcPr>
            <w:tcW w:w="2660" w:type="dxa"/>
          </w:tcPr>
          <w:p>
            <w:pPr>
              <w:spacing w:before="0" w:after="0"/>
              <w:jc w:val="left"/>
              <w:rPr>
                <w:b/>
                <w:noProof/>
                <w:sz w:val="22"/>
              </w:rPr>
            </w:pPr>
            <w:r>
              <w:rPr>
                <w:b/>
                <w:noProof/>
                <w:sz w:val="22"/>
              </w:rPr>
              <w:t>Poenostavljena ureditev za razkritja za sekundarne izdaje</w:t>
            </w:r>
          </w:p>
        </w:tc>
        <w:tc>
          <w:tcPr>
            <w:tcW w:w="3532" w:type="dxa"/>
          </w:tcPr>
          <w:p>
            <w:pPr>
              <w:spacing w:before="0" w:after="0"/>
              <w:jc w:val="left"/>
              <w:rPr>
                <w:noProof/>
                <w:sz w:val="22"/>
              </w:rPr>
            </w:pPr>
            <w:r>
              <w:rPr>
                <w:noProof/>
                <w:sz w:val="22"/>
              </w:rPr>
              <w:t xml:space="preserve">Zelo velik tržni potencial, ker se približno 70 % vseh letno odobrenih prospektov o lastniških vrednostnih papirjih nanaša na „sekundarne izdaje“, kar pomeni, da bi to lahko izkoristilo približno 700 od 935 prospektov o lastniških vrednostnih papirjih. Skupni letni prihranek je ocenjen na 130 milijonov EUR. </w:t>
            </w:r>
          </w:p>
        </w:tc>
        <w:tc>
          <w:tcPr>
            <w:tcW w:w="3096" w:type="dxa"/>
          </w:tcPr>
          <w:p>
            <w:pPr>
              <w:spacing w:before="0" w:after="0"/>
              <w:jc w:val="left"/>
              <w:rPr>
                <w:noProof/>
                <w:sz w:val="22"/>
              </w:rPr>
            </w:pPr>
            <w:r>
              <w:rPr>
                <w:noProof/>
                <w:sz w:val="22"/>
              </w:rPr>
              <w:t xml:space="preserve">Učinek na trg lastniških vrednostnih papirjev: povečanje sekundarnih izdaj olajša zbiranje lastniškega kapitala po uspešnih začetnih javnih ponudbah, kar je ključni element potekajočih prizadevanj za vzpostavitev unije kapitalskih trgov. </w:t>
            </w:r>
          </w:p>
        </w:tc>
      </w:tr>
      <w:tr>
        <w:tc>
          <w:tcPr>
            <w:tcW w:w="2660" w:type="dxa"/>
          </w:tcPr>
          <w:p>
            <w:pPr>
              <w:spacing w:before="0" w:after="0"/>
              <w:jc w:val="left"/>
              <w:rPr>
                <w:b/>
                <w:noProof/>
                <w:sz w:val="22"/>
              </w:rPr>
            </w:pPr>
            <w:r>
              <w:rPr>
                <w:b/>
                <w:noProof/>
                <w:sz w:val="22"/>
              </w:rPr>
              <w:t>Povečanje praga razvodenitve za izvzetje iz obveznosti objave prospekta v primeru sprejetja vrednostnih papirjev v trgovanje (člen 1(4)(a))</w:t>
            </w:r>
          </w:p>
        </w:tc>
        <w:tc>
          <w:tcPr>
            <w:tcW w:w="3532" w:type="dxa"/>
          </w:tcPr>
          <w:p>
            <w:pPr>
              <w:spacing w:before="0" w:after="0"/>
              <w:jc w:val="left"/>
              <w:rPr>
                <w:noProof/>
                <w:sz w:val="22"/>
              </w:rPr>
            </w:pPr>
            <w:r>
              <w:rPr>
                <w:noProof/>
                <w:sz w:val="22"/>
              </w:rPr>
              <w:t>Prihranek stroškov do 1 milijona na prospekt, če je v trgovanje sprejetih manj kot 20 % nedospelih vrednostnih papirjev.</w:t>
            </w:r>
          </w:p>
        </w:tc>
        <w:tc>
          <w:tcPr>
            <w:tcW w:w="3096" w:type="dxa"/>
          </w:tcPr>
          <w:p>
            <w:pPr>
              <w:spacing w:before="0" w:after="0"/>
              <w:jc w:val="left"/>
              <w:rPr>
                <w:noProof/>
                <w:sz w:val="22"/>
              </w:rPr>
            </w:pPr>
            <w:r>
              <w:rPr>
                <w:noProof/>
                <w:sz w:val="22"/>
              </w:rPr>
              <w:t>Učinek na trg lastniških vrednostnih papirjev:</w:t>
            </w:r>
          </w:p>
          <w:p>
            <w:pPr>
              <w:spacing w:before="0" w:after="0"/>
              <w:jc w:val="left"/>
              <w:rPr>
                <w:noProof/>
                <w:sz w:val="22"/>
              </w:rPr>
            </w:pPr>
            <w:r>
              <w:rPr>
                <w:noProof/>
                <w:sz w:val="22"/>
              </w:rPr>
              <w:t>povečanje sekundarne izdaje olajša zbiranje lastniškega kapitala v skladu s cilji unije kapitalskih trgov.</w:t>
            </w:r>
          </w:p>
        </w:tc>
      </w:tr>
      <w:tr>
        <w:tc>
          <w:tcPr>
            <w:tcW w:w="2660" w:type="dxa"/>
          </w:tcPr>
          <w:p>
            <w:pPr>
              <w:spacing w:before="0" w:after="0"/>
              <w:jc w:val="left"/>
              <w:rPr>
                <w:b/>
                <w:noProof/>
                <w:sz w:val="22"/>
              </w:rPr>
            </w:pPr>
            <w:r>
              <w:rPr>
                <w:b/>
                <w:noProof/>
                <w:sz w:val="22"/>
              </w:rPr>
              <w:t>Univerzalni registracijski dokument za pogoste izdajatelje na reguliranem trgu ali v večstranskem sistemu trgovanja</w:t>
            </w:r>
          </w:p>
        </w:tc>
        <w:tc>
          <w:tcPr>
            <w:tcW w:w="3532" w:type="dxa"/>
          </w:tcPr>
          <w:p>
            <w:pPr>
              <w:spacing w:before="0" w:after="0"/>
              <w:jc w:val="left"/>
              <w:rPr>
                <w:noProof/>
                <w:sz w:val="22"/>
              </w:rPr>
            </w:pPr>
            <w:r>
              <w:rPr>
                <w:noProof/>
                <w:sz w:val="22"/>
              </w:rPr>
              <w:t xml:space="preserve">Znaten tržni potencial, ker ima trenutno samo 20 % prospektov o lastniških vrednostnih papirjih in 32 % prospektov o nelastniških vrednostnih papirjih (razen osnovnih prospektov) koristi od obdobij odobritve, krajših od 10 dni. Če za primer vzamemo Francijo, kjer je že skoraj dvajset let vzpostavljen podoben sistem, bi univerzalni registracijski dokument ta odstotek lahko povečal na 50 % za lastniške vrednostne papirje (= 370 prospektov o lastniških vrednostnih papirjih na leto po vsej EU) in na 55 % (= 838 prospektov na leto za izdaje nelastniških vrednostnih papirjev po vsej EU). </w:t>
            </w:r>
          </w:p>
        </w:tc>
        <w:tc>
          <w:tcPr>
            <w:tcW w:w="3096" w:type="dxa"/>
          </w:tcPr>
          <w:p>
            <w:pPr>
              <w:spacing w:before="0" w:after="0"/>
              <w:jc w:val="left"/>
              <w:rPr>
                <w:noProof/>
                <w:sz w:val="22"/>
              </w:rPr>
            </w:pPr>
            <w:r>
              <w:rPr>
                <w:noProof/>
                <w:sz w:val="22"/>
              </w:rPr>
              <w:t xml:space="preserve">Hitre odobritve prinašajo prednosti pogostim izdajateljem lastniških in nelastniških vrednostnih papirjev. </w:t>
            </w:r>
          </w:p>
          <w:p>
            <w:pPr>
              <w:spacing w:before="0" w:after="0"/>
              <w:jc w:val="left"/>
              <w:rPr>
                <w:noProof/>
                <w:sz w:val="22"/>
              </w:rPr>
            </w:pPr>
            <w:r>
              <w:rPr>
                <w:noProof/>
                <w:sz w:val="22"/>
              </w:rPr>
              <w:t xml:space="preserve">Za 5 dni krajši čas odobritve prospekta bo prihranil stroške in pogostim izdajateljem omogočil, da izkoristijo tržne priložnosti za zbiranje kapitala ali dolžniškega kapitala. </w:t>
            </w:r>
          </w:p>
        </w:tc>
      </w:tr>
      <w:tr>
        <w:tc>
          <w:tcPr>
            <w:tcW w:w="2660" w:type="dxa"/>
          </w:tcPr>
          <w:p>
            <w:pPr>
              <w:spacing w:before="0" w:after="0"/>
              <w:jc w:val="left"/>
              <w:rPr>
                <w:b/>
                <w:noProof/>
                <w:sz w:val="22"/>
              </w:rPr>
            </w:pPr>
            <w:r>
              <w:rPr>
                <w:b/>
                <w:noProof/>
                <w:sz w:val="22"/>
              </w:rPr>
              <w:t>Enoten prospekt za nelastniške vrednostne papirje, ki kotirajo na reguliranem trgu (ukinitev dvojnega sistema za male/velike vlagatelje)</w:t>
            </w:r>
          </w:p>
        </w:tc>
        <w:tc>
          <w:tcPr>
            <w:tcW w:w="3532" w:type="dxa"/>
          </w:tcPr>
          <w:p>
            <w:pPr>
              <w:spacing w:before="0" w:after="0"/>
              <w:jc w:val="left"/>
              <w:rPr>
                <w:noProof/>
                <w:sz w:val="22"/>
              </w:rPr>
            </w:pPr>
            <w:r>
              <w:rPr>
                <w:noProof/>
                <w:sz w:val="22"/>
              </w:rPr>
              <w:t xml:space="preserve">Rahlo povečanje zaradi potrebe po pripravi prospekta za sprejem v trgovanje, ki vključuje izvleček za nelastniške vrednostne papirje. Povečanje se lahko ustrezno ublaži z oblikovanjem enotne predloge prospekta o nelastniških vrednostnih papirjih iz delegiranih aktov. </w:t>
            </w:r>
          </w:p>
        </w:tc>
        <w:tc>
          <w:tcPr>
            <w:tcW w:w="3096" w:type="dxa"/>
          </w:tcPr>
          <w:p>
            <w:pPr>
              <w:spacing w:before="0" w:after="0"/>
              <w:jc w:val="left"/>
              <w:rPr>
                <w:noProof/>
                <w:sz w:val="22"/>
              </w:rPr>
            </w:pPr>
            <w:r>
              <w:rPr>
                <w:noProof/>
                <w:sz w:val="22"/>
              </w:rPr>
              <w:t xml:space="preserve">Nižje nominalne vrednosti povečajo zanimanje za nakup in prodajo ter posledično tudi likvidnost in bazo vlagateljev na trgih obveznic v EU. Vlagatelji lahko izkoristijo raznolikost portfeljev. </w:t>
            </w:r>
          </w:p>
        </w:tc>
      </w:tr>
      <w:tr>
        <w:tc>
          <w:tcPr>
            <w:tcW w:w="2660" w:type="dxa"/>
          </w:tcPr>
          <w:p>
            <w:pPr>
              <w:spacing w:before="0" w:after="0"/>
              <w:jc w:val="left"/>
              <w:rPr>
                <w:b/>
                <w:noProof/>
                <w:sz w:val="22"/>
              </w:rPr>
            </w:pPr>
            <w:r>
              <w:rPr>
                <w:b/>
                <w:noProof/>
                <w:sz w:val="22"/>
              </w:rPr>
              <w:t>Ukinitev</w:t>
            </w:r>
            <w:r>
              <w:rPr>
                <w:noProof/>
                <w:sz w:val="22"/>
              </w:rPr>
              <w:t xml:space="preserve"> </w:t>
            </w:r>
            <w:r>
              <w:rPr>
                <w:b/>
                <w:noProof/>
                <w:sz w:val="22"/>
              </w:rPr>
              <w:t xml:space="preserve">izvzetja iz obveznosti objave prospekta za javne ponudbe nelastniških vrednostnih papirjev v vrednosti 100 000 EUR </w:t>
            </w:r>
          </w:p>
        </w:tc>
        <w:tc>
          <w:tcPr>
            <w:tcW w:w="3532" w:type="dxa"/>
          </w:tcPr>
          <w:p>
            <w:pPr>
              <w:spacing w:before="0" w:after="0"/>
              <w:jc w:val="left"/>
              <w:rPr>
                <w:noProof/>
                <w:sz w:val="22"/>
              </w:rPr>
            </w:pPr>
            <w:r>
              <w:rPr>
                <w:noProof/>
                <w:sz w:val="22"/>
              </w:rPr>
              <w:t xml:space="preserve">Povečanje zaradi potrebe po pripravi prospekta o javni ponudbi za nelastniške vrednostne papirje. To ukinitev bo verjetno odtehtala razpoložljivost drugih izvzetij (dobro poučeni vlagatelji/minimalni vložek v vrednosti 100 000 EUR). Presojeno glede na prednost večjega trga podjetniških obveznic. </w:t>
            </w:r>
          </w:p>
        </w:tc>
        <w:tc>
          <w:tcPr>
            <w:tcW w:w="3096" w:type="dxa"/>
          </w:tcPr>
          <w:p>
            <w:pPr>
              <w:spacing w:before="0" w:after="0"/>
              <w:jc w:val="left"/>
              <w:rPr>
                <w:noProof/>
                <w:sz w:val="22"/>
              </w:rPr>
            </w:pPr>
            <w:r>
              <w:rPr>
                <w:noProof/>
                <w:sz w:val="22"/>
              </w:rPr>
              <w:t xml:space="preserve">Nižje nominalne vrednosti povečajo zanimanje za nakup in prodajo ter posledično tudi likvidnost v večstranskih sistemih trgovanja v EU. Vlagatelji lahko izkoristijo raznolikost portfeljev. </w:t>
            </w:r>
          </w:p>
        </w:tc>
      </w:tr>
      <w:tr>
        <w:tc>
          <w:tcPr>
            <w:tcW w:w="2660" w:type="dxa"/>
          </w:tcPr>
          <w:p>
            <w:pPr>
              <w:spacing w:before="0" w:after="0"/>
              <w:jc w:val="left"/>
              <w:rPr>
                <w:b/>
                <w:noProof/>
                <w:sz w:val="22"/>
              </w:rPr>
            </w:pPr>
            <w:r>
              <w:rPr>
                <w:b/>
                <w:noProof/>
                <w:sz w:val="22"/>
              </w:rPr>
              <w:t>Posebna ureditev za razkritja za MSP</w:t>
            </w:r>
          </w:p>
        </w:tc>
        <w:tc>
          <w:tcPr>
            <w:tcW w:w="3532" w:type="dxa"/>
          </w:tcPr>
          <w:p>
            <w:pPr>
              <w:spacing w:before="0" w:after="0"/>
              <w:jc w:val="left"/>
              <w:rPr>
                <w:noProof/>
                <w:sz w:val="22"/>
              </w:rPr>
            </w:pPr>
            <w:r>
              <w:rPr>
                <w:noProof/>
                <w:sz w:val="22"/>
              </w:rPr>
              <w:t xml:space="preserve">Novi „prospekt za MSP“ bi se lahko izkoristil pri 320 prospektih MSP, pri čemer bi ta po pričakovanjih na leto prihranila približno 45 milijonov EUR. Dodatni prihranki, ki presegajo navedeni znesek, bi bili mogoči z uvedbo prospekta tipa „vprašanja in odgovori“. </w:t>
            </w:r>
          </w:p>
        </w:tc>
        <w:tc>
          <w:tcPr>
            <w:tcW w:w="3096" w:type="dxa"/>
          </w:tcPr>
          <w:p>
            <w:pPr>
              <w:spacing w:before="0" w:after="0"/>
              <w:jc w:val="left"/>
              <w:rPr>
                <w:noProof/>
                <w:sz w:val="22"/>
              </w:rPr>
            </w:pPr>
            <w:r>
              <w:rPr>
                <w:noProof/>
                <w:sz w:val="22"/>
              </w:rPr>
              <w:t xml:space="preserve">S cenejšim in uporabnikom prijaznejšim prospektom za MSP bi lahko več takih podjetij kotiralo v večstranskih sistemih trgovanja oz. na zagonskih trgih MSP. Povečanje števila MSP, ki kotirajo na borzi, prispeva k večji razpršenosti portfeljev vlagateljev. </w:t>
            </w:r>
          </w:p>
        </w:tc>
      </w:tr>
      <w:tr>
        <w:tc>
          <w:tcPr>
            <w:tcW w:w="2660" w:type="dxa"/>
          </w:tcPr>
          <w:p>
            <w:pPr>
              <w:spacing w:before="0" w:after="0"/>
              <w:jc w:val="left"/>
              <w:rPr>
                <w:b/>
                <w:noProof/>
                <w:sz w:val="22"/>
              </w:rPr>
            </w:pPr>
            <w:r>
              <w:rPr>
                <w:b/>
                <w:noProof/>
                <w:sz w:val="22"/>
              </w:rPr>
              <w:t>Nov izvleček prospekta, oblikovan na podlagi dokumenta s ključnimi informacijami</w:t>
            </w:r>
          </w:p>
        </w:tc>
        <w:tc>
          <w:tcPr>
            <w:tcW w:w="3532" w:type="dxa"/>
          </w:tcPr>
          <w:p>
            <w:pPr>
              <w:spacing w:before="0" w:after="0"/>
              <w:jc w:val="left"/>
              <w:rPr>
                <w:noProof/>
                <w:sz w:val="22"/>
              </w:rPr>
            </w:pPr>
            <w:r>
              <w:rPr>
                <w:noProof/>
                <w:sz w:val="22"/>
              </w:rPr>
              <w:t>Izdajatelji lastniških in nelastniških vrednostnih papirjev so lahko fleksibilni pri sestavi kratkega besedila in povzemanju pomembnih informacij iz prospekta, ki se nahajajo v dostopnih razdelkih. Izdajatelji bi lahko v izvlečku prospekta izkoristili tudi možnost ponovne uporabe vsebine obstoječega dokumenta s ključnimi informacijami.</w:t>
            </w:r>
          </w:p>
        </w:tc>
        <w:tc>
          <w:tcPr>
            <w:tcW w:w="3096" w:type="dxa"/>
          </w:tcPr>
          <w:p>
            <w:pPr>
              <w:spacing w:before="0" w:after="0"/>
              <w:jc w:val="left"/>
              <w:rPr>
                <w:noProof/>
                <w:sz w:val="22"/>
              </w:rPr>
            </w:pPr>
            <w:r>
              <w:rPr>
                <w:noProof/>
                <w:sz w:val="22"/>
              </w:rPr>
              <w:t xml:space="preserve">Mali vlagatelji pridobijo zaradi preoblikovanega izvlečka z največjim dovoljenim številom strani. Predhodno določeni/uporabnikom prijazni razdelki, zasnovani na podlagi dokumenta s ključnimi informacijami, omogočajo lažjo primerjavo naložbenih priložnosti. </w:t>
            </w:r>
          </w:p>
        </w:tc>
      </w:tr>
      <w:tr>
        <w:tc>
          <w:tcPr>
            <w:tcW w:w="2660" w:type="dxa"/>
          </w:tcPr>
          <w:p>
            <w:pPr>
              <w:spacing w:before="0" w:after="0"/>
              <w:jc w:val="left"/>
              <w:rPr>
                <w:b/>
                <w:noProof/>
                <w:sz w:val="22"/>
              </w:rPr>
            </w:pPr>
            <w:r>
              <w:rPr>
                <w:b/>
                <w:noProof/>
                <w:sz w:val="22"/>
              </w:rPr>
              <w:t>Elektronska objava (centralizirani mehanizem za shranjevanje pri ESMA)</w:t>
            </w:r>
          </w:p>
        </w:tc>
        <w:tc>
          <w:tcPr>
            <w:tcW w:w="3532" w:type="dxa"/>
          </w:tcPr>
          <w:p>
            <w:pPr>
              <w:spacing w:before="0" w:after="0"/>
              <w:jc w:val="left"/>
              <w:rPr>
                <w:noProof/>
                <w:sz w:val="22"/>
              </w:rPr>
            </w:pPr>
            <w:r>
              <w:rPr>
                <w:noProof/>
                <w:sz w:val="22"/>
              </w:rPr>
              <w:t>Enotna točka dostopa olajša iskanje in uporabo prospektov z enotnim dovoljenjem za čezmejno uporabo ter poveča njihovo učinkovitost.</w:t>
            </w:r>
          </w:p>
        </w:tc>
        <w:tc>
          <w:tcPr>
            <w:tcW w:w="3096" w:type="dxa"/>
          </w:tcPr>
          <w:p>
            <w:pPr>
              <w:spacing w:before="0" w:after="0"/>
              <w:jc w:val="left"/>
              <w:rPr>
                <w:noProof/>
                <w:sz w:val="22"/>
              </w:rPr>
            </w:pPr>
            <w:r>
              <w:rPr>
                <w:noProof/>
                <w:sz w:val="22"/>
              </w:rPr>
              <w:t>Je temeljno orodje za spletni dostop do prospektov, ki omogoča primerljivost in pospešuje doseganje ciljev unije kapitalskih trgov.</w:t>
            </w:r>
          </w:p>
        </w:tc>
      </w:tr>
    </w:tbl>
    <w:p>
      <w:pPr>
        <w:spacing w:before="0" w:after="240"/>
        <w:rPr>
          <w:rFonts w:eastAsia="Times New Roman"/>
          <w:noProof/>
          <w:szCs w:val="20"/>
        </w:rPr>
      </w:pPr>
    </w:p>
    <w:p>
      <w:pPr>
        <w:spacing w:before="0" w:after="240"/>
        <w:rPr>
          <w:rFonts w:eastAsia="Times New Roman"/>
          <w:noProof/>
          <w:szCs w:val="20"/>
        </w:rPr>
      </w:pPr>
      <w:r>
        <w:rPr>
          <w:noProof/>
        </w:rPr>
        <w:t>Več najprimernejših možnosti politike bi se med seboj dopolnjevalo. Univerzalni registracijski dokument za pogoste izdajatelje na primer dopolnjuje poenostavljeni prospekt za sekundarne izdaje, kombinacija teh dveh možnosti pa bi omogočala prihranke, ki niso zajeti v analizi iz te ocene učinka (ki obe možnosti obravnava ločeno). Enako bi izvleček prospekta v obliki izboljšanega dokumenta s ključnimi informacijami zaradi svoje horizontalne narave okrepil obe posebni ureditvi, zlasti tisto, ki se nanaša na MSP: MSP bi na primer lahko bilo uvrščeno v kotacijo na zagonskem trgu MSP, ki izkorišča kumulativno prednost prospekta tipa „vprašanja in odgovori“, ki hkrati vsebuje tudi elemente izboljšanega dokumenta s ključnimi informacijami.</w:t>
      </w:r>
    </w:p>
    <w:p>
      <w:pPr>
        <w:spacing w:before="0" w:after="240"/>
        <w:rPr>
          <w:rFonts w:eastAsia="Times New Roman"/>
          <w:noProof/>
          <w:szCs w:val="20"/>
        </w:rPr>
      </w:pPr>
      <w:r>
        <w:rPr>
          <w:noProof/>
        </w:rPr>
        <w:t xml:space="preserve">Poleg tega horizontalna pobuda v zvezi z nominalno vrednostjo za nelastniške vrednostne papirje vsem izdajateljem omogoča, da izkoristijo prednosti večjega in bolj likvidnega sekundarnega trga za podjetniške dolžniške vrednostne papirje. MSP in pogosti izdajatelji bodo lahko izkoristili prednosti izvlečka v obliki izboljšanega dokumenta s ključnimi informacijami, posebne ureditve za razkritja in ukinitve spodbud za izdajo nelastniških vrednostnih papirjev z visoko nominalno vrednostjo, ki znaša najmanj 100 000 EUR. </w:t>
      </w:r>
    </w:p>
    <w:p>
      <w:pPr>
        <w:spacing w:before="0" w:after="240"/>
        <w:rPr>
          <w:rFonts w:eastAsia="Times New Roman"/>
          <w:noProof/>
          <w:szCs w:val="20"/>
        </w:rPr>
      </w:pPr>
      <w:r>
        <w:rPr>
          <w:noProof/>
        </w:rPr>
        <w:t xml:space="preserve">Zato je v okviru ocene učinka sklenjeno, da bo predlagani „paket“ zmanjšal upravno breme za izdajatelje, olajšal in pocenil dostop MSP do kapitalskih trgov ter povečal zaščito vlagateljev tako, da bo izboljšal ustreznost dokumentov, povezanih z razkritjem, in na koncu povečal izbiro vrednostnih papirjev s prospekti. S tem se bosta zagotovila nadaljnje povezovanje kapitalskih trgov v Uniji z večjo čezmejno ponudbo vrednostnih papirjev s prospekti ter večjo preglednostjo in primerljivostjo. </w:t>
      </w:r>
    </w:p>
    <w:p>
      <w:pPr>
        <w:rPr>
          <w:noProof/>
        </w:rPr>
      </w:pPr>
      <w:r>
        <w:rPr>
          <w:noProof/>
        </w:rPr>
        <w:t>Vendar je treba opozoriti, da direktiva o prospektu zajema samo del finančnih instrumentov, s katerimi se trguje v Uniji, in je le eden od mnogih dejavnikov, ki vplivajo na delovanje kapitalskih trgov. Predlagane ukrepe je zato treba razumeti v okviru širšega akcijskega načrta za unijo kapitalskih trgov, katerega del je Direktiva.</w:t>
      </w:r>
    </w:p>
    <w:p>
      <w:pPr>
        <w:pStyle w:val="ManualHeading2"/>
        <w:rPr>
          <w:rFonts w:eastAsia="Arial Unicode MS"/>
          <w:noProof/>
          <w:szCs w:val="24"/>
          <w:u w:color="000000"/>
          <w:bdr w:val="nil"/>
        </w:rPr>
      </w:pPr>
      <w:r>
        <w:rPr>
          <w:noProof/>
        </w:rPr>
        <w:t>•</w:t>
      </w:r>
      <w:r>
        <w:rPr>
          <w:noProof/>
        </w:rPr>
        <w:tab/>
        <w:t>Ustreznost in poenostavitev predpisov</w:t>
      </w:r>
    </w:p>
    <w:p>
      <w:pPr>
        <w:rPr>
          <w:noProof/>
        </w:rPr>
      </w:pPr>
      <w:r>
        <w:rPr>
          <w:noProof/>
        </w:rPr>
        <w:t xml:space="preserve">Junija 2014 je bila direktiva o prospektu vključena v program ustreznosti in uspešnosti predpisov (COM(2014)368). Njena vključitev v navedeni program je bila utemeljena, saj so deležniki izrazili pomisleke glede visokih stroškov priprave prospekta in njegove odobritve s strani pristojnih organov. </w:t>
      </w:r>
    </w:p>
    <w:p>
      <w:pPr>
        <w:rPr>
          <w:noProof/>
        </w:rPr>
      </w:pPr>
      <w:r>
        <w:rPr>
          <w:noProof/>
        </w:rPr>
        <w:t>Direktiva je bila ocenjena leta 2015, da bi se pravočasno zagotovili rezultati za poročilo o njeni uporabi, ki ga mora Evropska komisija poslati Evropskemu parlamentu in Svetu najpozneje 1. januarja 2016 (člen 4 Direktive 2010/73/EU). Ocenjevale so se uspešnost, učinkovitost, doslednost, pomembnost in dodana vrednost Direktive. Ocena je priložena oceni učinka, ki jo je izvedla Komisija, njeni zaključki pa so naslednji.</w:t>
      </w:r>
    </w:p>
    <w:p>
      <w:pPr>
        <w:rPr>
          <w:noProof/>
        </w:rPr>
      </w:pPr>
      <w:r>
        <w:rPr>
          <w:noProof/>
        </w:rPr>
        <w:t xml:space="preserve">Leta 2003 sprejeta Direktiva 2003/71/ES je nadomestila dve direktivi, in sicer direktivo o podrobnostih glede kotacij (1980) in direktivo o prospektih (1989), ki so ju deležniki ostro kritizirali, ker sta dopuščali zelo raznolike prakse v Uniji in temeljili na sistemu vzajemnega priznavanja, pri čemer so imeli organi države članice gostiteljice precej možnosti za uporabo lastne presoje (na primer tudi o tem, ali zahtevati prevod celotnega prospekta v uradni jezik države članice gostiteljice). </w:t>
      </w:r>
    </w:p>
    <w:p>
      <w:pPr>
        <w:rPr>
          <w:noProof/>
        </w:rPr>
      </w:pPr>
      <w:r>
        <w:rPr>
          <w:noProof/>
        </w:rPr>
        <w:t>Za primerjavo, direktiva o prospektu je zaslužna za olajšanje čezmejnega zbiranja kapitala v Evropi zaradi uporabe načela „enotnega dovoljenja za čezmejno uporabo“, na podlagi katerega je organ matične države lahko odobril samo en sklop dokumentov, povezanih z razkritjem, ki so bili po vsej EU sprejeti za javne ponudbe in/ali sprejem v trgovanje na reguliranih trgih. Prispevka direktive o prospektu k vzpostavitvi enotnega evropskega trga vrednostnih papirjev se zato ne sme podcenjevati, ampak se v tem pogledu lahko šteje za mejnik.</w:t>
      </w:r>
    </w:p>
    <w:p>
      <w:pPr>
        <w:rPr>
          <w:noProof/>
        </w:rPr>
      </w:pPr>
      <w:r>
        <w:rPr>
          <w:noProof/>
        </w:rPr>
        <w:t xml:space="preserve">Kljub temu je bilo v okviru pregleda iz leta 2010 v Direktivi 2003/71/ES pravilno ugotovljenih nekaj pomanjkljivosti, ki so vplivale na pravno jasnost nekaterih pojmov v njej in ogrožale njeno učinkovitost pri vzpostavitvi ustreznega ravnovesja med tržno učinkovitostjo (področja s prevelikim regulativnim bremenom) in zaščito vlagateljev (kakovost, berljivost in pomembnost razkritij). Z Direktivo 2010/73/EU so bile uvedene ciljno usmerjene spremembe, da bi se te pomanjkljivosti odpravile. </w:t>
      </w:r>
    </w:p>
    <w:p>
      <w:pPr>
        <w:rPr>
          <w:noProof/>
        </w:rPr>
      </w:pPr>
      <w:r>
        <w:rPr>
          <w:noProof/>
        </w:rPr>
        <w:t>Tri leta po začetku veljavnosti Direktive 2010/73/EU so statistični podatki in povratne informacije deležnikov pokazale, da ugotovitve iz zadnjega pregleda veljajo še danes. Zdi se, da so takrat ugotovljeni trendi (prospekt, uporabljen kot zagotovilo za odgovornost, mali vlagatelji, ki so se izogibali prospektom in njihovim izvlečkom, neustrezno razmerje med zahtevami po razkritju za prve javne ponudbe in sekundarne izdaje) prisotni še danes, domnevno zato, ker pravna sredstva, ki jih predlaga Direktiva o spremembah, niso privedla do pričakovanih rezultatov (izvlečka prospekta) ali niso bila dovolj ambiciozna (t. i. sorazmerne obveznosti javnega razkritja informacij) ali ker Direktiva 2010/73/EU ne vsebuje ukrepov za njihovo obravnavo.</w:t>
      </w:r>
    </w:p>
    <w:p>
      <w:pPr>
        <w:rPr>
          <w:noProof/>
        </w:rPr>
      </w:pPr>
      <w:r>
        <w:rPr>
          <w:noProof/>
        </w:rPr>
        <w:t>Glede na pomanjkljivosti, ugotovljene v tej oceni, je primerno, da se direktiva o prospektu temeljito pregleda. Zlasti kar zadeva spremembe, uvedene na podlagi pregleda leta 2010, je primerno ponovno obravnavati t. i. „sorazmerne obveznosti javnega razkritja informacij“ (za MSP, podjetja z majhno tržno kapitalizacijo in izdajo nakupnih pravic) ter izvleček prospekta, ker s spremembami, uvedenimi z Direktivo 2010/73/EU, niso bili doseženi zastavljeni cilji.</w:t>
      </w:r>
    </w:p>
    <w:p>
      <w:pPr>
        <w:pStyle w:val="ManualHeading2"/>
        <w:rPr>
          <w:rFonts w:eastAsia="Arial Unicode MS"/>
          <w:noProof/>
          <w:szCs w:val="24"/>
          <w:u w:color="000000"/>
          <w:bdr w:val="nil"/>
        </w:rPr>
      </w:pPr>
      <w:r>
        <w:rPr>
          <w:noProof/>
        </w:rPr>
        <w:t>•</w:t>
      </w:r>
      <w:r>
        <w:rPr>
          <w:noProof/>
        </w:rPr>
        <w:tab/>
        <w:t>Temeljne pravice</w:t>
      </w:r>
    </w:p>
    <w:p>
      <w:pPr>
        <w:rPr>
          <w:noProof/>
        </w:rPr>
      </w:pPr>
      <w:r>
        <w:rPr>
          <w:noProof/>
        </w:rPr>
        <w:t>Prihodnji zakonodajni ukrepi za ureditev za prospekte, vključno s primernimi sankcijami, morajo biti skladni z ustreznimi temeljnimi pravicami iz Listine EU o temeljnih pravicah, pri čemer je treba posebno pozornost nameniti potrebnosti in sorazmernosti teh ukrepov. Za ta predlog so do neke mere pomembni samo varstvo osebnih podatkov (člen 8), svoboda gospodarske pobude (člen 16) in varstvo potrošnikov (člen 38) iz Listine EU o temeljnih pravicah. Omejevanje teh pravic in svoboščin je dovoljeno v skladu s členom 52 Listine EU o temeljnih pravicah. Zgoraj opredeljeni cilji so skladni z obveznostmi EU glede spoštovanja temeljnih pravic. Vendar mora biti kakršno koli omejevanje uresničevanja teh pravic in svoboščin predpisano z zakonom ter mora spoštovati bistveno vsebino teh pravic in svoboščin. Ob upoštevanju načela sorazmernosti je omejevanje dovoljeno samo, če je potrebno in če dejansko ustreza ciljem splošnega interesa, ki jih priznava Unija, ali če je potrebno zaradi zaščite pravic in svoboščin drugih.</w:t>
      </w:r>
    </w:p>
    <w:p>
      <w:pPr>
        <w:rPr>
          <w:noProof/>
        </w:rPr>
      </w:pPr>
      <w:r>
        <w:rPr>
          <w:noProof/>
        </w:rPr>
        <w:t xml:space="preserve">V primeru zakonodaje, ki se nanaša na prospekt, je cilj splošnega interesa, ki upravičuje nekatera omejevanja temeljnih pravic, zagotoviti celovitost trga. Na svobodo gospodarske pobude lahko vpliva potreba po upoštevanju nekaterih obveznosti glede javnega razkritja informacij ter odobritve in vložitve prospekta, da se zagotovita uskladitev interesov v naložbeni verigi in preudarno ravnanje potencialnih vlagateljev. Kar zadeva varstvo osebnih podatkov, je lahko razkritje nekaterih informacij v prospektu potrebno, da se vlagateljem zagotovi možnost skrbnega pregleda. Vendar pa je treba opozoriti, da so te določbe že vključene v pravo EU. Vsi predlagani zakonodajni ukrepi ščitijo sorazmernost pri omejevanju temeljnih pravic. </w:t>
      </w:r>
    </w:p>
    <w:p>
      <w:pPr>
        <w:rPr>
          <w:noProof/>
        </w:rPr>
      </w:pPr>
      <w:r>
        <w:rPr>
          <w:noProof/>
        </w:rPr>
        <w:t>Z drugimi besedami je cilj te uredbe doseči ravnotežje med zagotavljanjem zaščite vlagateljev in omejevanjem upravnega bremena za izdajatelje na eni in spodbujanjem notranjega trga kapitala in unije kapitalskih trgov ter ohranjanjem zadostne prožnosti za nacionalne in lokalne trge na drugi strani.</w:t>
      </w:r>
    </w:p>
    <w:p>
      <w:pPr>
        <w:pStyle w:val="ManualHeading1"/>
        <w:rPr>
          <w:noProof/>
          <w:szCs w:val="24"/>
        </w:rPr>
      </w:pPr>
      <w:r>
        <w:rPr>
          <w:noProof/>
        </w:rPr>
        <w:t>4.</w:t>
      </w:r>
      <w:r>
        <w:rPr>
          <w:noProof/>
        </w:rPr>
        <w:tab/>
        <w:t>PRORAČUNSKE POSLEDICE</w:t>
      </w:r>
    </w:p>
    <w:p>
      <w:pPr>
        <w:rPr>
          <w:noProof/>
        </w:rPr>
      </w:pPr>
      <w:r>
        <w:rPr>
          <w:noProof/>
        </w:rPr>
        <w:t xml:space="preserve">Predlog bo imel proračunske posledice za ESMA, in sicer z dveh vidikov: na eni strani bo morala ESMA pripraviti regulativne in izvedbene tehnične standarde, na drugi strani pa bo morala posodobiti obstoječi register prospektov in ga spremeniti v spletni mehanizem za shranjevanje z iskalnim orodjem, ki ga bo javnost lahko brezplačno uporabljala za dostop do prospektov EU in primerjavo med njimi z enega mesta. Poleg tega bo lahko ESMA na podlagi podatkov, zbranih v mehanizmu za shranjevanje, zagotovila podrobne statistične podatke o prospektih, odobrenih v EU, in pripravila letno poročilo. </w:t>
      </w:r>
    </w:p>
    <w:p>
      <w:pPr>
        <w:rPr>
          <w:noProof/>
        </w:rPr>
      </w:pPr>
      <w:r>
        <w:rPr>
          <w:noProof/>
        </w:rPr>
        <w:t xml:space="preserve">V oceni finančnih posledic, ki je priložena temu predlogu, so ocenjene tudi posebne proračunske posledice za ESMA. </w:t>
      </w:r>
    </w:p>
    <w:p>
      <w:pPr>
        <w:rPr>
          <w:noProof/>
        </w:rPr>
      </w:pPr>
      <w:r>
        <w:rPr>
          <w:noProof/>
        </w:rPr>
        <w:t>Predlog vpliva na proračun Skupnosti v obliki 40-odstotnega deleža  Komisije pri financiranju ESMA.</w:t>
      </w:r>
    </w:p>
    <w:p>
      <w:pPr>
        <w:pStyle w:val="ManualHeading1"/>
        <w:rPr>
          <w:noProof/>
          <w:szCs w:val="24"/>
        </w:rPr>
      </w:pPr>
      <w:r>
        <w:rPr>
          <w:noProof/>
        </w:rPr>
        <w:t>5.</w:t>
      </w:r>
      <w:r>
        <w:rPr>
          <w:noProof/>
        </w:rPr>
        <w:tab/>
        <w:t>DRUGI ELEMENTI</w:t>
      </w:r>
    </w:p>
    <w:p>
      <w:pPr>
        <w:pStyle w:val="ManualHeading2"/>
        <w:rPr>
          <w:rFonts w:eastAsia="Arial Unicode MS"/>
          <w:noProof/>
          <w:szCs w:val="24"/>
          <w:u w:color="000000"/>
          <w:bdr w:val="nil"/>
        </w:rPr>
      </w:pPr>
      <w:r>
        <w:rPr>
          <w:noProof/>
        </w:rPr>
        <w:t>•</w:t>
      </w:r>
      <w:r>
        <w:rPr>
          <w:noProof/>
        </w:rPr>
        <w:tab/>
        <w:t>Izvedbeni načrti ter ureditve spremljanja, ocenjevanja in poročanja</w:t>
      </w:r>
    </w:p>
    <w:p>
      <w:pPr>
        <w:pBdr>
          <w:top w:val="nil"/>
          <w:left w:val="nil"/>
          <w:bottom w:val="nil"/>
          <w:right w:val="nil"/>
          <w:between w:val="nil"/>
          <w:bar w:val="nil"/>
        </w:pBdr>
        <w:spacing w:before="0" w:after="240"/>
        <w:rPr>
          <w:noProof/>
        </w:rPr>
      </w:pPr>
      <w:r>
        <w:rPr>
          <w:noProof/>
        </w:rPr>
        <w:t>Učinki nove uredbe se bodo spremljali v sodelovanju z ESMA in nacionalnimi pristojnimi organi na podlagi letnih poročil o prospektih, odobrenih v Uniji, ki jih bo ESMA v skladu s pooblastili pripravila vsako leto. S temi poročili se bo spremljalo zlasti, v kolikšni meri se bodo v Uniji uporabljale ureditve za razkritja za MSP in sekundarne izdaje ter univerzalni registracijski dokument za pogoste izdajatelje.</w:t>
      </w:r>
    </w:p>
    <w:p>
      <w:pPr>
        <w:rPr>
          <w:noProof/>
        </w:rPr>
      </w:pPr>
      <w:r>
        <w:rPr>
          <w:noProof/>
        </w:rPr>
        <w:t xml:space="preserve">Spremenjena pravila o prospektu bodo ocenjena pet let po začetku njihove veljavnosti. S temeljitim pregledom bi se moralo ugotoviti, ali so bili doseženi zastavljeni cilji. Pri merjenju, ali so bili zastavljeni cilji doseženi, se bodo uporabili naslednji glavni parametri: </w:t>
      </w:r>
    </w:p>
    <w:p>
      <w:pPr>
        <w:pStyle w:val="Tiret0"/>
        <w:numPr>
          <w:ilvl w:val="0"/>
          <w:numId w:val="57"/>
        </w:numPr>
        <w:rPr>
          <w:noProof/>
        </w:rPr>
      </w:pPr>
      <w:r>
        <w:rPr>
          <w:noProof/>
        </w:rPr>
        <w:t>število prospektov, letno odobrenih v skladu z dvema praviloma o razkritjih za sekundarne izdaje in MSP; uspešnost se bo merila na podlagi ocen o uporabi, kot je navedeno zgoraj, in v spremljajoči oceni učinka;</w:t>
      </w:r>
    </w:p>
    <w:p>
      <w:pPr>
        <w:pStyle w:val="Tiret0"/>
        <w:rPr>
          <w:noProof/>
        </w:rPr>
      </w:pPr>
      <w:r>
        <w:rPr>
          <w:noProof/>
        </w:rPr>
        <w:t xml:space="preserve">število prospektov, ki so izkoristili navedeni univerzalni registracijski dokument, kot je opisano zgoraj, za hitrejšo odobritev; </w:t>
      </w:r>
    </w:p>
    <w:p>
      <w:pPr>
        <w:pStyle w:val="Tiret0"/>
        <w:rPr>
          <w:noProof/>
        </w:rPr>
      </w:pPr>
      <w:r>
        <w:rPr>
          <w:noProof/>
        </w:rPr>
        <w:t xml:space="preserve">splošno skrajšanje časa odobritve kot posledica uvedbe univerzalnega registracijskega dokumenta; </w:t>
      </w:r>
    </w:p>
    <w:p>
      <w:pPr>
        <w:pStyle w:val="Tiret0"/>
        <w:rPr>
          <w:noProof/>
        </w:rPr>
      </w:pPr>
      <w:r>
        <w:rPr>
          <w:noProof/>
        </w:rPr>
        <w:t xml:space="preserve">delež malih vlagateljev med vlagatelji, ki vlagajo v izdane nelastniške dolžniške vrednostne papirje (merilo uspešnosti je zmanjšanje nominalne vrednosti izdanih nelastniških vrednostnih papirjev); </w:t>
      </w:r>
    </w:p>
    <w:p>
      <w:pPr>
        <w:pStyle w:val="Tiret0"/>
        <w:rPr>
          <w:noProof/>
        </w:rPr>
      </w:pPr>
      <w:r>
        <w:rPr>
          <w:noProof/>
        </w:rPr>
        <w:t>stroški priprave in odobritve prospekta v primerjavi s trenutnimi stroški;</w:t>
      </w:r>
    </w:p>
    <w:p>
      <w:pPr>
        <w:pStyle w:val="Tiret0"/>
        <w:rPr>
          <w:noProof/>
        </w:rPr>
      </w:pPr>
      <w:r>
        <w:rPr>
          <w:noProof/>
        </w:rPr>
        <w:t>delež prospektov, ki imajo enotno dovoljenje za uporabo v drugih državah članicah.</w:t>
      </w:r>
    </w:p>
    <w:p>
      <w:pPr>
        <w:pBdr>
          <w:top w:val="nil"/>
          <w:left w:val="nil"/>
          <w:bottom w:val="nil"/>
          <w:right w:val="nil"/>
          <w:between w:val="nil"/>
          <w:bar w:val="nil"/>
        </w:pBdr>
        <w:spacing w:before="0" w:after="240"/>
        <w:rPr>
          <w:rFonts w:eastAsia="Arial Unicode MS"/>
          <w:noProof/>
        </w:rPr>
      </w:pPr>
      <w:r>
        <w:rPr>
          <w:noProof/>
        </w:rPr>
        <w:t>Podatke za navedene meritve bodo zagotovili zlasti ESMA (vključno s prej navedenimi letnimi poročili) in mesta trgovanja. Izvedla se bo študija ali raziskava, da se zberejo informacije o stroških priprave in odobritve prospekta v primerjavi s trenutnimi stroški.</w:t>
      </w:r>
    </w:p>
    <w:p>
      <w:pPr>
        <w:pStyle w:val="ManualHeading2"/>
        <w:rPr>
          <w:rFonts w:eastAsia="Arial Unicode MS"/>
          <w:noProof/>
          <w:szCs w:val="24"/>
          <w:u w:color="000000"/>
          <w:bdr w:val="nil"/>
        </w:rPr>
      </w:pPr>
      <w:r>
        <w:rPr>
          <w:noProof/>
        </w:rPr>
        <w:t>•</w:t>
      </w:r>
      <w:r>
        <w:rPr>
          <w:noProof/>
        </w:rPr>
        <w:tab/>
        <w:t>Podrobna obrazložitev specifičnih določb predloga</w:t>
      </w:r>
    </w:p>
    <w:p>
      <w:pPr>
        <w:rPr>
          <w:i/>
          <w:noProof/>
        </w:rPr>
      </w:pPr>
      <w:r>
        <w:rPr>
          <w:i/>
          <w:noProof/>
        </w:rPr>
        <w:t>Področje uporabe obveznosti glede prospekta (členi 1, 3 in 4)</w:t>
      </w:r>
    </w:p>
    <w:p>
      <w:pPr>
        <w:rPr>
          <w:noProof/>
        </w:rPr>
      </w:pPr>
      <w:r>
        <w:rPr>
          <w:noProof/>
        </w:rPr>
        <w:t>Člen 1 predloga združuje vse člene sedanje direktive o prospektu, ki se nanašajo na področje uporabe zahteve glede prospekta. Zlasti člen 1(3) in (4) določa nekaj okoliščin, v katerih javna ponudba ali sprejem vrednostnih papirjev v trgovanje na reguliranem trgu ne spadata v področje uporabe zahteve po objavi prospekta.</w:t>
      </w:r>
    </w:p>
    <w:p>
      <w:pPr>
        <w:rPr>
          <w:noProof/>
        </w:rPr>
      </w:pPr>
      <w:r>
        <w:rPr>
          <w:noProof/>
        </w:rPr>
        <w:t>Medtem ko je večina določb o področju uporabe nespremenjena, predlog v členu 1(3)(d) in členu 3(2) določa nova pragova za zagotovitev pravne jasnosti, in sicer „500 000 EUR“ oziroma „10 000 000 EUR“.</w:t>
      </w:r>
    </w:p>
    <w:p>
      <w:pPr>
        <w:rPr>
          <w:noProof/>
        </w:rPr>
      </w:pPr>
      <w:r>
        <w:rPr>
          <w:noProof/>
        </w:rPr>
        <w:t>V skladu z Direktivo 2003/71/ES zahteva glede prospekta velja za ponudbe vrednostnih papirjev s skupno vrednostjo najmanj 5 000 000 EUR, pri čemer lahko države članice prosto določajo svoja nacionalna pravila pod to vrednostjo (trenutno 17 držav članic zahteva prospekt pod pragom 5 000 000 EUR). Člen 1(3)(d) določa, da se po tej uredbi prospekt za ponudbe vrednostnih papirjev z vrednostjo pod 500 000 EUR ne zahteva. S tem se priznava, da so stroški priprave prospekta nesorazmerni glede na predvidene prihodke, če je vrednost javno ponujenih vrednostnih papirjev nižja od 500 000 EUR, kar je običajno za platforme za množično financiranje na podlagi vrednostnih papirjev. S povečanjem števila manjših ponudb, za katere se usklajeni prospekt, uveden s to uredbo, ne uporablja, se državam članicam ne bo preprečilo, da bi zahtevale ustrezne oblike razkritja za izdaje takih vrednosti, če sorazmerno uskladijo take zahteve, pri čemer upoštevajo načelo poenostavitve in boljšega povezovanja trgov.</w:t>
      </w:r>
    </w:p>
    <w:p>
      <w:pPr>
        <w:rPr>
          <w:noProof/>
        </w:rPr>
      </w:pPr>
      <w:r>
        <w:rPr>
          <w:noProof/>
        </w:rPr>
        <w:t>Medtem ko je v členu 3 pojasnjeno, da je predhodna objava prospekta obvezna pri javni ponudbi in sprejemu vrednostnih papirjev v trgovanje na reguliranem trgu, ki se nahaja ali deluje v Uniji, odstavek 2 navedenega člena določa mehanizem možnega izvzetja iz obveznosti objave prospekta, o katerem lahko prosto presodijo države članice same. Države članice se lahko odločijo za izvzetje iz obveznosti objave usklajenega prospekta, ki ga določa ta uredba, in sicer za vse ponudbe vrednostnih papirjev s skupno vrednostjo, ki znaša med 500 000 EUR in največ 10 000 000 EUR. To izvzetje velja samo za domače ponudbe, za katere se ne zahteva uradno obvestilo o enotnem dovoljenju za čezmejno uporabo v državah članicah gostiteljicah. Države članice, ki se v okviru svojih pristojnosti odločijo za izvzetje, bodo o tem poročale Komisiji in ESMA ter navedle najvišjo vrednost domačih ponudb, ki so v okviru njihovih pristojnosti izvzete iz obveznosti objave prospekta.</w:t>
      </w:r>
    </w:p>
    <w:p>
      <w:pPr>
        <w:rPr>
          <w:i/>
          <w:noProof/>
        </w:rPr>
      </w:pPr>
      <w:r>
        <w:rPr>
          <w:i/>
          <w:noProof/>
        </w:rPr>
        <w:t>Opredelitve pojmov (člen 2)</w:t>
      </w:r>
    </w:p>
    <w:p>
      <w:pPr>
        <w:rPr>
          <w:noProof/>
        </w:rPr>
      </w:pPr>
      <w:r>
        <w:rPr>
          <w:noProof/>
        </w:rPr>
        <w:t>Glavna sprememba na področju opredelitev pojmov je opredelitev MSP, ki zdaj vključuje MSP, opredeljena v točki (f) člena 2(1) Direktive 2003/71/ES, in tudi MSP, opredeljena v Direktivi 2014/65/EU, pri čemer se prag, ki je pred tem opredeljeval „družbe z zmanjšano tržno kapitalizacijo“ iz člena 2(1)(t) Direktive 2003/71/ES, poveča s 100 milijonov EUR na 200 milijonov EUR.</w:t>
      </w:r>
    </w:p>
    <w:p>
      <w:pPr>
        <w:rPr>
          <w:i/>
          <w:noProof/>
        </w:rPr>
      </w:pPr>
      <w:r>
        <w:rPr>
          <w:i/>
          <w:noProof/>
        </w:rPr>
        <w:t>Prostovoljni prospekti (člen 4)</w:t>
      </w:r>
    </w:p>
    <w:p>
      <w:pPr>
        <w:rPr>
          <w:noProof/>
        </w:rPr>
      </w:pPr>
      <w:r>
        <w:rPr>
          <w:noProof/>
        </w:rPr>
        <w:t xml:space="preserve">Člen 4 izdajateljem omogoča, da se prostovoljno odločijo za pripravo prospekta EU. Odobritev takega „prostovoljnega“ prospekta s strani pristojnega organa vključuje enake pravice in obveznosti, ki veljajo za prospekt, zahtevan s to uredbo, kar pomeni, da bi izdajatelji pridobili pravico do dovoljenja EU za čezmejno uporabo. </w:t>
      </w:r>
    </w:p>
    <w:p>
      <w:pPr>
        <w:rPr>
          <w:i/>
          <w:noProof/>
        </w:rPr>
      </w:pPr>
      <w:r>
        <w:rPr>
          <w:i/>
          <w:noProof/>
        </w:rPr>
        <w:t>Naknadna nadaljnja prodaja vrednostnih papirjev/„verižna prodaja“ (člen 5)</w:t>
      </w:r>
    </w:p>
    <w:p>
      <w:pPr>
        <w:rPr>
          <w:noProof/>
        </w:rPr>
      </w:pPr>
      <w:r>
        <w:rPr>
          <w:noProof/>
        </w:rPr>
        <w:t>Na nekaterih trgih se vrednostni papirji distribuirajo na podlagi „verižne prodaje“. Pri verižni prodaji vrednostne papirje običajno prodajo vlagateljem (ki niso dobro poučeni vlagatelji) posredniki, ne pa neposredno izdajatelj. V členu 5 je pojasnjeno, kako bi se morale uporabljati zahteva po pripravi in posodobitvi prospekta ter določbe o odgovornosti, kadar vrednostne papirje plasira izdajatelj prek finančnih posrednikov in se pozneje, tudi po več mesecih, prodajo naprej malim vlagateljem, in sicer po možnosti prek ene ali več dodatnih ravni posrednikov. V veljavnem prospektu, ki ga pripravi izdajatelj ali ponudnik in je dostopen javnosti v času končnega plasiranja vrednostnih papirjev prek finančnih posrednikov ali pri kateri koli naknadni nadaljnji prodaji vrednostnih papirjev, je vlagateljem zagotovljenih dovolj informacij za sprejetje informiranih odločitev o naložbi. Zato bi morali biti finančni posredniki, ki plasirajo ali naknadno preprodajo vrednostne papirje, upravičeni do uporabe prvotnega prospekta, ki ga objavi izdajatelj ali ponudnik, če je veljaven in ustrezno dopolnjen ter če se izdajatelj ali ponudnik, odgovoren za pripravo takega prospekta, strinja z njegovo uporabo. V tem primeru se drugi prospekti ne bi smeli zahtevati. Če se izdajatelj ali ponudnik, odgovoren za pripravo takega prvotnega prospekta, ne strinja z njegovo uporabo, bi bilo treba od finančnega posrednika zahtevati objavo novega prospekta. Finančni posrednik lahko uporabi prvotni prospekt, tako da pomembne dele iz njega s sklicevanjem vključi v svoj novi prospekt.</w:t>
      </w:r>
    </w:p>
    <w:p>
      <w:pPr>
        <w:rPr>
          <w:i/>
          <w:noProof/>
        </w:rPr>
      </w:pPr>
      <w:r>
        <w:rPr>
          <w:i/>
          <w:noProof/>
        </w:rPr>
        <w:t>Izvleček prospekta (člen 7)</w:t>
      </w:r>
    </w:p>
    <w:p>
      <w:pPr>
        <w:rPr>
          <w:noProof/>
        </w:rPr>
      </w:pPr>
      <w:r>
        <w:rPr>
          <w:noProof/>
        </w:rPr>
        <w:t>Člen 7 vsebuje splošna mnenja, izražena v okviru javnega posvetovanja, in sicer da oblika izvlečka, uvedena z Direktivo 2010/73/EU o spremembah, ni dosegla ciljev. Novi izvleček je zdaj oblikovan na podlagi dokumenta s ključnimi informacijami, ki se zahteva v skladu z uredbo PRIIPS, pri čemer ima v natisnjeni obliki lahko največ 6 strani formata A4 (uporabiti je treba znake berljive velikosti). Ureditev glede odgovornosti v izvlečku, ki je opredeljena v členu 11(2), se ne spremeni v primerjavi z Direktivo 2003/71/ES: odgovornost v zvezi z izvlečkom velja samo, če je zavajajoč, netočen ali neskladen, kadar se bere skupaj z drugimi deli prospekta. Običajnemu oddelku izvlečka, ki vsebuje opozorila, sledijo trije glavni oddelki, in sicer s ključnimi informacijami o izdajatelju, vrednostnem papirju in ponudbi/sprejemu. Vsakemu od teh oddelkov se doda splošni razdelek ter navedbe o vsebini, čeprav lahko izdajatelji sestavijo kratke opise in izberejo informacije, ki so pomembne. Za vrednostne papirje, ki spadajo na področje uporabe uredbe PRIIPS, lahko izdajatelj oddelek o „vrednostnih papirjih” v izvlečku nadomesti z vsebino iz dokumenta s ključnimi informacijami. Največje dovoljeno število strani v izvlečku se lahko poveča, če ta zajema več vrednostnih papirjev, ki se med seboj razlikujejo samo v nekaterih zelo omejenih podrobnostih. Prepoved vključevanja informacij v izvleček s sklicevanjem, ki je opredeljena v členu 11(1) Direktive 2003/71/ES, se ohrani, da se tako prepreči, da bi izvleček postal zgolj zbirka hiperpovezav in sklicevanj.</w:t>
      </w:r>
    </w:p>
    <w:p>
      <w:pPr>
        <w:rPr>
          <w:i/>
          <w:noProof/>
        </w:rPr>
      </w:pPr>
      <w:r>
        <w:rPr>
          <w:i/>
          <w:noProof/>
        </w:rPr>
        <w:t>Osnovni prospekt (člen 8)</w:t>
      </w:r>
    </w:p>
    <w:p>
      <w:pPr>
        <w:rPr>
          <w:noProof/>
        </w:rPr>
      </w:pPr>
      <w:r>
        <w:rPr>
          <w:noProof/>
        </w:rPr>
        <w:t>Namen člena 8 je pojasniti delovanje osnovnega prospekta, ki ostaja na splošno nespremenjen v primerjavi z Direktivo 2003/71/ES, razen glede naslednjih točk. Osnovni prospekt se zdaj lahko pripravi za vse vrste nelastniških vrednostnih papirjev, ne le za tiste, ki so izdani na podlagi programa ponudbe ali ki jih kreditne institucije izdajajo neprekinjeno in redno. Po novem so mogoči osnovni prospekti, ki vsebujejo več dokumentov (t. i. „tristranski prospekti“), pri čemer je lahko registracijski dokument osnovnega prospekta v obliki univerzalnega registracijskega dokumenta. Obveznost priprave izvlečka osnovnega prospekta, če ta ne vsebuje končnih pogojev, se odpravi, tako da se zahteva samo priprava za izdajo posebnega izvlečka, ki se priloži končnim pogojem ob njihovi vložitvi. Člen 8(10) pojasnjuje, kako bi bilo treba „podaljšane ponudbe“ obravnavati na podlagi osnovnega prospekta, tj. v primerih, ko se ponudba začne na podlagi enega osnovnega prospekta in se nadaljuje na podlagi novega, naslednjega osnovnega prospekta.</w:t>
      </w:r>
    </w:p>
    <w:p>
      <w:pPr>
        <w:rPr>
          <w:i/>
          <w:noProof/>
        </w:rPr>
      </w:pPr>
      <w:r>
        <w:rPr>
          <w:i/>
          <w:noProof/>
        </w:rPr>
        <w:t>Univerzalni registracijski dokument (člen 9)</w:t>
      </w:r>
    </w:p>
    <w:p>
      <w:pPr>
        <w:rPr>
          <w:noProof/>
        </w:rPr>
      </w:pPr>
      <w:r>
        <w:rPr>
          <w:noProof/>
        </w:rPr>
        <w:t xml:space="preserve">Člen 9 (ki ga je treba brati skupaj s členom 10(2), členom 11(3), členom 13(2) in členom 19(5)) vsebuje podrobna pravila o novem „univerzalnem registracijskem dokumentu“, tj. izbirnem univerzalnem registracijskem mehanizmu za „pogoste izdajatelje“, katerih vrednostni papirji so sprejeti v trgovanje na reguliranem trgu ali v večstranskih sistemih trgovanja. Ta nova značilnost ureditve za prospekte temelji na predpostavki, da bi bilo treba izdajateljem, ki vsako leto pripravijo celoten registracijski dokument, zagotoviti, da ga pristojni organ hitro odobri, ko se pozneje zahteva priprava prospekta. Ker je glavni sestavni del prospekta že bil odobren ali je že na voljo pristojnemu organu za pregled, bi moral slednji preostali dokument (opis vrednostnih papirjev in izvleček) pregledati v 5 delovnih dneh namesto v 10 delovnih dneh. Poleg tega bi bilo treba zunaj okvira ponudbe ali sprejema v trgovanje pogostemu izdajatelju omogočiti, da vloži svoj univerzalni registracijski dokument brez predhodne odobritve, če so bili pred tem odobreni trije univerzalni registracijski dokumenti zapored. Pristojni organ lahko to preveri naknadno. </w:t>
      </w:r>
    </w:p>
    <w:p>
      <w:pPr>
        <w:rPr>
          <w:noProof/>
        </w:rPr>
      </w:pPr>
      <w:r>
        <w:rPr>
          <w:noProof/>
        </w:rPr>
        <w:t xml:space="preserve">Poenostavitve, zagotovljene pogostim izdajateljem, ki uporabljajo univerzalni registracijski dokument, spodbujajo pripravo prospektov kot ločenih dokumentov, kar je stroškovno učinkovito in manj obremenjujoče za izdajatelje, ter omogočajo hitro odzivanje na tržne priložnosti. Univerzalni registracijski dokument bi moral biti tudi konsolidiran in dobro strukturiran vir referenčnih podatkov o izdajatelju, ki bi vlagateljem in analitikom zagotavljal minimalne informacije, potrebne za informirano presojo o poslovanju podjetja, njegovem finančnem položaju, dobičku, pričakovanjih, upravljanju in lastniških deležih, tudi če ne gre za javno ponudbo in sprejem vrednostnih papirjev v trgovanje na reguliranem trgu. Zato člen 9(12) pogostim izdajateljem, katerih vrednostni papirji so sprejeti v trgovanje na reguliranem trgu, omogoča, da pod določenimi pogoji izpolnijo obveznost glede stalnega razkrivanja informacij iz direktive o preglednosti tako, da svoja letna in polletna finančna poročila vključijo v univerzalni registracijski dokument. Cilj tega učinkovitega pristopa „dva v enem“ je preprečiti podvajanje zahtev, zmanjšati nepotrebna bremena in združiti informacije, ki jih potrebujejo vlagatelji, v enem samem dokumentu, ki se posodobi vsaj enkrat na leto. </w:t>
      </w:r>
    </w:p>
    <w:p>
      <w:pPr>
        <w:rPr>
          <w:noProof/>
        </w:rPr>
      </w:pPr>
      <w:r>
        <w:rPr>
          <w:noProof/>
        </w:rPr>
        <w:t xml:space="preserve">Člen 9 in člen 10(2) vsebujeta tudi podrobna pravila o praktičnem upravljanju univerzalnega registracijskega dokumenta. Pojasnjujeta, katere dokumente bi bilo treba odobriti, če je bil univerzalni registracijski dokument odobren ali vložen brez odobritve, in opisujeta postopek spremembe univerzalnega registracijskega dokumenta, ki temelji na drugačnem pristopu kot postopek dopolnitve prospekta (ker javna ponudba in sprejem v trgovanje nista mogoča, dokler univerzalni registracijski dokument ni del prospekta). </w:t>
      </w:r>
    </w:p>
    <w:p>
      <w:pPr>
        <w:rPr>
          <w:noProof/>
        </w:rPr>
      </w:pPr>
      <w:r>
        <w:rPr>
          <w:noProof/>
        </w:rPr>
        <w:t>Delegirani akti bodo določali vsebino minimalnih informacij univerzalnega registracijskega dokumenta, vključno s posebnim seznamom za kreditne institucije, ki bi moral biti podoben obstoječim prilogam I ali XI k Uredbi Komisije (ES) št. 809/2004.</w:t>
      </w:r>
    </w:p>
    <w:p>
      <w:pPr>
        <w:rPr>
          <w:noProof/>
        </w:rPr>
      </w:pPr>
      <w:r>
        <w:rPr>
          <w:i/>
          <w:noProof/>
        </w:rPr>
        <w:t>Posebne ureditve za razkritja (člena 14 in 15)</w:t>
      </w:r>
    </w:p>
    <w:p>
      <w:pPr>
        <w:rPr>
          <w:noProof/>
        </w:rPr>
      </w:pPr>
      <w:r>
        <w:rPr>
          <w:noProof/>
        </w:rPr>
        <w:t>Predlog vsebuje dva sklopa posebnih pravil o razkritju, enega za sekundarne izdaje in drugega za MSP. Ta posebna pravila o razkritju so neobvezna. Nadomeščajo „sorazmerne obveznosti javnega razkritja informacij“ za izdaje nakupnih pravic in MSP, uvedene z Direktivo 2010/73/EU o spremembah, ki pa niso dosegle ciljev, kot je pojasnjeno v oceni učinka.</w:t>
      </w:r>
    </w:p>
    <w:p>
      <w:pPr>
        <w:rPr>
          <w:noProof/>
        </w:rPr>
      </w:pPr>
      <w:r>
        <w:rPr>
          <w:noProof/>
        </w:rPr>
        <w:t>Poenostavljene obveznosti za sekundarne izdaje se bodo uporabljale za ponudbe ali sprejetje v trgovanje vrednostnih papirjev podjetij, s katerimi se že vsaj 18 mesecev trguje na reguliranem trgu ali zagonskem trgu MSP. Zato za taka podjetja veljajo zahteve po stalnem razkrivanju informacij v skladu z uredbo o zlorabi trga ter direktivo o preglednosti ali pravili upravljavca zagonskega trga MSP, kot to zahtevajo Direktiva 2014/65/EU in njeni izvedbeni ukrepi. Poenostavljeni prospekt bo vseboval zgolj minimalne finančne podatke za zadnje poslovno leto (ki se lahko vključijo s sklicevanjem). Vendar je treba vlagateljem kljub temu zagotoviti konsolidirane in dobro strukturirane informacije o elementih, kot so pogoji ponudbe, uporaba prihodkov, dejavniki tveganja, običajni postopki odbora, prejemki direktorjev, lastniška struktura ali posli s povezanimi osebami. Ker se trenutno ne zahteva redno razkrivanje takih informacij v skladu z Uredbo (EU) št. 596/2014 in Direktivo 2004/109/ES, jih ne bo treba vključiti v prospekt, pripravljen v primeru sekundarne izdaje.</w:t>
      </w:r>
    </w:p>
    <w:p>
      <w:pPr>
        <w:rPr>
          <w:noProof/>
        </w:rPr>
      </w:pPr>
      <w:r>
        <w:rPr>
          <w:noProof/>
        </w:rPr>
        <w:t>Posebna ureditev za MSP bo slednjim omogočala pripravo prospekta v primeru javne ponudbe vrednostnih papirjev, če nobeni od njihovih vrednostnih papirjev niso sprejeti v trgovanje na reguliranem trgu. Za taka podjetja bodo seznami prospektov (ki bodo podrobno zasnovani z delegiranimi akti) osredotočeni na bistvene informacije, ki so pomembne in relevantne za podjetja take velikosti, pri čemer se bo za sestavo novih seznamov informacij uporabil pristop od spodaj navzgor. V primerjavi z obstoječimi prilogami XXV do XXVIII k Uredbi (ES) št. 809/2004 se bodo uvedle nadaljnje poenostavitve, da se zagotovi sorazmernost med velikostjo podjetja in stroški priprave prospekta.</w:t>
      </w:r>
    </w:p>
    <w:p>
      <w:pPr>
        <w:rPr>
          <w:noProof/>
        </w:rPr>
      </w:pPr>
      <w:r>
        <w:rPr>
          <w:noProof/>
        </w:rPr>
        <w:t>Člen 15 uvaja tudi izbirno obliko prospekta za MSP, zasnovano kot dokument z razkritji tipa „vprašanji in odgovori“, ki bo podrobno zasnovana z delegiranimi akti. ESMA bo pooblaščena za razvoj smernic, ki bodo MSP pomagala pri pripravi prospekta v navedeni obliki.</w:t>
      </w:r>
    </w:p>
    <w:p>
      <w:pPr>
        <w:rPr>
          <w:noProof/>
        </w:rPr>
      </w:pPr>
      <w:r>
        <w:rPr>
          <w:noProof/>
        </w:rPr>
        <w:t>Kot velja za vse minimalne zahteve po razkritju na podlagi ureditve za prospekte, bodo delegirani akti sprejeti, da se opredeli manjši obseg informacij, ki jih je treba vključiti v poenostavljeni registracijski dokument in opis vrednostnih papirjev.</w:t>
      </w:r>
    </w:p>
    <w:p>
      <w:pPr>
        <w:rPr>
          <w:i/>
          <w:noProof/>
        </w:rPr>
      </w:pPr>
      <w:r>
        <w:rPr>
          <w:i/>
          <w:noProof/>
        </w:rPr>
        <w:t>Obravnava nelastniških vrednostnih papirjev z visoko nominalno vrednostjo na enoto (člena 1 in 13)</w:t>
      </w:r>
    </w:p>
    <w:p>
      <w:pPr>
        <w:rPr>
          <w:noProof/>
        </w:rPr>
      </w:pPr>
      <w:r>
        <w:rPr>
          <w:noProof/>
        </w:rPr>
        <w:t>Nominalna vrednost v višini 100 000 EUR se v Direktivi 2003/71/ES trenutno uporablja za razlikovanje razkritij za velike vlagatelje. Prav tako povzroči izvzetje iz obveznosti objave prospekta za ponudbe nelastniških vrednostnih papirjev. Ta prag, ki je bil prvotno zasnovan z namenom varovanja potrošnikov, določa cene obveznic, ki niso dosegljive malim vlagateljem, ker izdajatelji na splošno iščejo cenejšo možnost razkritja za velike vlagatelje. Ker lahko večina izdajateljev obveznic naložbenega razreda sredstva, ki jih potrebuje, zbere pri institucionalnih vlagateljih, niso zainteresirani za ponudbo obveznic nižje vrednosti. Vendar to lahko pomeni, da imajo lahko neinstitucionalni vlagatelji dostop do manjšega in/ali bolj tveganega zbira potencialnih naložb in verjetno manj razpršen portfelj vrednostnih papirjev.</w:t>
      </w:r>
    </w:p>
    <w:p>
      <w:pPr>
        <w:rPr>
          <w:noProof/>
        </w:rPr>
      </w:pPr>
      <w:r>
        <w:rPr>
          <w:noProof/>
        </w:rPr>
        <w:t xml:space="preserve">Na podlagi dokazov, predstavljenih v oceni učinka, je ugodna obravnava, ki jo direktiva o prospektu zagotavlja nelastniškim vrednostnim papirjem z nominalno vrednostjo na enoto najmanj 100 000 EUR, morda prispevala k nenačrtovanim posledicam, pri čemer je povzročila izkrivljanje razmer na evropskih trgih obveznic in nedostopnost znatnega deleža obveznic, ki so jih izdali podjetniški izdajatelji naložbenega razreda, širšemu krogu potencialnih vlagateljev. </w:t>
      </w:r>
    </w:p>
    <w:p>
      <w:pPr>
        <w:rPr>
          <w:noProof/>
        </w:rPr>
      </w:pPr>
      <w:r>
        <w:rPr>
          <w:noProof/>
        </w:rPr>
        <w:t>Zato se s predlogom odpravljajo spodbude za izdajo dolžniških vrednostnih papirjev z visoko nominalno vrednostjo iz člena 3(2)(d) in člena 7(2)(b) Direktive 2003/71/ES. Poleg tega se odpravlja dvojni standard razkritja (za male/velike vlagatelje) za nelastniške vrednostne papirje, sprejete v trgovanje na reguliranem trgu, enotna predloga prospekta pa bo opredeljena v delegiranih aktih, pri čemer se bosta kot izhodišče upoštevali obstoječi prilogi k Uredbi (ES) št. 809/2004 o razkritju za velike vlagatelje (prilogi IX in XIII) in dodale samo informacije, potrebne za zaščito malih vlagateljev. Odpravi se tudi izvzetje iz obveznosti objave prospekta iz člena 3(2)(d) Direktive 2003/71/ES za ponudbe vrednostnih papirjev z nominalno vrednostjo nad 100 000 EUR. Izdajatelji, ki ponujajo nelastniške vrednostne papirje samo dobro poučenim vlagateljem ali zahtevajo minimalni vložek v višini 100 000 EUR na vlagatelja, bodo lahko še naprej izkoriščali izvzetje iz obveznosti objave prospekta. Cilj predloga je na podlagi navedenih sprememb odpraviti eno od ugotovljenih ovir za sekundarno likvidnost na trgih obveznic.</w:t>
      </w:r>
    </w:p>
    <w:p>
      <w:pPr>
        <w:rPr>
          <w:i/>
          <w:noProof/>
        </w:rPr>
      </w:pPr>
      <w:r>
        <w:rPr>
          <w:i/>
          <w:noProof/>
        </w:rPr>
        <w:t>Dejavniki tveganja (člen 16)</w:t>
      </w:r>
    </w:p>
    <w:p>
      <w:pPr>
        <w:rPr>
          <w:i/>
          <w:noProof/>
        </w:rPr>
      </w:pPr>
      <w:r>
        <w:rPr>
          <w:noProof/>
        </w:rPr>
        <w:t>Člen 16 določa, da bi se morali v prospektu navesti samo pomembni dejavniki tveganja, ki se nanašajo na posameznega izdajatelja in njegove vrednostne papirje. Cilj je zmanjšati nagnjenost k prenasičenju prospekta s splošnimi dejavniki tveganja, ki prikrivajo konkretnejše dejavnike tveganja, o katerih bi morali biti vlagatelji seznanjeni, in se uporabljajo samo za zaščito izdajatelja ali njegovih svetovalcev pred odgovornostjo. Iz tega razloga se od izdajatelja zahteva, da dejavnike tveganja razporedi v dve ali tri kategorije na podlagi pomembnosti. ESMA je pooblaščena za pripravo smernic na tem področju.</w:t>
      </w:r>
    </w:p>
    <w:p>
      <w:pPr>
        <w:rPr>
          <w:i/>
          <w:noProof/>
        </w:rPr>
      </w:pPr>
      <w:r>
        <w:rPr>
          <w:i/>
          <w:noProof/>
        </w:rPr>
        <w:t>Vključitev s sklicevanjem (člen 18)</w:t>
      </w:r>
    </w:p>
    <w:p>
      <w:pPr>
        <w:rPr>
          <w:noProof/>
        </w:rPr>
      </w:pPr>
      <w:r>
        <w:rPr>
          <w:noProof/>
        </w:rPr>
        <w:t>Obseg dokumentov, katerih informacije se lahko vključijo v prospekt s sklicevanjem, je razširjen, pri čemer velja pogoj, da se informacije objavijo elektronsko in so v skladu z obveznostjo glede jezika iz člena 25. Seznam dokumentov je določen v členu 18, pri čemer je ESMA pooblaščena za pripravo osnutka regulativnih tehničnih standardov za dopolnitev seznama z nadaljnjimi vrstami dokumentov, ki se zahtevajo v skladu s pravom Unije. Predlagani seznam zajema dokumente, ki se vložijo pri pristojnem organu matične države članice ali jih ta odobri v skladu s to uredbo, in predpisane informacije. Poleg tega podjetjem, ki ne spadajo na področje uporabe direktive o preglednosti (npr. podjetja z vrednostnimi papirji, s katerimi se trguje v večstranskem sistemu trgovanja) ali ki so izvzeta iz nekaterih njenih zahtev (npr. izdajatelji zgolj dolžniških vrednostnih papirjev, sprejetih v trgovanje na reguliranem trgu in z nominalno vrednostjo na enoto najmanj 100 000 EUR), omogoča vključitev vseh ali le nekaterih svojih letnih ali polletnih finančnih podatkov ter poslovnih poročil s sklicevanjem.</w:t>
      </w:r>
    </w:p>
    <w:p>
      <w:pPr>
        <w:rPr>
          <w:i/>
          <w:noProof/>
        </w:rPr>
      </w:pPr>
      <w:r>
        <w:rPr>
          <w:i/>
          <w:noProof/>
        </w:rPr>
        <w:t>Objava prospekta (člen 20)</w:t>
      </w:r>
    </w:p>
    <w:p>
      <w:pPr>
        <w:rPr>
          <w:noProof/>
        </w:rPr>
      </w:pPr>
      <w:r>
        <w:rPr>
          <w:noProof/>
        </w:rPr>
        <w:t>Dve možnosti objave odobrenega prospekta (tj. vključitev v časopis in natisnjen prospekt na voljo v uradih izdajatelja) iz Direktive 2003/71/ES sta bili odstranjeni, ker sta veljali za zelo zastarele. Ohranila pa se je obveznost zagotovitve brezplačne kopije v papirni obliki vsakomur, ki jo zahteva (člen 20(10)). Za objavo prospekta je odgovoren izdajatelj, ponudnik ali oseba, ki prosi za sprejem vrednostnih papirjev v trgovanje, kot trenutno določa Direktiva 2003/71/ES. Za prospekt se šteje, da je na voljo javnosti, če je objavljen elektronsko na spletnem mestu izdajatelja, ponudnika ali osebe, ki prosi za sprejem vrednostnih papirjev v trgovanje (ali po potrebi finančnih posrednikov, ki plasirajo ali prodajajo vrednostne papirje), ali na spletnem mestu reguliranega trga, kjer poteka sprejem vrednostnih papirjev v trgovanje, ali upravljavca večstranskega sistema trgovanja. ESMA bo razvila spletni mehanizem za shranjevanje z brezplačnim iskalnim orodjem za vlagatelje EU. Posledično bodo pristojni organi poleg elektronske različice vsakega odobrenega prospekta ESMA poslali tudi niz metapodatkov (npr. vrsto izdajatelja, vrsto vrednostnega papirja, vrsto mesta trgovanja, vrednost ponudbe, vrsto izdaje: primarna ali sekundarna itd.), da se omogoči indeksiranje prospektov na spletnem mestu ESMA. ESMA bo lahko na podlagi podatkov, zbranih v mehanizmu za shranjevanje, vzpostavila podrobne statistične podatke o prospektih, odobrenih v EU, in pripravila letno poročilo, ki mora biti dovolj podrobno, da bo omogočalo opredelitev trendov in zagotavljalo dokaze o učinkih reform, uvedenih s tem predlogom (člen 45).</w:t>
      </w:r>
    </w:p>
    <w:p>
      <w:pPr>
        <w:rPr>
          <w:i/>
          <w:noProof/>
        </w:rPr>
      </w:pPr>
      <w:r>
        <w:rPr>
          <w:i/>
          <w:noProof/>
        </w:rPr>
        <w:t>Upravni ukrepi in sankcije (členi 36–41)</w:t>
      </w:r>
    </w:p>
    <w:p>
      <w:pPr>
        <w:rPr>
          <w:noProof/>
        </w:rPr>
      </w:pPr>
      <w:r>
        <w:rPr>
          <w:noProof/>
        </w:rPr>
        <w:t>Sporočilo Komisije o sankcijah</w:t>
      </w:r>
      <w:r>
        <w:rPr>
          <w:rStyle w:val="FootnoteReference"/>
          <w:noProof/>
        </w:rPr>
        <w:footnoteReference w:id="7"/>
      </w:r>
      <w:r>
        <w:rPr>
          <w:noProof/>
        </w:rPr>
        <w:t xml:space="preserve"> potrjuje, da je „zagotavljanje pravilne uporabe predpisov EU v prvi vrsti naloga nacionalnih organov, ki morajo finančne institucije odvrniti od kršenja predpisov EU in sankcionirati kršitve v svojih jurisdikcijah,“ vendar hkrati poudarja, da morajo nacionalni organi delovati usklajeno in povezano. </w:t>
      </w:r>
    </w:p>
    <w:p>
      <w:pPr>
        <w:pBdr>
          <w:top w:val="nil"/>
          <w:left w:val="nil"/>
          <w:bottom w:val="nil"/>
          <w:right w:val="nil"/>
          <w:between w:val="nil"/>
          <w:bar w:val="nil"/>
        </w:pBdr>
        <w:spacing w:before="0" w:after="240"/>
        <w:rPr>
          <w:rFonts w:eastAsia="Arial Unicode MS"/>
          <w:noProof/>
        </w:rPr>
      </w:pPr>
      <w:r>
        <w:rPr>
          <w:noProof/>
        </w:rPr>
        <w:t>Predlog v skladu s sporočilom in na podlagi drugih pobud na ravni EU v finančnem sektorju vsebuje določbe o sankcijah in ukrepih, katerih cilj je uvesti usklajen pristop k sankcijam, da se zagotovi skladnost. Pomembno je, da se uporabljajo upravne sankcije in ukrepi, če se ne upoštevajo glavne določbe tega predloga, ter da so te sankcije in ukrepi učinkoviti, sorazmerni in odvračilni.</w:t>
      </w:r>
    </w:p>
    <w:p>
      <w:pPr>
        <w:rPr>
          <w:noProof/>
          <w:szCs w:val="24"/>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2015/0268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 xml:space="preserve">o prospektu, ki se objavi ob javni ponudbi ali sprejemu vrednostnih papirjev v trgovanje </w:t>
      </w:r>
    </w:p>
    <w:p>
      <w:pPr>
        <w:pStyle w:val="IntrtEEE"/>
        <w:rPr>
          <w:noProof/>
        </w:rPr>
      </w:pPr>
      <w:r>
        <w:rPr>
          <w:noProof/>
        </w:rPr>
        <w:t>(Besedilo velja za EGP)</w:t>
      </w:r>
    </w:p>
    <w:p>
      <w:pPr>
        <w:pStyle w:val="Institutionquiagit"/>
        <w:rPr>
          <w:noProof/>
          <w:szCs w:val="24"/>
        </w:rPr>
      </w:pPr>
      <w:r>
        <w:rPr>
          <w:noProof/>
        </w:rPr>
        <w:t>EVROPSKI PARLAMENT IN SVET EVROPSKE UNIJE STA –</w:t>
      </w:r>
    </w:p>
    <w:p>
      <w:pPr>
        <w:rPr>
          <w:noProof/>
          <w:szCs w:val="24"/>
        </w:rPr>
      </w:pPr>
      <w:r>
        <w:rPr>
          <w:noProof/>
        </w:rPr>
        <w:t>ob upoštevanju Pogodbe o delovanju Evropske unije, zlasti člena 114 Pogodbe,</w:t>
      </w:r>
    </w:p>
    <w:p>
      <w:pPr>
        <w:rPr>
          <w:noProof/>
          <w:szCs w:val="24"/>
        </w:rPr>
      </w:pPr>
      <w:r>
        <w:rPr>
          <w:noProof/>
        </w:rPr>
        <w:t>ob upoštevanju predloga Evropske komisije,</w:t>
      </w:r>
    </w:p>
    <w:p>
      <w:pPr>
        <w:rPr>
          <w:noProof/>
          <w:szCs w:val="24"/>
        </w:rPr>
      </w:pPr>
      <w:r>
        <w:rPr>
          <w:noProof/>
        </w:rPr>
        <w:t>po posredovanju osnutka zakonodajnega akta nacionalnim parlamentom,</w:t>
      </w:r>
    </w:p>
    <w:p>
      <w:pPr>
        <w:rPr>
          <w:noProof/>
          <w:szCs w:val="24"/>
        </w:rPr>
      </w:pPr>
      <w:r>
        <w:rPr>
          <w:noProof/>
        </w:rPr>
        <w:t>ob upoštevanju mnenja Evropskega ekonomsko-socialnega odbora</w:t>
      </w:r>
      <w:r>
        <w:rPr>
          <w:rStyle w:val="FootnoteReference"/>
          <w:noProof/>
        </w:rPr>
        <w:footnoteReference w:id="8"/>
      </w:r>
      <w:r>
        <w:rPr>
          <w:noProof/>
        </w:rPr>
        <w:t xml:space="preserve">, </w:t>
      </w:r>
    </w:p>
    <w:p>
      <w:pPr>
        <w:rPr>
          <w:noProof/>
          <w:szCs w:val="24"/>
        </w:rPr>
      </w:pPr>
      <w:r>
        <w:rPr>
          <w:noProof/>
        </w:rPr>
        <w:t>ob upoštevanju mnenja Odbora regij</w:t>
      </w:r>
      <w:r>
        <w:rPr>
          <w:rStyle w:val="FootnoteReference"/>
          <w:noProof/>
        </w:rPr>
        <w:footnoteReference w:id="9"/>
      </w:r>
      <w:r>
        <w:rPr>
          <w:noProof/>
        </w:rPr>
        <w:t xml:space="preserve">, </w:t>
      </w:r>
    </w:p>
    <w:p>
      <w:pPr>
        <w:rPr>
          <w:noProof/>
          <w:szCs w:val="24"/>
        </w:rPr>
      </w:pPr>
      <w:r>
        <w:rPr>
          <w:noProof/>
        </w:rPr>
        <w:t>v skladu z rednim zakonodajnim postopkom,</w:t>
      </w:r>
    </w:p>
    <w:p>
      <w:pPr>
        <w:rPr>
          <w:noProof/>
          <w:szCs w:val="24"/>
        </w:rPr>
      </w:pPr>
      <w:r>
        <w:rPr>
          <w:noProof/>
        </w:rPr>
        <w:t>ob upoštevanju naslednjega:</w:t>
      </w:r>
    </w:p>
    <w:p>
      <w:pPr>
        <w:pStyle w:val="ManualConsidrant"/>
        <w:rPr>
          <w:noProof/>
          <w:szCs w:val="24"/>
        </w:rPr>
      </w:pPr>
      <w:r>
        <w:t>(1)</w:t>
      </w:r>
      <w:r>
        <w:tab/>
      </w:r>
      <w:r>
        <w:rPr>
          <w:noProof/>
        </w:rPr>
        <w:t>Ta uredba predstavlja pomemben korak k vzpostavitvi unije kapitalskih trgov iz Sporočila Komisije Evropskemu parlamentu, Svetu, Evropskemu ekonomsko-socialnemu odboru in Odboru regij z dne 30. septembra 2015 z naslovom „Akcijski načrt o oblikovanju unije kapitalskih trgov“. Cilj unije kapitalskih trgov je podjetjem omogočiti dostop do bolj raznolikih virov kapitala kjer koli v Evropski uniji (v nadaljnjem besedilu: Unija), zagotoviti učinkovitejše delovanje trgov ter vlagateljem in varčevalcem ponuditi priložnosti za učinkovitejše vlaganje denarja, da se poveča rast in ustvarijo delovna mesta.</w:t>
      </w:r>
    </w:p>
    <w:p>
      <w:pPr>
        <w:pStyle w:val="ManualConsidrant"/>
        <w:rPr>
          <w:noProof/>
          <w:szCs w:val="24"/>
        </w:rPr>
      </w:pPr>
      <w:r>
        <w:t>(2)</w:t>
      </w:r>
      <w:r>
        <w:tab/>
      </w:r>
      <w:r>
        <w:rPr>
          <w:noProof/>
        </w:rPr>
        <w:t>Direktiva 2003/71/ES Evropskega parlamenta in Sveta določa usklajena načela in pravila o pripravi, odobritvi in objavi prospekta ob javni ponudbi ali sprejemu vrednostnih papirjev v trgovanje na reguliranem trgu. Navedeno direktivo bi bilo treba zaradi razvoja dogodkov v zakonodaji in na trgu od začetka njene veljavnosti nadomestiti.</w:t>
      </w:r>
    </w:p>
    <w:p>
      <w:pPr>
        <w:pStyle w:val="ManualConsidrant"/>
        <w:rPr>
          <w:noProof/>
          <w:szCs w:val="24"/>
        </w:rPr>
      </w:pPr>
      <w:r>
        <w:t>(3)</w:t>
      </w:r>
      <w:r>
        <w:tab/>
      </w:r>
      <w:r>
        <w:rPr>
          <w:noProof/>
        </w:rPr>
        <w:t xml:space="preserve">Razkritje informacij v primeru javnih ponudb ali sprejema vrednostnih papirjev v trgovanje na reguliranem trgu je ključnega pomena za zaščito vlagateljev, saj odpravlja neusklajenost informacij med vlagatelji in izdajatelji. Z uskladitvijo tega razkritja je omogočena vzpostavitev mehanizma enotnega dovoljenja za čezmejno uporabo, ki prispeva k učinkovitemu delovanju notranjega trga za širok nabor vrednostnih papirjev. </w:t>
      </w:r>
    </w:p>
    <w:p>
      <w:pPr>
        <w:pStyle w:val="ManualConsidrant"/>
        <w:rPr>
          <w:noProof/>
          <w:szCs w:val="24"/>
        </w:rPr>
      </w:pPr>
      <w:r>
        <w:t>(4)</w:t>
      </w:r>
      <w:r>
        <w:tab/>
      </w:r>
      <w:r>
        <w:rPr>
          <w:noProof/>
        </w:rPr>
        <w:t>Različni pristopi bi privedli do razdrobljenosti notranjega trga, saj bi za izdajatelje, ponudnike in osebe, ki prosijo za sprejem v trgovanje, v različnih državah članicah veljala različna pravila in prospektov, odobrenih v eni državi članici, morda ne bi bilo mogoče uporabljati v drugih državah članicah. Brez usklajenega okvira, ki zagotavlja enotno razkritje in učinek dovoljenja za čezmejno uporabo v Uniji, bi razlike v zakonodajah držav članic verjetno ovirale nemoteno delovanje notranjega trga vrednostnih papirjev. Zato je za zagotovitev ustreznega delovanja notranjega trga in izboljšanje pogojev njegovega delovanja, zlasti kar zadeva kapitalske trge, ter zagotovitev visoke ravni varstva potrošnikov in vlagateljev primerno določiti regulativni okvir za prospekte na ravni Unije.</w:t>
      </w:r>
    </w:p>
    <w:p>
      <w:pPr>
        <w:pStyle w:val="ManualConsidrant"/>
        <w:rPr>
          <w:noProof/>
        </w:rPr>
      </w:pPr>
      <w:r>
        <w:t>(5)</w:t>
      </w:r>
      <w:r>
        <w:tab/>
      </w:r>
      <w:r>
        <w:rPr>
          <w:noProof/>
        </w:rPr>
        <w:t>Primerno in nujno je, da imajo pravila o razkritju pri javni ponudbi ali sprejemu vrednostnih papirjev v trgovanje na reguliranem trgu zakonodajno obliko uredbe, s čimer se zagotovi, da se bodo določbe, ki neposredno nalagajo obveznosti osebam, ki sodelujejo pri javni ponudbi in sprejemu vrednostnih papirjev v trgovanje na reguliranem trgu, enotno uporabljale po vsej Uniji. Ker pravni okvir za določbe o prospektih nujno vključuje ukrepe, ki podrobno opredeljujejo zahteve o vseh različnih vidikih prospekta, lahko že majhna razhajanja v izbranem pristopu v zvezi z enim od teh vidikov predstavljajo znatne ovire za čezmejne ponudbe vrednostnih papirjev, večkratne kotacije na reguliranih trgih in pravila EU o varstvu potrošnikov. Zato bi morala uporaba uredbe, ki velja neposredno, zaradi česar nacionalna zakonodaja ni potrebna, omejiti možnost, da bi bili na nacionalni ravni sprejeti različni ukrepi, zagotoviti enoten pristop in večjo pravno varnost ter preprečiti pojav znatnih ovir pri čezmejnih ponudbah in večkratnih kotacijah. Uporaba uredbe bo okrepila tudi zaupanje v preglednost trgov v Uniji ter zmanjšala regulativno zapletenost, pa tudi stroške iskanja in zagotavljanja skladnosti za podjetja.</w:t>
      </w:r>
    </w:p>
    <w:p>
      <w:pPr>
        <w:pStyle w:val="ManualConsidrant"/>
        <w:rPr>
          <w:noProof/>
          <w:szCs w:val="24"/>
        </w:rPr>
      </w:pPr>
      <w:r>
        <w:t>(6)</w:t>
      </w:r>
      <w:r>
        <w:tab/>
      </w:r>
      <w:r>
        <w:rPr>
          <w:noProof/>
        </w:rPr>
        <w:t>Ocena Direktive 2010/73/EU je pokazala, da nekatere spremembe, uvedene z navedeno direktivo, niso izpolnile prvotnih ciljev in da so nadaljnje spremembe ureditve za prospekte v Uniji potrebne, da se poenostavi in izboljša njena uporaba, poveča njena učinkovitost ter okrepi mednarodna konkurenčnost Unije, kar bi prispevalo k zmanjšanju upravnih bremen.</w:t>
      </w:r>
    </w:p>
    <w:p>
      <w:pPr>
        <w:pStyle w:val="ManualConsidrant"/>
        <w:rPr>
          <w:noProof/>
          <w:szCs w:val="24"/>
        </w:rPr>
      </w:pPr>
      <w:r>
        <w:t>(7)</w:t>
      </w:r>
      <w:r>
        <w:tab/>
      </w:r>
      <w:r>
        <w:rPr>
          <w:noProof/>
        </w:rPr>
        <w:t>Cilj te uredbe je zagotoviti zaščito vlagateljev in tržno učinkovitost ter okrepiti enotni trg kapitala. Poleg pravil vodenja poslov je za zaščito vlagateljev pomembna tudi zagotovitev informacij, ki so glede na naravo izdajatelja in vrednostnih papirjev potrebne, da se vlagateljem omogoči sprejetje informirane odločitve o naložbi. Poleg tega so take informacije učinkovito sredstvo za povečanje zaupanja v vrednostne papirje, saj prispevajo k pravilnemu delovanju in razvoju trgov vrednostnih papirjev. Ustrezen način zagotavljanja teh informacij je objava prospekta.</w:t>
      </w:r>
    </w:p>
    <w:p>
      <w:pPr>
        <w:pStyle w:val="ManualConsidrant"/>
        <w:rPr>
          <w:noProof/>
          <w:szCs w:val="24"/>
        </w:rPr>
      </w:pPr>
      <w:r>
        <w:t>(8)</w:t>
      </w:r>
      <w:r>
        <w:tab/>
      </w:r>
      <w:r>
        <w:rPr>
          <w:noProof/>
        </w:rPr>
        <w:t>Zahteve po razkritju iz te uredbe ne preprečujejo državi članici, pristojnemu organu ali borzi, da na podlagi svojih pravil uvede druge posebne zahteve za sprejem vrednostnih papirjev v trgovanje na reguliranem trgu (predvsem glede korporativnega upravljanja). Take zahteve ne smejo neposredno ali posredno omejevati priprave, vsebine in razširjanja prospekta, ki ga odobri pristojni organ.</w:t>
      </w:r>
    </w:p>
    <w:p>
      <w:pPr>
        <w:pStyle w:val="ManualConsidrant"/>
        <w:rPr>
          <w:noProof/>
          <w:szCs w:val="24"/>
        </w:rPr>
      </w:pPr>
      <w:r>
        <w:t>(9)</w:t>
      </w:r>
      <w:r>
        <w:tab/>
      </w:r>
      <w:r>
        <w:rPr>
          <w:noProof/>
        </w:rPr>
        <w:t>Nelastniški vrednostni papirji, ki jih izda država članica ali eden od regionalnih ali lokalnih organov države članice, javne mednarodne organizacije, katerih članica je ena ali več držav članic, Evropska centralna banka ali centralne banke držav članic, ne bi smeli biti zajeti s to uredbo, zato ta uredba ne bi smela vplivati nanje.</w:t>
      </w:r>
    </w:p>
    <w:p>
      <w:pPr>
        <w:pStyle w:val="ManualConsidrant"/>
        <w:rPr>
          <w:noProof/>
        </w:rPr>
      </w:pPr>
      <w:r>
        <w:t>(10)</w:t>
      </w:r>
      <w:r>
        <w:tab/>
      </w:r>
      <w:r>
        <w:rPr>
          <w:noProof/>
        </w:rPr>
        <w:t>Področje uporabe zahteve glede prospekta bi moralo zajemati javno ponudbo ali sprejem lastniških in tudi nelastniških vrednostnih papirjev v trgovanje na reguliranih trgih, da se zagotovi zaščita vlagateljev. Nekateri vrednostni papirji, zajeti v tej uredbi, dajejo imetniku pravico do nakupa prenosljivih vrednostnih papirjev ali prejemanja denarnih sredstev s takojšnjim plačilom v gotovini, ki se določi glede na druge instrumente, predvsem prenosljive vrednostne papirje, valute, obrestne mere ali donose, blago ali druge indekse ali merila. Ta uredba zajema zlasti nakupne bone, krite nakupne bone, certifikate, potrdila o deponiranju in konvertibilne menice, kot so vrednostni papirji, ki se lahko pretvorijo na zahtevo vlagatelja.</w:t>
      </w:r>
    </w:p>
    <w:p>
      <w:pPr>
        <w:pStyle w:val="ManualConsidrant"/>
        <w:rPr>
          <w:noProof/>
          <w:szCs w:val="24"/>
        </w:rPr>
      </w:pPr>
      <w:r>
        <w:t>(11)</w:t>
      </w:r>
      <w:r>
        <w:tab/>
      </w:r>
      <w:r>
        <w:rPr>
          <w:noProof/>
        </w:rPr>
        <w:t>Da se zagotovijo odobritev prospekta in pridobitev enotnega dovoljenja za čezmejno uporabo ter nadzor skladnosti s to uredbo, zlasti kar zadeva oglaševalsko dejavnost, je treba za vsak prospekt določiti pristojni organ. Zato bi se morala v tej uredbi jasno določiti najprimernejša matična država članica za odobritev prospekta.</w:t>
      </w:r>
    </w:p>
    <w:p>
      <w:pPr>
        <w:pStyle w:val="ManualConsidrant"/>
        <w:rPr>
          <w:noProof/>
        </w:rPr>
      </w:pPr>
      <w:r>
        <w:t>(12)</w:t>
      </w:r>
      <w:r>
        <w:tab/>
      </w:r>
      <w:r>
        <w:rPr>
          <w:noProof/>
        </w:rPr>
        <w:t>Za javne ponudbe vrednostnih papirjev v vrednosti manj kot 500 000 EUR bo strošek priprave prospekta v skladu s to uredbo verjetno nesorazmeren s predvidenimi prihodki od ponudbe. Zato se zahteva glede priprave prospekta iz te uredbe ne bi smela uporabljati za ponudbe tako majhne vrednosti. Države članice bi se morale vzdržati uvajanja zahtev po razkritju na nacionalni ravni, ki bi nesorazmerno ali nepotrebno bremenile take ponudbe in posledično povečale razdrobljenost notranjega trga.</w:t>
      </w:r>
    </w:p>
    <w:p>
      <w:pPr>
        <w:pStyle w:val="ManualConsidrant"/>
        <w:rPr>
          <w:noProof/>
        </w:rPr>
      </w:pPr>
      <w:r>
        <w:t>(13)</w:t>
      </w:r>
      <w:r>
        <w:tab/>
      </w:r>
      <w:r>
        <w:rPr>
          <w:noProof/>
        </w:rPr>
        <w:t>Če so javne ponudbe vrednostnih papirjev namenjene samo domačim vlagateljem v eni državi članici in zato nimajo čezmejnega učinka ter če take ponudbe ne presegajo skupne vrednosti 10 000 000 EUR, mehanizem dovoljenja za čezmejno uporabo iz te uredbe ni potreben, priprava prospekta pa lahko predstavlja nesorazmerne stroške. Zato je primerno državam članicam omogočiti, da se odločijo take vrste ponudb izvzeti iz obveznosti glede prospekta, kot je opredeljena v tej uredbi, pri čemer upoštevajo stopnjo zaščite domačih vlagateljev, ki je po njihovem mnenju ustrezna. Državam članicam bi bilo treba zlasti omogočiti, da v nacionalni zakonodaji same določijo prag med 500 000 EUR in 10 000 000 EUR za skupno vrednost ponudbe v obdobju 12 mesecev, pod katerim bi moralo veljati to izvzetje.</w:t>
      </w:r>
    </w:p>
    <w:p>
      <w:pPr>
        <w:pStyle w:val="ManualConsidrant"/>
        <w:rPr>
          <w:noProof/>
        </w:rPr>
      </w:pPr>
      <w:r>
        <w:t>(14)</w:t>
      </w:r>
      <w:r>
        <w:tab/>
      </w:r>
      <w:r>
        <w:rPr>
          <w:noProof/>
        </w:rPr>
        <w:t>Če je ponudba vrednostnih papirjev namenjena samo omejenemu krogu vlagateljev, ki niso dobro poučeni vlagatelji, priprava prospekta predstavlja nesorazmerno breme glede na majhno število oseb, ki jim je ponudba namenjena, zato se prospekt ne bi smel zahtevati. To bi moralo veljati na primer za ponudbo, namenjeno sorodnikom ali osebnim znancem vodstvenega osebja podjetja.</w:t>
      </w:r>
    </w:p>
    <w:p>
      <w:pPr>
        <w:pStyle w:val="ManualConsidrant"/>
        <w:rPr>
          <w:noProof/>
          <w:szCs w:val="24"/>
        </w:rPr>
      </w:pPr>
      <w:r>
        <w:t>(15)</w:t>
      </w:r>
      <w:r>
        <w:tab/>
      </w:r>
      <w:r>
        <w:rPr>
          <w:noProof/>
        </w:rPr>
        <w:t xml:space="preserve">Spodbujanje direktorjev in zaposlenih k posedovanju vrednostnih papirjev podjetja, v katerem so zaposleni, lahko pozitivno vpliva na upravljanje podjetij in prispeva k ustvarjanju dolgoročne vrednosti, saj spodbuja predanost zaposlenih in občutek lastništva, usklajuje interese delničarjev in zaposlenih ter slednjim omogoča priložnosti za naložbe. Udeležba zaposlenih v lastništvu njihovega podjetja je zlasti pomembna za mala in srednja podjetja (MSP), v katerih lahko imajo posamezni zaposleni pomembno vlogo pri uspehu podjetja. Zato se ne bi smelo zahtevati priprave prospekta za ponudbe v okviru delniških shem za zaposlene znotraj Unije, če se zagotovi dokument z informacijami o številu in lastnostih vrednostnih papirjev ter z razlogi za ponudbo in podrobnostmi o njej, da se zagotovi zaščita vlagateljev. Če se zagotovi navedeni dokument, se za zagotavljanje enakega dostopa do delniških shem za zaposlene vsem direktorjem in zaposlenim, ne glede na to, ali ima njihov delodajalec sedež v Uniji ali zunaj nje, ne bi več smela zahtevati odločitev o enakovrednosti trgov tretjih držav. Tako bodo lahko vsi udeleženci v delniških shemah za zaposlene deležni enake obravnave in prejeli enake informacije. </w:t>
      </w:r>
    </w:p>
    <w:p>
      <w:pPr>
        <w:pStyle w:val="ManualConsidrant"/>
        <w:rPr>
          <w:noProof/>
        </w:rPr>
      </w:pPr>
      <w:r>
        <w:t>(16)</w:t>
      </w:r>
      <w:r>
        <w:tab/>
      </w:r>
      <w:r>
        <w:rPr>
          <w:noProof/>
        </w:rPr>
        <w:t>Izdaje delnic ali vrednostnih papirjev, ki omogočajo dostop do delnic, z namenom razvodenitve, pomenijo posle, ki zelo vplivajo na strukturo kapitala izdajatelja, njegova pričakovanja in finančni položaj, zaradi česar so potrebne informacije v prospektu. Nasprotno pa se prospekt, če so delnice izdajatelja že sprejete v trgovanje na reguliranem trgu, ne bi smel zahtevati za vsak naknaden sprejem istih delnic na isti regulirani trg, tudi če so take delnice posledica pretvorbe ali zamenjave drugih vrednostnih papirjev ali uveljavljanja pravic, ki izhajajo iz drugih vrednostnih papirjev, pod pogojem, da na novo sprejete delnice predstavljajo majhen delež v primerjavi z delnicami istega razreda, ki so že bile izdane na istem reguliranem trgu, razen če je tak sprejem kombiniran z javno ponudbo, ki spada na področje uporabe te uredbe. Enako načelo bi bilo treba uporabljati splošneje za vrednostne papirje, zamenljive z vrednostnimi papirji, ki so že sprejeti v trgovanje na reguliranem trgu.</w:t>
      </w:r>
    </w:p>
    <w:p>
      <w:pPr>
        <w:pStyle w:val="ManualConsidrant"/>
        <w:rPr>
          <w:noProof/>
        </w:rPr>
      </w:pPr>
      <w:r>
        <w:t>(17)</w:t>
      </w:r>
      <w:r>
        <w:tab/>
      </w:r>
      <w:r>
        <w:rPr>
          <w:noProof/>
        </w:rPr>
        <w:t>Pri uporabi opredelitve „javna ponudba vrednostnih papirjev“ bi morala biti sposobnost vlagatelja, da se sam odloči za nakup ali vpis vrednostnih papirjev, odločilno merilo. Če se vrednostni papirji ponudijo brez možnosti lastne izbire s strani prejemnika, vključno pri razdelitvi vrednostnih papirjev, pri čemer ne obstaja pravica do zavrnitve razdelitve, tak posel zato ne bi smel spadati v opredelitev „javne ponudbe vrednostnih papirjev“, kot je določena v tej uredbi.</w:t>
      </w:r>
    </w:p>
    <w:p>
      <w:pPr>
        <w:pStyle w:val="ManualConsidrant"/>
        <w:rPr>
          <w:noProof/>
          <w:szCs w:val="24"/>
        </w:rPr>
      </w:pPr>
      <w:r>
        <w:t>(18)</w:t>
      </w:r>
      <w:r>
        <w:tab/>
      </w:r>
      <w:r>
        <w:rPr>
          <w:noProof/>
        </w:rPr>
        <w:t xml:space="preserve">Izdajatelji, ponudniki ali osebe, ki prosijo za sprejem vrednostnih papirjev v trgovanje na reguliranem trgu, za katere velja izvzetje iz obveznosti objave prospekta, bodo lahko izkoristili enotno dovoljenje za čezmejno uporabo, če bodo ravnali v skladu s to uredbo. </w:t>
      </w:r>
    </w:p>
    <w:p>
      <w:pPr>
        <w:pStyle w:val="ManualConsidrant"/>
        <w:rPr>
          <w:noProof/>
          <w:szCs w:val="24"/>
        </w:rPr>
      </w:pPr>
      <w:r>
        <w:t>(19)</w:t>
      </w:r>
      <w:r>
        <w:tab/>
      </w:r>
      <w:r>
        <w:rPr>
          <w:noProof/>
        </w:rPr>
        <w:t>Razkritje, ki ga omogoča prospekt, se ne bi smelo zahtevati za ponudbe, ki so omejene na dobro poučene vlagatelje. Nasprotno pa je za nadaljnjo prodajo javnosti ali javno trgovanje na podlagi sprejema v trgovanje na reguliranem trgu potrebna objava prospekta.</w:t>
      </w:r>
    </w:p>
    <w:p>
      <w:pPr>
        <w:pStyle w:val="ManualConsidrant"/>
        <w:rPr>
          <w:noProof/>
        </w:rPr>
      </w:pPr>
      <w:r>
        <w:t>(20)</w:t>
      </w:r>
      <w:r>
        <w:tab/>
      </w:r>
      <w:r>
        <w:rPr>
          <w:noProof/>
        </w:rPr>
        <w:t>V veljavnem prospektu, ki ga pripravi izdajatelj ali oseba, odgovorna za njegovo pripravo, in je dostopen javnosti v času končnega plasiranja vrednostnih papirjev prek finančnih posrednikov ali pri kateri koli naknadni nadaljnji prodaji vrednostnih papirjev, je vlagateljem zagotovljenih dovolj informacij za sprejetje informiranih naložbenih odločitev. Zato bi morali biti finančni posredniki, ki plasirajo ali naknadno nadalje prodajo vrednostne papirje, upravičeni do uporabe prvotnega prospekta, ki ga objavi izdajatelj ali oseba, odgovorna za njegovo pripravo, če je prospekt veljaven in ustrezno dopolnjen ter če se izdajatelj ali oseba, odgovorna za pripravo prospekta, strinja z njegovo uporabo. Izdajatelju ali osebi, odgovorni za pripravo prospekta, bi bilo treba omogočiti, da postavi pogoje za svoje soglasje. Soglasje za uporabo prospekta, vključno z vsemi priloženimi pogoji, bi moralo biti dano v obliki pisnega dogovora, ki bi zadevnim stranem omogočil, da ocenijo, ali je nadaljnja prodaja ali končno plasiranje vrednostnih papirjev v skladu z dogovorom. Če je bilo dano soglasje za uporabo prospekta, bi moral biti izdajatelj ali oseba, odgovorna za pripravo prvotnega prospekta, odgovoren tudi za v njem navedene informacije in v primeru osnovnega prospekta za zagotovitev in vnos končnih pogojev, pri čemer se ne bi smel zahtevati drug prospekt. Če se izdajatelj ali oseba, odgovorna za pripravo takega prvotnega prospekta, ne strinja z njegovo uporabo, je treba od finančnega posrednika zahtevati objavo novega prospekta. V tem primeru bi moral biti finančni posrednik odgovoren za informacije, navedene v prospektu, vključno z vsemi informacijami, vključenimi s sklicevanjem, v primeru osnovnega prospekta pa tudi za končne pogoje.</w:t>
      </w:r>
    </w:p>
    <w:p>
      <w:pPr>
        <w:pStyle w:val="ManualConsidrant"/>
        <w:rPr>
          <w:noProof/>
        </w:rPr>
      </w:pPr>
      <w:r>
        <w:t>(21)</w:t>
      </w:r>
      <w:r>
        <w:tab/>
      </w:r>
      <w:r>
        <w:rPr>
          <w:noProof/>
        </w:rPr>
        <w:t>Z uskladitvijo informacij v prospektu naj bi se zagotovila enakovredna zaščita vlagateljev na ravni Unije. Da se vlagateljem omogoči sprejetje informirane odločitve o naložbi, bi morale biti navedene informacije zadostne in objektivne, tudi glede finančnih razmer izdajatelja in pravic, ki izhajajo iz vrednostnih papirjev, ter predstavljene v jedrnati in razumljivi obliki, ki omogoča preprosto analizo. Te zahteve bi morale veljati za vse vrste prospektov, ki se pripravijo v skladu s to uredbo, vključno s tistimi, ki upoštevajo minimalne zahteve po razkritju za sekundarne izdaje in za MSP. Prospekt ne bi smel vsebovati informacij, ki niso pomembne za zadevnega izdajatelja ali vrednostne papirje ali ki se ne nanašajo posebej nanje, ker bi se s tem lahko zakrile informacije, pomembne za odločitev o naložbi, ter posledično ogrozila zaščita vlagatelja.</w:t>
      </w:r>
    </w:p>
    <w:p>
      <w:pPr>
        <w:pStyle w:val="ManualConsidrant"/>
        <w:rPr>
          <w:noProof/>
          <w:szCs w:val="24"/>
        </w:rPr>
      </w:pPr>
      <w:r>
        <w:t>(22)</w:t>
      </w:r>
      <w:r>
        <w:tab/>
      </w:r>
      <w:r>
        <w:rPr>
          <w:noProof/>
        </w:rPr>
        <w:t>Izvleček prospekta bi moral biti uporaben vir informacij za vlagatelje, zlasti za male vlagatelje. Moral bi biti samostojen del prospekta in osredotočen na ključne informacije, ki jih vlagatelji potrebujejo pri odločanju o tem, katere ponudbe in sprejeme v trgovanje vrednostnih papirjev naj nadalje preučijo. Te ključne informacije bi morale predstaviti bistvene lastnosti izdajatelja, vseh garantov in vrednostnih papirjev, ponujenih ali sprejetih v trgovanje na reguliranem trgu, ter z njimi povezana tveganja. Prav tako bi morale vsebovati splošne pogoje ponudbe. Zlasti predstavitev dejavnikov tveganja v izvlečku bi morala vsebovati omejen izbor konkretnih tveganj, ki so po mnenju izdajatelja najpomembnejši.</w:t>
      </w:r>
    </w:p>
    <w:p>
      <w:pPr>
        <w:pStyle w:val="ManualConsidrant"/>
        <w:rPr>
          <w:noProof/>
          <w:szCs w:val="24"/>
        </w:rPr>
      </w:pPr>
      <w:r>
        <w:t>(23)</w:t>
      </w:r>
      <w:r>
        <w:tab/>
      </w:r>
      <w:r>
        <w:rPr>
          <w:noProof/>
        </w:rPr>
        <w:t>Izvleček prospekta bi moral biti kratek, preprost, jasen in razumljiv za vlagatelje. Napisan bi moral biti v preprostem, netehničnem jeziku in informacije predstaviti na preprost način. Ne bi smel biti sestavljen zgolj iz odlomkov iz prospekta. Primerno je določiti največjo dovoljeno dolžino izvlečka, da se prepreči odvrnitev vlagateljev od njegovega branja in da se spodbudi izdajatelje k izbiri informacij, ki so bistvene za vlagatelje.</w:t>
      </w:r>
    </w:p>
    <w:p>
      <w:pPr>
        <w:pStyle w:val="ManualConsidrant"/>
        <w:rPr>
          <w:noProof/>
          <w:szCs w:val="24"/>
        </w:rPr>
      </w:pPr>
      <w:r>
        <w:t>(24)</w:t>
      </w:r>
      <w:r>
        <w:tab/>
      </w:r>
      <w:r>
        <w:rPr>
          <w:noProof/>
        </w:rPr>
        <w:t>Da se zagotovi enotna struktura izvlečka v prospektu, bi bilo treba zagotoviti splošne oddelke in pododdelke z okvirnimi vsebinami, ki jih izdajatelj lahko izpolni s kratkimi opisi in po potrebi tudi s številkami. Izdajatelji bi morali imeti prosto presojo pri izbiri informacij, za katere menijo, da so bistvene in pomembne, če jih predstavijo pravično in uravnoteženo.</w:t>
      </w:r>
    </w:p>
    <w:p>
      <w:pPr>
        <w:pStyle w:val="ManualConsidrant"/>
        <w:rPr>
          <w:noProof/>
        </w:rPr>
      </w:pPr>
      <w:r>
        <w:t>(25)</w:t>
      </w:r>
      <w:r>
        <w:tab/>
      </w:r>
      <w:r>
        <w:rPr>
          <w:noProof/>
        </w:rPr>
        <w:t>Izvleček prospekta bi moral biti v čim večji meri zasnovan na podlagi dokumenta s ključnimi informacijami, ki se zahteva v skladu z Uredbo (EU) št. 1286/2014 Evropskega parlamenta in Sveta</w:t>
      </w:r>
      <w:r>
        <w:rPr>
          <w:rStyle w:val="FootnoteReference"/>
          <w:noProof/>
        </w:rPr>
        <w:footnoteReference w:id="10"/>
      </w:r>
      <w:r>
        <w:rPr>
          <w:noProof/>
        </w:rPr>
        <w:t>. Če vrednostni papirji spadajo na področje uporabe te uredbe in tudi Uredbe (EU) št. 1286/2014, bi se morala v izvlečku v celoti dovoliti ponovna uporaba vsebine dokumenta s ključnimi informacijami, da se čim bolj zmanjšajo stroški zagotavljanja skladnosti in upravno breme za izdajatelje. Vendar se zahteve po pripravi izvlečka ne bi smelo opustiti, kadar se zahteva dokument s ključnimi informacijami, ker slednji ne vsebuje ključnih informacij o izdajatelju in javni ponudbi ali sprejemu zadevnih vrednostnih papirjev v trgovanje.</w:t>
      </w:r>
    </w:p>
    <w:p>
      <w:pPr>
        <w:pStyle w:val="ManualConsidrant"/>
        <w:rPr>
          <w:noProof/>
          <w:szCs w:val="24"/>
        </w:rPr>
      </w:pPr>
      <w:r>
        <w:t>(26)</w:t>
      </w:r>
      <w:r>
        <w:tab/>
      </w:r>
      <w:r>
        <w:rPr>
          <w:noProof/>
        </w:rPr>
        <w:t xml:space="preserve">Treba bi bilo zagotoviti, da nobena oseba ni civilnopravno odgovorna zgolj na podlagi izvlečka ali njegovega prevoda, razen če je zavajajoč, netočen ali neskladen z ustreznimi deli prospekta. Izvleček bi moral vsebovati jasno opozorilo v zvezi s tem. </w:t>
      </w:r>
    </w:p>
    <w:p>
      <w:pPr>
        <w:pStyle w:val="ManualConsidrant"/>
        <w:rPr>
          <w:noProof/>
          <w:szCs w:val="24"/>
        </w:rPr>
      </w:pPr>
      <w:r>
        <w:t>(27)</w:t>
      </w:r>
      <w:r>
        <w:tab/>
      </w:r>
      <w:r>
        <w:rPr>
          <w:noProof/>
        </w:rPr>
        <w:t>Izdajateljem, ki redno zbirajo sredstva na kapitalskih trgih, bi bilo treba ponuditi posebne oblike registracijskih dokumentov in prospektov ter posebne postopke za njihovo vložitev in odobritev, da se jim zagotovi več prožnosti in omogoči, da izkoristijo tržne priložnosti. V vsakem primeru bi bilo treba izdajateljem omogočiti izbiro teh oblik in postopkov.</w:t>
      </w:r>
    </w:p>
    <w:p>
      <w:pPr>
        <w:pStyle w:val="ManualConsidrant"/>
        <w:rPr>
          <w:noProof/>
          <w:szCs w:val="24"/>
        </w:rPr>
      </w:pPr>
      <w:r>
        <w:t>(28)</w:t>
      </w:r>
      <w:r>
        <w:tab/>
      </w:r>
      <w:r>
        <w:rPr>
          <w:noProof/>
        </w:rPr>
        <w:t>Za vse nelastniške vrednostne papirje, vključno s tistimi, ki se izdajajo neprekinjeno in redno ali na podlagi programa ponudbe, bi bilo treba izdajateljem omogočiti pripravo prospekta v obliki osnovnega prospekta. Osnovni prospekt in njegovi končni pogoji bi morali vsebovati iste informacije kot prospekt.</w:t>
      </w:r>
    </w:p>
    <w:p>
      <w:pPr>
        <w:pStyle w:val="ManualConsidrant"/>
        <w:rPr>
          <w:noProof/>
          <w:szCs w:val="24"/>
        </w:rPr>
      </w:pPr>
      <w:r>
        <w:t>(29)</w:t>
      </w:r>
      <w:r>
        <w:tab/>
      </w:r>
      <w:r>
        <w:rPr>
          <w:noProof/>
        </w:rPr>
        <w:t>Primerno je pojasniti, da bi morali končni pogoji osnovnega prospekta vsebovati zgolj informacije v zvezi z opisom vrednostnih papirjev, ki se nanašajo na posamezno izdajo in se lahko določijo samo v času posamezne izdaje. Take informacije lahko na primer vključujejo mednarodno identifikacijsko številko vrednostnih papirjev, emisijski znesek, datum dospelosti, kakršen koli kupon, datum izvršitve, izvršilno ceno, odkupno ceno in druge pogoje, ki v času priprave prospekta niso bili znani. Če končni pogoji niso vključeni v osnovni prospekt, ne bi smeli biti predmet odobritve pristojnega organa, ampak bi se morali pri njem samo vložiti. Druge nove informacije, ki bi lahko vplivale na oceno izdajatelja in vrednostnih papirjev, bi bilo treba vključiti v dodatek k osnovnemu prospektu. Končni pogoji in dodatek ne bi smeli vsebovati vrste vrednostnih papirjev, ki še ni opisana v osnovnem prospektu.</w:t>
      </w:r>
    </w:p>
    <w:p>
      <w:pPr>
        <w:pStyle w:val="ManualConsidrant"/>
        <w:rPr>
          <w:noProof/>
          <w:szCs w:val="24"/>
        </w:rPr>
      </w:pPr>
      <w:r>
        <w:t>(30)</w:t>
      </w:r>
      <w:r>
        <w:tab/>
      </w:r>
      <w:r>
        <w:rPr>
          <w:noProof/>
        </w:rPr>
        <w:t xml:space="preserve">Pri osnovnem prospektu bi moral izvleček pripraviti samo izdajatelj za vsako posamezno ponujeno izdajo, da se zmanjšajo upravna bremena in poveča razumljivost za vlagatelje. Navedeni izvleček za posamezne izdaje bi se moral priložiti končnim pogojem, pri čemer bi ga pristojni organ lahko odobril samo, če so končni pogoji vključeni v osnovni prospekt ali v njegov dodatek. </w:t>
      </w:r>
    </w:p>
    <w:p>
      <w:pPr>
        <w:pStyle w:val="ManualConsidrant"/>
        <w:rPr>
          <w:noProof/>
          <w:szCs w:val="24"/>
        </w:rPr>
      </w:pPr>
      <w:r>
        <w:t>(31)</w:t>
      </w:r>
      <w:r>
        <w:tab/>
      </w:r>
      <w:r>
        <w:rPr>
          <w:noProof/>
        </w:rPr>
        <w:t>Da se povečata prilagodljivost in stroškovna učinkovitost osnovnega prospekta, bi bilo treba izdajatelju omogočiti pripravo osnovnega prospekta kot ločenega dokumenta, pogostemu izdajatelju pa uporabo univerzalnega registracijskega dokumenta kot sestavnega dela navedenega osnovnega prospekta.</w:t>
      </w:r>
    </w:p>
    <w:p>
      <w:pPr>
        <w:pStyle w:val="ManualConsidrant"/>
        <w:rPr>
          <w:noProof/>
        </w:rPr>
      </w:pPr>
      <w:r>
        <w:t>(32)</w:t>
      </w:r>
      <w:r>
        <w:tab/>
      </w:r>
      <w:r>
        <w:rPr>
          <w:noProof/>
        </w:rPr>
        <w:t>Pogoste izdajatelje bi bilo treba spodbuditi k pripravi prospektov kot ločenih dokumentov, ker se tako lahko zmanjšajo njihovi stroški usklajevanja s to uredbo in omogoči hitro odzivanje na tržne priložnosti. Zato bi morali imeti izdajatelji, katerih vrednostni papirji so sprejeti v trgovanje na reguliranih trgih ali v večstranskih sistemih trgovanja, možnost, vendar ne obveznosti, da vsako poslovno leto pripravijo in objavijo univerzalni registracijski dokument, ki vsebuje pravne, poslovne, finančne in računovodske informacije, informacije o lastniških deležih ter opis izdajatelja za navedeno poslovno leto. Na ta način bi se izdajatelju omogočilo, da ima redno posodobljene informacije in da, kadar so tržni pogoji ugodni za ponudbo ali sprejem v trgovanje, pripravi prospekt, tako da vanj doda opis vrednostnih papirjev in izvleček. Univerzalni registracijski dokument bi moral biti večnamenski, če je njegova vsebina enaka ne glede na to, ali ga izdajatelj pozneje uporabi za ponudbo ali sprejem lastniških vrednostnih papirjev, dolžniških vrednostnih papirjev ali izvedenih finančnih instrumentov v trgovanje. Biti bi moral vir referenčnih podatkov o izdajatelju, ki bi vlagateljem in analitikom zagotavljal minimalne informacije, potrebne za informirano presojo o poslovanju podjetja, njegovem finančnem položaju, dobičku, pričakovanjih, upravljanju in lastniških deležih.</w:t>
      </w:r>
    </w:p>
    <w:p>
      <w:pPr>
        <w:pStyle w:val="ManualConsidrant"/>
        <w:rPr>
          <w:noProof/>
          <w:szCs w:val="24"/>
        </w:rPr>
      </w:pPr>
      <w:r>
        <w:t>(33)</w:t>
      </w:r>
      <w:r>
        <w:tab/>
      </w:r>
      <w:r>
        <w:rPr>
          <w:noProof/>
        </w:rPr>
        <w:t>Izdajatelj, ki je vložil univerzalni registracijski dokument, za katerega je prejel odobritev za tri zaporedna leta, se lahko šteje za dobro poznanega pri pristojnem organu. Zato bi bilo treba omogočiti, da se vsi naknadni univerzalni registracijski dokumenti vložijo brez predhodne odobritve in da jih pristojni organ naknadno pregleda, če meni, da je to potrebno. Vsak pristojni organ bi moral določiti pogostost takega pregleda, pri čemer bi moral na primer upoštevati oceno tveganj izdajatelja, kakovost njegovih preteklih razkritij ali čas, ki je pretekel od zadnjega pregleda vloženega univerzalnega registracijskega dokumenta.</w:t>
      </w:r>
    </w:p>
    <w:p>
      <w:pPr>
        <w:pStyle w:val="ManualConsidrant"/>
        <w:rPr>
          <w:noProof/>
          <w:szCs w:val="24"/>
        </w:rPr>
      </w:pPr>
      <w:r>
        <w:t>(34)</w:t>
      </w:r>
      <w:r>
        <w:tab/>
      </w:r>
      <w:r>
        <w:rPr>
          <w:noProof/>
        </w:rPr>
        <w:t xml:space="preserve">Če univerzalni registracijski dokument ni postal sestavni del odobrenega prospekta, bi moralo biti mogoče, da ga izdajatelj spremeni prostovoljno – kadar gre na primer za pomembno spremembo v njegovi organizaciji ali spremembo finančnega položaja – ali na zahtevo pristojnega organa v okviru pregleda po vložitvi, če niso izpolnjeni standardi glede popolnosti, razumljivosti ali doslednosti. Take spremembe bi bilo treba objaviti v skladu z enakimi ureditvami, ki se uporabljajo za univerzalni registracijski dokument. Zlasti če pristojni organ ugotovi, da gre za opustitev navedbe informacij, pomembno napako ali netočnost, mora izdajatelj svoj univerzalni registracijski dokument spremeniti in to spremembo brez nepotrebnega odlašanja objaviti. Ker ne gre za javno ponudbo in sprejem vrednostnih papirjev v trgovanje, bi moral biti postopek spremembe univerzalnega registracijskega dokumenta ločen od postopka njegove dopolnitve, ki naj bi veljal šele po odobritvi prospekta. </w:t>
      </w:r>
    </w:p>
    <w:p>
      <w:pPr>
        <w:pStyle w:val="ManualConsidrant"/>
        <w:rPr>
          <w:noProof/>
          <w:szCs w:val="24"/>
        </w:rPr>
      </w:pPr>
      <w:r>
        <w:t>(35)</w:t>
      </w:r>
      <w:r>
        <w:tab/>
      </w:r>
      <w:r>
        <w:rPr>
          <w:noProof/>
        </w:rPr>
        <w:t>Če izdajatelj pripravi prospekt, sestavljen iz ločenih dokumentov, bi bilo treba odobriti vse njegove sestavne dele ter po potrebi tudi univerzalni registracijski dokument in njegove spremembe, če so bili predhodno vloženi pri pristojnem organu, ne pa tudi odobreni.</w:t>
      </w:r>
    </w:p>
    <w:p>
      <w:pPr>
        <w:pStyle w:val="ManualConsidrant"/>
        <w:rPr>
          <w:noProof/>
          <w:szCs w:val="24"/>
        </w:rPr>
      </w:pPr>
      <w:r>
        <w:t>(36)</w:t>
      </w:r>
      <w:r>
        <w:tab/>
      </w:r>
      <w:r>
        <w:rPr>
          <w:noProof/>
        </w:rPr>
        <w:t>Da se pospeši postopek priprave prospekta in olajša dostop do kapitalskih trgov na stroškovno učinkovit način, bi bilo treba pogostim izdajateljem, ki pripravijo univerzalni registracijski dokument, zagotoviti hitrejši postopek odobritve, ker je bil glavni sestavni del prospekta že odobren ali je pristojnim organom že na voljo za pregled. Zato bi bilo treba čas, potreben za odobritev prospekta, skrajšati, kadar ima registracijski dokument obliko univerzalnega registracijskega dokumenta.</w:t>
      </w:r>
    </w:p>
    <w:p>
      <w:pPr>
        <w:pStyle w:val="ManualConsidrant"/>
        <w:rPr>
          <w:noProof/>
          <w:szCs w:val="24"/>
        </w:rPr>
      </w:pPr>
      <w:r>
        <w:t>(37)</w:t>
      </w:r>
      <w:r>
        <w:tab/>
      </w:r>
      <w:r>
        <w:rPr>
          <w:noProof/>
        </w:rPr>
        <w:t>Če izdajatelj ravna v skladu s postopki vložitve, razširjanja in shranjevanja predpisanih informacij ter upošteva roke iz členov 4 in 5 Direktive 2004/109/ES Evropskega parlamenta in Sveta</w:t>
      </w:r>
      <w:r>
        <w:rPr>
          <w:rStyle w:val="FootnoteReference"/>
          <w:noProof/>
        </w:rPr>
        <w:footnoteReference w:id="11"/>
      </w:r>
      <w:r>
        <w:rPr>
          <w:noProof/>
        </w:rPr>
        <w:t>, bi mu bilo treba omogočiti, da letno in polletno računovodsko poročilo, ki se zahteva v skladu z Direktivo 2004/109/ES, objavi kot del univerzalnega registracijskega dokumenta, razen če se matična država članica izdajatelja za namene te uredbe razlikuje od matične države članice za namene Direktive 2004/109/ES in če jezik univerzalnega registracijskega dokumenta ne izpolnjuje pogojev iz člena 20 Direktive 2004/109/ES. S tem bi se moralo zmanjšati upravno breme, povezano z večkratnimi vložitvami, ne da bi vplivalo na informacije, ki so na voljo javnosti, ali na nadzor teh poročil v skladu z Direktivo 2004/109/ES.</w:t>
      </w:r>
    </w:p>
    <w:p>
      <w:pPr>
        <w:pStyle w:val="ManualConsidrant"/>
        <w:rPr>
          <w:noProof/>
          <w:szCs w:val="24"/>
        </w:rPr>
      </w:pPr>
      <w:r>
        <w:t>(38)</w:t>
      </w:r>
      <w:r>
        <w:tab/>
      </w:r>
      <w:r>
        <w:rPr>
          <w:noProof/>
        </w:rPr>
        <w:t>Treba bi bilo določiti jasen rok veljavnosti prospekta, da se prepreči sprejetje naložbenih odločitev na podlagi zastarelih informacij. Za izboljšanje pravne varnosti bi se morala veljavnost prospekta začeti z njegovo odobritvijo, tj. na datum, ki ga lahko pristojni organ zlahka preveri. Javna ponudba vrednostnih papirjev na podlagi osnovnega prospekta ima lahko daljši rok veljavnosti kot osnovni prospekt, če se naslednji osnovni prospekt odobri pred prenehanjem roka veljavnosti predhodnega osnovnega prospekta in če zajema tekočo ponudbo.</w:t>
      </w:r>
    </w:p>
    <w:p>
      <w:pPr>
        <w:pStyle w:val="ManualConsidrant"/>
        <w:rPr>
          <w:noProof/>
          <w:szCs w:val="24"/>
        </w:rPr>
      </w:pPr>
      <w:r>
        <w:t>(39)</w:t>
      </w:r>
      <w:r>
        <w:tab/>
      </w:r>
      <w:r>
        <w:rPr>
          <w:noProof/>
        </w:rPr>
        <w:t>Informacije o davkih na prihodek od vrednostnih papirjev iz prospekta so lahko samo splošne, pri čemer imajo majhno informacijsko vrednost za posameznega vlagatelja. Ker morajo take informacije poleg države, v kateri ima izdajatelj registrirani sedež, zajemati tudi države, v katerih se predloži ponudba ali zaprosi za sprejem v trgovanje, če ima prospekt enotno dovoljenje za čezmejno uporabo, so stroški priprave prospekta visoki in lahko ovirajo čezmejne ponudbe. Zato bi moral prospekt vsebovati samo opozorilo, da lahko davčna zakonodaja države članice vlagatelja in države članice, v kateri je izdajatelj registriran, vpliva na prihodke iz naslova vrednostnih papirjev. Vendar bi moral prospekt kljub temu vsebovati ustrezne informacije o obdavčitvi, če predlagana naložba vključuje posebno davčno ureditev, na primer pri naložbah v vrednostne papirje, ki vlagateljem zagotavljajo ugodno davčno obravnavo.</w:t>
      </w:r>
    </w:p>
    <w:p>
      <w:pPr>
        <w:pStyle w:val="ManualConsidrant"/>
        <w:rPr>
          <w:noProof/>
        </w:rPr>
      </w:pPr>
      <w:r>
        <w:t>(40)</w:t>
      </w:r>
      <w:r>
        <w:tab/>
      </w:r>
      <w:r>
        <w:rPr>
          <w:noProof/>
        </w:rPr>
        <w:t>Ko je razred vrednostnih papirjev sprejet v trgovanje na reguliranem trgu, izdajatelj vlagateljem zagotovi stalna razkritja v skladu z Uredbo (EU) št. 596/2014 Evropskega parlamenta in Sveta</w:t>
      </w:r>
      <w:r>
        <w:rPr>
          <w:rStyle w:val="FootnoteReference"/>
          <w:noProof/>
        </w:rPr>
        <w:footnoteReference w:id="12"/>
      </w:r>
      <w:r>
        <w:rPr>
          <w:noProof/>
        </w:rPr>
        <w:t xml:space="preserve"> ter Direktivo 2004/109/ES. Takemu izdajatelju pri nadaljnjih javnih ponudbah ali sprejemu v trgovanje ni treba nujno pripraviti celotnega prospekta. Zato bi moral biti v primeru sekundarnih izdaj na voljo ločen prospekt s poenostavljeno vsebino glede na običajni sistem priprave prospekta, pri čemer bi se morale upoštevati že razkrite informacije. Vlagateljem je treba kljub temu zagotoviti konsolidirane in dobro strukturirane informacije o elementih, kot so pogoji ponudbe in njena vsebina, vključno z izkazom o obratnem kapitalu, uporabo prihodkov, dejavniki tveganja, ki se nanašajo posebej na izdajatelja in vrednostne papirje, običajnimi postopki odbora, prejemki direktorjev, lastniško strukturo ali posli s povezanimi osebami. Ker se stalno razkrivanje takih informacij v skladu z Uredbo (EU) št. 596/2014 in Direktivo 2004/109/ES ne zahteva, je primerno, da prospekt, pripravljen v primeru sekundarne izdaje, vsebuje vsaj te informacije.</w:t>
      </w:r>
    </w:p>
    <w:p>
      <w:pPr>
        <w:pStyle w:val="ManualConsidrant"/>
        <w:rPr>
          <w:noProof/>
          <w:szCs w:val="24"/>
        </w:rPr>
      </w:pPr>
      <w:r>
        <w:t>(41)</w:t>
      </w:r>
      <w:r>
        <w:tab/>
      </w:r>
      <w:r>
        <w:rPr>
          <w:noProof/>
        </w:rPr>
        <w:t>Posebno ureditev za razkritja za sekundarne izdaje bi bilo treba razširiti na zagonske trge MSP, ker se v skladu z Direktivo 2014/65/EU od njihovih upravljavcev zahteva, da vzpostavijo in uporabijo pravila, ki zagotavljajo ustrezna stalna razkrivanje informacij s strani izdajateljev vrednostnih papirjev, s katerimi se trguje na takih mestih.</w:t>
      </w:r>
    </w:p>
    <w:p>
      <w:pPr>
        <w:pStyle w:val="ManualConsidrant"/>
        <w:rPr>
          <w:noProof/>
          <w:szCs w:val="24"/>
        </w:rPr>
      </w:pPr>
      <w:r>
        <w:t>(42)</w:t>
      </w:r>
      <w:r>
        <w:tab/>
      </w:r>
      <w:r>
        <w:rPr>
          <w:noProof/>
        </w:rPr>
        <w:t>Posebna ureditev za razkritja za sekundarne izdaje bi morala biti na voljo za uporabo šele nekaj časa po tem, ko se razred vrednostnih papirjev izdajatelja sprejme v trgovanje. Z 18-mesečnim odlogom bi se moralo zagotoviti, da izdajatelj vsaj enkrat izpolni svojo obveznost objave letnega računovodskega poročila v skladu z Direktivo 2004/109/ES ali pravili upravljavca zagonskega trga MSP.</w:t>
      </w:r>
    </w:p>
    <w:p>
      <w:pPr>
        <w:pStyle w:val="ManualConsidrant"/>
        <w:rPr>
          <w:noProof/>
          <w:szCs w:val="24"/>
        </w:rPr>
      </w:pPr>
      <w:r>
        <w:t>(43)</w:t>
      </w:r>
      <w:r>
        <w:tab/>
      </w:r>
      <w:r>
        <w:rPr>
          <w:noProof/>
        </w:rPr>
        <w:t>Eden glavnih ciljev unije kapitalskih trgov je MSP v Uniji olajšati dostop do financiranja na kapitalskih trgih. Ker morajo taka podjetja običajno zbrati razmeroma nižje zneske kot drugi izdajatelji, so lahko stroški priprave prospekta nesorazmerno visoki in jih lahko odvrnejo od javne ponudbe svojih vrednostnih papirjev. Hkrati lahko MSP zaradi svoje velikosti in krajše zgodovine naložbenih rezultatov pomenijo večje tveganje kot večji izdajatelji, zato bi morala vlagateljem razkriti zadostne informacije za sprejetje odločitve o naložbi. Zato bi bilo treba pri določanju vsebine prospekta, ki se uporablja za MSP, zagotoviti ustrezno ravnovesje med stroškovno učinkovitim dostopom do finančnih trgov in zaščito vlagateljev ter razviti posebno ureditev za razkritja za MSP, da se doseže ta cilj.</w:t>
      </w:r>
    </w:p>
    <w:p>
      <w:pPr>
        <w:pStyle w:val="ManualConsidrant"/>
        <w:rPr>
          <w:noProof/>
          <w:szCs w:val="24"/>
        </w:rPr>
      </w:pPr>
      <w:r>
        <w:t>(44)</w:t>
      </w:r>
      <w:r>
        <w:tab/>
      </w:r>
      <w:r>
        <w:rPr>
          <w:noProof/>
        </w:rPr>
        <w:t>Minimalne informacije, ki bi jih MSP morala razkriti v skladu s posebno ureditvijo za razkritja, bi morale biti osredotočene na informacije, ki so bistvene in pomembne za podjetja take velikosti in njihove vlagatelje, ter usmerjene v zagotavljanje sorazmernosti med velikostjo podjetja in njegovimi potrebami po zbiranju sredstev na eni ter stroški priprave prospekta na drugi strani. Da se MSP omogoči priprava prospektov brez stroškov, ki niso sorazmerni z velikostjo MSP in posledično z obsegom njihovega zbiranja finančnih sredstev, bi morala biti posebna ureditev za razkritja zanje prožnejša kot tista, ki se uporablja za podjetja na reguliranem trgu, in sicer toliko, da se zagotovi razkritje ključnih informacij, ki jih potrebujejo vlagatelji.</w:t>
      </w:r>
    </w:p>
    <w:p>
      <w:pPr>
        <w:pStyle w:val="ManualConsidrant"/>
        <w:rPr>
          <w:noProof/>
        </w:rPr>
      </w:pPr>
      <w:r>
        <w:t>(45)</w:t>
      </w:r>
      <w:r>
        <w:tab/>
      </w:r>
      <w:r>
        <w:rPr>
          <w:noProof/>
        </w:rPr>
        <w:t>Posebna ureditev za razkritja bi morala biti na voljo za javne ponudbe vrednostnih papirjev MSP, s katerimi se trguje v večstranskih sistemih trgovanja, vključno na zagonskih trgih MSP, ker lahko taka mesta trgovanja MSP omogočijo dostop do kapitalskih trgov, zanje pa se uporabljajo manj stroga pravila glede razkritja kot na reguliranih trgih. Prav tako je primerno opredelitev MSP razširiti na MSP, kot so opredeljena v Direktivi 2014/65/EU, da se zagotovi doslednost med to uredbo in navedeno direktivo. MSP, ki izdajajo vrednostne papirje, s katerimi se ne trguje na nobenem mestu trgovanja, bi morala biti prav tako upravičena do te ureditve za razkritja, ker se lahko tudi od njih zahteva priprava prospekta ob javni ponudbi vrednostnih papirjev, tudi prek platform za množično financiranje. Vendar MSP, ki kotirajo na reguliranih trgih, ne bi smela biti upravičena do uporabe te ureditve, ker bi morali vlagatelji na reguliranih trgih zaupati, da za izdajatelje, v čigar vrednostne papirje vlagajo, velja enoten sklop pravil o razkritju. Zato se na reguliranih trgih ne bi smel uporabljati dvotirni standard za razkritja glede na velikost izdajatelja.</w:t>
      </w:r>
    </w:p>
    <w:p>
      <w:pPr>
        <w:pStyle w:val="ManualConsidrant"/>
        <w:rPr>
          <w:noProof/>
        </w:rPr>
      </w:pPr>
      <w:r>
        <w:t>(46)</w:t>
      </w:r>
      <w:r>
        <w:tab/>
      </w:r>
      <w:r>
        <w:rPr>
          <w:noProof/>
        </w:rPr>
        <w:t>Če delnice in vrednostni papirji MSP niso sprejeti v trgovanje na reguliranem trgu, bi bilo treba MSP, ki ponujajo delnice in nehibridne dolžniške vrednostne papirje, omogočiti izbirno metodo priprave prospekta v obliki lahko razumljivega dokumenta o razkritju, ki temelji na vprašanjih in odgovorih. Ta alternativna oblika običajnemu seznamu razkritij bi morala biti zasnovana tako, da se kar najbolj zmanjšajo stroški za MSP, da se jim omogoči, da sama pripravijo prospekt na podlagi svojih zmožnosti. Vprašanja v obrazcu bi morala biti oblikovana tako, da izvabijo določene vrste informacij, ki so posebnega pomena za MSP, zahteve po informacijah pa bi morale biti podrobnejše kot tiste na običajnih seznamih razkritij, da bi bilo osebam, ki uporabljajo obliko dokumenta z vprašanji in odgovori, bolj razumljivo, katere informacije se zahtevajo.</w:t>
      </w:r>
    </w:p>
    <w:p>
      <w:pPr>
        <w:pStyle w:val="ManualConsidrant"/>
        <w:rPr>
          <w:noProof/>
          <w:szCs w:val="24"/>
        </w:rPr>
      </w:pPr>
      <w:r>
        <w:t>(47)</w:t>
      </w:r>
      <w:r>
        <w:tab/>
      </w:r>
      <w:r>
        <w:rPr>
          <w:noProof/>
        </w:rPr>
        <w:t>Ugodne obravnave, odobrene za izdaje nelastniških vrednostnih papirjev z nominalno vrednostjo na enoto nad 100 000 EUR, lahko izkrivijo strukturo dolžniških trgov, ovirajo ustrezno razpršitev portfeljev in razvoj elektronskih platform za trgovanje, s čimer ogrozijo likvidnost na sekundarnem trgu, ter omejijo izbiro v zvezi z naložbami za male vlagatelje, tako da jim onemogočijo nakup podjetniških obveznic naložbenega razreda. Zato je primerno odpraviti izvzetje iz obveznosti objave prospekta za ponudbe nelastniških vrednostnih papirjev z nominalno vrednostjo na enoto, ki znaša vsaj 100 000 EUR, ter nižji standard za razkritja, odobren za prospekte, ki se nanašajo na take nelastniške vrednostne papirje, prvotno določen v Direktivi 2003/71/ES. Zlasti je primerno poenotiti zahteve po minimalnih informacijah za prospekte, ki se nanašajo na nelastniške vrednostne papirje, tako da se odpravi dvojni standard za razkritja med izdajami, namenjenimi samo dobro poučenim vlagateljem, in izdajami, namenjenimi nepoučenim vlagateljem.</w:t>
      </w:r>
    </w:p>
    <w:p>
      <w:pPr>
        <w:pStyle w:val="ManualConsidrant"/>
        <w:rPr>
          <w:noProof/>
          <w:szCs w:val="24"/>
        </w:rPr>
      </w:pPr>
      <w:r>
        <w:t>(48)</w:t>
      </w:r>
      <w:r>
        <w:tab/>
      </w:r>
      <w:r>
        <w:rPr>
          <w:noProof/>
        </w:rPr>
        <w:t>Glavni namen vključitve dejavnikov tveganja v prospekt je zagotoviti, da vlagatelji ocenijo taka tveganja na podlagi informacij in se o naložbi odločijo ob celovitem poznavanju dejstev. Dejavniki tveganja bi zato morali biti omejeni na tista tveganja, ki so pomembna za vlagatelja in se posebej nanašajo nanj in na njegove vrednostne papirje ter ki so potrjena z vsebino prospekta. Prospekt ne bi smel vsebovati dejavnikov tveganja, ki so splošni in se uporabljajo samo kot izjave o omejitvi odgovornosti, ker bi ti lahko zakrili bolj specifične dejavnike tveganja, s katerimi bi morali biti vlagatelji seznanjeni, in tako preprečili, da bi prospekt predstavljal informacije v jedrnati in razumljivi obliki, ki omogoča preprosto analizo. Za pomoč vlagateljem pri prepoznavanju najpomembnejših tveganj bi bilo treba od izdajatelja zahtevati, da specifične dejavnike tveganja združi v skupine in jih razvrsti v kategorije na podlagi stopnje pomembnosti. V izvleček bi bilo treba vključiti omejeno število dejavnikov tveganja, ki jih izdajatelj izbere iz kategorije z najvišjo stopnjo pomembnosti.</w:t>
      </w:r>
    </w:p>
    <w:p>
      <w:pPr>
        <w:pStyle w:val="ManualConsidrant"/>
        <w:rPr>
          <w:noProof/>
          <w:szCs w:val="24"/>
        </w:rPr>
      </w:pPr>
      <w:r>
        <w:t>(49)</w:t>
      </w:r>
      <w:r>
        <w:tab/>
      </w:r>
      <w:r>
        <w:rPr>
          <w:noProof/>
        </w:rPr>
        <w:t>Opustitev navedbe občutljivih informacij v prospektu bi bilo treba v nekaterih okoliščinah dovoliti z odstopanjem, ki ga odobri pristojni organ, da se prepreči oškodovanje izdajatelja.</w:t>
      </w:r>
    </w:p>
    <w:p>
      <w:pPr>
        <w:pStyle w:val="ManualConsidrant"/>
        <w:rPr>
          <w:noProof/>
          <w:szCs w:val="24"/>
        </w:rPr>
      </w:pPr>
      <w:r>
        <w:t>(50)</w:t>
      </w:r>
      <w:r>
        <w:tab/>
      </w:r>
      <w:r>
        <w:rPr>
          <w:noProof/>
        </w:rPr>
        <w:t>Države članice objavijo veliko informacij o svojem finančnem položaju, ki so na splošno na voljo javnosti. Če država članica jamči za ponudbo vrednostnih papirjev, se vključitev takih informacij v prospekt zato ne bi smela zahtevati.</w:t>
      </w:r>
    </w:p>
    <w:p>
      <w:pPr>
        <w:pStyle w:val="ManualConsidrant"/>
        <w:rPr>
          <w:noProof/>
          <w:szCs w:val="24"/>
        </w:rPr>
      </w:pPr>
      <w:r>
        <w:t>(51)</w:t>
      </w:r>
      <w:r>
        <w:tab/>
      </w:r>
      <w:r>
        <w:rPr>
          <w:noProof/>
        </w:rPr>
        <w:t>Možnost, da izdajatelji v prospekt vključijo referenčne dokumente z informacijami, ki jih je treba razkriti – če so bili dokumenti, ki so vključeni s sklicevanjem, predhodno objavljeni elektronsko – bi morala olajšati postopek priprave prospekta in znižati stroške za izdajatelje, ne da bi se pri tem ogrozila zaščita vlagateljev. Vendar se ta cilj poenostavitve in zmanjšanja stroškov priprave prospekta ne bi smel doseči na škodo drugih interesov, ki naj bi jih ščitil prospekt, vključno z dostopnostjo informacij. Pri uporabi jezika za informacije, vključene s sklicevanjem, bi bilo treba upoštevati obveznost glede jezika, ki se uporablja za prospekte. Informacije, vključene s sklicevanjem, se lahko nanašajo na pretekle podatke, vendar je treba, če te informacije niso več ustrezne zaradi pomembnih sprememb, to jasno navesti v prospektu in zagotoviti tudi posodobljene informacije.</w:t>
      </w:r>
    </w:p>
    <w:p>
      <w:pPr>
        <w:pStyle w:val="ManualConsidrant"/>
        <w:rPr>
          <w:noProof/>
          <w:szCs w:val="24"/>
        </w:rPr>
      </w:pPr>
      <w:r>
        <w:t>(52)</w:t>
      </w:r>
      <w:r>
        <w:tab/>
      </w:r>
      <w:r>
        <w:rPr>
          <w:noProof/>
        </w:rPr>
        <w:t>Vse predpisane informacije, kot so določene v členu 2(1)(k) Direktive 2004/109/ES, bi morale biti upravičene do vključitve v prospekt s sklicevanjem. Izdajateljem vrednostnih papirjev, s katerimi se trguje v večstranskem sistemu trgovanja, in izdajateljem, ki so oproščeni obveznosti objave letnih ali polletnih računovodskih poročil v skladu s členom 8(1)(b) Direktive 2004/109/ES, bi bilo treba prav tako omogočiti, da vse ali del svojih letnih ali polletnih finančnih podatkov, revizijskih poročil, računovodskih izkazov, poslovnih poročil ali izjav o upravljanju podjetja, za katere velja obveznost elektronske objave, vključijo v prospekt s sklicevanjem.</w:t>
      </w:r>
    </w:p>
    <w:p>
      <w:pPr>
        <w:pStyle w:val="ManualConsidrant"/>
        <w:rPr>
          <w:noProof/>
        </w:rPr>
      </w:pPr>
      <w:r>
        <w:t>(53)</w:t>
      </w:r>
      <w:r>
        <w:tab/>
      </w:r>
      <w:r>
        <w:rPr>
          <w:noProof/>
        </w:rPr>
        <w:t>Vsi izdajatelji nimajo dostopa do ustreznih informacij in navodil o postopku pregleda in odobritve ter o potrebnih korakih, ki jih je treba upoštevati, da se prospekt odobri, ker pristojni organi držav članic uporabljajo različne pristope. Ta uredba bi morala te razlike odpraviti z uskladitvijo pravil, ki se uporabljajo za postopke pregleda in odobritve, da se zagotovi, da vsi pristojni organi sprejmejo usklajen pristop pri pregledovanju popolnosti, doslednosti in razumljivosti informacij v prospektu. Navodila v zvezi s prošnjo za odobritev prospekta bi morala biti javno dostopna na spletnih mestih pristojnih organov. ESMA bi morala imeti na podlagi pooblastil iz Uredbe (EU) št. 1095/2010 Evropskega parlamenta in Sveta</w:t>
      </w:r>
      <w:r>
        <w:rPr>
          <w:rStyle w:val="FootnoteReference"/>
          <w:noProof/>
        </w:rPr>
        <w:footnoteReference w:id="13"/>
      </w:r>
      <w:r>
        <w:rPr>
          <w:noProof/>
        </w:rPr>
        <w:t xml:space="preserve"> ključno vlogo pri spodbujanju konvergence nadzornih praks na tem področju. Zlasti bi morala izvesti strokovne preglede dejavnosti pristojnih organov iz te uredbe v ustreznem časovnem okviru pred pregledom te uredbe in v skladu z Uredbo (EU) št. 1095/2010. </w:t>
      </w:r>
    </w:p>
    <w:p>
      <w:pPr>
        <w:pStyle w:val="ManualConsidrant"/>
        <w:rPr>
          <w:noProof/>
          <w:szCs w:val="24"/>
        </w:rPr>
      </w:pPr>
      <w:r>
        <w:t>(54)</w:t>
      </w:r>
      <w:r>
        <w:tab/>
      </w:r>
      <w:r>
        <w:rPr>
          <w:noProof/>
        </w:rPr>
        <w:t>Da se olajša dostop na trge držav članic, je pomembno, da se razkrijejo pristojbine, ki jih pristojni organi zaračunajo za odobritev in vložitev prospektov ter z njimi povezanih dokumentov.</w:t>
      </w:r>
    </w:p>
    <w:p>
      <w:pPr>
        <w:pStyle w:val="ManualConsidrant"/>
        <w:rPr>
          <w:noProof/>
        </w:rPr>
      </w:pPr>
      <w:r>
        <w:t>(55)</w:t>
      </w:r>
      <w:r>
        <w:tab/>
      </w:r>
      <w:r>
        <w:rPr>
          <w:noProof/>
        </w:rPr>
        <w:t xml:space="preserve">Ker so informacije na spletu lahko dostopne in zato, da se vlagateljem zagotovi boljša dostopnost, bi bilo treba odobreni prospekt vedno objaviti v elektronski obliki. Prospekt bi bilo treba objaviti v ustreznem oddelku na spletnem mestu izdajatelja, ponudnika ali osebe, ki prosi za sprejem v trgovanje, ali, kjer je primerno, na spletnem mestu finančnih posrednikov, ki plasirajo ali prodajajo vrednostne papirje, vključno s spletnimi mesti plačilnih zastopnikov, ali pa na spletnem mestu reguliranega trga, za katerega se vloži vloga za sprejem v trgovanje, ali upravljavca večstranskega sistema trgovanja, pri čemer bi ga moral pristojni organ posredovati ESMA skupaj s pomembnimi podatki, ki omogočajo njegovo razvrstitev. ESMA bi morala zagotoviti centralni mehanizem za shranjevanje prospektov, ki javnosti omogoča brezplačen dostop in ji zagotavlja ustrezna iskalna orodja. Prospekti bi morali biti na voljo vsaj 10 let po objavi, da se zagotovi usklajenost med obdobjem njihove javne dostopnosti in obdobjem javne dostopnosti letnih in polletnih računovodskih poročil iz Direktive 2004/109/ES. Prospekt bi moral biti na zahtevo vlagateljem vedno na voljo v papirni obliki in brezplačno. </w:t>
      </w:r>
    </w:p>
    <w:p>
      <w:pPr>
        <w:pStyle w:val="ManualConsidrant"/>
        <w:rPr>
          <w:noProof/>
        </w:rPr>
      </w:pPr>
      <w:r>
        <w:t>(56)</w:t>
      </w:r>
      <w:r>
        <w:tab/>
      </w:r>
      <w:r>
        <w:rPr>
          <w:noProof/>
        </w:rPr>
        <w:t>Uskladiti je treba tudi oglase, da se ne ogrozita javno zaupanje in delovanje finančnih trgov. Poštenost in točnost oglasov ter njihova skladnost z vsebino prospekta so zelo pomembne za zaščito vlagateljev, vključno z malimi vlagatelji, nadzor takih oglasov pa je sestavni del vloge pristojnih organov.</w:t>
      </w:r>
    </w:p>
    <w:p>
      <w:pPr>
        <w:pStyle w:val="ManualConsidrant"/>
        <w:rPr>
          <w:noProof/>
          <w:szCs w:val="24"/>
        </w:rPr>
      </w:pPr>
      <w:r>
        <w:t>(57)</w:t>
      </w:r>
      <w:r>
        <w:tab/>
      </w:r>
      <w:r>
        <w:rPr>
          <w:noProof/>
        </w:rPr>
        <w:t>Vlagatelji bi morali vsak pomemben nov dejavnik, bistveno napako ali netočnost, ki bi lahko vplivala na oceno naložbe, ki se pojavi po objavi prospekta in pred iztekom ponudbe ali začetkom trgovanja na reguliranem trgu, ustrezno ovrednotiti, zato je treba dodatek k prospektu odobriti in razširiti brez nepotrebnega odlašanja.</w:t>
      </w:r>
    </w:p>
    <w:p>
      <w:pPr>
        <w:pStyle w:val="ManualConsidrant"/>
        <w:rPr>
          <w:noProof/>
          <w:szCs w:val="24"/>
        </w:rPr>
      </w:pPr>
      <w:r>
        <w:t>(58)</w:t>
      </w:r>
      <w:r>
        <w:tab/>
      </w:r>
      <w:r>
        <w:rPr>
          <w:noProof/>
        </w:rPr>
        <w:t>Za izboljšanje pravne varnosti bi bilo treba jasno opredeliti ustrezne roke, v katerih mora izdajatelj objaviti dodatek k prospektu in v katerih imajo vlagatelji pravico, da po objavi dodatka umaknejo sprejetje ponudbe. Na eni strani bi morala obveznost dopolnitve prospekta veljati do dokončnega izteka obdobja ponudbe ali trenutka, ko se začne trgovanje s takimi vrednostnimi papirji na reguliranem trgu, odvisno od tega, kaj se zgodi pozneje. Na drugi strani pa bi morala pravica do umika sprejetja ponudbe veljati le, če se prospekt nanaša na javno ponudbo vrednostnih papirjev in je prišlo do novega dejavnika, napake ali netočnosti pred dokončnim iztekom ponudbe in izročitvijo vrednostnih papirjev. Zato bi morala biti pravica do umika povezana s časom nastanka novega dejavnika, napake ali netočnosti, ki je razlog za dopolnitev, pri njej pa bi se moralo predpostavljati, da do takega dogodka, ki to povzroči, pride, ko je ponudba odprta in preden se izročijo vrednostni papirji. Za izboljšanje pravne varnosti bi moralo biti v dodatku k prospektu navedeno, kdaj preneha veljati pravica do umika. Finančni posredniki bi morali olajšati postopke, kadar vlagatelji uveljavljajo svojo pravico do umika sprejetja ponudbe.</w:t>
      </w:r>
    </w:p>
    <w:p>
      <w:pPr>
        <w:pStyle w:val="ManualConsidrant"/>
        <w:rPr>
          <w:noProof/>
          <w:szCs w:val="24"/>
        </w:rPr>
      </w:pPr>
      <w:r>
        <w:t>(59)</w:t>
      </w:r>
      <w:r>
        <w:tab/>
      </w:r>
      <w:r>
        <w:rPr>
          <w:noProof/>
        </w:rPr>
        <w:t>Obveznost, da mora izdajatelj prospekt v celoti prevesti v vse ustrezne uradne jezike, ovira čezmejne ponudbe in večkratno trgovanje. Da bi se olajšale čezmejne ponudbe, ko je prospekt sestavljen v jeziku, ki je običajen na področju mednarodnih financ, bi bilo treba v uradne jezike držav članic gostiteljic ali matičnih držav članic prevesti samo izvleček.</w:t>
      </w:r>
    </w:p>
    <w:p>
      <w:pPr>
        <w:pStyle w:val="ManualConsidrant"/>
        <w:rPr>
          <w:noProof/>
          <w:szCs w:val="24"/>
        </w:rPr>
      </w:pPr>
      <w:r>
        <w:t>(60)</w:t>
      </w:r>
      <w:r>
        <w:tab/>
      </w:r>
      <w:r>
        <w:rPr>
          <w:noProof/>
        </w:rPr>
        <w:t>Pristojni organ države članice gostiteljice bi moral biti upravičen do prejetja potrdila pristojnega organa matične države članice, ki navaja, da je prospekt pripravljen v skladu s to uredbo. Pristojni organ matične države članice bi moral o potrdilu o odobritvi prospekta, ki je namenjen organu države članice gostiteljice, obvestiti tudi izdajatelja ali osebo, odgovorno za pripravo prospekta, da jima zagotovi informacije o tem, ali je bilo uradno obvestilo dejansko podano in kdaj.</w:t>
      </w:r>
    </w:p>
    <w:p>
      <w:pPr>
        <w:pStyle w:val="ManualConsidrant"/>
        <w:rPr>
          <w:noProof/>
        </w:rPr>
      </w:pPr>
      <w:r>
        <w:t>(61)</w:t>
      </w:r>
      <w:r>
        <w:tab/>
      </w:r>
      <w:r>
        <w:rPr>
          <w:noProof/>
        </w:rPr>
        <w:t>Da se zagotovi, da bodo nameni te uredbe v celoti doseženi, je treba v okvir področja uporabe Uredbe vključiti vrednostne papirje, ki jih izdajo izdajatelji, za katere velja pravo tretjih držav. Izdajatelji iz tretjih držav, ki pripravijo prospekt iz te uredbe, bi morali med subjekti, ki opravljajo dejavnosti, urejene in nadzorovane v skladu s predpisi EU o finančnih storitvah, imenovati zastopnika, ki bo za namene te uredbe kontaktna točka. Zastopnik bi moral skupaj z izdajateljem zagotoviti skladnost z določbami te uredbe. Da se zagotovita izmenjava informacij in sodelovanje s pristojnimi organi tretjih držav z namenom učinkovitega izvrševanja te uredbe, bi morali pristojni organi skleniti dogovore o sodelovanju s pristojnimi organi v tretjih državah. Kakršen koli prenos osebnih podatkov na podlagi teh dogovorov bi moral biti skladen z Direktivo 95/46/ES in Uredbo (ES) št. 45/2001 Evropskega parlamenta in Sveta.</w:t>
      </w:r>
    </w:p>
    <w:p>
      <w:pPr>
        <w:pStyle w:val="ManualConsidrant"/>
        <w:rPr>
          <w:noProof/>
          <w:szCs w:val="24"/>
        </w:rPr>
      </w:pPr>
      <w:r>
        <w:t>(62)</w:t>
      </w:r>
      <w:r>
        <w:tab/>
      </w:r>
      <w:r>
        <w:rPr>
          <w:noProof/>
        </w:rPr>
        <w:t>Zaradi vrste pristojnih organov v državah članicah, ki imajo različne odgovornosti, lahko pride do nepotrebnih stroškov in prekrivanja odgovornosti, ki ne prinašajo nobenih dodatnih koristi. V vsaki državi članici bi bilo treba določiti en sam pristojni organ, ki odobri prospekte in prevzame odgovornost za nadzor skladnosti s to uredbo. Navedeni pristojni organ bi bilo treba vzpostaviti kot upravni organ in v taki obliki, da se zagotovi njegova neodvisnost od gospodarskih subjektov in preprečijo nasprotja interesov. Pri določanju pristojnega organa za odobritev prospekta se ne bi smelo izključiti sodelovanje med pristojnim organom in drugimi subjekti, kot so regulativni organi za bančništvo in zavarovalništvo ali organi za uvrstitev v kotacijo, da se zagotovita učinkovit pregled in odobritev prospektov v interesu izdajateljev, vlagateljev, udeležencev na trgu in trgov. Pristojnemu organu se lahko dovoli prenos nalog drugemu subjektu samo, če je prenos povezan z objavo odobrenih prospektov.</w:t>
      </w:r>
    </w:p>
    <w:p>
      <w:pPr>
        <w:pStyle w:val="ManualConsidrant"/>
        <w:rPr>
          <w:noProof/>
        </w:rPr>
      </w:pPr>
      <w:r>
        <w:t>(63)</w:t>
      </w:r>
      <w:r>
        <w:tab/>
      </w:r>
      <w:r>
        <w:rPr>
          <w:noProof/>
        </w:rPr>
        <w:t>Učinkovitost nadzora se zagotavlja s sklopom učinkovitih orodij ter pooblastil in virov pristojnih organov držav članic. V tej uredbi bi bilo zato treba zlasti določiti minimalen sklop nadzornih in preiskovalnih pooblastil, ki bi jih bilo treba v skladu z nacionalnim pravom podeliti pristojnim organom držav članic. Kadar to zahteva nacionalno pravo, bi bilo treba ta pooblastila izvajati na podlagi vložitve zahtevka pri pristojnih sodnih organih. Pristojni organi in ESMA bi morali pri izvajanju svojih pooblastil iz te uredbe ravnati objektivno in nepristransko ter svoje odločitve sprejemati samostojno.</w:t>
      </w:r>
    </w:p>
    <w:p>
      <w:pPr>
        <w:pStyle w:val="ManualConsidrant"/>
        <w:rPr>
          <w:noProof/>
          <w:szCs w:val="24"/>
        </w:rPr>
      </w:pPr>
      <w:r>
        <w:t>(64)</w:t>
      </w:r>
      <w:r>
        <w:tab/>
      </w:r>
      <w:r>
        <w:rPr>
          <w:noProof/>
        </w:rPr>
        <w:t>Za namene odkrivanja kršitev te uredbe je treba pristojnim organom omogočiti dostop do prostorov, razen zasebnih prebivališč fizičnih oseb, da lahko zasežejo dokumente. Dostop do teh prostorov je nujen, kadar se utemeljeno sumi, da obstajajo dokumenti in drugi podatki, povezani s predmetom inšpekcijskega pregleda ali preiskave, ki so lahko pomembni za dokazovanje kršitve te uredbe. Vstop v te prostore je potreben tudi, kadar oseba ni izpolnila že predložene zahteve po informacijah, ali obstajajo utemeljeni razlogi za sum, da zahteva po informacijah, če bi bila predložena, ne bi bila izpolnjena ali da bi se zahtevani dokumenti ali informacije odstranili, spremenili ali uničili.</w:t>
      </w:r>
    </w:p>
    <w:p>
      <w:pPr>
        <w:pStyle w:val="ManualConsidrant"/>
        <w:rPr>
          <w:noProof/>
          <w:szCs w:val="24"/>
        </w:rPr>
      </w:pPr>
      <w:r>
        <w:t>(65)</w:t>
      </w:r>
      <w:r>
        <w:tab/>
      </w:r>
      <w:r>
        <w:rPr>
          <w:noProof/>
        </w:rPr>
        <w:t>V skladu s sporočilom Komisije z dne 8. decembra 2010 z naslovom „Krepitev sistemov sankcij v sektorju finančnih storitev“ in da se zagotovi izpolnjevanje zahtev iz te uredbe, je pomembno, da države članice sprejmejo potrebne ukrepe za zagotovitev ustreznih upravnih sankcij in ukrepov v primeru kršitev te uredbe. Te upravne sankcije in ukrepi bi morali biti učinkoviti, sorazmerni in odvračilni, da bi zagotovili skupni pristop v državah članicah in učinkovali odvračilno. Ta uredba ne bi smela omejevati možnosti držav članic, da določijo višje ravni upravnih sankcij.</w:t>
      </w:r>
    </w:p>
    <w:p>
      <w:pPr>
        <w:pStyle w:val="ManualConsidrant"/>
        <w:rPr>
          <w:noProof/>
          <w:szCs w:val="24"/>
        </w:rPr>
      </w:pPr>
      <w:r>
        <w:t>(66)</w:t>
      </w:r>
      <w:r>
        <w:tab/>
      </w:r>
      <w:r>
        <w:rPr>
          <w:noProof/>
        </w:rPr>
        <w:t xml:space="preserve">Da se zagotovi odvračilni učinek odločitev pristojnih organov na širšo javnost, bi jih bilo treba običajno objaviti, razen če pristojni organ v skladu s to uredbo meni, da je treba navedene odločitve objaviti anonimno, objavo odložiti ali da se sankcije ne smejo objaviti. </w:t>
      </w:r>
    </w:p>
    <w:p>
      <w:pPr>
        <w:pStyle w:val="ManualConsidrant"/>
        <w:rPr>
          <w:noProof/>
          <w:szCs w:val="24"/>
        </w:rPr>
      </w:pPr>
      <w:r>
        <w:t>(67)</w:t>
      </w:r>
      <w:r>
        <w:tab/>
      </w:r>
      <w:r>
        <w:rPr>
          <w:noProof/>
        </w:rPr>
        <w:t>Čeprav lahko države članice določijo pravila za upravne in kazenske sankcije za iste kršitve, se od njih ne bi smelo zahtevati, da določijo pravila za upravne sankcije za kršitve te uredbe, za katere do [</w:t>
      </w:r>
      <w:r>
        <w:rPr>
          <w:i/>
          <w:noProof/>
        </w:rPr>
        <w:t>vnesti datum začetka uporabe te uredbe</w:t>
      </w:r>
      <w:r>
        <w:rPr>
          <w:noProof/>
        </w:rPr>
        <w:t xml:space="preserve">] velja nacionalno kazensko pravo. Države članice v skladu z nacionalnim pravom niso obvezane naložiti tako upravnih kot kazenskih sankcij za isto kršitev, vendar bi morale imeti možnost, da to storijo, če jim nacionalno pravo to dovoljuje. Če se namesto upravnih sankcij za kršitve te uredbe ohranijo kazenske sankcije, to ne bi smelo zmanjšati zmožnosti pristojnih organov ali kako drugače vplivati nanje, da za namene te uredbe sodelujejo s pristojnimi organi v drugih državah članicah, da imajo dostop do informacij in da pravočasno izmenjujejo informacije s temi organi, tudi po prijavi zadevnih kršitev pristojnim pravosodnim organom za namene kazenskega pregona. </w:t>
      </w:r>
    </w:p>
    <w:p>
      <w:pPr>
        <w:pStyle w:val="ManualConsidrant"/>
        <w:rPr>
          <w:noProof/>
          <w:szCs w:val="24"/>
        </w:rPr>
      </w:pPr>
      <w:r>
        <w:t>(68)</w:t>
      </w:r>
      <w:r>
        <w:tab/>
      </w:r>
      <w:r>
        <w:rPr>
          <w:noProof/>
        </w:rPr>
        <w:t xml:space="preserve">Prijavitelji nepravilnosti lahko pristojnim organom posredujejo nove informacije, ki so jim v pomoč pri odkrivanju in sankcioniranju primerov kršitev te uredbe. Zato bi bilo treba s to uredbo zagotoviti ustrezne ureditve, ki prijaviteljem nepravilnosti omogočajo obveščanje pristojnih organov o dejanskih ali morebitnih kršitvah te uredbe in jih ščitijo pred povračilnimi ukrepi. </w:t>
      </w:r>
    </w:p>
    <w:p>
      <w:pPr>
        <w:pStyle w:val="ManualConsidrant"/>
        <w:rPr>
          <w:noProof/>
          <w:szCs w:val="24"/>
        </w:rPr>
      </w:pPr>
      <w:r>
        <w:t>(69)</w:t>
      </w:r>
      <w:r>
        <w:tab/>
      </w:r>
      <w:r>
        <w:rPr>
          <w:noProof/>
        </w:rPr>
        <w:t>Za podrobno opredelitev zahtev iz te uredbe bi bilo treba na Komisijo prenesti pooblastilo za sprejetje aktov v skladu s členom 290 Pogodbe o delovanju Evropske unije, in sicer glede pragov iz točke (i) člena 1(2) ter točk (c) in (d) člena 1(3), minimalnih informacij, ki jih vsebujejo dokumenti in ki so navedene v točkah (f) in (g) člena 1(3) ter točkah (d) in (e) člena 1(4), prilagoditve opredelitev iz člena 2, pregleda, odobritve, vložitve in revizije univerzalnega registracijskega dokumenta, pogojev za njegovo spremembo ali posodobitev, okoliščin, v katerih se lahko status pogostega izdajatelja izgubi, oblike prospekta, osnovnega prospekta ter končnih pogojev, ter glede posebnih informacij, ki se morajo vključiti v prospekt, minimalnih informacij, ki jih vsebuje univerzalni registracijski dokument, zmanjšanega obsega informacij, ki jih vsebuje poenostavljeni registracijski dokument, ter opisa vrednostnih papirjev v primeru sekundarnih izdaj in izdaj s strani MSP, oblike, dovoljene v skladu s členom 15(2), dovoljenja za opustitev navedbe nekaterih informacij v prospektu, postopkov pregleda in odobritve prospekta, oglaševanja vrednostnih papirjev, ki spadajo v področje uporabe te uredbe, in splošnih meril glede enakovrednosti za prospekte, ki jih pripravijo izdajatelji tretjih držav. Zlasti je pomembno, da Komisija pri pripravljalnem delu opravi ustrezna posvetovanja, tudi na ravni strokovnjakov. Komisija bi morala pri pripravi in oblikovanju delegiranih aktov zagotoviti, da se zadevni dokumenti posredujejo Evropskemu parlamentu in Svetu hkrati, pravočasno in na ustrezen način.</w:t>
      </w:r>
    </w:p>
    <w:p>
      <w:pPr>
        <w:pStyle w:val="ManualConsidrant"/>
        <w:rPr>
          <w:noProof/>
        </w:rPr>
      </w:pPr>
      <w:r>
        <w:t>(70)</w:t>
      </w:r>
      <w:r>
        <w:tab/>
      </w:r>
      <w:r>
        <w:rPr>
          <w:noProof/>
        </w:rPr>
        <w:t>Da se zagotovijo enotni pogoji uporabe te uredbe v zvezi z enakovrednostjo zakonodaj tretjih držav o prospektih, bi bilo treba na Komisijo prenesti izvedbena pooblastila za sprejetje odločitev o taki enakovrednosti. Ta pooblastila bi bilo treba izvajati v skladu z Uredbo (EU) št. 182/2011 Evropskega parlamenta in Sveta</w:t>
      </w:r>
      <w:r>
        <w:rPr>
          <w:rStyle w:val="FootnoteReference"/>
          <w:noProof/>
        </w:rPr>
        <w:footnoteReference w:id="14"/>
      </w:r>
      <w:r>
        <w:rPr>
          <w:noProof/>
        </w:rPr>
        <w:t>.</w:t>
      </w:r>
    </w:p>
    <w:p>
      <w:pPr>
        <w:pStyle w:val="ManualConsidrant"/>
        <w:rPr>
          <w:noProof/>
          <w:szCs w:val="24"/>
        </w:rPr>
      </w:pPr>
      <w:r>
        <w:t>(71)</w:t>
      </w:r>
      <w:r>
        <w:tab/>
      </w:r>
      <w:r>
        <w:rPr>
          <w:noProof/>
        </w:rPr>
        <w:t>Tehnični standardi v zvezi s finančnimi storitvami bi morali zagotoviti ustrezno varstvo vlagateljev in potrošnikov po vsej Uniji. Ker ima ESMA visoko specializirane strokovnjake, bi bilo učinkovito in ustrezno, da pripravi osnutke regulativnih tehničnih standardov, ki ne vključujejo odločitev politike, in jih predloži Komisiji.</w:t>
      </w:r>
    </w:p>
    <w:p>
      <w:pPr>
        <w:pStyle w:val="ManualConsidrant"/>
        <w:rPr>
          <w:noProof/>
        </w:rPr>
      </w:pPr>
      <w:r>
        <w:t>(72)</w:t>
      </w:r>
      <w:r>
        <w:tab/>
      </w:r>
      <w:r>
        <w:rPr>
          <w:noProof/>
        </w:rPr>
        <w:t>Komisija bi morala sprejeti osnutke regulativnih tehničnih standardov, ki jih ESMA pripravi v zvezi z vsebino in obliko predstavitve preteklih ključnih finančnih podatkov, ki se vključijo v izvleček, informacijami, ki se vključijo s sklicevanjem, in nadaljnjimi vrstami dokumentov, ki jih zahteva pravo Unije, objavo prospekta, podatki, potrebnimi za razvrstitev prospektov v mehanizem za shranjevanje, ki ga upravlja ESMA, okoliščinami, v katerih se zaradi pomembnega novega dejavnika, bistvene napake ali netočnosti glede informacij, vključenih v prospekt, zahteva dodatek k prospektu, ki se objavi, informacijami, ki si jih izmenjajo pristojni organi in ESMA v okviru obveznosti sodelovanja, ter predlogo dokumenta za dogovore o sodelovanju z nadzornimi organi v tretjih državah. Komisija bi morala osnutke teh regulativnih tehničnih standardov sprejeti z delegiranimi akti v skladu s členom 290 PDEU in členi 10–14 Uredbe (EU) št. 1095/2010.</w:t>
      </w:r>
    </w:p>
    <w:p>
      <w:pPr>
        <w:pStyle w:val="ManualConsidrant"/>
        <w:rPr>
          <w:noProof/>
        </w:rPr>
      </w:pPr>
      <w:r>
        <w:t>(73)</w:t>
      </w:r>
      <w:r>
        <w:tab/>
      </w:r>
      <w:r>
        <w:rPr>
          <w:noProof/>
        </w:rPr>
        <w:t>Komisijo bi bilo treba pooblastiti tudi za sprejetje izvedbenih tehničnih standardov z izvedbenimi akti v skladu s členom 291 PDEU in členom 15 Uredbe (EU) št. 1093/2010. ESMA bi bilo treba pooblastiti za pripravo osnutka izvedbenih tehničnih standardov, ki se predložijo Komisiji, in sicer o standardnih oblikah, predlogah in postopkih za uradno obveščanje o potrdilu o odobritvi, prospektu, dodatku k prospektu ter prevodu prospekta in/ali izvlečka, o standardnih oblikah, predlogah in postopkih za sodelovanje in izmenjavo informacij med pristojnimi organi, ter o postopkih in oblikah za izmenjavo informacij med pristojnimi organi in ESMA.</w:t>
      </w:r>
    </w:p>
    <w:p>
      <w:pPr>
        <w:pStyle w:val="ManualConsidrant"/>
        <w:rPr>
          <w:noProof/>
        </w:rPr>
      </w:pPr>
      <w:r>
        <w:t>(74)</w:t>
      </w:r>
      <w:r>
        <w:tab/>
      </w:r>
      <w:r>
        <w:rPr>
          <w:noProof/>
        </w:rPr>
        <w:t>Komisija bi morala pri izvajanju delegiranih in izvedbenih pooblastil v skladu s to uredbo spoštovati naslednja načela:</w:t>
      </w:r>
    </w:p>
    <w:p>
      <w:pPr>
        <w:pStyle w:val="Tiret0"/>
        <w:numPr>
          <w:ilvl w:val="0"/>
          <w:numId w:val="51"/>
        </w:numPr>
        <w:rPr>
          <w:noProof/>
          <w:szCs w:val="24"/>
        </w:rPr>
      </w:pPr>
      <w:r>
        <w:rPr>
          <w:noProof/>
        </w:rPr>
        <w:t>potrebo po zagotavljanju zaupanja malih vlagateljev in MSP v finančne trge s spodbujanjem visokih standardov preglednosti na finančnih trgih,</w:t>
      </w:r>
    </w:p>
    <w:p>
      <w:pPr>
        <w:pStyle w:val="Tiret0"/>
        <w:numPr>
          <w:ilvl w:val="0"/>
          <w:numId w:val="51"/>
        </w:numPr>
        <w:rPr>
          <w:noProof/>
          <w:szCs w:val="24"/>
        </w:rPr>
      </w:pPr>
      <w:r>
        <w:rPr>
          <w:noProof/>
        </w:rPr>
        <w:t>potrebo po določanju zahtev po razkritju iz prospekta glede na velikost izdajatelja in informacije, ki jih je izdajatelj dolžan razkriti v skladu z Direktivo 2004/109/ES in Uredbo (EU) št. 596/2014,</w:t>
      </w:r>
    </w:p>
    <w:p>
      <w:pPr>
        <w:pStyle w:val="Tiret0"/>
        <w:numPr>
          <w:ilvl w:val="0"/>
          <w:numId w:val="51"/>
        </w:numPr>
        <w:rPr>
          <w:noProof/>
          <w:szCs w:val="24"/>
        </w:rPr>
      </w:pPr>
      <w:r>
        <w:rPr>
          <w:noProof/>
        </w:rPr>
        <w:t>potrebo po olajšanju dostopa do kapitalskih trgov za MSP in zagotovitvi zaupanja vlagateljev za vlaganje v taka podjetja,</w:t>
      </w:r>
    </w:p>
    <w:p>
      <w:pPr>
        <w:pStyle w:val="Tiret0"/>
        <w:rPr>
          <w:noProof/>
          <w:szCs w:val="24"/>
        </w:rPr>
      </w:pPr>
      <w:r>
        <w:rPr>
          <w:noProof/>
        </w:rPr>
        <w:t>potrebo po zagotovitvi širokega nabora konkurenčnih naložbenih priložnosti za vlagatelje ter ravni razkritja in zaščite, ki je prilagojena njihovim okoliščinam,</w:t>
      </w:r>
    </w:p>
    <w:p>
      <w:pPr>
        <w:pStyle w:val="Tiret0"/>
        <w:rPr>
          <w:noProof/>
          <w:szCs w:val="24"/>
        </w:rPr>
      </w:pPr>
      <w:r>
        <w:rPr>
          <w:noProof/>
        </w:rPr>
        <w:t>potrebo po zagotovitvi, da neodvisni regulativni organi uveljavljajo pravila dosledno, zlasti v smislu boja proti gospodarskemu kriminalu,</w:t>
      </w:r>
    </w:p>
    <w:p>
      <w:pPr>
        <w:pStyle w:val="Tiret0"/>
        <w:rPr>
          <w:noProof/>
          <w:szCs w:val="24"/>
        </w:rPr>
      </w:pPr>
      <w:r>
        <w:rPr>
          <w:noProof/>
        </w:rPr>
        <w:t>potrebo po visoki stopnji preglednosti in posvetovanju z vsemi udeleženci na trgu ter z Evropskim parlamentom in Svetom,</w:t>
      </w:r>
    </w:p>
    <w:p>
      <w:pPr>
        <w:pStyle w:val="Tiret0"/>
        <w:rPr>
          <w:noProof/>
          <w:szCs w:val="24"/>
        </w:rPr>
      </w:pPr>
      <w:r>
        <w:rPr>
          <w:noProof/>
        </w:rPr>
        <w:t>potrebo po spodbujanju inovacij na finančnih trgih, da bi ti bili dinamični in učinkoviti,</w:t>
      </w:r>
    </w:p>
    <w:p>
      <w:pPr>
        <w:pStyle w:val="Tiret0"/>
        <w:rPr>
          <w:noProof/>
          <w:szCs w:val="24"/>
        </w:rPr>
      </w:pPr>
      <w:r>
        <w:rPr>
          <w:noProof/>
        </w:rPr>
        <w:t>potrebo po zagotavljanju sistemske stabilnosti finančnega sistema z natančnim in odzivnim spremljanjem finančnih inovacij,</w:t>
      </w:r>
    </w:p>
    <w:p>
      <w:pPr>
        <w:pStyle w:val="Tiret0"/>
        <w:rPr>
          <w:noProof/>
          <w:szCs w:val="24"/>
        </w:rPr>
      </w:pPr>
      <w:r>
        <w:rPr>
          <w:noProof/>
        </w:rPr>
        <w:t>pomen zmanjšanja stroškov kapitala in povečanja njegove dostopnosti,</w:t>
      </w:r>
    </w:p>
    <w:p>
      <w:pPr>
        <w:pStyle w:val="Tiret0"/>
        <w:rPr>
          <w:noProof/>
          <w:szCs w:val="24"/>
        </w:rPr>
      </w:pPr>
      <w:r>
        <w:rPr>
          <w:noProof/>
        </w:rPr>
        <w:t>potrebo po dolgoročnem uravnoteženju stroškov in koristi vseh izvedbenih ukrepov za vse udeležence na trgu,</w:t>
      </w:r>
    </w:p>
    <w:p>
      <w:pPr>
        <w:pStyle w:val="Tiret0"/>
        <w:rPr>
          <w:noProof/>
          <w:szCs w:val="24"/>
        </w:rPr>
      </w:pPr>
      <w:r>
        <w:rPr>
          <w:noProof/>
        </w:rPr>
        <w:t>potrebo po spodbujanju mednarodne konkurenčnosti finančnih trgov Unije brez poseganja v zelo potrebno razširitev mednarodnega sodelovanja,</w:t>
      </w:r>
    </w:p>
    <w:p>
      <w:pPr>
        <w:pStyle w:val="Tiret0"/>
        <w:rPr>
          <w:noProof/>
          <w:szCs w:val="24"/>
        </w:rPr>
      </w:pPr>
      <w:r>
        <w:rPr>
          <w:noProof/>
        </w:rPr>
        <w:t>potrebo po doseganju enakih konkurenčnih pogojev za vse udeležence na trgu z uporabo zakonodaje Unije vsakič, ko je to primerno,</w:t>
      </w:r>
    </w:p>
    <w:p>
      <w:pPr>
        <w:pStyle w:val="Tiret0"/>
        <w:rPr>
          <w:noProof/>
          <w:szCs w:val="24"/>
        </w:rPr>
      </w:pPr>
      <w:r>
        <w:rPr>
          <w:noProof/>
        </w:rPr>
        <w:t>potrebo po zagotovitvi skladnosti z drugo zakonodajo Unije na tem področju, saj lahko nesorazmerja pri informacijah in pomanjkanje preglednosti ogrozita delovanje trgov, predvsem pa škodita potrošnikom in malim vlagateljem.</w:t>
      </w:r>
    </w:p>
    <w:p>
      <w:pPr>
        <w:pStyle w:val="ManualConsidrant"/>
        <w:rPr>
          <w:noProof/>
          <w:szCs w:val="24"/>
        </w:rPr>
      </w:pPr>
      <w:r>
        <w:t>(75)</w:t>
      </w:r>
      <w:r>
        <w:tab/>
      </w:r>
      <w:r>
        <w:rPr>
          <w:noProof/>
        </w:rPr>
        <w:t>Pristojni organi bi morali kakršno koli obdelavo osebnih podatkov v okviru te uredbe, kot je izmenjava ali posredovanje osebnih podatkov, izvajati v skladu z Direktivo 95/46/ES Evropskega parlamenta in Sveta</w:t>
      </w:r>
      <w:r>
        <w:rPr>
          <w:rStyle w:val="FootnoteReference"/>
          <w:noProof/>
        </w:rPr>
        <w:footnoteReference w:id="15"/>
      </w:r>
      <w:r>
        <w:rPr>
          <w:noProof/>
        </w:rPr>
        <w:t>, ESMA pa bi morala kakršno koli izmenjavo ali posredovanje informacij izvajati v skladu z Uredbo (EC) št. 45/2001 Evropskega parlamenta in Sveta</w:t>
      </w:r>
      <w:r>
        <w:rPr>
          <w:rStyle w:val="FootnoteReference"/>
          <w:noProof/>
        </w:rPr>
        <w:footnoteReference w:id="16"/>
      </w:r>
      <w:r>
        <w:rPr>
          <w:noProof/>
        </w:rPr>
        <w:t>.</w:t>
      </w:r>
    </w:p>
    <w:p>
      <w:pPr>
        <w:pStyle w:val="ManualConsidrant"/>
        <w:rPr>
          <w:noProof/>
          <w:szCs w:val="24"/>
        </w:rPr>
      </w:pPr>
      <w:r>
        <w:t>(76)</w:t>
      </w:r>
      <w:r>
        <w:tab/>
      </w:r>
      <w:r>
        <w:rPr>
          <w:noProof/>
        </w:rPr>
        <w:t xml:space="preserve">Komisija bi morala najpozneje pet let po začetku veljavnosti te uredbe preučiti njeno uporabo in oceniti zlasti, ali so ureditvi za razkritja za sekundarne izdaje in MSP, univerzalni registracijski dokument in izvleček prospekta ustrezni za dosego ciljev iz te uredbe. </w:t>
      </w:r>
    </w:p>
    <w:p>
      <w:pPr>
        <w:pStyle w:val="ManualConsidrant"/>
        <w:rPr>
          <w:noProof/>
        </w:rPr>
      </w:pPr>
      <w:r>
        <w:t>(77)</w:t>
      </w:r>
      <w:r>
        <w:tab/>
      </w:r>
      <w:r>
        <w:rPr>
          <w:noProof/>
        </w:rPr>
        <w:t>Uporabo zahtev iz te uredbe bi bilo treba odložiti, da se zagotovi sprejetje delegiranih in izvedbenih aktov ter da se udeležencem na trgu zagotovi možnost vključitve in načrtovanja uporabe novih ukrepov.</w:t>
      </w:r>
    </w:p>
    <w:p>
      <w:pPr>
        <w:pStyle w:val="ManualConsidrant"/>
        <w:rPr>
          <w:noProof/>
          <w:szCs w:val="24"/>
        </w:rPr>
      </w:pPr>
      <w:r>
        <w:t>(78)</w:t>
      </w:r>
      <w:r>
        <w:tab/>
      </w:r>
      <w:r>
        <w:rPr>
          <w:noProof/>
        </w:rPr>
        <w:t xml:space="preserve">Ker države članice ne morejo zadovoljivo doseči ciljev te uredbe, tj. povečanja zaščite vlagateljev in učinkovitosti trga ter vzpostavitve unije kapitalskih trgov, ampak se cilji zaradi njenih učinkov laže dosežejo na ravni Unije, lahko Unija sprejme ukrepe v skladu z načelom subsidiarnosti iz člena 5 Pogodbe o Evropski uniji. V skladu z načelom sorazmernosti, ki je določeno v navedenem členu, ta uredba ne presega tistega, kar je nujno za dosego teh ciljev. </w:t>
      </w:r>
    </w:p>
    <w:p>
      <w:pPr>
        <w:pStyle w:val="ManualConsidrant"/>
        <w:rPr>
          <w:noProof/>
          <w:szCs w:val="24"/>
        </w:rPr>
      </w:pPr>
      <w:r>
        <w:t>(79)</w:t>
      </w:r>
      <w:r>
        <w:tab/>
      </w:r>
      <w:r>
        <w:rPr>
          <w:noProof/>
        </w:rPr>
        <w:t>Ta uredba spoštuje temeljne pravice in upošteva načela, priznana zlasti v Listini Evropske unije o temeljnih pravicah. Zato je treba to uredbo razlagati in uporabljati v skladu s temi pravicami in načeli.</w:t>
      </w:r>
    </w:p>
    <w:p>
      <w:pPr>
        <w:pStyle w:val="ManualConsidrant"/>
        <w:rPr>
          <w:noProof/>
          <w:szCs w:val="24"/>
        </w:rPr>
      </w:pPr>
      <w:r>
        <w:t>(80)</w:t>
      </w:r>
      <w:r>
        <w:tab/>
      </w:r>
      <w:r>
        <w:rPr>
          <w:noProof/>
        </w:rPr>
        <w:t>V skladu z členom 28(2) Uredbe (ES) št. 45/2001 je bilo opravljeno posvetovanje z Evropskim nadzornikom za varstvo podatkov, ki je podal svoje mnenje –</w:t>
      </w:r>
    </w:p>
    <w:p>
      <w:pPr>
        <w:pStyle w:val="Formuledadoption"/>
        <w:rPr>
          <w:noProof/>
          <w:szCs w:val="24"/>
        </w:rPr>
      </w:pPr>
      <w:r>
        <w:rPr>
          <w:noProof/>
        </w:rPr>
        <w:t xml:space="preserve">SPREJELA NASLEDNJO UREDBO: </w:t>
      </w:r>
    </w:p>
    <w:p>
      <w:pPr>
        <w:pStyle w:val="SectionTitle"/>
        <w:rPr>
          <w:noProof/>
          <w:sz w:val="24"/>
          <w:szCs w:val="24"/>
        </w:rPr>
      </w:pPr>
      <w:r>
        <w:rPr>
          <w:noProof/>
          <w:sz w:val="24"/>
        </w:rPr>
        <w:t>POGLAVJE I</w:t>
      </w:r>
      <w:r>
        <w:rPr>
          <w:noProof/>
          <w:sz w:val="24"/>
          <w:szCs w:val="24"/>
        </w:rPr>
        <w:br/>
      </w:r>
      <w:r>
        <w:rPr>
          <w:noProof/>
          <w:sz w:val="24"/>
        </w:rPr>
        <w:t>SPLOŠNE DOLOČBE</w:t>
      </w:r>
    </w:p>
    <w:p>
      <w:pPr>
        <w:pStyle w:val="Titrearticle"/>
        <w:rPr>
          <w:b/>
          <w:noProof/>
          <w:szCs w:val="24"/>
        </w:rPr>
      </w:pPr>
      <w:r>
        <w:rPr>
          <w:b/>
          <w:i w:val="0"/>
          <w:noProof/>
        </w:rPr>
        <w:t>Člen 1</w:t>
      </w:r>
      <w:r>
        <w:rPr>
          <w:b/>
          <w:i w:val="0"/>
          <w:noProof/>
          <w:szCs w:val="24"/>
        </w:rPr>
        <w:br/>
      </w:r>
      <w:r>
        <w:rPr>
          <w:b/>
          <w:noProof/>
        </w:rPr>
        <w:t>Namen in področje uporabe</w:t>
      </w:r>
    </w:p>
    <w:p>
      <w:pPr>
        <w:pStyle w:val="ManualNumPar1"/>
        <w:rPr>
          <w:noProof/>
        </w:rPr>
      </w:pPr>
      <w:r>
        <w:t>1.</w:t>
      </w:r>
      <w:r>
        <w:tab/>
      </w:r>
      <w:r>
        <w:rPr>
          <w:noProof/>
        </w:rPr>
        <w:t>Namen te uredbe je določiti zahteve za pripravo, odobritev in distribucijo prospekta, ki se objavi ob javni ponudbi vrednostnih papirjev ali sprejemu vrednostnih papirjev v trgovanje na reguliranem trgu, ki je v državi članici ali deluje v njej.</w:t>
      </w:r>
    </w:p>
    <w:p>
      <w:pPr>
        <w:pStyle w:val="ManualNumPar1"/>
        <w:rPr>
          <w:noProof/>
        </w:rPr>
      </w:pPr>
      <w:r>
        <w:t>2.</w:t>
      </w:r>
      <w:r>
        <w:tab/>
      </w:r>
      <w:r>
        <w:rPr>
          <w:noProof/>
        </w:rPr>
        <w:t>Ta uredba se ne uporablja za naslednje vrste vrednostnih papirjev:</w:t>
      </w:r>
    </w:p>
    <w:p>
      <w:pPr>
        <w:pStyle w:val="Point1letter"/>
        <w:numPr>
          <w:ilvl w:val="3"/>
          <w:numId w:val="59"/>
        </w:numPr>
        <w:rPr>
          <w:noProof/>
        </w:rPr>
      </w:pPr>
      <w:r>
        <w:rPr>
          <w:noProof/>
        </w:rPr>
        <w:t xml:space="preserve">enote, ki jih izdajo kolektivni naložbeni podjemi, ki niso zaprtega tipa; </w:t>
      </w:r>
    </w:p>
    <w:p>
      <w:pPr>
        <w:pStyle w:val="Point1letter"/>
        <w:rPr>
          <w:noProof/>
        </w:rPr>
      </w:pPr>
      <w:r>
        <w:rPr>
          <w:noProof/>
        </w:rPr>
        <w:t>nelastniške vrednostne papirje, ki jih izdajo država članica ali regionalni ali lokalni organi države članice, javni mednarodni organi, katerih članica je ena ali več držav članic, Evropska centralna banka ali centralne banke držav članic;</w:t>
      </w:r>
    </w:p>
    <w:p>
      <w:pPr>
        <w:pStyle w:val="Point1letter"/>
        <w:rPr>
          <w:noProof/>
          <w:szCs w:val="24"/>
        </w:rPr>
      </w:pPr>
      <w:r>
        <w:rPr>
          <w:noProof/>
        </w:rPr>
        <w:t>deleže v kapitalu centralnih bank držav članic;</w:t>
      </w:r>
    </w:p>
    <w:p>
      <w:pPr>
        <w:pStyle w:val="Point1letter"/>
        <w:rPr>
          <w:noProof/>
          <w:szCs w:val="24"/>
        </w:rPr>
      </w:pPr>
      <w:r>
        <w:rPr>
          <w:noProof/>
        </w:rPr>
        <w:t>vrednostne papirje, za katere brezpogojno in nepreklicno jamči država članica ali eden od regionalnih ali lokalnih organov države članice;</w:t>
      </w:r>
    </w:p>
    <w:p>
      <w:pPr>
        <w:pStyle w:val="Point1letter"/>
        <w:rPr>
          <w:noProof/>
        </w:rPr>
      </w:pPr>
      <w:r>
        <w:rPr>
          <w:noProof/>
        </w:rPr>
        <w:t>vrednostne papirje, ki jih izdajo združenja s pravnim statusom ali neprofitni organi, ki jih država članica priznava, za namene pridobivanja sredstev, ki jih potrebujejo za doseganje neprofitnih ciljev;</w:t>
      </w:r>
    </w:p>
    <w:p>
      <w:pPr>
        <w:pStyle w:val="Point1letter"/>
        <w:rPr>
          <w:noProof/>
          <w:szCs w:val="24"/>
        </w:rPr>
      </w:pPr>
      <w:r>
        <w:rPr>
          <w:noProof/>
        </w:rPr>
        <w:t>nelastniške vrednostne papirje, ki jih kreditne institucije neprekinjeno ali redno izdajajo, če so ti vrednostni papirji skladni z vsemi naslednjimi pogoji:</w:t>
      </w:r>
    </w:p>
    <w:p>
      <w:pPr>
        <w:pStyle w:val="Point2"/>
        <w:rPr>
          <w:noProof/>
          <w:szCs w:val="24"/>
        </w:rPr>
      </w:pPr>
      <w:r>
        <w:rPr>
          <w:noProof/>
        </w:rPr>
        <w:t>(i)</w:t>
      </w:r>
      <w:r>
        <w:rPr>
          <w:noProof/>
        </w:rPr>
        <w:tab/>
        <w:t>niso podrejeni, konvertibilni ali zamenljivi;</w:t>
      </w:r>
    </w:p>
    <w:p>
      <w:pPr>
        <w:pStyle w:val="Point2"/>
        <w:rPr>
          <w:noProof/>
          <w:szCs w:val="24"/>
        </w:rPr>
      </w:pPr>
      <w:r>
        <w:rPr>
          <w:noProof/>
        </w:rPr>
        <w:t>(ii)</w:t>
      </w:r>
      <w:r>
        <w:rPr>
          <w:noProof/>
        </w:rPr>
        <w:tab/>
        <w:t>ne dajejo pravice do vpisa ali pridobitve drugih vrst vrednostnih papirjev in niso povezani z izvedenim finančnim instrumentom;</w:t>
      </w:r>
    </w:p>
    <w:p>
      <w:pPr>
        <w:pStyle w:val="Point2"/>
        <w:rPr>
          <w:noProof/>
          <w:szCs w:val="24"/>
        </w:rPr>
      </w:pPr>
      <w:r>
        <w:rPr>
          <w:noProof/>
        </w:rPr>
        <w:t>(iii)</w:t>
      </w:r>
      <w:r>
        <w:rPr>
          <w:noProof/>
        </w:rPr>
        <w:tab/>
        <w:t>predstavljajo opredmetenje sprejetja vračljivih vlog;</w:t>
      </w:r>
    </w:p>
    <w:p>
      <w:pPr>
        <w:pStyle w:val="Point2"/>
        <w:rPr>
          <w:noProof/>
          <w:szCs w:val="24"/>
        </w:rPr>
      </w:pPr>
      <w:r>
        <w:rPr>
          <w:noProof/>
        </w:rPr>
        <w:t>(iv)</w:t>
      </w:r>
      <w:r>
        <w:rPr>
          <w:noProof/>
        </w:rPr>
        <w:tab/>
        <w:t>zajema jih sistem jamstva za vloge v skladu z Direktivo 2014/49/EU Evropskega parlamenta in Sveta</w:t>
      </w:r>
      <w:r>
        <w:rPr>
          <w:rStyle w:val="FootnoteReference"/>
          <w:noProof/>
        </w:rPr>
        <w:footnoteReference w:id="17"/>
      </w:r>
      <w:r>
        <w:rPr>
          <w:noProof/>
        </w:rPr>
        <w:t>;</w:t>
      </w:r>
    </w:p>
    <w:p>
      <w:pPr>
        <w:pStyle w:val="Point1letter"/>
        <w:rPr>
          <w:noProof/>
          <w:szCs w:val="24"/>
        </w:rPr>
      </w:pPr>
      <w:r>
        <w:rPr>
          <w:noProof/>
        </w:rPr>
        <w:t>nezamenljive deleže kapitala, katerih glavnih namen je imetniku zagotoviti pravico do bivanja v stanovanju ali drugih oblikah nepremičnin ali njihovem delu, pri čemer se deleži ne morejo prodati, ne da bi se odrekli tej pravici;</w:t>
      </w:r>
    </w:p>
    <w:p>
      <w:pPr>
        <w:pStyle w:val="Point1letter"/>
        <w:rPr>
          <w:noProof/>
          <w:szCs w:val="24"/>
        </w:rPr>
      </w:pPr>
      <w:r>
        <w:rPr>
          <w:noProof/>
        </w:rPr>
        <w:t>obveznice „bostadsobligationer“, ki jih redno izdajajo kreditne institucije na Švedskem, katerih glavni namen je hipotekarno kreditiranje, če:</w:t>
      </w:r>
    </w:p>
    <w:p>
      <w:pPr>
        <w:pStyle w:val="Point2"/>
        <w:rPr>
          <w:noProof/>
          <w:szCs w:val="24"/>
        </w:rPr>
      </w:pPr>
      <w:r>
        <w:rPr>
          <w:noProof/>
        </w:rPr>
        <w:t>(i)</w:t>
      </w:r>
      <w:r>
        <w:rPr>
          <w:noProof/>
        </w:rPr>
        <w:tab/>
        <w:t>so izdane obveznice „bostadsobligationer“ iste serije;</w:t>
      </w:r>
    </w:p>
    <w:p>
      <w:pPr>
        <w:pStyle w:val="Point2"/>
        <w:rPr>
          <w:noProof/>
          <w:szCs w:val="24"/>
        </w:rPr>
      </w:pPr>
      <w:r>
        <w:rPr>
          <w:noProof/>
        </w:rPr>
        <w:t>(ii)</w:t>
      </w:r>
      <w:r>
        <w:rPr>
          <w:noProof/>
        </w:rPr>
        <w:tab/>
        <w:t>se obveznice „bostadsobligationer“ v določenem obdobju izdaje izdajajo po prvotni nominalni vrednosti ter s prvotno zapadlostjo in kuponsko mero;</w:t>
      </w:r>
    </w:p>
    <w:p>
      <w:pPr>
        <w:pStyle w:val="Point2"/>
        <w:rPr>
          <w:noProof/>
          <w:szCs w:val="24"/>
        </w:rPr>
      </w:pPr>
      <w:r>
        <w:rPr>
          <w:noProof/>
        </w:rPr>
        <w:t>(iii)</w:t>
      </w:r>
      <w:r>
        <w:rPr>
          <w:noProof/>
        </w:rPr>
        <w:tab/>
        <w:t>se pogoji obveznic „bostadsobligationer“ v obdobju izdaje ne spremenijo;</w:t>
      </w:r>
    </w:p>
    <w:p>
      <w:pPr>
        <w:pStyle w:val="Point2"/>
        <w:rPr>
          <w:noProof/>
          <w:szCs w:val="24"/>
        </w:rPr>
      </w:pPr>
      <w:r>
        <w:rPr>
          <w:noProof/>
        </w:rPr>
        <w:t>(iv)</w:t>
      </w:r>
      <w:r>
        <w:rPr>
          <w:noProof/>
        </w:rPr>
        <w:tab/>
        <w:t>so zneski, ki izhajajo iz izdaje zadevnih obveznic „bostadsobligationer“, v skladu s statutom izdajatelja vključeni v sredstva, ki zagotavljajo zadostno kritje za obveznosti, ki izhajajo iz vrednostnih papirjev;</w:t>
      </w:r>
    </w:p>
    <w:p>
      <w:pPr>
        <w:pStyle w:val="Point1letter"/>
        <w:rPr>
          <w:noProof/>
          <w:szCs w:val="24"/>
        </w:rPr>
      </w:pPr>
      <w:r>
        <w:rPr>
          <w:noProof/>
        </w:rPr>
        <w:t>nelastniške vrednostne papirje, ki jih kreditna institucija neprekinjeno in redno izdaja, če je znesek skupne vrednosti v Uniji za ponujene vrednostne papirje nižji od 75 000 000 EUR za posamezno kreditno institucijo v obdobju 12 mesecev, pod pogojem, da navedeni vrednostni papirji:</w:t>
      </w:r>
    </w:p>
    <w:p>
      <w:pPr>
        <w:pStyle w:val="Point2"/>
        <w:rPr>
          <w:noProof/>
          <w:szCs w:val="24"/>
        </w:rPr>
      </w:pPr>
      <w:r>
        <w:rPr>
          <w:noProof/>
        </w:rPr>
        <w:t>(i)</w:t>
      </w:r>
      <w:r>
        <w:rPr>
          <w:noProof/>
        </w:rPr>
        <w:tab/>
        <w:t>niso podrejeni, konvertibilni ali zamenljivi;</w:t>
      </w:r>
    </w:p>
    <w:p>
      <w:pPr>
        <w:pStyle w:val="Point2"/>
        <w:rPr>
          <w:noProof/>
          <w:szCs w:val="24"/>
        </w:rPr>
      </w:pPr>
      <w:r>
        <w:rPr>
          <w:noProof/>
        </w:rPr>
        <w:t>(ii)</w:t>
      </w:r>
      <w:r>
        <w:rPr>
          <w:noProof/>
        </w:rPr>
        <w:tab/>
        <w:t>ne dajejo pravice do vpisa ali pridobitve drugih vrst vrednostnih papirjev in niso povezani z izvedenim finančnim instrumentom.</w:t>
      </w:r>
    </w:p>
    <w:p>
      <w:pPr>
        <w:pStyle w:val="ManualNumPar1"/>
        <w:rPr>
          <w:noProof/>
        </w:rPr>
      </w:pPr>
      <w:r>
        <w:t>3.</w:t>
      </w:r>
      <w:r>
        <w:tab/>
      </w:r>
      <w:r>
        <w:rPr>
          <w:noProof/>
        </w:rPr>
        <w:t>Ta uredba se ne uporablja za naslednje vrste javnih ponudb vrednostnih papirjev:</w:t>
      </w:r>
    </w:p>
    <w:p>
      <w:pPr>
        <w:pStyle w:val="Point1letter"/>
        <w:numPr>
          <w:ilvl w:val="3"/>
          <w:numId w:val="1"/>
        </w:numPr>
        <w:rPr>
          <w:noProof/>
          <w:szCs w:val="24"/>
        </w:rPr>
      </w:pPr>
      <w:r>
        <w:rPr>
          <w:noProof/>
        </w:rPr>
        <w:t>ponudbe vrednostnih papirjev, namenjene zgolj dobro poučenim vlagateljem;</w:t>
      </w:r>
    </w:p>
    <w:p>
      <w:pPr>
        <w:pStyle w:val="Point1letter"/>
        <w:numPr>
          <w:ilvl w:val="3"/>
          <w:numId w:val="1"/>
        </w:numPr>
        <w:rPr>
          <w:noProof/>
          <w:szCs w:val="24"/>
        </w:rPr>
      </w:pPr>
      <w:r>
        <w:rPr>
          <w:noProof/>
        </w:rPr>
        <w:t>ponudbe vrednostnih papirjev, namenjene manj kot 150 fizičnim ali pravnim osebam, ki niso dobro poučeni vlagatelji, na posamezno državo članico;</w:t>
      </w:r>
    </w:p>
    <w:p>
      <w:pPr>
        <w:pStyle w:val="Point1letter"/>
        <w:numPr>
          <w:ilvl w:val="3"/>
          <w:numId w:val="1"/>
        </w:numPr>
        <w:rPr>
          <w:noProof/>
          <w:szCs w:val="24"/>
        </w:rPr>
      </w:pPr>
      <w:r>
        <w:rPr>
          <w:noProof/>
        </w:rPr>
        <w:t>ponudbe vrednostnih papirjev, namenjene vlagateljem, ki pridobijo vrednostne papirje za nadomestilo v skupni vrednosti vsaj 100 000 EUR na vlagatelja za vsako ločeno ponudbo;</w:t>
      </w:r>
    </w:p>
    <w:p>
      <w:pPr>
        <w:pStyle w:val="Point1letter"/>
        <w:numPr>
          <w:ilvl w:val="3"/>
          <w:numId w:val="1"/>
        </w:numPr>
        <w:rPr>
          <w:noProof/>
          <w:szCs w:val="24"/>
        </w:rPr>
      </w:pPr>
      <w:r>
        <w:rPr>
          <w:noProof/>
        </w:rPr>
        <w:t>ponudbe vrednostnih papirjev s skupno vrednostjo v Uniji, nižjo od 500 000 EUR, ki se izračuna za obdobje 12 mesecev;</w:t>
      </w:r>
    </w:p>
    <w:p>
      <w:pPr>
        <w:pStyle w:val="Point1letter"/>
        <w:numPr>
          <w:ilvl w:val="3"/>
          <w:numId w:val="1"/>
        </w:numPr>
        <w:rPr>
          <w:noProof/>
          <w:szCs w:val="24"/>
        </w:rPr>
      </w:pPr>
      <w:r>
        <w:rPr>
          <w:noProof/>
        </w:rPr>
        <w:t>delnice, izdane kot nadomestilo za že izdane delnice istega razreda, če izdaja takih novih delnic ne vključuje nobenega povečanja izdanega osnovnega kapitala;</w:t>
      </w:r>
    </w:p>
    <w:p>
      <w:pPr>
        <w:pStyle w:val="Point1letter"/>
        <w:numPr>
          <w:ilvl w:val="3"/>
          <w:numId w:val="1"/>
        </w:numPr>
        <w:rPr>
          <w:noProof/>
          <w:szCs w:val="24"/>
        </w:rPr>
      </w:pPr>
      <w:r>
        <w:rPr>
          <w:noProof/>
        </w:rPr>
        <w:t>vrednostne papirje, ponujene v zvezi s prevzemom na podlagi ponudbe za zamenjavo, če je na voljo dokument z informacijami o poslu in njegovem učinku na izdajatelja;</w:t>
      </w:r>
    </w:p>
    <w:p>
      <w:pPr>
        <w:pStyle w:val="Point1letter"/>
        <w:numPr>
          <w:ilvl w:val="3"/>
          <w:numId w:val="1"/>
        </w:numPr>
        <w:rPr>
          <w:noProof/>
          <w:szCs w:val="24"/>
        </w:rPr>
      </w:pPr>
      <w:r>
        <w:rPr>
          <w:noProof/>
        </w:rPr>
        <w:t>vrednostne papirje, ki se ponudijo, dodelijo ali se bodo dodelili v zvezi z združitvijo ali delitvijo, če je na voljo dokument z informacijami o poslu in njegovem učinku na izdajatelja;</w:t>
      </w:r>
    </w:p>
    <w:p>
      <w:pPr>
        <w:pStyle w:val="Point1letter"/>
        <w:numPr>
          <w:ilvl w:val="3"/>
          <w:numId w:val="1"/>
        </w:numPr>
        <w:rPr>
          <w:noProof/>
          <w:szCs w:val="24"/>
        </w:rPr>
      </w:pPr>
      <w:r>
        <w:rPr>
          <w:noProof/>
        </w:rPr>
        <w:t xml:space="preserve">dividende, ki se obstoječim delničarjem izplačajo v obliki delnic istega razreda, kot so delnice, v zvezi s katerimi se izplačajo take dividende, če je na voljo dokument z informacijami o številu in naravi delnic, razlogih za ponudbo in podrobnostih ponudbe; </w:t>
      </w:r>
    </w:p>
    <w:p>
      <w:pPr>
        <w:pStyle w:val="Point1letter"/>
        <w:numPr>
          <w:ilvl w:val="3"/>
          <w:numId w:val="1"/>
        </w:numPr>
        <w:rPr>
          <w:noProof/>
          <w:szCs w:val="24"/>
        </w:rPr>
      </w:pPr>
      <w:r>
        <w:rPr>
          <w:noProof/>
        </w:rPr>
        <w:t>vrednostne papirje, ki jih delodajalec ali povezano podjetje ponudi, dodeli ali bo dodelilo obstoječim ali nekdanjim direktorjem ali zaposlenim, če je na voljo dokument z informacijami o številu in naravi vrednostnih papirjev, razlogih za ponudbo ali dodelitev in podrobnostih ponudbe ali dodelitve.</w:t>
      </w:r>
    </w:p>
    <w:p>
      <w:pPr>
        <w:pStyle w:val="ManualNumPar1"/>
        <w:rPr>
          <w:noProof/>
        </w:rPr>
      </w:pPr>
      <w:r>
        <w:t>4.</w:t>
      </w:r>
      <w:r>
        <w:tab/>
      </w:r>
      <w:r>
        <w:rPr>
          <w:noProof/>
        </w:rPr>
        <w:t>Ta uredba se ne uporablja za sprejem naslednjih enot v trgovanje na reguliranem trgu:</w:t>
      </w:r>
    </w:p>
    <w:p>
      <w:pPr>
        <w:pStyle w:val="Point1letter"/>
        <w:numPr>
          <w:ilvl w:val="3"/>
          <w:numId w:val="2"/>
        </w:numPr>
        <w:rPr>
          <w:noProof/>
          <w:szCs w:val="24"/>
        </w:rPr>
      </w:pPr>
      <w:r>
        <w:rPr>
          <w:noProof/>
        </w:rPr>
        <w:t>vrednostnih papirjev, zamenljivih z vrednostnimi papirji, ki so že bili sprejeti v trgovanje na istem reguliranem trgu, če v obdobju 12 mesecev predstavljajo manj kot 20 % vrednostnih papirjev, ki so že bili sprejeti v trgovanje na istem reguliranem trgu;</w:t>
      </w:r>
    </w:p>
    <w:p>
      <w:pPr>
        <w:pStyle w:val="Point1letter"/>
        <w:numPr>
          <w:ilvl w:val="3"/>
          <w:numId w:val="2"/>
        </w:numPr>
        <w:rPr>
          <w:noProof/>
          <w:szCs w:val="24"/>
        </w:rPr>
      </w:pPr>
      <w:r>
        <w:rPr>
          <w:noProof/>
        </w:rPr>
        <w:t>delnic, ki so posledica pretvorbe ali zamenjave drugih vrednostnih papirjev ali izvajanja pravic, ki jih podeljujejo drugi vrednostni papirji, če so izhajajoče delnice istega razreda kot delnice, ki so že bile sprejete v trgovanje na istem reguliranem trgu, in če izhajajoče delnice v obdobju 12 mesecev predstavljajo manj kot 20 % delnic istega razreda, ki so že bile sprejete v trgovanje na istem reguliranem trgu. Če je bil prospekt pripravljen v skladu s to uredbo ali Direktivo 2003/71/ES po javni ponudbi vrednostnih papirjev, ki podeljujejo dostop do delnic, ali njihovem sprejemu v trgovanje ali če so bili vrednostni papirji, ki podeljujejo dostop do delnic, izdani pred začetkom veljavnosti te uredbe, se ta uredba ne uporablja za sprejem izhajajočih delnic v trgovanje na reguliranem trgu, ne glede na njihov delež glede na število delnic istega razreda, ki so že bile sprejete v trgovanje na istem reguliranem trgu;</w:t>
      </w:r>
    </w:p>
    <w:p>
      <w:pPr>
        <w:pStyle w:val="Point1letter"/>
        <w:numPr>
          <w:ilvl w:val="3"/>
          <w:numId w:val="2"/>
        </w:numPr>
        <w:rPr>
          <w:noProof/>
          <w:szCs w:val="24"/>
        </w:rPr>
      </w:pPr>
      <w:r>
        <w:rPr>
          <w:noProof/>
        </w:rPr>
        <w:t>delnic, izdanih kot nadomestilo za delnice istega razreda, ki so že bile sprejete v trgovanje na istem reguliranem trgu, če izdaja takih delnic ne vključuje povečanja izdanega osnovnega kapitala;</w:t>
      </w:r>
    </w:p>
    <w:p>
      <w:pPr>
        <w:pStyle w:val="Point1letter"/>
        <w:numPr>
          <w:ilvl w:val="3"/>
          <w:numId w:val="2"/>
        </w:numPr>
        <w:rPr>
          <w:noProof/>
          <w:szCs w:val="24"/>
        </w:rPr>
      </w:pPr>
      <w:r>
        <w:rPr>
          <w:noProof/>
        </w:rPr>
        <w:t>vrednostnih papirjev, ponujenih v zvezi s prevzemom na podlagi ponudbe za zamenjavo, če je na voljo dokument z informacijami o poslu in njegovem učinku na izdajatelja;</w:t>
      </w:r>
    </w:p>
    <w:p>
      <w:pPr>
        <w:pStyle w:val="Point1letter"/>
        <w:numPr>
          <w:ilvl w:val="3"/>
          <w:numId w:val="2"/>
        </w:numPr>
        <w:rPr>
          <w:noProof/>
          <w:szCs w:val="24"/>
        </w:rPr>
      </w:pPr>
      <w:r>
        <w:rPr>
          <w:noProof/>
        </w:rPr>
        <w:t>vrednostnih papirjev, ki se ponudijo, dodelijo ali se bodo dodelili v zvezi z združitvijo ali delitvijo, če je na voljo dokument z informacijami o poslu in njegovem učinku na izdajatelja;</w:t>
      </w:r>
    </w:p>
    <w:p>
      <w:pPr>
        <w:pStyle w:val="Point1letter"/>
        <w:numPr>
          <w:ilvl w:val="3"/>
          <w:numId w:val="2"/>
        </w:numPr>
        <w:rPr>
          <w:noProof/>
          <w:szCs w:val="24"/>
        </w:rPr>
      </w:pPr>
      <w:r>
        <w:rPr>
          <w:noProof/>
        </w:rPr>
        <w:t>delnic, ki se brezplačno ponudijo, dodelijo ali se bodo dodelile obstoječim delničarjem, in dividend, ki se izplačajo v obliki delnic istega razreda, kot so delnice, v zvezi s katerimi se izplačajo take dividende, če so zadevne delnice istega razreda kot delnice, ki so že bile sprejete v trgovanje na istem reguliranem trgu, in če je na voljo dokument z informacijami o številu in naravi delnic, razlogih za ponudbo ali dodelitev in podrobnostih ponudbe ali dodelitve;</w:t>
      </w:r>
    </w:p>
    <w:p>
      <w:pPr>
        <w:pStyle w:val="Point1letter"/>
        <w:numPr>
          <w:ilvl w:val="3"/>
          <w:numId w:val="2"/>
        </w:numPr>
        <w:rPr>
          <w:noProof/>
          <w:szCs w:val="24"/>
        </w:rPr>
      </w:pPr>
      <w:r>
        <w:rPr>
          <w:noProof/>
        </w:rPr>
        <w:t>vrednostnih papirjev, ki jih delodajalec ali povezano podjetje ponudi, dodeli ali namerava dodeliti obstoječim ali nekdanjim direktorjem ali zaposlenim, če so zadevni vrednostni papirji istega razreda kot vrednostni papirji, ki so že bili sprejeti v trgovanje na istem reguliranem trgu, in če je na voljo dokument z informacijami o številu in naravi vrednostnih papirjev, razlogih za ponudbo ali dodelitev in podrobnostih o ponudbi ali dodelitvi;</w:t>
      </w:r>
    </w:p>
    <w:p>
      <w:pPr>
        <w:pStyle w:val="Point1letter"/>
        <w:numPr>
          <w:ilvl w:val="3"/>
          <w:numId w:val="2"/>
        </w:numPr>
        <w:rPr>
          <w:noProof/>
          <w:szCs w:val="24"/>
        </w:rPr>
      </w:pPr>
      <w:r>
        <w:rPr>
          <w:noProof/>
        </w:rPr>
        <w:t>vrednostnih papirjev, ki so že bili sprejeti v trgovanje na drugem reguliranem trgu, pod naslednjimi pogoji:</w:t>
      </w:r>
    </w:p>
    <w:p>
      <w:pPr>
        <w:pStyle w:val="Point2"/>
        <w:rPr>
          <w:noProof/>
          <w:szCs w:val="24"/>
        </w:rPr>
      </w:pPr>
      <w:r>
        <w:rPr>
          <w:noProof/>
        </w:rPr>
        <w:t>(i)</w:t>
      </w:r>
      <w:r>
        <w:rPr>
          <w:noProof/>
        </w:rPr>
        <w:tab/>
        <w:t>ti vrednostni papirji ali vrednostni papirji istega razreda so že več kot 18 mesecev sprejeti v trgovanje na drugem reguliranem trgu;</w:t>
      </w:r>
    </w:p>
    <w:p>
      <w:pPr>
        <w:pStyle w:val="Point2"/>
        <w:rPr>
          <w:noProof/>
          <w:szCs w:val="24"/>
        </w:rPr>
      </w:pPr>
      <w:r>
        <w:rPr>
          <w:noProof/>
        </w:rPr>
        <w:t>(ii)</w:t>
      </w:r>
      <w:r>
        <w:rPr>
          <w:noProof/>
        </w:rPr>
        <w:tab/>
        <w:t>sprejem vrednostnih papirjev, ki so bili prvič sprejeti v trgovanje na reguliranem trgu po 1. juliju 2005, v trgovanje na navedenem drugem reguliranem trgu je bil odvisen od prospekta, odobrenega in objavljenega v skladu z Direktivo 2003/71/ES;</w:t>
      </w:r>
    </w:p>
    <w:p>
      <w:pPr>
        <w:pStyle w:val="Point2"/>
        <w:rPr>
          <w:noProof/>
          <w:szCs w:val="24"/>
        </w:rPr>
      </w:pPr>
      <w:r>
        <w:rPr>
          <w:noProof/>
        </w:rPr>
        <w:t>(iii)</w:t>
      </w:r>
      <w:r>
        <w:rPr>
          <w:noProof/>
        </w:rPr>
        <w:tab/>
        <w:t>za vrednostne papirje, ki so prvič kotirali na borzi po 30. juniju 1983, so bili prospekti za kotacijo odobreni v skladu z zahtevami iz Direktive Sveta 80/390/EGS</w:t>
      </w:r>
      <w:r>
        <w:rPr>
          <w:rStyle w:val="FootnoteReference"/>
          <w:noProof/>
        </w:rPr>
        <w:footnoteReference w:id="18"/>
      </w:r>
      <w:r>
        <w:rPr>
          <w:noProof/>
        </w:rPr>
        <w:t xml:space="preserve"> ali Direktive 2001/34/ES Evropskega parlamenta in Sveta</w:t>
      </w:r>
      <w:r>
        <w:rPr>
          <w:rStyle w:val="FootnoteReference"/>
          <w:noProof/>
        </w:rPr>
        <w:footnoteReference w:id="19"/>
      </w:r>
      <w:r>
        <w:rPr>
          <w:noProof/>
        </w:rPr>
        <w:t>, razen kadar se uporablja točka (ii);</w:t>
      </w:r>
    </w:p>
    <w:p>
      <w:pPr>
        <w:pStyle w:val="Point2"/>
        <w:rPr>
          <w:noProof/>
          <w:szCs w:val="24"/>
        </w:rPr>
      </w:pPr>
      <w:r>
        <w:rPr>
          <w:noProof/>
        </w:rPr>
        <w:t>(iv)</w:t>
      </w:r>
      <w:r>
        <w:rPr>
          <w:noProof/>
        </w:rPr>
        <w:tab/>
        <w:t>tekoče obveznosti za trgovanje na navedenem drugem reguliranem trgu so bile izpolnjene;</w:t>
      </w:r>
    </w:p>
    <w:p>
      <w:pPr>
        <w:pStyle w:val="Point2"/>
        <w:rPr>
          <w:noProof/>
          <w:szCs w:val="24"/>
        </w:rPr>
      </w:pPr>
      <w:r>
        <w:rPr>
          <w:noProof/>
        </w:rPr>
        <w:t>(v)</w:t>
      </w:r>
      <w:r>
        <w:rPr>
          <w:noProof/>
        </w:rPr>
        <w:tab/>
        <w:t>oseba, ki prosi za sprejem vrednostnega papirja v trgovanje na reguliranem trgu v skladu s tem izvzetjem, v državi članici z reguliranim trgom, za katerega se vloži vloga za sprejem v trgovanje, na način, določen v členu 20(2), javno objavi dokument z vsebino, ki je skladna s členom 7, pripravljen v jeziku, ki ga sprejme pristojni organ države članice s trgom, za katerega se vloži vloga za sprejem v trgovanje. V dokumentu je navedeno, kje so na voljo najnovejši prospekt in finančne informacije, ki jih je izdajatelj objavil v skladu z veljavnimi obveznostmi glede stalnega razkrivanja.</w:t>
      </w:r>
    </w:p>
    <w:p>
      <w:pPr>
        <w:pStyle w:val="ManualNumPar1"/>
        <w:rPr>
          <w:noProof/>
        </w:rPr>
      </w:pPr>
      <w:r>
        <w:t>5.</w:t>
      </w:r>
      <w:r>
        <w:tab/>
      </w:r>
      <w:r>
        <w:rPr>
          <w:noProof/>
        </w:rPr>
        <w:t xml:space="preserve">Da se upošteva tehnični razvoj na finančnih trgih, vključno z inflacijo, lahko Komisija v skladu s členom 42 z delegiranimi akti sprejme ukrepe glede: </w:t>
      </w:r>
    </w:p>
    <w:p>
      <w:pPr>
        <w:pStyle w:val="Point1letter"/>
        <w:numPr>
          <w:ilvl w:val="3"/>
          <w:numId w:val="3"/>
        </w:numPr>
        <w:rPr>
          <w:noProof/>
          <w:szCs w:val="24"/>
        </w:rPr>
      </w:pPr>
      <w:r>
        <w:rPr>
          <w:noProof/>
        </w:rPr>
        <w:t>prilagoditve denarne omejitve, določene v točki (i) odstavka 2 tega člena;</w:t>
      </w:r>
    </w:p>
    <w:p>
      <w:pPr>
        <w:pStyle w:val="Point1letter"/>
        <w:numPr>
          <w:ilvl w:val="3"/>
          <w:numId w:val="3"/>
        </w:numPr>
        <w:rPr>
          <w:noProof/>
          <w:szCs w:val="24"/>
        </w:rPr>
      </w:pPr>
      <w:r>
        <w:rPr>
          <w:noProof/>
        </w:rPr>
        <w:t>pragov iz točk (c) in (d) odstavka 3 tega člena.</w:t>
      </w:r>
    </w:p>
    <w:p>
      <w:pPr>
        <w:pStyle w:val="ManualNumPar1"/>
        <w:rPr>
          <w:noProof/>
        </w:rPr>
      </w:pPr>
      <w:r>
        <w:t>6.</w:t>
      </w:r>
      <w:r>
        <w:tab/>
      </w:r>
      <w:r>
        <w:rPr>
          <w:noProof/>
        </w:rPr>
        <w:t>Na Komisijo se v skladu s členom 42 prenese pooblastilo za sprejetje delegiranih aktov, ki opredeljujejo minimalne informacije, ki jih vsebujejo dokumenti, omenjeni v točkah (f) in (g) odstavka 3 in točkah (d) in (e) odstavka 4 tega člena.</w:t>
      </w:r>
      <w:r>
        <w:rPr>
          <w:noProof/>
        </w:rPr>
        <w:tab/>
      </w:r>
    </w:p>
    <w:p>
      <w:pPr>
        <w:pStyle w:val="Titrearticle"/>
        <w:rPr>
          <w:b/>
          <w:noProof/>
          <w:szCs w:val="24"/>
        </w:rPr>
      </w:pPr>
      <w:r>
        <w:rPr>
          <w:b/>
          <w:i w:val="0"/>
          <w:noProof/>
        </w:rPr>
        <w:t>Člen 2</w:t>
      </w:r>
      <w:r>
        <w:rPr>
          <w:b/>
          <w:i w:val="0"/>
          <w:noProof/>
          <w:szCs w:val="24"/>
        </w:rPr>
        <w:br/>
      </w:r>
      <w:r>
        <w:rPr>
          <w:b/>
          <w:noProof/>
        </w:rPr>
        <w:t>Opredelitve</w:t>
      </w:r>
    </w:p>
    <w:p>
      <w:pPr>
        <w:pStyle w:val="ManualNumPar1"/>
        <w:rPr>
          <w:noProof/>
        </w:rPr>
      </w:pPr>
      <w:r>
        <w:t>1.</w:t>
      </w:r>
      <w:r>
        <w:tab/>
      </w:r>
      <w:r>
        <w:rPr>
          <w:noProof/>
        </w:rPr>
        <w:t>Za namene te uredbe se uporabljajo naslednje opredelitve pojmov:</w:t>
      </w:r>
    </w:p>
    <w:p>
      <w:pPr>
        <w:pStyle w:val="Point1letter"/>
        <w:numPr>
          <w:ilvl w:val="3"/>
          <w:numId w:val="61"/>
        </w:numPr>
        <w:rPr>
          <w:noProof/>
        </w:rPr>
      </w:pPr>
      <w:r>
        <w:rPr>
          <w:noProof/>
        </w:rPr>
        <w:t>„vrednostni papirji“ pomenijo prenosljive vrednostne papirje, kot so opredeljeni v členu 4(1)(44) Direktive 2014/65/EU, razen instrumentov denarnega trga, kot so opredeljeni v členu 4(1)(17) Direktive 2014/65/EU, z dospelostjo manj kot 12 mesecev;</w:t>
      </w:r>
    </w:p>
    <w:p>
      <w:pPr>
        <w:pStyle w:val="Point1letter"/>
        <w:numPr>
          <w:ilvl w:val="3"/>
          <w:numId w:val="61"/>
        </w:numPr>
        <w:rPr>
          <w:noProof/>
        </w:rPr>
      </w:pPr>
      <w:r>
        <w:rPr>
          <w:noProof/>
        </w:rPr>
        <w:t>„lastniški vrednostni papirji“ pomenijo delnice in druge prenosljive vrednostne papirje, enakovredne delnicam v podjetjih, ter vse druge vrste prenosljivih vrednostnih papirjev, ki dajejo pravico do pridobitve katerih koli zgoraj navedenih vrednostnih papirjev kot posledica zamenjave ali uresničevanja pravic, ki jih podeljujejo, če vrednostne papirje slednje vrste izda izdajatelj delnic, ki se uporabljajo za osnovo, ali subjekt, ki je del skupine navedenega izdajatelja;</w:t>
      </w:r>
    </w:p>
    <w:p>
      <w:pPr>
        <w:pStyle w:val="Point1letter"/>
        <w:numPr>
          <w:ilvl w:val="3"/>
          <w:numId w:val="61"/>
        </w:numPr>
        <w:rPr>
          <w:noProof/>
        </w:rPr>
      </w:pPr>
      <w:r>
        <w:rPr>
          <w:noProof/>
        </w:rPr>
        <w:t>„nelastniški vrednostni papirji“ pomenijo vse vrednostne papirje, ki niso lastniški vrednostni papirji;</w:t>
      </w:r>
    </w:p>
    <w:p>
      <w:pPr>
        <w:pStyle w:val="Point1letter"/>
        <w:numPr>
          <w:ilvl w:val="3"/>
          <w:numId w:val="61"/>
        </w:numPr>
        <w:rPr>
          <w:noProof/>
        </w:rPr>
      </w:pPr>
      <w:r>
        <w:rPr>
          <w:noProof/>
        </w:rPr>
        <w:t>„javna ponudba vrednostnih papirjev“ pomeni sporočilo osebam v kakršni koli obliki in s katerimi koli sredstvi, ki vsebuje dovolj informacij o pogojih ponudbe in ponujenih vrednostnih papirjih, da se vlagatelj lahko odloči za nakup ali vpis teh vrednostnih papirjev. Ta opredelitev se uporablja tudi za plasiranje vrednostnih papirjev prek finančnih posrednikov;</w:t>
      </w:r>
    </w:p>
    <w:p>
      <w:pPr>
        <w:pStyle w:val="Point1letter"/>
        <w:numPr>
          <w:ilvl w:val="3"/>
          <w:numId w:val="61"/>
        </w:numPr>
        <w:rPr>
          <w:noProof/>
        </w:rPr>
      </w:pPr>
      <w:r>
        <w:rPr>
          <w:noProof/>
        </w:rPr>
        <w:t>„dobro poučeni vlagatelji“ pomenijo osebe ali subjekte, ki so navedeni v točkah od (1) do (4) oddelka I Priloge II k Direktivi 2014/65/EU, in osebe ali subjekte, ki se na zahtevo obravnavajo kot profesionalne stranke v skladu z oddelkom II Priloge II k Direktivi 2014/65/EU ali pa so priznani kot primerne nasprotne stranke v skladu s členom 30 Direktive 2014/65/EU, razen če so zahtevali, da se obravnavajo kot neprofesionalne stranke. Investicijska podjetja in kreditne institucije na zahtevo izdajatelju sporočijo svojo razvrstitev brez poseganja v veljavno zakonodajo o varstvu podatkov;</w:t>
      </w:r>
    </w:p>
    <w:p>
      <w:pPr>
        <w:pStyle w:val="Point1letter"/>
        <w:numPr>
          <w:ilvl w:val="3"/>
          <w:numId w:val="61"/>
        </w:numPr>
        <w:rPr>
          <w:noProof/>
        </w:rPr>
      </w:pPr>
      <w:r>
        <w:rPr>
          <w:noProof/>
        </w:rPr>
        <w:t>„mala in srednja podjetja“ (MSP) pomenijo bodisi</w:t>
      </w:r>
    </w:p>
    <w:p>
      <w:pPr>
        <w:pStyle w:val="Tiret2"/>
        <w:numPr>
          <w:ilvl w:val="0"/>
          <w:numId w:val="83"/>
        </w:numPr>
        <w:rPr>
          <w:noProof/>
        </w:rPr>
      </w:pPr>
      <w:r>
        <w:rPr>
          <w:noProof/>
        </w:rPr>
        <w:t>podjetja, ki glede na svoje zadnje letne računovodske izkaze ali konsolidirane računovodske izkaze izpolnjujejo vsaj naslednja merila: v poslovnem letu imajo v povprečju manj kot 250 zaposlenih, bilančna vsota ne presega 43 000 000 EUR in letni čisti prihodek ne presega 50 000 000 EUR, ali</w:t>
      </w:r>
    </w:p>
    <w:p>
      <w:pPr>
        <w:pStyle w:val="Tiret2"/>
        <w:rPr>
          <w:noProof/>
        </w:rPr>
      </w:pPr>
      <w:r>
        <w:rPr>
          <w:noProof/>
        </w:rPr>
        <w:t>mala in srednja podjetja, kot so opredeljena v členu 4(1)(13) Direktive 2014/65/EU;</w:t>
      </w:r>
    </w:p>
    <w:p>
      <w:pPr>
        <w:pStyle w:val="Point1letter"/>
        <w:numPr>
          <w:ilvl w:val="3"/>
          <w:numId w:val="61"/>
        </w:numPr>
        <w:rPr>
          <w:noProof/>
        </w:rPr>
      </w:pPr>
      <w:r>
        <w:rPr>
          <w:noProof/>
        </w:rPr>
        <w:t>„kreditna institucija“ pomeni podjetje, kot je opredeljeno v točki (1) člena 4(1) Uredbe (EU) št. 575/2013 Evropskega parlamenta in Sveta</w:t>
      </w:r>
      <w:r>
        <w:rPr>
          <w:rStyle w:val="FootnoteReference"/>
          <w:noProof/>
        </w:rPr>
        <w:footnoteReference w:id="20"/>
      </w:r>
      <w:r>
        <w:rPr>
          <w:noProof/>
        </w:rPr>
        <w:t>;</w:t>
      </w:r>
    </w:p>
    <w:p>
      <w:pPr>
        <w:pStyle w:val="Point1letter"/>
        <w:numPr>
          <w:ilvl w:val="3"/>
          <w:numId w:val="61"/>
        </w:numPr>
        <w:rPr>
          <w:noProof/>
        </w:rPr>
      </w:pPr>
      <w:r>
        <w:rPr>
          <w:noProof/>
        </w:rPr>
        <w:t>„izdajatelj“ pomeni pravno osebo, ki izdaja ali predlaga izdajo vrednostnih papirjev;</w:t>
      </w:r>
    </w:p>
    <w:p>
      <w:pPr>
        <w:pStyle w:val="Point1letter"/>
        <w:numPr>
          <w:ilvl w:val="3"/>
          <w:numId w:val="61"/>
        </w:numPr>
        <w:rPr>
          <w:noProof/>
        </w:rPr>
      </w:pPr>
      <w:r>
        <w:rPr>
          <w:noProof/>
        </w:rPr>
        <w:t>„ponudnik“ pomeni pravno osebo ali posameznika, ki javno ponudi vrednostne papirje;</w:t>
      </w:r>
    </w:p>
    <w:p>
      <w:pPr>
        <w:pStyle w:val="Point1letter"/>
        <w:numPr>
          <w:ilvl w:val="3"/>
          <w:numId w:val="61"/>
        </w:numPr>
        <w:rPr>
          <w:noProof/>
        </w:rPr>
      </w:pPr>
      <w:r>
        <w:rPr>
          <w:noProof/>
        </w:rPr>
        <w:t>„regulirani trg“ pomeni trg, kot je opredeljen v členu 4(1)(21) Direktive 2014/65/EU;</w:t>
      </w:r>
    </w:p>
    <w:p>
      <w:pPr>
        <w:pStyle w:val="Point1letter"/>
        <w:numPr>
          <w:ilvl w:val="3"/>
          <w:numId w:val="61"/>
        </w:numPr>
        <w:rPr>
          <w:noProof/>
        </w:rPr>
      </w:pPr>
      <w:r>
        <w:rPr>
          <w:noProof/>
        </w:rPr>
        <w:t>„oglas“ pomeni objavo:</w:t>
      </w:r>
    </w:p>
    <w:p>
      <w:pPr>
        <w:pStyle w:val="Tiret2"/>
        <w:rPr>
          <w:noProof/>
        </w:rPr>
      </w:pPr>
      <w:r>
        <w:rPr>
          <w:noProof/>
        </w:rPr>
        <w:t>ki je povezana z določeno javno ponudbo vrednostnih papirjev ali sprejemom vrednostnih papirjev v trgovanje na reguliranem trgu in</w:t>
      </w:r>
    </w:p>
    <w:p>
      <w:pPr>
        <w:pStyle w:val="Tiret2"/>
        <w:rPr>
          <w:noProof/>
        </w:rPr>
      </w:pPr>
      <w:r>
        <w:rPr>
          <w:noProof/>
        </w:rPr>
        <w:t>katere cilj je izrecno spodbujanje morebitnega vpisa ali pridobitve vrednostnih papirjev;</w:t>
      </w:r>
    </w:p>
    <w:p>
      <w:pPr>
        <w:pStyle w:val="Point1letter"/>
        <w:rPr>
          <w:noProof/>
        </w:rPr>
      </w:pPr>
      <w:r>
        <w:rPr>
          <w:noProof/>
        </w:rPr>
        <w:t>„predpisane informacije“ pomenijo vse informacije, kot so opredeljene v členu 2(1)(k) Direktive 2004/109/ES;</w:t>
      </w:r>
    </w:p>
    <w:p>
      <w:pPr>
        <w:pStyle w:val="Point1letter"/>
        <w:rPr>
          <w:noProof/>
        </w:rPr>
      </w:pPr>
      <w:r>
        <w:rPr>
          <w:noProof/>
        </w:rPr>
        <w:t>„matična država članica“ pomeni:</w:t>
      </w:r>
    </w:p>
    <w:p>
      <w:pPr>
        <w:pStyle w:val="Point2"/>
        <w:rPr>
          <w:noProof/>
        </w:rPr>
      </w:pPr>
      <w:r>
        <w:rPr>
          <w:noProof/>
        </w:rPr>
        <w:t>(i)</w:t>
      </w:r>
      <w:r>
        <w:rPr>
          <w:noProof/>
        </w:rPr>
        <w:tab/>
        <w:t>za vse izdajatelje vrednostnih papirjev s sedežem v Uniji, ki niso navedeni v točki (ii), državo članico, v kateri ima izdajatelj registrirani sedež;</w:t>
      </w:r>
    </w:p>
    <w:p>
      <w:pPr>
        <w:pStyle w:val="Point2"/>
        <w:rPr>
          <w:noProof/>
        </w:rPr>
      </w:pPr>
      <w:r>
        <w:rPr>
          <w:noProof/>
        </w:rPr>
        <w:t>(ii)</w:t>
      </w:r>
      <w:r>
        <w:rPr>
          <w:noProof/>
        </w:rPr>
        <w:tab/>
        <w:t>za vse izdaje nelastniških vrednostnih papirjev, katerih nominalna vrednost na enoto znaša vsaj 1 000 EUR, in za vse izdaje nelastniških vrednostnih papirjev, ki dajejo pravico do pridobitve kakršnih koli prenosljivih vrednostnih papirjev ali do prejemanja denarnih sredstev kot posledica zamenjave ali uresničevanja pravic, ki jih podeljujejo, če izdajatelj nelastniških vrednostnih papirjev ni izdajatelj vrednostnih papirjev, ki se uporabljajo za osnovo, ali subjekt, ki je del skupine navedenega izdajatelja, državo članico, v kateri ima izdajatelj registrirani sedež ali v kateri so bili vrednostni papirji sprejeti ali bodo sprejeti v trgovanje na reguliranem trgu ali v kateri se vrednostni papirji javno ponudijo, po izbiri izdajatelja, ponudnika ali osebe, ki prosi za sprejem v trgovanje. Enako velja za nelastniške vrednostne papirje v valuti, ki ni euro, razen če je vrednost take najnižje nominalne vrednosti skoraj enaka 1 000 EUR;</w:t>
      </w:r>
    </w:p>
    <w:p>
      <w:pPr>
        <w:pStyle w:val="Point2"/>
        <w:rPr>
          <w:noProof/>
        </w:rPr>
      </w:pPr>
      <w:r>
        <w:rPr>
          <w:noProof/>
        </w:rPr>
        <w:t>(iii)</w:t>
      </w:r>
      <w:r>
        <w:rPr>
          <w:noProof/>
        </w:rPr>
        <w:tab/>
        <w:t>za vse izdajatelje vrednostnih papirjev s sedežem v tretji državi, ki niso omenjeni v točki (ii), državo članico, v kateri se nameravajo vrednostni papirji prvič javno ponuditi ali v kateri se je predložila prva vloga za sprejem vrednostnih papirjev v trgovanje na reguliranem trgu, po izbiri izdajatelja, ponudnika ali osebe, ki prosi za sprejem v trgovanje, glede na poznejšo izbiro izdajateljev s sedežem v tretji državi v katerem koli od naslednjih primerov:</w:t>
      </w:r>
    </w:p>
    <w:p>
      <w:pPr>
        <w:pStyle w:val="Tiret3"/>
        <w:numPr>
          <w:ilvl w:val="0"/>
          <w:numId w:val="62"/>
        </w:numPr>
        <w:rPr>
          <w:noProof/>
        </w:rPr>
      </w:pPr>
      <w:r>
        <w:rPr>
          <w:noProof/>
        </w:rPr>
        <w:t>če matična država članica ni bila določena v skladu z izbiro teh izdajateljev,</w:t>
      </w:r>
    </w:p>
    <w:p>
      <w:pPr>
        <w:pStyle w:val="Tiret3"/>
        <w:rPr>
          <w:noProof/>
        </w:rPr>
      </w:pPr>
      <w:r>
        <w:rPr>
          <w:noProof/>
        </w:rPr>
        <w:t>v skladu s točko (1)(i)(ii) člena 2 Direktive 2004/109/ES;</w:t>
      </w:r>
    </w:p>
    <w:p>
      <w:pPr>
        <w:pStyle w:val="Point1letter"/>
        <w:rPr>
          <w:noProof/>
        </w:rPr>
      </w:pPr>
      <w:r>
        <w:rPr>
          <w:noProof/>
        </w:rPr>
        <w:t>„država članica gostiteljica“ pomeni državo članico javne ponudbe ali državo članico, v kateri se vloži vloga za sprejem v trgovanje, če ni matična država članica;</w:t>
      </w:r>
    </w:p>
    <w:p>
      <w:pPr>
        <w:pStyle w:val="Point1letter"/>
        <w:rPr>
          <w:noProof/>
        </w:rPr>
      </w:pPr>
      <w:r>
        <w:rPr>
          <w:noProof/>
        </w:rPr>
        <w:t>„kolektivni naložbeni podjem, ki ni zaprtega tipa“ pomeni naložbene sklade in investicijska podjetja, ki imajo naslednje lastnosti:</w:t>
      </w:r>
    </w:p>
    <w:p>
      <w:pPr>
        <w:pStyle w:val="Point2"/>
        <w:rPr>
          <w:noProof/>
        </w:rPr>
      </w:pPr>
      <w:r>
        <w:rPr>
          <w:noProof/>
        </w:rPr>
        <w:t>(i)</w:t>
      </w:r>
      <w:r>
        <w:rPr>
          <w:noProof/>
        </w:rPr>
        <w:tab/>
        <w:t>kapital zbirajo od številnih vlagateljev z namenom njegovega vlaganja v skladu z opredeljeno naložbeno politiko v korist navedenih vlagateljev;</w:t>
      </w:r>
    </w:p>
    <w:p>
      <w:pPr>
        <w:pStyle w:val="Point2"/>
        <w:rPr>
          <w:noProof/>
        </w:rPr>
      </w:pPr>
      <w:r>
        <w:rPr>
          <w:noProof/>
        </w:rPr>
        <w:t>(ii)</w:t>
      </w:r>
      <w:r>
        <w:rPr>
          <w:noProof/>
        </w:rPr>
        <w:tab/>
        <w:t>njihove enote se na zahtevo imetnika posredno ali neposredno odkupijo ali izplačajo iz njihovih sredstev;</w:t>
      </w:r>
    </w:p>
    <w:p>
      <w:pPr>
        <w:pStyle w:val="Point1letter"/>
        <w:rPr>
          <w:noProof/>
        </w:rPr>
      </w:pPr>
      <w:r>
        <w:rPr>
          <w:noProof/>
        </w:rPr>
        <w:t>„enote kolektivnih naložbenih podjemov“ pomenijo vrednostne papirje, ki jih izda kolektivni naložbeni podjem, ki predstavljajo pravice udeležencev v takem podjetju do njegovih sredstev;</w:t>
      </w:r>
    </w:p>
    <w:p>
      <w:pPr>
        <w:pStyle w:val="Point1letter"/>
        <w:rPr>
          <w:noProof/>
        </w:rPr>
      </w:pPr>
      <w:r>
        <w:rPr>
          <w:noProof/>
        </w:rPr>
        <w:t>„odobritev“ pomeni pozitivno obravnavo kot rezultat pregleda popolnosti, doslednosti in razumljivosti informacij iz prospekta, ki ga izvede pristojni organ matične države članice;</w:t>
      </w:r>
    </w:p>
    <w:p>
      <w:pPr>
        <w:pStyle w:val="Point1letter"/>
        <w:rPr>
          <w:noProof/>
        </w:rPr>
      </w:pPr>
      <w:r>
        <w:rPr>
          <w:noProof/>
        </w:rPr>
        <w:t>„osnovni prospekt“ pomeni prospekt, ki je skladen s členom 8 te uredbe in, po izbiri izdajatelja, končnimi pogoji ponudbe;</w:t>
      </w:r>
    </w:p>
    <w:p>
      <w:pPr>
        <w:pStyle w:val="Point1letter"/>
        <w:rPr>
          <w:noProof/>
        </w:rPr>
      </w:pPr>
      <w:r>
        <w:rPr>
          <w:noProof/>
        </w:rPr>
        <w:t>„delovni dnevi“ pomenijo za namene te uredbe delovne dni nacionalnega pristojnega organa brez sobote, nedelje in državnih praznikov, kot so opredeljeni v nacionalnem pravu, ki se uporablja za nacionalni pristojni organ;</w:t>
      </w:r>
    </w:p>
    <w:p>
      <w:pPr>
        <w:pStyle w:val="Point1letter"/>
        <w:rPr>
          <w:noProof/>
        </w:rPr>
      </w:pPr>
      <w:r>
        <w:rPr>
          <w:noProof/>
        </w:rPr>
        <w:t>„večstranski sistem trgovanja“ pomeni večstranski sistem, kot je opredeljen v členu 4(1)(22) Direktive 2014/65/EU;</w:t>
      </w:r>
    </w:p>
    <w:p>
      <w:pPr>
        <w:pStyle w:val="Point1letter"/>
        <w:rPr>
          <w:noProof/>
        </w:rPr>
      </w:pPr>
      <w:r>
        <w:rPr>
          <w:noProof/>
        </w:rPr>
        <w:t>„zagonski trg MSP“ pomeni zagonski trg MSP, kot je opredeljen v členu 4(1)(12) Direktive 2014/65/EU;</w:t>
      </w:r>
    </w:p>
    <w:p>
      <w:pPr>
        <w:pStyle w:val="Point1letter"/>
        <w:rPr>
          <w:noProof/>
        </w:rPr>
      </w:pPr>
      <w:r>
        <w:rPr>
          <w:noProof/>
        </w:rPr>
        <w:t>„izdajatelj iz tretje države“ pomeni izdajatelja s sedežem v tretji državi.</w:t>
      </w:r>
    </w:p>
    <w:p>
      <w:pPr>
        <w:pStyle w:val="ManualNumPar1"/>
        <w:rPr>
          <w:noProof/>
        </w:rPr>
      </w:pPr>
      <w:r>
        <w:t>2.</w:t>
      </w:r>
      <w:r>
        <w:tab/>
      </w:r>
      <w:r>
        <w:rPr>
          <w:noProof/>
        </w:rPr>
        <w:t>Da se zagotovi upoštevanje tehničnega razvoja na finančnih trgih, se na Komisijo prenese pooblastilo za sprejetje delegiranih aktov v skladu s členom 42, da se podrobneje določijo nekateri tehnični elementi opredelitev pojmov iz odstavka 1 tega člena, vključno s prilagoditvijo vrednosti, določenih v opredelitvi pojma „mala in srednja podjetja“ (MSP) v točki (f) odstavka 1, pri čemer se upoštevajo položaj na različnih nacionalnih trgih, vključno z uvrstitvijo podjetij, ki jo uporabljajo upravljavci reguliranih trgov in večstranskih sistemov trgovanja, zakonodaja in priporočila Unije ter gospodarski razvoj.</w:t>
      </w:r>
    </w:p>
    <w:p>
      <w:pPr>
        <w:pStyle w:val="Titrearticle"/>
        <w:rPr>
          <w:b/>
          <w:noProof/>
          <w:szCs w:val="24"/>
        </w:rPr>
      </w:pPr>
      <w:r>
        <w:rPr>
          <w:b/>
          <w:i w:val="0"/>
          <w:noProof/>
        </w:rPr>
        <w:t>Člen 3</w:t>
      </w:r>
      <w:r>
        <w:rPr>
          <w:b/>
          <w:i w:val="0"/>
          <w:noProof/>
          <w:szCs w:val="24"/>
        </w:rPr>
        <w:br/>
      </w:r>
      <w:r>
        <w:rPr>
          <w:b/>
          <w:noProof/>
        </w:rPr>
        <w:t>Obveznost objave prospekta in izvzetje</w:t>
      </w:r>
    </w:p>
    <w:p>
      <w:pPr>
        <w:pStyle w:val="ManualNumPar1"/>
        <w:rPr>
          <w:noProof/>
        </w:rPr>
      </w:pPr>
      <w:r>
        <w:t>1.</w:t>
      </w:r>
      <w:r>
        <w:tab/>
      </w:r>
      <w:r>
        <w:rPr>
          <w:noProof/>
        </w:rPr>
        <w:t>Vrednostni papirji se v Uniji ne ponudijo javno brez predhodne objave prospekta.</w:t>
      </w:r>
    </w:p>
    <w:p>
      <w:pPr>
        <w:pStyle w:val="ManualNumPar1"/>
        <w:rPr>
          <w:noProof/>
        </w:rPr>
      </w:pPr>
      <w:r>
        <w:t>2.</w:t>
      </w:r>
      <w:r>
        <w:tab/>
      </w:r>
      <w:r>
        <w:rPr>
          <w:noProof/>
        </w:rPr>
        <w:t>Država članica lahko javno ponudbo vrednostnih papirjev izvzame iz zahteve glede prospekta iz odstavka 1, če:</w:t>
      </w:r>
    </w:p>
    <w:p>
      <w:pPr>
        <w:pStyle w:val="Point1letter"/>
        <w:numPr>
          <w:ilvl w:val="3"/>
          <w:numId w:val="63"/>
        </w:numPr>
        <w:rPr>
          <w:noProof/>
        </w:rPr>
      </w:pPr>
      <w:r>
        <w:rPr>
          <w:noProof/>
        </w:rPr>
        <w:t xml:space="preserve">se ponudba predloži samo v navedeni državi članici in </w:t>
      </w:r>
    </w:p>
    <w:p>
      <w:pPr>
        <w:pStyle w:val="Point1letter"/>
        <w:numPr>
          <w:ilvl w:val="3"/>
          <w:numId w:val="63"/>
        </w:numPr>
        <w:rPr>
          <w:noProof/>
        </w:rPr>
      </w:pPr>
      <w:r>
        <w:rPr>
          <w:noProof/>
        </w:rPr>
        <w:t>je skupna vrednost ponudbe nižja od denarnega zneska, izračunanega v obdobju 12 mesecev, ki ne presega 10 000 000 EUR.</w:t>
      </w:r>
    </w:p>
    <w:p>
      <w:pPr>
        <w:pStyle w:val="Text1"/>
        <w:tabs>
          <w:tab w:val="left" w:pos="840"/>
        </w:tabs>
        <w:rPr>
          <w:noProof/>
          <w:szCs w:val="24"/>
        </w:rPr>
      </w:pPr>
      <w:r>
        <w:rPr>
          <w:noProof/>
        </w:rPr>
        <w:t xml:space="preserve">Države članice obvestijo Komisijo in ESMA o izvajanju možnosti iz tega odstavka, vključno z vrednostjo za izbrano ponudbo, pod katero se uporablja izvzetje za domače ponudbe. </w:t>
      </w:r>
    </w:p>
    <w:p>
      <w:pPr>
        <w:pStyle w:val="ManualNumPar1"/>
        <w:rPr>
          <w:noProof/>
        </w:rPr>
      </w:pPr>
      <w:r>
        <w:t>3.</w:t>
      </w:r>
      <w:r>
        <w:tab/>
      </w:r>
      <w:r>
        <w:rPr>
          <w:noProof/>
        </w:rPr>
        <w:t>Vrednostni papirji se ne sprejmejo v trgovanje na reguliranem trgu, ki je v Uniji ali deluje v njej, brez predhodne objave prospekta.</w:t>
      </w:r>
    </w:p>
    <w:p>
      <w:pPr>
        <w:pStyle w:val="Titrearticle"/>
        <w:rPr>
          <w:b/>
          <w:noProof/>
          <w:szCs w:val="24"/>
        </w:rPr>
      </w:pPr>
      <w:r>
        <w:rPr>
          <w:b/>
          <w:i w:val="0"/>
          <w:noProof/>
        </w:rPr>
        <w:t>Člen 4</w:t>
      </w:r>
      <w:r>
        <w:rPr>
          <w:b/>
          <w:i w:val="0"/>
          <w:noProof/>
          <w:szCs w:val="24"/>
        </w:rPr>
        <w:br/>
      </w:r>
      <w:r>
        <w:rPr>
          <w:b/>
          <w:noProof/>
        </w:rPr>
        <w:t>Prostovoljni prospekt</w:t>
      </w:r>
    </w:p>
    <w:p>
      <w:pPr>
        <w:spacing w:before="0" w:after="200" w:line="276" w:lineRule="auto"/>
        <w:rPr>
          <w:noProof/>
          <w:szCs w:val="24"/>
        </w:rPr>
      </w:pPr>
      <w:r>
        <w:rPr>
          <w:noProof/>
        </w:rPr>
        <w:t xml:space="preserve">Če je javna ponudba vrednostnih papirjev ali sprejem vrednostnih papirjev v trgovanje na reguliranem trgu zunaj področja uporabe te uredbe, kot je opredeljeno v členu 1, je izdajatelj, ponudnik ali oseba, ki prosi za sprejem v trgovanje na reguliranem trgu, upravičena do prostovoljne priprave prospekta v skladu s to uredbo. </w:t>
      </w:r>
    </w:p>
    <w:p>
      <w:pPr>
        <w:spacing w:before="0" w:after="200" w:line="276" w:lineRule="auto"/>
        <w:rPr>
          <w:noProof/>
          <w:szCs w:val="24"/>
        </w:rPr>
      </w:pPr>
      <w:r>
        <w:rPr>
          <w:noProof/>
        </w:rPr>
        <w:t xml:space="preserve">Prostovoljni prospekt, ki ga odobri pristojni organ matične države članice, kot je določeno v členu 2(1)(m), vsebuje vse pravice in obveznosti, ki jih zagotavlja prospekt, ki ga je treba obvezno pripraviti v skladu s to uredbo, zanj pa veljajo vse določbe te uredbe, skladnost s katerimi nadzoruje navedeni pristojni organ. </w:t>
      </w:r>
    </w:p>
    <w:p>
      <w:pPr>
        <w:pStyle w:val="Titrearticle"/>
        <w:rPr>
          <w:b/>
          <w:noProof/>
          <w:szCs w:val="24"/>
        </w:rPr>
      </w:pPr>
      <w:r>
        <w:rPr>
          <w:b/>
          <w:i w:val="0"/>
          <w:noProof/>
        </w:rPr>
        <w:t>Člen 5</w:t>
      </w:r>
      <w:r>
        <w:rPr>
          <w:b/>
          <w:i w:val="0"/>
          <w:noProof/>
          <w:szCs w:val="24"/>
        </w:rPr>
        <w:br/>
      </w:r>
      <w:r>
        <w:rPr>
          <w:b/>
          <w:noProof/>
        </w:rPr>
        <w:t>Naknadna nadaljnja prodaja vrednostnih papirjev</w:t>
      </w:r>
    </w:p>
    <w:p>
      <w:pPr>
        <w:spacing w:before="0" w:after="200" w:line="276" w:lineRule="auto"/>
        <w:rPr>
          <w:noProof/>
          <w:szCs w:val="24"/>
        </w:rPr>
      </w:pPr>
      <w:r>
        <w:rPr>
          <w:noProof/>
        </w:rPr>
        <w:t>Vsaka naknadna nadaljnja prodaja vrednostnih papirjev, ki so bili predhodno predmet ene ali več ponudb vrednostnih papirjev, navedenih v točkah od (a) do (d) člena 1(3), se šteje za ločeno ponudbo in za določitev, ali je navedena nadaljnja prodaja javna ponudba vrednostnih papirjev, se uporablja opredelitev pojma iz člena 2(1)(d). Za plasiranje vrednostnih papirjev prek finančnih posrednikov se mora objaviti prospekt, če v zvezi s končnim plasiranjem ni izpolnjen nobeden od pogojev iz točk od (a) do (d) člena 1(3).</w:t>
      </w:r>
    </w:p>
    <w:p>
      <w:pPr>
        <w:spacing w:before="0" w:after="200" w:line="276" w:lineRule="auto"/>
        <w:rPr>
          <w:noProof/>
          <w:szCs w:val="24"/>
        </w:rPr>
      </w:pPr>
      <w:r>
        <w:rPr>
          <w:noProof/>
        </w:rPr>
        <w:t>Pri nobeni taki naknadni nadaljnji prodaji vrednostnih papirjev ali končnem plasiranju vrednostnih papirjev prek finančnih posrednikov ni potreben dodaten prospekt, če je veljaven prospekt na voljo v skladu s členom 12 in če se izdajatelj ali oseba, odgovorna za pripravo takega prospekta, strinja z njegovo uporabo s pisnim soglasjem.</w:t>
      </w:r>
    </w:p>
    <w:p>
      <w:pPr>
        <w:pStyle w:val="SectionTitle"/>
        <w:rPr>
          <w:noProof/>
          <w:sz w:val="24"/>
          <w:szCs w:val="24"/>
        </w:rPr>
      </w:pPr>
      <w:r>
        <w:rPr>
          <w:noProof/>
          <w:sz w:val="24"/>
        </w:rPr>
        <w:t>POGLAVJE II</w:t>
      </w:r>
      <w:r>
        <w:rPr>
          <w:noProof/>
          <w:sz w:val="24"/>
          <w:szCs w:val="24"/>
        </w:rPr>
        <w:br/>
      </w:r>
      <w:r>
        <w:rPr>
          <w:noProof/>
          <w:sz w:val="24"/>
        </w:rPr>
        <w:t>PRIPRAVA PROSPEKTA</w:t>
      </w:r>
    </w:p>
    <w:p>
      <w:pPr>
        <w:pStyle w:val="Titrearticle"/>
        <w:rPr>
          <w:b/>
          <w:noProof/>
          <w:szCs w:val="24"/>
        </w:rPr>
      </w:pPr>
      <w:r>
        <w:rPr>
          <w:b/>
          <w:i w:val="0"/>
          <w:noProof/>
        </w:rPr>
        <w:t>Člen 6</w:t>
      </w:r>
      <w:r>
        <w:rPr>
          <w:b/>
          <w:i w:val="0"/>
          <w:noProof/>
          <w:szCs w:val="24"/>
        </w:rPr>
        <w:br/>
      </w:r>
      <w:r>
        <w:rPr>
          <w:b/>
          <w:noProof/>
        </w:rPr>
        <w:t>Prospekt</w:t>
      </w:r>
    </w:p>
    <w:p>
      <w:pPr>
        <w:pStyle w:val="ManualNumPar1"/>
        <w:rPr>
          <w:noProof/>
        </w:rPr>
      </w:pPr>
      <w:r>
        <w:t>1.</w:t>
      </w:r>
      <w:r>
        <w:tab/>
      </w:r>
      <w:r>
        <w:rPr>
          <w:noProof/>
        </w:rPr>
        <w:t>Brez poseganja v člena 14(2) in 17(2) prospekt vsebuje informacije, ki so glede na posebno naravo izdajatelja ali javno ponujenih vrednostnih papirjev ali vrednostnih papirjev, sprejetih v trgovanje na reguliranem trgu, potrebne, da se vlagateljem omogoči, da na podlagi informacij ocenijo sredstva in obveznosti, finančni položaj, poslovni izid ter pričakovanja izdajatelja ali katerega koli garanta in pravice, ki izhajajo iz takih vrednostnih papirjev. Navedene informacije so predstavljene v jedrnati in razumljivi obliki, ki omogoča preprosto analizo.</w:t>
      </w:r>
    </w:p>
    <w:p>
      <w:pPr>
        <w:pStyle w:val="ManualNumPar1"/>
        <w:rPr>
          <w:noProof/>
        </w:rPr>
      </w:pPr>
      <w:r>
        <w:t>2.</w:t>
      </w:r>
      <w:r>
        <w:tab/>
      </w:r>
      <w:r>
        <w:rPr>
          <w:noProof/>
        </w:rPr>
        <w:t xml:space="preserve">Izdajatelj, ponudnik ali oseba, ki prosi za sprejem v trgovanje na reguliranem trgu, lahko prospekt pripravi v obliki enega dokumenta ali več ločenih dokumentov. </w:t>
      </w:r>
    </w:p>
    <w:p>
      <w:pPr>
        <w:pStyle w:val="Text1"/>
        <w:rPr>
          <w:noProof/>
        </w:rPr>
      </w:pPr>
      <w:r>
        <w:rPr>
          <w:noProof/>
        </w:rPr>
        <w:t>Če prospekt sestavlja več ločenih dokumentov, se informacije razdelijo na registracijski dokument, opis vrednostnih papirjev in izvleček brez poseganja v člen 8(7). Registracijski dokument vsebuje informacije o izdajatelju. Opis vrednostnih papirjev vsebuje informacije o javno ponujenih vrednostnih papirjih ali vrednostnih papirjih, ki naj bi bili sprejeti v trgovanje na reguliranem trgu.</w:t>
      </w:r>
    </w:p>
    <w:p>
      <w:pPr>
        <w:pStyle w:val="Titrearticle"/>
        <w:rPr>
          <w:b/>
          <w:noProof/>
          <w:szCs w:val="24"/>
        </w:rPr>
      </w:pPr>
      <w:r>
        <w:rPr>
          <w:b/>
          <w:i w:val="0"/>
          <w:noProof/>
        </w:rPr>
        <w:t xml:space="preserve">Člen 7 </w:t>
      </w:r>
      <w:r>
        <w:rPr>
          <w:b/>
          <w:i w:val="0"/>
          <w:noProof/>
          <w:szCs w:val="24"/>
        </w:rPr>
        <w:br/>
      </w:r>
      <w:r>
        <w:rPr>
          <w:b/>
          <w:noProof/>
        </w:rPr>
        <w:t>Izvleček prospekta</w:t>
      </w:r>
    </w:p>
    <w:p>
      <w:pPr>
        <w:pStyle w:val="ManualNumPar1"/>
        <w:rPr>
          <w:noProof/>
        </w:rPr>
      </w:pPr>
      <w:r>
        <w:t>1.</w:t>
      </w:r>
      <w:r>
        <w:tab/>
      </w:r>
      <w:r>
        <w:rPr>
          <w:noProof/>
        </w:rPr>
        <w:t>Prospekt vključuje izvleček, ki vsebuje ključne informacije, ki jih vlagatelji potrebujejo za razumevanje narave in tveganj izdajatelja, garanta in vrednostnih papirjev, ki se ponujajo ali sprejemajo v trgovanje na reguliranem trgu, in ki v povezavi z drugimi deli prospekta pomagajo vlagateljem pri sprejemanju odločitve o naložbi v take vrednostne papirje.</w:t>
      </w:r>
    </w:p>
    <w:p>
      <w:pPr>
        <w:pStyle w:val="ManualNumPar1"/>
        <w:rPr>
          <w:noProof/>
        </w:rPr>
      </w:pPr>
      <w:r>
        <w:t>2.</w:t>
      </w:r>
      <w:r>
        <w:tab/>
      </w:r>
      <w:r>
        <w:rPr>
          <w:noProof/>
        </w:rPr>
        <w:t>Vsebina izvlečka je točna, poštena, jasna in ni zavajajoča. Skladna je z drugimi deli prospekta.</w:t>
      </w:r>
    </w:p>
    <w:p>
      <w:pPr>
        <w:pStyle w:val="ManualNumPar1"/>
        <w:rPr>
          <w:noProof/>
        </w:rPr>
      </w:pPr>
      <w:r>
        <w:t>3.</w:t>
      </w:r>
      <w:r>
        <w:tab/>
      </w:r>
      <w:r>
        <w:rPr>
          <w:noProof/>
        </w:rPr>
        <w:t>Izvleček se pripravi kot kratek, jedrnat dokument in ima največ šest strani formata A4, če se natisne. Izvleček:</w:t>
      </w:r>
    </w:p>
    <w:p>
      <w:pPr>
        <w:pStyle w:val="Point1letter"/>
        <w:numPr>
          <w:ilvl w:val="3"/>
          <w:numId w:val="7"/>
        </w:numPr>
        <w:rPr>
          <w:noProof/>
          <w:szCs w:val="24"/>
        </w:rPr>
      </w:pPr>
      <w:r>
        <w:rPr>
          <w:noProof/>
        </w:rPr>
        <w:t>se predstavi in oblikuje tako, da je lahko čitljiv, velikost črk pa je primerna za branje;</w:t>
      </w:r>
    </w:p>
    <w:p>
      <w:pPr>
        <w:pStyle w:val="Point1letter"/>
        <w:numPr>
          <w:ilvl w:val="3"/>
          <w:numId w:val="7"/>
        </w:numPr>
        <w:rPr>
          <w:noProof/>
          <w:szCs w:val="24"/>
        </w:rPr>
      </w:pPr>
      <w:r>
        <w:rPr>
          <w:noProof/>
        </w:rPr>
        <w:t>je napisan v jeziku in slogu, ki omogoča lažje razumevanje informacij, in zlasti v jasnem, netehničnem, jedrnatem in razumljivem jeziku.</w:t>
      </w:r>
    </w:p>
    <w:p>
      <w:pPr>
        <w:pStyle w:val="ManualNumPar1"/>
        <w:rPr>
          <w:noProof/>
        </w:rPr>
      </w:pPr>
      <w:r>
        <w:t>4.</w:t>
      </w:r>
      <w:r>
        <w:tab/>
      </w:r>
      <w:r>
        <w:rPr>
          <w:noProof/>
        </w:rPr>
        <w:t>Izvleček sestavljajo naslednji štirje oddelki:</w:t>
      </w:r>
    </w:p>
    <w:p>
      <w:pPr>
        <w:pStyle w:val="Point1letter"/>
        <w:numPr>
          <w:ilvl w:val="3"/>
          <w:numId w:val="8"/>
        </w:numPr>
        <w:rPr>
          <w:noProof/>
          <w:szCs w:val="24"/>
        </w:rPr>
      </w:pPr>
      <w:r>
        <w:rPr>
          <w:noProof/>
        </w:rPr>
        <w:t>uvod z opozorili;</w:t>
      </w:r>
    </w:p>
    <w:p>
      <w:pPr>
        <w:pStyle w:val="Point1letter"/>
        <w:numPr>
          <w:ilvl w:val="3"/>
          <w:numId w:val="8"/>
        </w:numPr>
        <w:rPr>
          <w:noProof/>
          <w:szCs w:val="24"/>
        </w:rPr>
      </w:pPr>
      <w:r>
        <w:rPr>
          <w:noProof/>
        </w:rPr>
        <w:t>ključne informacije o izdajatelju, ponudniku ali osebi, ki prosi za sprejem v trgovanje;</w:t>
      </w:r>
    </w:p>
    <w:p>
      <w:pPr>
        <w:pStyle w:val="Point1letter"/>
        <w:numPr>
          <w:ilvl w:val="3"/>
          <w:numId w:val="8"/>
        </w:numPr>
        <w:rPr>
          <w:noProof/>
          <w:szCs w:val="24"/>
        </w:rPr>
      </w:pPr>
      <w:r>
        <w:rPr>
          <w:noProof/>
        </w:rPr>
        <w:t>ključne informacije o vrednostnih papirjih;</w:t>
      </w:r>
    </w:p>
    <w:p>
      <w:pPr>
        <w:pStyle w:val="Point1letter"/>
        <w:numPr>
          <w:ilvl w:val="3"/>
          <w:numId w:val="8"/>
        </w:numPr>
        <w:rPr>
          <w:noProof/>
          <w:szCs w:val="24"/>
        </w:rPr>
      </w:pPr>
      <w:r>
        <w:rPr>
          <w:noProof/>
        </w:rPr>
        <w:t>ključne informacije o sami ponudbi in/ali sprejemu v trgovanje.</w:t>
      </w:r>
    </w:p>
    <w:p>
      <w:pPr>
        <w:pStyle w:val="ManualNumPar1"/>
        <w:rPr>
          <w:noProof/>
        </w:rPr>
      </w:pPr>
      <w:r>
        <w:t>5.</w:t>
      </w:r>
      <w:r>
        <w:tab/>
      </w:r>
      <w:r>
        <w:rPr>
          <w:noProof/>
        </w:rPr>
        <w:t>Uvod izvlečka vsebuje ime vrednostnih papirjev, podatke o identiteti in kontaktne podatke izdajatelja, ponudnika ali osebe, ki prosi za sprejem v trgovanje, podatke o identiteti in kontaktne podatke matičnega pristojnega organa ter datum dokumenta. Vsebuje opozorila o naslednjem:</w:t>
      </w:r>
    </w:p>
    <w:p>
      <w:pPr>
        <w:pStyle w:val="Point1letter"/>
        <w:numPr>
          <w:ilvl w:val="3"/>
          <w:numId w:val="9"/>
        </w:numPr>
        <w:rPr>
          <w:noProof/>
          <w:szCs w:val="24"/>
        </w:rPr>
      </w:pPr>
      <w:r>
        <w:rPr>
          <w:noProof/>
        </w:rPr>
        <w:t>izvleček bi bilo treba brati kot uvod v prospekt;</w:t>
      </w:r>
    </w:p>
    <w:p>
      <w:pPr>
        <w:pStyle w:val="Point1letter"/>
        <w:numPr>
          <w:ilvl w:val="3"/>
          <w:numId w:val="9"/>
        </w:numPr>
        <w:rPr>
          <w:noProof/>
          <w:szCs w:val="24"/>
        </w:rPr>
      </w:pPr>
      <w:r>
        <w:rPr>
          <w:noProof/>
        </w:rPr>
        <w:t>pred vsako odločitvijo o naložbi v vrednostne papirje bi moral vlagatelj preučiti celoten prospekt;</w:t>
      </w:r>
    </w:p>
    <w:p>
      <w:pPr>
        <w:pStyle w:val="Point1letter"/>
        <w:numPr>
          <w:ilvl w:val="3"/>
          <w:numId w:val="9"/>
        </w:numPr>
        <w:rPr>
          <w:noProof/>
          <w:szCs w:val="24"/>
        </w:rPr>
      </w:pPr>
      <w:r>
        <w:rPr>
          <w:noProof/>
        </w:rPr>
        <w:t xml:space="preserve">če se na sodišču vloži zahtevek v zvezi z informacijami iz prospekta, bo morda moral vlagatelj, ki je tožnik, v skladu z nacionalno zakonodajo držav članic kriti morebitne stroške prevoda prospekta pred začetkom sodnega postopka; </w:t>
      </w:r>
    </w:p>
    <w:p>
      <w:pPr>
        <w:pStyle w:val="Point1letter"/>
        <w:numPr>
          <w:ilvl w:val="3"/>
          <w:numId w:val="9"/>
        </w:numPr>
        <w:rPr>
          <w:noProof/>
          <w:szCs w:val="24"/>
        </w:rPr>
      </w:pPr>
      <w:r>
        <w:rPr>
          <w:noProof/>
        </w:rPr>
        <w:t>civilno odgovornost nosijo samo osebe, ki so predložile izvleček, vključno z njegovimi morebitnimi prevodi, vendar le, če je izvleček zavajajoč, netočen ali neskladen, ko se bere skupaj z drugimi deli prospekta, ali če ne vsebuje ključnih informacij, ki vlagateljem pomagajo sprejeti odločitev o naložbi v take vrednostne papirje, ko se bere skupaj z drugimi deli prospekta.</w:t>
      </w:r>
    </w:p>
    <w:p>
      <w:pPr>
        <w:pStyle w:val="ManualNumPar1"/>
        <w:rPr>
          <w:noProof/>
        </w:rPr>
      </w:pPr>
      <w:r>
        <w:t>6.</w:t>
      </w:r>
      <w:r>
        <w:tab/>
      </w:r>
      <w:r>
        <w:rPr>
          <w:noProof/>
        </w:rPr>
        <w:t>Oddelek iz točke (b) odstavka 4 vsebuje naslednje informacije:</w:t>
      </w:r>
    </w:p>
    <w:p>
      <w:pPr>
        <w:pStyle w:val="Point1letter"/>
        <w:numPr>
          <w:ilvl w:val="3"/>
          <w:numId w:val="10"/>
        </w:numPr>
        <w:rPr>
          <w:noProof/>
          <w:szCs w:val="24"/>
        </w:rPr>
      </w:pPr>
      <w:r>
        <w:rPr>
          <w:noProof/>
        </w:rPr>
        <w:t>pododdelek z naslovom „Kdo je izdajatelj vrednostnih papirjev?“ vsebuje kratek opis izdajatelja vrednostnih papirjev, ki vsebuje vsaj informacije o:</w:t>
      </w:r>
    </w:p>
    <w:p>
      <w:pPr>
        <w:pStyle w:val="Tiret2"/>
        <w:rPr>
          <w:noProof/>
        </w:rPr>
      </w:pPr>
      <w:r>
        <w:rPr>
          <w:noProof/>
        </w:rPr>
        <w:t>stalnem prebivališču in pravni obliki, zakonodaji, v skladu s katero posluje, in državi ustanovitve;</w:t>
      </w:r>
    </w:p>
    <w:p>
      <w:pPr>
        <w:pStyle w:val="Tiret2"/>
        <w:rPr>
          <w:noProof/>
        </w:rPr>
      </w:pPr>
      <w:r>
        <w:rPr>
          <w:noProof/>
        </w:rPr>
        <w:t>glavnih dejavnostih;</w:t>
      </w:r>
    </w:p>
    <w:p>
      <w:pPr>
        <w:pStyle w:val="Tiret2"/>
        <w:rPr>
          <w:noProof/>
        </w:rPr>
      </w:pPr>
      <w:r>
        <w:rPr>
          <w:noProof/>
        </w:rPr>
        <w:t>glavnih delničarjih, vključno z informacijami o tem, ali je v neposredni ali posredni lasti ali se obvladuje in v čigavi neposredni ali posredni lasti je ali kdo ga obvladuje;</w:t>
      </w:r>
    </w:p>
    <w:p>
      <w:pPr>
        <w:pStyle w:val="Tiret2"/>
        <w:rPr>
          <w:noProof/>
        </w:rPr>
      </w:pPr>
      <w:r>
        <w:rPr>
          <w:noProof/>
        </w:rPr>
        <w:t>identiteti ključnih izvršnih direktorjev;</w:t>
      </w:r>
    </w:p>
    <w:p>
      <w:pPr>
        <w:pStyle w:val="Tiret2"/>
        <w:rPr>
          <w:noProof/>
        </w:rPr>
      </w:pPr>
      <w:r>
        <w:rPr>
          <w:noProof/>
        </w:rPr>
        <w:t>identiteti zakonitih revizorjev;</w:t>
      </w:r>
    </w:p>
    <w:p>
      <w:pPr>
        <w:pStyle w:val="Point1letter"/>
        <w:rPr>
          <w:noProof/>
          <w:szCs w:val="24"/>
        </w:rPr>
      </w:pPr>
      <w:r>
        <w:rPr>
          <w:noProof/>
        </w:rPr>
        <w:t>pododdelek z naslovom „Katere so ključne finančne informacije o izdajatelju?“ vsebuje izbor preteklih ključnih finančnih podatkov, vključno po potrebi s formalnimi informacijami, ki se predstavijo za vsako poslovno leto obdobja, ki ga zajemajo pretekli finančni podatki, in vsako nadaljnje vmesno finančno obdobje, spremljajo pa jih primerljivi podatki za isto obdobje v predhodnem poslovnem letu. Zahteva glede primerljivih podatkov iz bilanc stanja se izpolni tako, da se predložijo podatki iz bilanc stanja ob koncu leta;</w:t>
      </w:r>
    </w:p>
    <w:p>
      <w:pPr>
        <w:pStyle w:val="Point1letter"/>
        <w:rPr>
          <w:noProof/>
          <w:szCs w:val="24"/>
        </w:rPr>
      </w:pPr>
      <w:r>
        <w:rPr>
          <w:noProof/>
        </w:rPr>
        <w:t xml:space="preserve">pododdelek z naslovom „Katera ključna tveganja so specifična za izdajatelja?“ vsebuje kratek opis največ petih najpomembnejših dejavnikov tveganja, ki so specifični za izdajatelja, ki jih vsebuje najpomembnejša kategorija v skladu s členom 16. </w:t>
      </w:r>
    </w:p>
    <w:p>
      <w:pPr>
        <w:pStyle w:val="ManualNumPar1"/>
        <w:rPr>
          <w:noProof/>
        </w:rPr>
      </w:pPr>
      <w:r>
        <w:t>7.</w:t>
      </w:r>
      <w:r>
        <w:tab/>
      </w:r>
      <w:r>
        <w:rPr>
          <w:noProof/>
        </w:rPr>
        <w:t>Oddelek iz točke (c) odstavka 4 vsebuje naslednje informacije:</w:t>
      </w:r>
    </w:p>
    <w:p>
      <w:pPr>
        <w:pStyle w:val="Point1letter"/>
        <w:numPr>
          <w:ilvl w:val="3"/>
          <w:numId w:val="11"/>
        </w:numPr>
        <w:rPr>
          <w:noProof/>
          <w:szCs w:val="24"/>
        </w:rPr>
      </w:pPr>
      <w:r>
        <w:rPr>
          <w:noProof/>
        </w:rPr>
        <w:t>pododdelek z naslovom „Katere so glavne značilnosti vrednostnih papirjev?“ vsebuje kratek opis vrednostnih papirjev, ki se ponujajo in/ali sprejemajo v trgovanje, ki vključuje vsaj:</w:t>
      </w:r>
    </w:p>
    <w:p>
      <w:pPr>
        <w:pStyle w:val="Tiret2"/>
        <w:rPr>
          <w:noProof/>
          <w:szCs w:val="24"/>
        </w:rPr>
      </w:pPr>
      <w:r>
        <w:rPr>
          <w:noProof/>
        </w:rPr>
        <w:t>njihovo vrsto in razred, kakršno koli identifikacijsko številko vrednostnega papirja, valuto, nominalno vrednost, število izdanih vrednostnih papirjev in trajanje vrednostnih papirjev;</w:t>
      </w:r>
    </w:p>
    <w:p>
      <w:pPr>
        <w:pStyle w:val="Tiret2"/>
        <w:rPr>
          <w:noProof/>
        </w:rPr>
      </w:pPr>
      <w:r>
        <w:rPr>
          <w:noProof/>
        </w:rPr>
        <w:t>pravice, povezane z vrednostnimi papirji;</w:t>
      </w:r>
    </w:p>
    <w:p>
      <w:pPr>
        <w:pStyle w:val="Tiret2"/>
        <w:rPr>
          <w:noProof/>
          <w:szCs w:val="24"/>
        </w:rPr>
      </w:pPr>
      <w:r>
        <w:rPr>
          <w:noProof/>
        </w:rPr>
        <w:t>kakršne koli omejitve proste prenosljivosti vrednostnih papirjev;</w:t>
      </w:r>
    </w:p>
    <w:p>
      <w:pPr>
        <w:pStyle w:val="Tiret2"/>
        <w:rPr>
          <w:noProof/>
          <w:szCs w:val="24"/>
        </w:rPr>
      </w:pPr>
      <w:r>
        <w:rPr>
          <w:noProof/>
        </w:rPr>
        <w:t>politiko dividend ali izplačila, kjer je to ustrezno;</w:t>
      </w:r>
    </w:p>
    <w:p>
      <w:pPr>
        <w:pStyle w:val="Point1letter"/>
        <w:rPr>
          <w:noProof/>
          <w:szCs w:val="24"/>
        </w:rPr>
      </w:pPr>
      <w:r>
        <w:rPr>
          <w:noProof/>
        </w:rPr>
        <w:t>v pododdelku z naslovom „Kje se bo trgovalo z vrednostnimi papirji?“ je navedeno, ali so oziroma ali bodo ponujeni vrednostni papirji predmet vloge za sprejem v trgovanje na reguliranem trgu ali v večstranskem sistemu trgovanja, opredeljeni pa so tudi vsi trgi, na katerih se trguje ali se bo trgovalo z vrednostnimi papirji;</w:t>
      </w:r>
    </w:p>
    <w:p>
      <w:pPr>
        <w:pStyle w:val="Point1letter"/>
        <w:rPr>
          <w:noProof/>
          <w:szCs w:val="24"/>
        </w:rPr>
      </w:pPr>
      <w:r>
        <w:rPr>
          <w:noProof/>
        </w:rPr>
        <w:t>pododdelek z naslovom „Ali je z vrednostnimi papirji povezano jamstvo?“ vsebuje kratek opis narave in obsega jamstva, če obstaja, ter kratek opis garanta;</w:t>
      </w:r>
    </w:p>
    <w:p>
      <w:pPr>
        <w:pStyle w:val="Point1letter"/>
        <w:rPr>
          <w:noProof/>
          <w:szCs w:val="24"/>
        </w:rPr>
      </w:pPr>
      <w:r>
        <w:rPr>
          <w:noProof/>
        </w:rPr>
        <w:t>pododdelek z naslovom „Katera ključna tveganja so specifična za vrednostne papirje?“ vsebuje kratek opis največ petih najpomembnejših dejavnikov tveganja, ki so specifični za vrednostne papirje, ki jih vsebuje najpomembnejša kategorija v skladu s členom 16.</w:t>
      </w:r>
    </w:p>
    <w:p>
      <w:pPr>
        <w:pStyle w:val="Text1"/>
        <w:rPr>
          <w:noProof/>
        </w:rPr>
      </w:pPr>
      <w:r>
        <w:rPr>
          <w:noProof/>
        </w:rPr>
        <w:t>Če je treba dokument s ključnimi informaciji pripraviti v skladu z Uredbo (EU) št. 1286/2014 Evropskega parlamenta in Sveta</w:t>
      </w:r>
      <w:r>
        <w:rPr>
          <w:rStyle w:val="FootnoteReference"/>
          <w:noProof/>
        </w:rPr>
        <w:footnoteReference w:id="21"/>
      </w:r>
      <w:r>
        <w:rPr>
          <w:noProof/>
        </w:rPr>
        <w:t xml:space="preserve">, lahko izdajatelj, ponudnik ali oseba, ki prosi za sprejem v trgovanje, nadomesti vsebino, ki jo določa ta odstavek, z informacijami, določenimi v točkah od (b) do (i) člena 8(3) Uredbe (EU) št. 1286/2014. V navedenem primeru in če en izvleček zajema več vrednostnih papirjev, ki se v skladu z zadnjim pododstavkom člena 8(8) med seboj razlikujejo v zelo majhnih podrobnostih, kot sta na primer emisijski znesek ali datum dospelosti, se omejitev dolžine iz odstavka 3 poveča za dodatne tri tiskane strani formata A4 za vsak dodaten vrednostni papir. </w:t>
      </w:r>
    </w:p>
    <w:p>
      <w:pPr>
        <w:pStyle w:val="ManualNumPar1"/>
        <w:rPr>
          <w:noProof/>
        </w:rPr>
      </w:pPr>
      <w:r>
        <w:t>8.</w:t>
      </w:r>
      <w:r>
        <w:tab/>
      </w:r>
      <w:r>
        <w:rPr>
          <w:noProof/>
        </w:rPr>
        <w:t>Oddelek iz točke (d) odstavka 4 vsebuje naslednje informacije:</w:t>
      </w:r>
    </w:p>
    <w:p>
      <w:pPr>
        <w:pStyle w:val="Point1letter"/>
        <w:numPr>
          <w:ilvl w:val="3"/>
          <w:numId w:val="12"/>
        </w:numPr>
        <w:rPr>
          <w:noProof/>
          <w:szCs w:val="24"/>
        </w:rPr>
      </w:pPr>
      <w:r>
        <w:rPr>
          <w:noProof/>
        </w:rPr>
        <w:t>pododdelek z naslovom „Pod katerimi pogoji in v skladu s katerim časovnim načrtom vložim v ta vrednostni papir?“ vsebuje splošna določila, pogoje in pričakovani načrt ponudbe, podrobnosti sprejema v trgovanje, načrt za distribucijo, znesek in odstotek takojšne razvodenitve, ki je posledica ponudbe, ter oceno skupnih stroškov izdaje in/ali ponudbe, vključno z ocenjenimi stroški, ki jih izdajatelj ali ponudnik zaračuna vlagatelju, kjer je to ustrezno;</w:t>
      </w:r>
    </w:p>
    <w:p>
      <w:pPr>
        <w:pStyle w:val="Point1letter"/>
        <w:numPr>
          <w:ilvl w:val="3"/>
          <w:numId w:val="12"/>
        </w:numPr>
        <w:rPr>
          <w:noProof/>
          <w:szCs w:val="24"/>
        </w:rPr>
      </w:pPr>
      <w:r>
        <w:rPr>
          <w:noProof/>
        </w:rPr>
        <w:t>v pododdelku z naslovom „Zakaj je izdajatelj pripravil ta prospekt?“ so na kratko opisani razlogi za ponudbo ali sprejem v trgovanje, uporaba in ocenjeni neto znesek prihodkov.</w:t>
      </w:r>
    </w:p>
    <w:p>
      <w:pPr>
        <w:pStyle w:val="ManualNumPar1"/>
        <w:rPr>
          <w:noProof/>
        </w:rPr>
      </w:pPr>
      <w:r>
        <w:t>9.</w:t>
      </w:r>
      <w:r>
        <w:tab/>
      </w:r>
      <w:r>
        <w:rPr>
          <w:noProof/>
        </w:rPr>
        <w:t xml:space="preserve">Pri vseh oddelkih, opisanih v odstavkih 6, 7 in 8, lahko izdajatelj po potrebi doda pododdelke. </w:t>
      </w:r>
    </w:p>
    <w:p>
      <w:pPr>
        <w:pStyle w:val="ManualNumPar1"/>
        <w:rPr>
          <w:noProof/>
        </w:rPr>
      </w:pPr>
      <w:r>
        <w:t>10.</w:t>
      </w:r>
      <w:r>
        <w:tab/>
      </w:r>
      <w:r>
        <w:rPr>
          <w:noProof/>
        </w:rPr>
        <w:t>Izvleček ne vsebuje sklicev na druge dele prospekta ali vključuje informacij na podlagi sklicevanja.</w:t>
      </w:r>
    </w:p>
    <w:p>
      <w:pPr>
        <w:pStyle w:val="ManualNumPar1"/>
        <w:rPr>
          <w:noProof/>
        </w:rPr>
      </w:pPr>
      <w:r>
        <w:t>11.</w:t>
      </w:r>
      <w:r>
        <w:tab/>
      </w:r>
      <w:r>
        <w:rPr>
          <w:noProof/>
        </w:rPr>
        <w:t>ESMA pripravi osnutke regulativnih tehničnih standardov, ki določajo vsebino in obliko predstavitve preteklih ključnih finančnih podatkov iz točke (b) odstavka 6 ob upoštevanju različnih vrst vrednostnih papirjev in izdajateljev.</w:t>
      </w:r>
    </w:p>
    <w:p>
      <w:pPr>
        <w:pStyle w:val="Text1"/>
        <w:rPr>
          <w:noProof/>
        </w:rPr>
      </w:pPr>
      <w:r>
        <w:rPr>
          <w:noProof/>
        </w:rPr>
        <w:t>ESMA Komisiji predloži osnutke navedenih regulativnih tehničnih standardov do [</w:t>
      </w:r>
      <w:r>
        <w:rPr>
          <w:i/>
          <w:noProof/>
        </w:rPr>
        <w:t>vstavite datum, ki je 9 mesecev po datumu začetka veljavnosti</w:t>
      </w:r>
      <w:r>
        <w:rPr>
          <w:noProof/>
        </w:rPr>
        <w:t>].</w:t>
      </w:r>
    </w:p>
    <w:p>
      <w:pPr>
        <w:pStyle w:val="Text1"/>
        <w:rPr>
          <w:noProof/>
        </w:rPr>
      </w:pPr>
      <w:r>
        <w:rPr>
          <w:noProof/>
        </w:rPr>
        <w:t>Na Komisijo se prenese pooblastilo za sprejetje regulativnih tehničnih standardov iz prvega pododstavka v skladu s členi od 10 do 14 Uredbe (EU) št. 1095/2010.</w:t>
      </w:r>
    </w:p>
    <w:p>
      <w:pPr>
        <w:pStyle w:val="Titrearticle"/>
        <w:rPr>
          <w:b/>
          <w:noProof/>
          <w:szCs w:val="24"/>
        </w:rPr>
      </w:pPr>
      <w:r>
        <w:rPr>
          <w:b/>
          <w:i w:val="0"/>
          <w:noProof/>
        </w:rPr>
        <w:t>Člen 8</w:t>
      </w:r>
      <w:r>
        <w:rPr>
          <w:b/>
          <w:i w:val="0"/>
          <w:noProof/>
          <w:szCs w:val="24"/>
        </w:rPr>
        <w:br/>
      </w:r>
      <w:r>
        <w:rPr>
          <w:b/>
          <w:noProof/>
        </w:rPr>
        <w:t>Osnovni prospekt</w:t>
      </w:r>
    </w:p>
    <w:p>
      <w:pPr>
        <w:pStyle w:val="ManualNumPar1"/>
        <w:rPr>
          <w:noProof/>
        </w:rPr>
      </w:pPr>
      <w:r>
        <w:t>1.</w:t>
      </w:r>
      <w:r>
        <w:tab/>
      </w:r>
      <w:r>
        <w:rPr>
          <w:noProof/>
        </w:rPr>
        <w:t>Za nelastniške vrednostne papirje lahko prospekt na izbiro izdajatelja, ponudnika ali osebe, ki prosi za sprejem v trgovanje na reguliranem trgu, sestavlja osnovni prospekt, ki vsebuje vse ustrezne informacije o izdajatelju in javno ponujenih vrednostnih papirjih ali vrednostnih papirjih, ki se sprejemajo v trgovanje na reguliranem trgu.</w:t>
      </w:r>
    </w:p>
    <w:p>
      <w:pPr>
        <w:pStyle w:val="ManualNumPar1"/>
        <w:rPr>
          <w:noProof/>
        </w:rPr>
      </w:pPr>
      <w:r>
        <w:t>2.</w:t>
      </w:r>
      <w:r>
        <w:tab/>
      </w:r>
      <w:r>
        <w:rPr>
          <w:noProof/>
        </w:rPr>
        <w:t>Osnovni prospekt vsebuje naslednje informacije:</w:t>
      </w:r>
    </w:p>
    <w:p>
      <w:pPr>
        <w:pStyle w:val="Point1letter"/>
        <w:numPr>
          <w:ilvl w:val="3"/>
          <w:numId w:val="15"/>
        </w:numPr>
        <w:rPr>
          <w:noProof/>
          <w:szCs w:val="24"/>
        </w:rPr>
      </w:pPr>
      <w:r>
        <w:rPr>
          <w:noProof/>
        </w:rPr>
        <w:t xml:space="preserve">seznam informacij, ki se vključijo v končne pogoje ponudbe; </w:t>
      </w:r>
    </w:p>
    <w:p>
      <w:pPr>
        <w:pStyle w:val="Point1letter"/>
        <w:numPr>
          <w:ilvl w:val="3"/>
          <w:numId w:val="15"/>
        </w:numPr>
        <w:rPr>
          <w:noProof/>
          <w:szCs w:val="24"/>
        </w:rPr>
      </w:pPr>
      <w:r>
        <w:rPr>
          <w:noProof/>
        </w:rPr>
        <w:t xml:space="preserve">predlogo z naslovom „Obrazec o končnih pogojih“, ki se izpolni za vsako posamezno izdajo; </w:t>
      </w:r>
    </w:p>
    <w:p>
      <w:pPr>
        <w:pStyle w:val="Point1letter"/>
        <w:numPr>
          <w:ilvl w:val="3"/>
          <w:numId w:val="15"/>
        </w:numPr>
        <w:rPr>
          <w:noProof/>
          <w:szCs w:val="24"/>
        </w:rPr>
      </w:pPr>
      <w:r>
        <w:rPr>
          <w:noProof/>
        </w:rPr>
        <w:t>naslov spletnega mesta, na katerem se objavijo končni pogoji.</w:t>
      </w:r>
    </w:p>
    <w:p>
      <w:pPr>
        <w:pStyle w:val="ManualNumPar1"/>
        <w:rPr>
          <w:noProof/>
          <w:color w:val="000000"/>
        </w:rPr>
      </w:pPr>
      <w:r>
        <w:t>3.</w:t>
      </w:r>
      <w:r>
        <w:tab/>
      </w:r>
      <w:r>
        <w:rPr>
          <w:noProof/>
        </w:rPr>
        <w:t>Končni pogoji se predstavijo v ločenem dokumentu ali vključijo v osnovni prospekt ali njegov dodatek. Končni pogoji se predstavijo v obliki, ki omogoča preprosto analizo in je razumljiva</w:t>
      </w:r>
      <w:r>
        <w:rPr>
          <w:noProof/>
          <w:color w:val="000000"/>
        </w:rPr>
        <w:t xml:space="preserve">. </w:t>
      </w:r>
    </w:p>
    <w:p>
      <w:pPr>
        <w:pStyle w:val="Text1"/>
        <w:rPr>
          <w:noProof/>
          <w:color w:val="000000"/>
        </w:rPr>
      </w:pPr>
      <w:r>
        <w:rPr>
          <w:noProof/>
        </w:rPr>
        <w:t>Končni pogoji vsebujejo samo informacije, ki se nanašajo na opis vrednostnih papirjev, in se ne uporabljajo kot dodatek k osnovnemu prospektu. V takih primerih se uporablja člen 17(1)(a).</w:t>
      </w:r>
    </w:p>
    <w:p>
      <w:pPr>
        <w:pStyle w:val="ManualNumPar1"/>
        <w:rPr>
          <w:noProof/>
        </w:rPr>
      </w:pPr>
      <w:r>
        <w:t>4.</w:t>
      </w:r>
      <w:r>
        <w:tab/>
      </w:r>
      <w:r>
        <w:rPr>
          <w:noProof/>
        </w:rPr>
        <w:t>Če končni pogoji niso vključeni niti v osnovni prospekt niti v dodatek, jih izdajatelj javno objavi v skladu s členom 20 in vloži pri pristojnemu organu matične države članice takoj, ko je to mogoče, pred začetkom javne ponudbe ali sprejemom v trgovanje.</w:t>
      </w:r>
    </w:p>
    <w:p>
      <w:pPr>
        <w:pStyle w:val="Text1"/>
        <w:rPr>
          <w:noProof/>
        </w:rPr>
      </w:pPr>
      <w:r>
        <w:rPr>
          <w:noProof/>
        </w:rPr>
        <w:t xml:space="preserve">V končne pogoje se vstavi jasna in poudarjena izjava, ki navaja: </w:t>
      </w:r>
    </w:p>
    <w:p>
      <w:pPr>
        <w:pStyle w:val="Point1letter"/>
        <w:numPr>
          <w:ilvl w:val="3"/>
          <w:numId w:val="14"/>
        </w:numPr>
        <w:rPr>
          <w:noProof/>
          <w:szCs w:val="24"/>
        </w:rPr>
      </w:pPr>
      <w:r>
        <w:rPr>
          <w:noProof/>
        </w:rPr>
        <w:t xml:space="preserve">da so bili končni pogoji pripravljeni za namen te uredbe in se morajo brati skupaj z osnovnim prospektom in njegovimi dodatki, da se pridobijo vse ustrezne informacije; </w:t>
      </w:r>
    </w:p>
    <w:p>
      <w:pPr>
        <w:pStyle w:val="Point1letter"/>
        <w:rPr>
          <w:noProof/>
          <w:szCs w:val="24"/>
        </w:rPr>
      </w:pPr>
      <w:r>
        <w:rPr>
          <w:noProof/>
        </w:rPr>
        <w:t xml:space="preserve">kje so osnovni prospekt in njegovi dodatki objavljeni v skladu s členom 20; </w:t>
      </w:r>
    </w:p>
    <w:p>
      <w:pPr>
        <w:pStyle w:val="Point1letter"/>
        <w:rPr>
          <w:noProof/>
          <w:szCs w:val="24"/>
        </w:rPr>
      </w:pPr>
      <w:r>
        <w:rPr>
          <w:noProof/>
        </w:rPr>
        <w:t xml:space="preserve">da je izvleček za posamezne izdaje priložen končnim pogojem. </w:t>
      </w:r>
    </w:p>
    <w:p>
      <w:pPr>
        <w:pStyle w:val="ManualNumPar1"/>
        <w:rPr>
          <w:noProof/>
        </w:rPr>
      </w:pPr>
      <w:r>
        <w:t>5.</w:t>
      </w:r>
      <w:r>
        <w:tab/>
      </w:r>
      <w:r>
        <w:rPr>
          <w:noProof/>
        </w:rPr>
        <w:t xml:space="preserve">Osnovni prospekt se lahko pripravi v obliki enega dokumenta ali več ločenih dokumentov. </w:t>
      </w:r>
    </w:p>
    <w:p>
      <w:pPr>
        <w:pStyle w:val="Text1"/>
        <w:rPr>
          <w:noProof/>
        </w:rPr>
      </w:pPr>
      <w:r>
        <w:rPr>
          <w:noProof/>
        </w:rPr>
        <w:t xml:space="preserve">Če je izdajatelj, ponudnik ali oseba, ki prosi za sprejem v trgovanje na reguliranem trgu, v preteklosti vložila registracijski dokument za določeno vrsto nelastniških vrednostnih papirjev ali univerzalni registracijski dokument, kot je opredeljen v členu 9, in se pozneje odloči, da bo pripravila osnovni prospekt, osnovni prospekt vsebuje naslednje: </w:t>
      </w:r>
    </w:p>
    <w:p>
      <w:pPr>
        <w:pStyle w:val="Point1letter"/>
        <w:numPr>
          <w:ilvl w:val="3"/>
          <w:numId w:val="16"/>
        </w:numPr>
        <w:rPr>
          <w:noProof/>
          <w:szCs w:val="24"/>
        </w:rPr>
      </w:pPr>
      <w:r>
        <w:rPr>
          <w:noProof/>
        </w:rPr>
        <w:t xml:space="preserve">informacije iz registracijskega dokumenta ali univerzalnega registracijskega dokumenta; </w:t>
      </w:r>
    </w:p>
    <w:p>
      <w:pPr>
        <w:pStyle w:val="Point1letter"/>
        <w:numPr>
          <w:ilvl w:val="3"/>
          <w:numId w:val="16"/>
        </w:numPr>
        <w:rPr>
          <w:bCs/>
          <w:noProof/>
          <w:szCs w:val="24"/>
        </w:rPr>
      </w:pPr>
      <w:r>
        <w:rPr>
          <w:noProof/>
        </w:rPr>
        <w:t xml:space="preserve">informacije, ki jih sicer vsebuje ustrezni opis vrednostnih papirjev, razen končnih pogojev, če končni pogoji niso vključeni v osnovni prospekt. </w:t>
      </w:r>
    </w:p>
    <w:p>
      <w:pPr>
        <w:pStyle w:val="ManualNumPar1"/>
        <w:rPr>
          <w:noProof/>
        </w:rPr>
      </w:pPr>
      <w:r>
        <w:t>6.</w:t>
      </w:r>
      <w:r>
        <w:tab/>
      </w:r>
      <w:r>
        <w:rPr>
          <w:noProof/>
        </w:rPr>
        <w:t xml:space="preserve">Posebne informacije o posameznih različnih vrednostnih papirjih, ki jih zajema osnovni prospekt, so jasno ločene. </w:t>
      </w:r>
    </w:p>
    <w:p>
      <w:pPr>
        <w:pStyle w:val="ManualNumPar1"/>
        <w:rPr>
          <w:noProof/>
        </w:rPr>
      </w:pPr>
      <w:r>
        <w:t>7.</w:t>
      </w:r>
      <w:r>
        <w:tab/>
      </w:r>
      <w:r>
        <w:rPr>
          <w:noProof/>
        </w:rPr>
        <w:t>Izvleček se pripravi šele, ko so končni pogoji odobreni ali vloženi, tak izvleček pa se nanaša posebej na posamezno izdajo.</w:t>
      </w:r>
    </w:p>
    <w:p>
      <w:pPr>
        <w:pStyle w:val="ManualNumPar1"/>
        <w:rPr>
          <w:noProof/>
        </w:rPr>
      </w:pPr>
      <w:r>
        <w:t>8.</w:t>
      </w:r>
      <w:r>
        <w:tab/>
      </w:r>
      <w:r>
        <w:rPr>
          <w:noProof/>
        </w:rPr>
        <w:t xml:space="preserve">Za izvleček za posamezno izdajo veljajo iste zahteve kot za končne pogoje, kot je določeno v tem členu, in izvleček se jim priloži. </w:t>
      </w:r>
    </w:p>
    <w:p>
      <w:pPr>
        <w:pStyle w:val="Text1"/>
        <w:rPr>
          <w:noProof/>
        </w:rPr>
      </w:pPr>
      <w:r>
        <w:rPr>
          <w:noProof/>
        </w:rPr>
        <w:t xml:space="preserve">Izvleček za posamezno izdajo je skladen s členom 7 in vsebuje ključne informacije o osnovnem prospektu in končnih pogojih. Vsebuje naslednje: </w:t>
      </w:r>
    </w:p>
    <w:p>
      <w:pPr>
        <w:pStyle w:val="Point1letter"/>
        <w:numPr>
          <w:ilvl w:val="3"/>
          <w:numId w:val="17"/>
        </w:numPr>
        <w:rPr>
          <w:noProof/>
          <w:szCs w:val="24"/>
        </w:rPr>
      </w:pPr>
      <w:r>
        <w:rPr>
          <w:noProof/>
        </w:rPr>
        <w:t>informacije o osnovnem prospektu, ki se nanašajo samo na posamezno izdajo, vključno s ključnimi informacijami o izdajatelju;</w:t>
      </w:r>
    </w:p>
    <w:p>
      <w:pPr>
        <w:pStyle w:val="Point1letter"/>
        <w:numPr>
          <w:ilvl w:val="3"/>
          <w:numId w:val="17"/>
        </w:numPr>
        <w:rPr>
          <w:noProof/>
          <w:szCs w:val="24"/>
        </w:rPr>
      </w:pPr>
      <w:r>
        <w:rPr>
          <w:noProof/>
        </w:rPr>
        <w:t xml:space="preserve">možnosti, ki jih vsebuje osnovni prospekt, ki se nanašajo samo na posamezno izdajo, kot so določene v končnih pogojih; </w:t>
      </w:r>
    </w:p>
    <w:p>
      <w:pPr>
        <w:pStyle w:val="Point1letter"/>
        <w:numPr>
          <w:ilvl w:val="3"/>
          <w:numId w:val="17"/>
        </w:numPr>
        <w:rPr>
          <w:noProof/>
          <w:szCs w:val="24"/>
        </w:rPr>
      </w:pPr>
      <w:r>
        <w:rPr>
          <w:noProof/>
        </w:rPr>
        <w:t xml:space="preserve">relevantne informacije iz končnih pogojev, ki niso bile navedene v osnovnem prospektu. </w:t>
      </w:r>
    </w:p>
    <w:p>
      <w:pPr>
        <w:pStyle w:val="Text1"/>
        <w:rPr>
          <w:noProof/>
        </w:rPr>
      </w:pPr>
      <w:r>
        <w:rPr>
          <w:noProof/>
        </w:rPr>
        <w:t>Če se končni pogoji nanašajo na več vrednostnih papirjev, ki se razlikujejo samo v nekaterih zelo majhnih podrobnostih, kot sta na primer emisijski znesek ali datum dospelosti, se lahko za vse navedene vrednostne papirje priloži en izvleček za posamezno izdajo, pri čemer morajo biti različne informacije, ki se nanašajo na različne vrednostne papirje, jasno ločene.</w:t>
      </w:r>
    </w:p>
    <w:p>
      <w:pPr>
        <w:pStyle w:val="ManualNumPar1"/>
        <w:rPr>
          <w:noProof/>
        </w:rPr>
      </w:pPr>
      <w:r>
        <w:t>9.</w:t>
      </w:r>
      <w:r>
        <w:tab/>
      </w:r>
      <w:r>
        <w:rPr>
          <w:noProof/>
        </w:rPr>
        <w:t xml:space="preserve">Informacije, navedene v osnovnemu prospektu, se v skladu s členom 22 po potrebi dopolnijo s posodobljenimi informacijami o izdajatelju in vrednostnih papirjih, ki bodo javno ponujeni ali sprejeti v trgovanje na reguliranem trgu. </w:t>
      </w:r>
    </w:p>
    <w:p>
      <w:pPr>
        <w:pStyle w:val="ManualNumPar1"/>
        <w:rPr>
          <w:noProof/>
        </w:rPr>
      </w:pPr>
      <w:r>
        <w:t>10.</w:t>
      </w:r>
      <w:r>
        <w:tab/>
      </w:r>
      <w:r>
        <w:rPr>
          <w:noProof/>
        </w:rPr>
        <w:t>Javna ponudba se lahko nadaljuje po poteku veljavnosti osnovnega prospekta, v okviru katerega se je začela, če se naslednji osnovni prospekt odobri najpozneje na zadnji dan veljavnosti predhodnega osnovnega prospekta. Končni pogoji take ponudbe vsebujejo poudarjeno opozorilo na prvi strani, ki navaja zadnji dan veljavnosti predhodnega osnovnega prospekta in vsebuje podatek o tem, kje se bo objavil naslednji osnovni prospekt. Naslednji osnovni prospekt vsebuje ali na podlagi sklicev vključuje obrazec o končnih pogojih iz prvotnega osnovnega prospekta in se sklicuje na končne pogoje, ki so pomembni za tekočo ponudbo.</w:t>
      </w:r>
    </w:p>
    <w:p>
      <w:pPr>
        <w:pStyle w:val="Text1"/>
        <w:rPr>
          <w:b/>
          <w:noProof/>
        </w:rPr>
      </w:pPr>
      <w:r>
        <w:rPr>
          <w:noProof/>
        </w:rPr>
        <w:t>Pravica do umika, dodeljena v skladu s členom 22(2), se uporablja tudi za vlagatelje, ki so se v obdobju veljavnosti predhodnega osnovnega prospekta dogovorili o nakupu ali vpisu vrednostnih papirjev, razen če so jim bili vrednostni papirji že izročeni.</w:t>
      </w:r>
      <w:r>
        <w:rPr>
          <w:b/>
          <w:noProof/>
        </w:rPr>
        <w:t xml:space="preserve"> </w:t>
      </w:r>
    </w:p>
    <w:p>
      <w:pPr>
        <w:pStyle w:val="Titrearticle"/>
        <w:rPr>
          <w:b/>
          <w:noProof/>
          <w:szCs w:val="24"/>
        </w:rPr>
      </w:pPr>
      <w:r>
        <w:rPr>
          <w:b/>
          <w:i w:val="0"/>
          <w:noProof/>
        </w:rPr>
        <w:t>Člen 9</w:t>
      </w:r>
      <w:r>
        <w:rPr>
          <w:b/>
          <w:i w:val="0"/>
          <w:noProof/>
          <w:szCs w:val="24"/>
        </w:rPr>
        <w:br/>
      </w:r>
      <w:r>
        <w:rPr>
          <w:b/>
          <w:noProof/>
        </w:rPr>
        <w:t>Univerzalni registracijski dokument</w:t>
      </w:r>
    </w:p>
    <w:p>
      <w:pPr>
        <w:pStyle w:val="ManualNumPar1"/>
        <w:rPr>
          <w:noProof/>
        </w:rPr>
      </w:pPr>
      <w:r>
        <w:t>1.</w:t>
      </w:r>
      <w:r>
        <w:tab/>
      </w:r>
      <w:r>
        <w:rPr>
          <w:noProof/>
        </w:rPr>
        <w:t>Vsak izdajatelj, ki ima sedež v državi članici in čigar vrednostni papirji so sprejeti v trgovanje na reguliranem trgu ali v večstranski sistem trgovanja, lahko vsako poslovno leto pripravi registracijski dokument v obliki univerzalnega registracijskega dokumenta, ki opisuje organizacijo, poslovanje, finančni položaj, dobiček, pričakovanja, upravljanje in lastniško strukturo podjetja.</w:t>
      </w:r>
    </w:p>
    <w:p>
      <w:pPr>
        <w:pStyle w:val="ManualNumPar1"/>
        <w:rPr>
          <w:noProof/>
        </w:rPr>
      </w:pPr>
      <w:r>
        <w:t>2.</w:t>
      </w:r>
      <w:r>
        <w:tab/>
      </w:r>
      <w:r>
        <w:rPr>
          <w:noProof/>
        </w:rPr>
        <w:t xml:space="preserve">Izdajatelj, ki se vsako poslovno leto odloči za pripravo univerzalnega registracijskega dokumenta, ga predloži v odobritev pristojnemu organu matične države članice v skladu s postopkom iz odstavkov 2 in 4 člena 19. </w:t>
      </w:r>
    </w:p>
    <w:p>
      <w:pPr>
        <w:pStyle w:val="Text1"/>
        <w:rPr>
          <w:noProof/>
        </w:rPr>
      </w:pPr>
      <w:r>
        <w:rPr>
          <w:noProof/>
        </w:rPr>
        <w:t>Ko pristojni organ tri leta zapored vsako poslovno leto izdajatelju odobri univerzalni registracijski dokument, se lahko naslednji univerzalni registracijski dokumenti pri pristojnemu organu vložijo brez predhodne odobritve.</w:t>
      </w:r>
    </w:p>
    <w:p>
      <w:pPr>
        <w:pStyle w:val="Text1"/>
        <w:rPr>
          <w:noProof/>
        </w:rPr>
      </w:pPr>
      <w:r>
        <w:rPr>
          <w:noProof/>
        </w:rPr>
        <w:t>Če izdajatelj nato eno poslovno leto ne vloži univerzalnega registracijskega dokumenta, izgubi ugodnost vložitve brez odobritve in mora vse naslednje univerzalne registracijske dokumente predložiti pristojnemu organu v odobritev, dokler znova ne izpolnjuje pogoja iz drugega pododstavka.</w:t>
      </w:r>
    </w:p>
    <w:p>
      <w:pPr>
        <w:pStyle w:val="ManualNumPar1"/>
        <w:rPr>
          <w:noProof/>
        </w:rPr>
      </w:pPr>
      <w:r>
        <w:t>3.</w:t>
      </w:r>
      <w:r>
        <w:tab/>
      </w:r>
      <w:r>
        <w:rPr>
          <w:noProof/>
        </w:rPr>
        <w:t>Izdajatelji, katerim je pristojni organ pred datumom začetka uporabe te uredbe vsaj tri leta zapored odobril registracijski dokument, pripravljen v skladu s Prilogo I ali XI k Uredbi (ES) št. 809/2004</w:t>
      </w:r>
      <w:r>
        <w:rPr>
          <w:rStyle w:val="FootnoteReference"/>
          <w:noProof/>
        </w:rPr>
        <w:footnoteReference w:id="22"/>
      </w:r>
      <w:r>
        <w:rPr>
          <w:noProof/>
        </w:rPr>
        <w:t xml:space="preserve">, in ki so nato v skladu s členom 12(3) Direktive 2003/71/ES vložili tak registracijski dokument vsako leto ali pa jim je bil tak registracijski dokument vsako leto odobren, lahko od datuma začetka uporabe te uredbe vložijo univerzalni registracijski dokument brez predhodne odobritve v skladu z drugim pododstavkom odstavka 2. </w:t>
      </w:r>
    </w:p>
    <w:p>
      <w:pPr>
        <w:pStyle w:val="ManualNumPar1"/>
        <w:rPr>
          <w:noProof/>
        </w:rPr>
      </w:pPr>
      <w:r>
        <w:t>4.</w:t>
      </w:r>
      <w:r>
        <w:tab/>
      </w:r>
      <w:r>
        <w:rPr>
          <w:noProof/>
        </w:rPr>
        <w:t>Ko je univerzalni registracijski dokument odobren ali vložen brez odobritve, vključno z njegovimi spremembami iz odstavkov 7 in 9, se takoj javno objavi v skladu z ureditvami iz člena 20.</w:t>
      </w:r>
    </w:p>
    <w:p>
      <w:pPr>
        <w:pStyle w:val="ManualNumPar1"/>
        <w:rPr>
          <w:noProof/>
        </w:rPr>
      </w:pPr>
      <w:r>
        <w:t>5.</w:t>
      </w:r>
      <w:r>
        <w:tab/>
      </w:r>
      <w:r>
        <w:rPr>
          <w:noProof/>
        </w:rPr>
        <w:t>Univerzalni registracijski dokument je skladen z zahtevami glede jezika iz člena 25.</w:t>
      </w:r>
    </w:p>
    <w:p>
      <w:pPr>
        <w:pStyle w:val="ManualNumPar1"/>
        <w:rPr>
          <w:noProof/>
        </w:rPr>
      </w:pPr>
      <w:r>
        <w:t>6.</w:t>
      </w:r>
      <w:r>
        <w:tab/>
      </w:r>
      <w:r>
        <w:rPr>
          <w:noProof/>
        </w:rPr>
        <w:t>V skladu s pogoji iz člena 18 se lahko informacije v univerzalni registracijski dokument vključijo s sklicevanjem.</w:t>
      </w:r>
    </w:p>
    <w:p>
      <w:pPr>
        <w:pStyle w:val="ManualNumPar1"/>
        <w:rPr>
          <w:noProof/>
        </w:rPr>
      </w:pPr>
      <w:r>
        <w:t>7.</w:t>
      </w:r>
      <w:r>
        <w:tab/>
      </w:r>
      <w:r>
        <w:rPr>
          <w:noProof/>
        </w:rPr>
        <w:t>Po vložitvi ali odobritvi univerzalnega registracijskega dokumenta lahko izdajatelj kadar koli posodobi informacije, ki jih dokument vsebuje, tako da pri pristojnem organu vloži spremembo univerzalnega registracijskega dokumenta.</w:t>
      </w:r>
    </w:p>
    <w:p>
      <w:pPr>
        <w:pStyle w:val="ManualNumPar1"/>
        <w:rPr>
          <w:noProof/>
        </w:rPr>
      </w:pPr>
      <w:r>
        <w:t>8.</w:t>
      </w:r>
      <w:r>
        <w:tab/>
      </w:r>
      <w:r>
        <w:rPr>
          <w:noProof/>
        </w:rPr>
        <w:t>Pristojni organ lahko kadar koli pregleda vsebino vsakega univerzalnega registracijskega dokumenta, ki je bil vložen brez predhodne odobritve, in vsebino njegovih sprememb.</w:t>
      </w:r>
    </w:p>
    <w:p>
      <w:pPr>
        <w:pStyle w:val="Text1"/>
        <w:rPr>
          <w:noProof/>
          <w:szCs w:val="24"/>
        </w:rPr>
      </w:pPr>
      <w:r>
        <w:rPr>
          <w:noProof/>
        </w:rPr>
        <w:t>Pregled pristojnega organa sestavlja pregled popolnosti, doslednosti in razumljivosti informacij iz univerzalnega registracijskega dokumenta in njegovih sprememb.</w:t>
      </w:r>
    </w:p>
    <w:p>
      <w:pPr>
        <w:pStyle w:val="ManualNumPar1"/>
        <w:rPr>
          <w:noProof/>
        </w:rPr>
      </w:pPr>
      <w:r>
        <w:t>9.</w:t>
      </w:r>
      <w:r>
        <w:tab/>
      </w:r>
      <w:r>
        <w:rPr>
          <w:noProof/>
        </w:rPr>
        <w:t>Če pristojni organ med pregledom ugotovi, da univerzalni registracijski dokument ne izpolnjuje standardov glede popolnosti, razumljivosti in doslednosti in/ali da so potrebne spremembe ali dodatne informacije, o tem obvesti izdajatelja.</w:t>
      </w:r>
    </w:p>
    <w:p>
      <w:pPr>
        <w:pStyle w:val="Text1"/>
        <w:rPr>
          <w:noProof/>
          <w:szCs w:val="24"/>
        </w:rPr>
      </w:pPr>
      <w:r>
        <w:rPr>
          <w:noProof/>
        </w:rPr>
        <w:t>Zahtevo za spremembo ali dodatne informacije, ki jo pristojni organ naslovi na izdajatelja, mora izdajatelj upoštevati samo pri naslednjem univerzalnem registracijskem dokumentu, vloženem za naslednje poslovno leto, razen če želi izdajatelj uporabiti univerzalni registracijski dokument kot sestavni del prospekta, predloženega v odobritev. V tem primeru izdajatelj vloži spremembo univerzalnega registracijskega dokumenta najpozneje ob predložitvi vloge iz člena 19(5).</w:t>
      </w:r>
    </w:p>
    <w:p>
      <w:pPr>
        <w:pStyle w:val="Text1"/>
        <w:rPr>
          <w:noProof/>
          <w:szCs w:val="24"/>
        </w:rPr>
      </w:pPr>
      <w:r>
        <w:rPr>
          <w:noProof/>
        </w:rPr>
        <w:t>Z odstopanjem od drugega pododstavka, če pristojni organ izdajatelja obvesti, da se njegova zahteva za spremembo nanaša na opustitev navedbe informacij ali pomembno napako ali netočnost, ki bo verjetno zavajala javnost glede dejstev ali okoliščin, ki so bistvene za oceno izdajatelja na podlagi informacij, izdajatelj takoj vloži spremembo univerzalnega registracijskega dokumenta.</w:t>
      </w:r>
    </w:p>
    <w:p>
      <w:pPr>
        <w:pStyle w:val="ManualNumPar1"/>
        <w:rPr>
          <w:noProof/>
        </w:rPr>
      </w:pPr>
      <w:r>
        <w:t>10.</w:t>
      </w:r>
      <w:r>
        <w:tab/>
      </w:r>
      <w:r>
        <w:rPr>
          <w:noProof/>
        </w:rPr>
        <w:t>Določbe odstavkov 7 in 9 se uporabljajo samo, če se univerzalni registracijski dokument ne uporablja kot sestavni del prospekta. Če se univerzalni registracijski dokument uporablja kot sestavni del prospekta, se uporabljajo samo pravila iz člena 22 o dopolnitvi prospekta v obdobju med odobritvijo prospekta in končnim iztekom javne ponudbe ali morebitnim začetkom trgovanja na reguliranem trgu, odvisno od tega, kaj je pozneje.</w:t>
      </w:r>
    </w:p>
    <w:p>
      <w:pPr>
        <w:pStyle w:val="ManualNumPar1"/>
        <w:rPr>
          <w:noProof/>
        </w:rPr>
      </w:pPr>
      <w:r>
        <w:t>11.</w:t>
      </w:r>
      <w:r>
        <w:tab/>
      </w:r>
      <w:r>
        <w:rPr>
          <w:noProof/>
        </w:rPr>
        <w:t>Izdajatelj, ki izpolnjuje pogoje, opisane v prvem ali drugem pododstavku odstavka 2 ali v odstavku 3, ima status pogostega izdajatelja in lahko izkoristi hitrejši postopek odobritve, opisan v členu 19(5), če:</w:t>
      </w:r>
    </w:p>
    <w:p>
      <w:pPr>
        <w:pStyle w:val="Point1letter"/>
        <w:numPr>
          <w:ilvl w:val="3"/>
          <w:numId w:val="75"/>
        </w:numPr>
        <w:rPr>
          <w:noProof/>
        </w:rPr>
      </w:pPr>
      <w:r>
        <w:rPr>
          <w:noProof/>
        </w:rPr>
        <w:t>izdajatelj ob vložitvi ali predložitvi vsakega univerzalnega registracijskega dokumenta v odobritev pristojnemu organu zagotovi pisno potrdilo, da so bile vse predpisane informacije, ki jih je moral razkriti v skladu z Direktivo 2004/109/ES in po potrebi Uredbo (EU) št. 596/2014, vložene in objavljene v skladu z zahtevami iz navedenih aktov, in</w:t>
      </w:r>
    </w:p>
    <w:p>
      <w:pPr>
        <w:pStyle w:val="Point1letter"/>
        <w:rPr>
          <w:noProof/>
        </w:rPr>
      </w:pPr>
      <w:r>
        <w:rPr>
          <w:noProof/>
        </w:rPr>
        <w:t>izdajatelj, ko pristojni organ opravi pregled iz odstavka 8, spremeni svoj univerzalni registracijski dokument v skladu z ureditvami iz odstavka 9.</w:t>
      </w:r>
    </w:p>
    <w:p>
      <w:pPr>
        <w:pStyle w:val="Text1"/>
        <w:rPr>
          <w:noProof/>
        </w:rPr>
      </w:pPr>
      <w:r>
        <w:rPr>
          <w:noProof/>
        </w:rPr>
        <w:t>Če izdajatelj ne izpolnjuje katerega koli od zgoraj navedenih pogojev, izgubi status pogostega izdajatelja.</w:t>
      </w:r>
    </w:p>
    <w:p>
      <w:pPr>
        <w:pStyle w:val="ManualNumPar1"/>
        <w:rPr>
          <w:noProof/>
        </w:rPr>
      </w:pPr>
      <w:r>
        <w:t>12.</w:t>
      </w:r>
      <w:r>
        <w:tab/>
      </w:r>
      <w:r>
        <w:rPr>
          <w:noProof/>
        </w:rPr>
        <w:t>Če se univerzalni registracijski dokument, ki je bil vložen pri pristojnem organu ali ki ga je pristojni organ odobril, javno objavi najpozneje štiri mesece po koncu poslovnega leta in vsebuje informacije, ki jih je treba razkriti v letnem računovodskem poročilu iz člena 4 Direktive 2004/109/ES Evropskega parlamenta in Sveta</w:t>
      </w:r>
      <w:r>
        <w:rPr>
          <w:rStyle w:val="FootnoteReference"/>
          <w:noProof/>
        </w:rPr>
        <w:footnoteReference w:id="23"/>
      </w:r>
      <w:r>
        <w:rPr>
          <w:noProof/>
        </w:rPr>
        <w:t>, se šteje, da je izdajatelj izpolnil svojo obveznost objave letnega računovodskega poročila, ki jo določa navedeni člen.</w:t>
      </w:r>
    </w:p>
    <w:p>
      <w:pPr>
        <w:pStyle w:val="Text1"/>
        <w:rPr>
          <w:noProof/>
          <w:szCs w:val="24"/>
        </w:rPr>
      </w:pPr>
      <w:r>
        <w:rPr>
          <w:noProof/>
        </w:rPr>
        <w:t>Če se univerzalni registracijski dokument ali njegova sprememba vloži pri pristojnem organu ali pa jo pristojni organ odobri in se javno objavi najpozneje tri mesece po koncu prvih šestih mesecev poslovnega leta ter vsebuje informacije, ki jih je treba razkriti v polletnem računovodskem poročilu iz člena 5 Direktive 2004/109/ES, se šteje, da je izdajatelj izpolnil svojo obveznost objave polletnega računovodskega poročila, ki jo določa navedeni člen.</w:t>
      </w:r>
    </w:p>
    <w:p>
      <w:pPr>
        <w:pStyle w:val="Text1"/>
        <w:rPr>
          <w:noProof/>
          <w:szCs w:val="24"/>
        </w:rPr>
      </w:pPr>
      <w:r>
        <w:rPr>
          <w:noProof/>
        </w:rPr>
        <w:t>V primerih, opisanih v prvem ali drugem pododstavku, izdajatelj:</w:t>
      </w:r>
    </w:p>
    <w:p>
      <w:pPr>
        <w:pStyle w:val="Point1letter"/>
        <w:numPr>
          <w:ilvl w:val="3"/>
          <w:numId w:val="76"/>
        </w:numPr>
        <w:rPr>
          <w:noProof/>
          <w:szCs w:val="24"/>
        </w:rPr>
      </w:pPr>
      <w:r>
        <w:rPr>
          <w:noProof/>
        </w:rPr>
        <w:t>v univerzalni registracijski dokument vključi seznam sklicev, na katerem je navedeno, kje v univerzalnem registracijskem dokumentu je na voljo posamezna postavka, ki se mora vključiti v letno in polletno računovodsko poročilo;</w:t>
      </w:r>
    </w:p>
    <w:p>
      <w:pPr>
        <w:pStyle w:val="Point1letter"/>
        <w:numPr>
          <w:ilvl w:val="3"/>
          <w:numId w:val="76"/>
        </w:numPr>
        <w:rPr>
          <w:noProof/>
          <w:szCs w:val="24"/>
        </w:rPr>
      </w:pPr>
      <w:r>
        <w:rPr>
          <w:noProof/>
        </w:rPr>
        <w:t>vloži univerzalni registracijski dokument v skladu s členom 19(1) Direktive 2004/109/ES in ga da na voljo uradno določenemu mehanizmu iz člena 21(2) Direktive 2004/109/ES;</w:t>
      </w:r>
    </w:p>
    <w:p>
      <w:pPr>
        <w:pStyle w:val="Point1letter"/>
        <w:numPr>
          <w:ilvl w:val="3"/>
          <w:numId w:val="76"/>
        </w:numPr>
        <w:rPr>
          <w:noProof/>
          <w:szCs w:val="24"/>
        </w:rPr>
      </w:pPr>
      <w:r>
        <w:rPr>
          <w:noProof/>
        </w:rPr>
        <w:t>v univerzalni registracijski dokument vključi besedilo izjave o odgovornosti, ki ga določata člena 4(2)(c) in 5(2)(c) Direktive 2004/109/ES.</w:t>
      </w:r>
    </w:p>
    <w:p>
      <w:pPr>
        <w:pStyle w:val="ManualNumPar1"/>
        <w:rPr>
          <w:noProof/>
        </w:rPr>
      </w:pPr>
      <w:r>
        <w:t>13.</w:t>
      </w:r>
      <w:r>
        <w:tab/>
      </w:r>
      <w:r>
        <w:rPr>
          <w:noProof/>
        </w:rPr>
        <w:t>Odstavek 12 se uporablja samo, če je matična država članica izdajatelja za namene te uredbe tudi matična država članica za namene Direktive 2004/109/ES in če jezik univerzalnega registracijskega dokumenta izpolnjuje pogoje iz člena 20 Direktive 2004/109/ES.</w:t>
      </w:r>
    </w:p>
    <w:p>
      <w:pPr>
        <w:pStyle w:val="ManualNumPar1"/>
        <w:rPr>
          <w:noProof/>
        </w:rPr>
      </w:pPr>
      <w:r>
        <w:t>14.</w:t>
      </w:r>
      <w:r>
        <w:tab/>
      </w:r>
      <w:r>
        <w:rPr>
          <w:noProof/>
        </w:rPr>
        <w:t>Komisija v skladu s členom 42 sprejme delegirane akte, da se opredelijo postopek pregleda, odobritve, vložitve in revizije univerzalnega registracijskega dokumenta, pogoji za njegove spremembe in pogoji za izgubo statusa pogostega izdajatelja.</w:t>
      </w:r>
    </w:p>
    <w:p>
      <w:pPr>
        <w:pStyle w:val="Titrearticle"/>
        <w:rPr>
          <w:b/>
          <w:noProof/>
          <w:szCs w:val="24"/>
        </w:rPr>
      </w:pPr>
      <w:r>
        <w:rPr>
          <w:b/>
          <w:i w:val="0"/>
          <w:noProof/>
        </w:rPr>
        <w:t>Člen 10</w:t>
      </w:r>
      <w:r>
        <w:rPr>
          <w:b/>
          <w:i w:val="0"/>
          <w:noProof/>
          <w:szCs w:val="24"/>
        </w:rPr>
        <w:br/>
      </w:r>
      <w:r>
        <w:rPr>
          <w:b/>
          <w:noProof/>
        </w:rPr>
        <w:t>Prospekti, sestavljeni iz več ločenih dokumentov</w:t>
      </w:r>
    </w:p>
    <w:p>
      <w:pPr>
        <w:pStyle w:val="ManualNumPar1"/>
        <w:rPr>
          <w:noProof/>
        </w:rPr>
      </w:pPr>
      <w:r>
        <w:t>1.</w:t>
      </w:r>
      <w:r>
        <w:tab/>
      </w:r>
      <w:r>
        <w:rPr>
          <w:noProof/>
        </w:rPr>
        <w:t>Če je pristojni organ izdajatelju že odobril registracijski dokument, izdajatelj v primeru javne ponudbe vrednostnih papirjev ali njihovega sprejema v trgovanje na reguliranem trgu pripravi samo opis vrednostnih papirjev in izvleček. V navedenem primeru je treba opis vrednostnih papirjev in izvleček odobriti ločeno.</w:t>
      </w:r>
    </w:p>
    <w:p>
      <w:pPr>
        <w:pStyle w:val="Text1"/>
        <w:rPr>
          <w:noProof/>
          <w:szCs w:val="24"/>
        </w:rPr>
      </w:pPr>
      <w:r>
        <w:rPr>
          <w:noProof/>
        </w:rPr>
        <w:t>Če se je od odobritve registracijskega dokumenta pojavil nov pomemben dejavnik, pomembna napaka ali netočnost, povezana z informacijami iz registracijskega dokumenta, ki lahko vpliva na oceno vrednostnih papirjev, se ob predložitvi opisa vrednostnih papirjev in izvlečka v odobritev predloži tudi dodatek k registracijskemu dokumentu. Pravica do umika sprejetja ponudbe iz člena 22(2) se v navedenem primeru ne uporablja.</w:t>
      </w:r>
    </w:p>
    <w:p>
      <w:pPr>
        <w:pStyle w:val="Text1"/>
        <w:rPr>
          <w:noProof/>
          <w:szCs w:val="24"/>
        </w:rPr>
      </w:pPr>
      <w:r>
        <w:rPr>
          <w:noProof/>
        </w:rPr>
        <w:t>Ko ju odobrijo pristojni organi, registracijski dokument in njegov dodatek, ki ju po potrebi spremljata opis vrednostnih papirjev in izvleček, sestavljata prospekt.</w:t>
      </w:r>
    </w:p>
    <w:p>
      <w:pPr>
        <w:pStyle w:val="ManualNumPar1"/>
        <w:rPr>
          <w:noProof/>
          <w:szCs w:val="24"/>
        </w:rPr>
      </w:pPr>
      <w:r>
        <w:t>2.</w:t>
      </w:r>
      <w:r>
        <w:tab/>
      </w:r>
      <w:r>
        <w:rPr>
          <w:noProof/>
        </w:rPr>
        <w:t>Če je pristojni organ izdajatelju že odobril univerzalni registracijski dokument, izdajatelj v primeru javne ponudbe vrednostnih papirjev ali njihovega sprejema v trgovanje na reguliranem trgu pripravi samo opis vrednostnih papirjev in izvleček. V navedenem primeru se opis vrednostnih papirjev, izvleček in vse spremembe univerzalnega registracijskega dokumenta, vložene od odobritve univerzalnega registracijskega dokumenta, odobrijo ločeno.</w:t>
      </w:r>
    </w:p>
    <w:p>
      <w:pPr>
        <w:pStyle w:val="Text1"/>
        <w:rPr>
          <w:noProof/>
          <w:szCs w:val="24"/>
        </w:rPr>
      </w:pPr>
      <w:r>
        <w:rPr>
          <w:noProof/>
        </w:rPr>
        <w:t>Če je izdajatelj vložil univerzalni registracijski dokument brez odobritve, se odobri celotna dokumentacija, vključno s spremembami univerzalnega registracijskega dokumenta, ne glede na to, da ti dokumenti ostanejo ločeni.</w:t>
      </w:r>
    </w:p>
    <w:p>
      <w:pPr>
        <w:pStyle w:val="Text1"/>
        <w:rPr>
          <w:noProof/>
          <w:szCs w:val="24"/>
        </w:rPr>
      </w:pPr>
      <w:r>
        <w:rPr>
          <w:noProof/>
        </w:rPr>
        <w:t>Ko ga odobrijo pristojni organi, univerzalni registracijski dokument, spremenjen v skladu z odstavkom 7 ali 9 člena 9, ki ga spremljata opis vrednostnih papirjev in izvleček, sestavlja prospekt.</w:t>
      </w:r>
    </w:p>
    <w:p>
      <w:pPr>
        <w:pStyle w:val="Titrearticle"/>
        <w:rPr>
          <w:b/>
          <w:noProof/>
          <w:szCs w:val="24"/>
        </w:rPr>
      </w:pPr>
      <w:r>
        <w:rPr>
          <w:b/>
          <w:i w:val="0"/>
          <w:noProof/>
        </w:rPr>
        <w:t>Člen 11</w:t>
      </w:r>
      <w:r>
        <w:rPr>
          <w:b/>
          <w:i w:val="0"/>
          <w:noProof/>
          <w:szCs w:val="24"/>
        </w:rPr>
        <w:br/>
      </w:r>
      <w:r>
        <w:rPr>
          <w:b/>
          <w:noProof/>
        </w:rPr>
        <w:t>Odgovornost, ki izhaja iz prospekta</w:t>
      </w:r>
    </w:p>
    <w:p>
      <w:pPr>
        <w:pStyle w:val="ManualNumPar1"/>
        <w:rPr>
          <w:noProof/>
        </w:rPr>
      </w:pPr>
      <w:r>
        <w:t>1.</w:t>
      </w:r>
      <w:r>
        <w:tab/>
      </w:r>
      <w:r>
        <w:rPr>
          <w:noProof/>
        </w:rPr>
        <w:t>Države članice zagotovijo, da so za informacije, navedene v prospektu, odgovorni izdajatelj ali njegov upravni organ, organ upravljanja ali nadzorni organ, ponudnik, oseba, ki prosi za sprejem v trgovanje na reguliranem trgu, ali garant. Odgovorne osebe so v prospektu jasno opredeljene z imeni in funkcijami, ali v primeru pravnih oseb z imeni in registriranimi sedeži ter svojimi izjavami, da so po njihovem najboljšem vedenju informacije v prospektu skladne z dejstvi in da v prospektu ni nobene opuščene informacije, ki bi lahko vplivala na njegov pomen.</w:t>
      </w:r>
    </w:p>
    <w:p>
      <w:pPr>
        <w:pStyle w:val="ManualNumPar1"/>
        <w:rPr>
          <w:noProof/>
        </w:rPr>
      </w:pPr>
      <w:r>
        <w:t>2.</w:t>
      </w:r>
      <w:r>
        <w:tab/>
      </w:r>
      <w:r>
        <w:rPr>
          <w:noProof/>
        </w:rPr>
        <w:t>Države članice zagotovijo, da se njihovi zakoni, predpisi in upravne določbe o civilni odgovornosti uporabljajo za osebe, odgovorne za informacije, navedene v prospektu.</w:t>
      </w:r>
    </w:p>
    <w:p>
      <w:pPr>
        <w:pStyle w:val="Text1"/>
        <w:rPr>
          <w:noProof/>
          <w:szCs w:val="24"/>
        </w:rPr>
      </w:pPr>
      <w:r>
        <w:rPr>
          <w:noProof/>
        </w:rPr>
        <w:t>Vendar države članice zagotovijo, da nobena oseba ni civilno odgovorna izključno na podlagi izvlečka, vključno z njegovim prevodom, razen če je izvleček zavajajoč, netočen ali neskladen, ko se bere skupaj z drugimi deli prospekta, ali ne zagotavlja ključnih informacij, ko se bere skupaj z drugimi deli prospekta, ki vlagateljem pomagajo sprejeti odločitev o naložbi v take vrednostne papirje. Izvleček v zvezi s tem vsebuje jasno opozorilo.</w:t>
      </w:r>
    </w:p>
    <w:p>
      <w:pPr>
        <w:pStyle w:val="ManualNumPar1"/>
        <w:rPr>
          <w:noProof/>
        </w:rPr>
      </w:pPr>
      <w:r>
        <w:t>3.</w:t>
      </w:r>
      <w:r>
        <w:tab/>
      </w:r>
      <w:r>
        <w:rPr>
          <w:noProof/>
        </w:rPr>
        <w:t>Za informacije iz univerzalnega registracijskega dokumenta so osebe iz odstavka 1 odgovorne samo, če se univerzalni registracijski dokument uporablja kot sestavni del odobrenega prospekta. To brez poseganja v člena 4 in 5 Direktive 2004/109/ES velja, če so informacije iz teh členov vključene v univerzalni registracijski dokument.</w:t>
      </w:r>
    </w:p>
    <w:p>
      <w:pPr>
        <w:pStyle w:val="Titrearticle"/>
        <w:rPr>
          <w:b/>
          <w:noProof/>
          <w:szCs w:val="24"/>
        </w:rPr>
      </w:pPr>
      <w:r>
        <w:rPr>
          <w:b/>
          <w:i w:val="0"/>
          <w:noProof/>
        </w:rPr>
        <w:t>Člen 12</w:t>
      </w:r>
      <w:r>
        <w:rPr>
          <w:b/>
          <w:i w:val="0"/>
          <w:noProof/>
          <w:szCs w:val="24"/>
        </w:rPr>
        <w:br/>
      </w:r>
      <w:r>
        <w:rPr>
          <w:b/>
          <w:noProof/>
        </w:rPr>
        <w:t>Veljavnost prospekta, osnovnega prospekta in registracijskega dokumenta</w:t>
      </w:r>
    </w:p>
    <w:p>
      <w:pPr>
        <w:pStyle w:val="ManualNumPar1"/>
        <w:rPr>
          <w:noProof/>
        </w:rPr>
      </w:pPr>
      <w:r>
        <w:t>1.</w:t>
      </w:r>
      <w:r>
        <w:tab/>
      </w:r>
      <w:r>
        <w:rPr>
          <w:noProof/>
        </w:rPr>
        <w:t xml:space="preserve">Prospekt ali osnovni prospekt, ne glede na to, ali ga sestavlja en dokument ali pa več ločenih dokumentov, velja dvanajst mesecev po odobritvi za javne ponudbe ali sprejem v trgovanje na reguliranem trgu, če ga dopolnjuje kakršen koli dodatek, ki se zahteva v skladu s členom 22. </w:t>
      </w:r>
    </w:p>
    <w:p>
      <w:pPr>
        <w:pStyle w:val="Text1"/>
        <w:rPr>
          <w:noProof/>
          <w:szCs w:val="24"/>
        </w:rPr>
      </w:pPr>
      <w:r>
        <w:rPr>
          <w:noProof/>
        </w:rPr>
        <w:t xml:space="preserve">Če prospekt ali osnovni prospekt sestavljajo ločeni dokumenti, začne veljati po odobritvi opisa vrednostnih papirjev. </w:t>
      </w:r>
    </w:p>
    <w:p>
      <w:pPr>
        <w:pStyle w:val="ManualNumPar1"/>
        <w:rPr>
          <w:noProof/>
        </w:rPr>
      </w:pPr>
      <w:r>
        <w:t>2.</w:t>
      </w:r>
      <w:r>
        <w:tab/>
      </w:r>
      <w:r>
        <w:rPr>
          <w:noProof/>
        </w:rPr>
        <w:t>Registracijski dokument, vključno z univerzalnim registracijskim dokumentom, kot je opredeljen v členu 9, ki je že bil predhodno vložen ali odobren, za uporabo kot sestavni del prospekta velja dvanajst mesecev po njegovi vložitvi ali odobritvi.</w:t>
      </w:r>
    </w:p>
    <w:p>
      <w:pPr>
        <w:pStyle w:val="Text1"/>
        <w:rPr>
          <w:noProof/>
        </w:rPr>
      </w:pPr>
      <w:r>
        <w:rPr>
          <w:noProof/>
        </w:rPr>
        <w:t>Konec veljavnosti takega registracijskega dokumenta ne vpliva na veljavnost prospekta, katerega sestavni del je.</w:t>
      </w:r>
    </w:p>
    <w:p>
      <w:pPr>
        <w:pStyle w:val="SectionTitle"/>
        <w:rPr>
          <w:noProof/>
          <w:sz w:val="24"/>
          <w:szCs w:val="24"/>
        </w:rPr>
      </w:pPr>
      <w:r>
        <w:rPr>
          <w:noProof/>
          <w:sz w:val="24"/>
        </w:rPr>
        <w:t>POGLAVJE III</w:t>
      </w:r>
      <w:r>
        <w:rPr>
          <w:noProof/>
          <w:sz w:val="24"/>
          <w:szCs w:val="24"/>
        </w:rPr>
        <w:br/>
      </w:r>
      <w:r>
        <w:rPr>
          <w:noProof/>
          <w:sz w:val="24"/>
        </w:rPr>
        <w:t>VSEBINA IN OBLIKA PROSPEKTA</w:t>
      </w:r>
    </w:p>
    <w:p>
      <w:pPr>
        <w:pStyle w:val="Titrearticle"/>
        <w:rPr>
          <w:b/>
          <w:noProof/>
          <w:szCs w:val="24"/>
        </w:rPr>
      </w:pPr>
      <w:r>
        <w:rPr>
          <w:b/>
          <w:i w:val="0"/>
          <w:noProof/>
        </w:rPr>
        <w:t>Člen 13</w:t>
      </w:r>
      <w:r>
        <w:rPr>
          <w:b/>
          <w:i w:val="0"/>
          <w:noProof/>
          <w:szCs w:val="24"/>
        </w:rPr>
        <w:br/>
      </w:r>
      <w:r>
        <w:rPr>
          <w:b/>
          <w:noProof/>
        </w:rPr>
        <w:t>Minimalne informacije in oblika</w:t>
      </w:r>
    </w:p>
    <w:p>
      <w:pPr>
        <w:pStyle w:val="ManualNumPar1"/>
        <w:rPr>
          <w:noProof/>
        </w:rPr>
      </w:pPr>
      <w:r>
        <w:t>1.</w:t>
      </w:r>
      <w:r>
        <w:tab/>
      </w:r>
      <w:r>
        <w:rPr>
          <w:noProof/>
        </w:rPr>
        <w:t>Komisija v skladu s členom 42 sprejme delegirane akte o obliki prospekta, osnovnega prospekta in končnih pogojev ter sezname, v katerih so opredeljene posebne informacije, ki jih je treba vključiti v prospekt, da se prepreči podvajanje informacij, ko prospekt sestavlja več ločenih dokumentov.</w:t>
      </w:r>
    </w:p>
    <w:p>
      <w:pPr>
        <w:pStyle w:val="Text1"/>
        <w:rPr>
          <w:noProof/>
        </w:rPr>
      </w:pPr>
      <w:r>
        <w:rPr>
          <w:noProof/>
        </w:rPr>
        <w:t>Pri izdelavi različnih seznamov prospektov se upoštevajo zlasti:</w:t>
      </w:r>
    </w:p>
    <w:p>
      <w:pPr>
        <w:pStyle w:val="Point1letter"/>
        <w:numPr>
          <w:ilvl w:val="3"/>
          <w:numId w:val="22"/>
        </w:numPr>
        <w:rPr>
          <w:noProof/>
          <w:szCs w:val="24"/>
        </w:rPr>
      </w:pPr>
      <w:r>
        <w:rPr>
          <w:noProof/>
        </w:rPr>
        <w:t>različne vrste informacij, ki jih vlagatelji potrebujejo o lastniških vrednostnih papirjih v primerjavi z nelastniškimi vrednostnimi papirji; v zvezi z informacijami o vrednostnih papirjih, ki imajo podobno ekonomsko podlago, zlasti o izvedenih finančnih instrumentih, se sprejme dosleden pristop;</w:t>
      </w:r>
    </w:p>
    <w:p>
      <w:pPr>
        <w:pStyle w:val="Point1letter"/>
        <w:numPr>
          <w:ilvl w:val="3"/>
          <w:numId w:val="22"/>
        </w:numPr>
        <w:rPr>
          <w:noProof/>
          <w:szCs w:val="24"/>
        </w:rPr>
      </w:pPr>
      <w:r>
        <w:rPr>
          <w:noProof/>
        </w:rPr>
        <w:t>različne vrste in lastnosti ponudb in sprejema v trgovanje na reguliranem trgu nelastniških vrednostnih papirjev;</w:t>
      </w:r>
    </w:p>
    <w:p>
      <w:pPr>
        <w:pStyle w:val="Point1letter"/>
        <w:numPr>
          <w:ilvl w:val="3"/>
          <w:numId w:val="22"/>
        </w:numPr>
        <w:rPr>
          <w:noProof/>
          <w:szCs w:val="24"/>
        </w:rPr>
      </w:pPr>
      <w:r>
        <w:rPr>
          <w:noProof/>
        </w:rPr>
        <w:t>uporabljena oblika in informacije, ki jih je treba navesti v osnovnem prospektu v zvezi z nelastniškimi vrednostnimi papirji, vključno z nakupnimi boni v kakršni koli obliki;</w:t>
      </w:r>
    </w:p>
    <w:p>
      <w:pPr>
        <w:pStyle w:val="Point1letter"/>
        <w:numPr>
          <w:ilvl w:val="3"/>
          <w:numId w:val="22"/>
        </w:numPr>
        <w:rPr>
          <w:noProof/>
          <w:szCs w:val="24"/>
        </w:rPr>
      </w:pPr>
      <w:r>
        <w:rPr>
          <w:noProof/>
        </w:rPr>
        <w:t>po potrebi javna narava izdajatelja;</w:t>
      </w:r>
    </w:p>
    <w:p>
      <w:pPr>
        <w:pStyle w:val="Point1letter"/>
        <w:numPr>
          <w:ilvl w:val="3"/>
          <w:numId w:val="22"/>
        </w:numPr>
        <w:rPr>
          <w:noProof/>
          <w:szCs w:val="24"/>
        </w:rPr>
      </w:pPr>
      <w:r>
        <w:rPr>
          <w:noProof/>
        </w:rPr>
        <w:t>po potrebi posebna narava dejavnosti izdajatelja.</w:t>
      </w:r>
    </w:p>
    <w:p>
      <w:pPr>
        <w:pStyle w:val="ManualNumPar1"/>
        <w:rPr>
          <w:noProof/>
        </w:rPr>
      </w:pPr>
      <w:r>
        <w:t>2.</w:t>
      </w:r>
      <w:r>
        <w:tab/>
      </w:r>
      <w:r>
        <w:rPr>
          <w:noProof/>
        </w:rPr>
        <w:t xml:space="preserve">Komisija v skladu s členom 42 sprejme delegirane akte o seznamu, ki opredeljuje minimalne informacije, ki jih mora vsebovati univerzalni registracijski dokument, in posebnem seznamu za univerzalni registracijski dokument kreditnih institucij. </w:t>
      </w:r>
    </w:p>
    <w:p>
      <w:pPr>
        <w:pStyle w:val="Text1"/>
        <w:rPr>
          <w:noProof/>
          <w:szCs w:val="24"/>
        </w:rPr>
      </w:pPr>
      <w:r>
        <w:rPr>
          <w:noProof/>
        </w:rPr>
        <w:t>Tak seznam zagotavlja, da univerzalni registracijski dokument vsebuje vse potrebne informacije o izdajatelju, da se lahko isti univerzalni registracijski dokument enako uporabi tudi za nadaljnjo javno ponudbo ali sprejem lastniških vrednostnih papirjev, dolžniških vrednostnih papirjev ali izvedenih finančnih instrumentov v trgovanje. Informacije v zvezi s finančnimi podatki, operativnim in finančnim pregledom in pričakovanji ter upravljanjem podjetij so v čim večji meri usklajene z informacijami, ki jih je treba razkriti v letnem in polletnem računovodskem poročilu iz členov 4 in 5 Direktive 2004/109/ES, vključno s poslovnim poročilom in izjavo o upravljanju podjetja.</w:t>
      </w:r>
    </w:p>
    <w:p>
      <w:pPr>
        <w:pStyle w:val="ManualNumPar1"/>
        <w:rPr>
          <w:noProof/>
        </w:rPr>
      </w:pPr>
      <w:r>
        <w:t>3.</w:t>
      </w:r>
      <w:r>
        <w:tab/>
      </w:r>
      <w:r>
        <w:rPr>
          <w:noProof/>
        </w:rPr>
        <w:t>Delegirani akti iz odstavkov 1 in 2 temeljijo na standardih na področju finančnih in nefinančnih informacij, ki jih določajo mednarodna združenja nadzornikov trga vrednostnih papirjev, zlasti IOSCO, in na Prilogah I, II in III k tej uredbi. Navedeni delegirani akti se sprejmejo do [</w:t>
      </w:r>
      <w:r>
        <w:rPr>
          <w:i/>
          <w:noProof/>
        </w:rPr>
        <w:t>vstavite datum začetka uporabe</w:t>
      </w:r>
      <w:r>
        <w:rPr>
          <w:noProof/>
        </w:rPr>
        <w:t>].</w:t>
      </w:r>
    </w:p>
    <w:p>
      <w:pPr>
        <w:pStyle w:val="Titrearticle"/>
        <w:rPr>
          <w:b/>
          <w:noProof/>
          <w:szCs w:val="24"/>
        </w:rPr>
      </w:pPr>
      <w:r>
        <w:rPr>
          <w:b/>
          <w:i w:val="0"/>
          <w:noProof/>
        </w:rPr>
        <w:t>Člen 14</w:t>
      </w:r>
      <w:r>
        <w:rPr>
          <w:b/>
          <w:i w:val="0"/>
          <w:noProof/>
          <w:szCs w:val="24"/>
        </w:rPr>
        <w:br/>
      </w:r>
      <w:r>
        <w:rPr>
          <w:b/>
          <w:noProof/>
        </w:rPr>
        <w:t>Ureditev glede minimalnega razkritja za sekundarne izdaje</w:t>
      </w:r>
    </w:p>
    <w:p>
      <w:pPr>
        <w:pStyle w:val="ManualNumPar1"/>
        <w:rPr>
          <w:noProof/>
        </w:rPr>
      </w:pPr>
      <w:r>
        <w:t>1.</w:t>
      </w:r>
      <w:r>
        <w:tab/>
      </w:r>
      <w:r>
        <w:rPr>
          <w:noProof/>
        </w:rPr>
        <w:t>Naslednje osebe se lahko v primeru javne ponudbe vrednostnih papirjev ali sprejema vrednostnih papirjev v trgovanje na reguliranem trgu odločijo za pripravo prospekta v skladu z ureditvijo glede minimalnega razkritja za sekundarne izdaje:</w:t>
      </w:r>
    </w:p>
    <w:p>
      <w:pPr>
        <w:pStyle w:val="Point1letter"/>
        <w:numPr>
          <w:ilvl w:val="3"/>
          <w:numId w:val="24"/>
        </w:numPr>
        <w:rPr>
          <w:noProof/>
          <w:szCs w:val="24"/>
        </w:rPr>
      </w:pPr>
      <w:r>
        <w:rPr>
          <w:noProof/>
        </w:rPr>
        <w:t>izdajatelji, katerih vrednostni papirji so sprejeti v trgovanje na reguliranem trgu ali zagonskem trgu MSP za vsaj 18 mesecev in ki izdajo več vrednostnih papirjev istega razreda;</w:t>
      </w:r>
    </w:p>
    <w:p>
      <w:pPr>
        <w:pStyle w:val="Point1letter"/>
        <w:numPr>
          <w:ilvl w:val="3"/>
          <w:numId w:val="24"/>
        </w:numPr>
        <w:rPr>
          <w:noProof/>
          <w:szCs w:val="24"/>
        </w:rPr>
      </w:pPr>
      <w:r>
        <w:rPr>
          <w:noProof/>
        </w:rPr>
        <w:t>izdajatelji, katerih lastniški vrednostni papirji so sprejeti v trgovanje na reguliranem trgu ali zagonskem trgu MSP za vsaj 18 mesecev in ki izdajo nelastniške vrednostne papirje;</w:t>
      </w:r>
    </w:p>
    <w:p>
      <w:pPr>
        <w:pStyle w:val="Point1letter"/>
        <w:numPr>
          <w:ilvl w:val="3"/>
          <w:numId w:val="24"/>
        </w:numPr>
        <w:rPr>
          <w:noProof/>
          <w:szCs w:val="24"/>
        </w:rPr>
      </w:pPr>
      <w:r>
        <w:rPr>
          <w:noProof/>
        </w:rPr>
        <w:t>ponudniki razreda vrednostnih papirjev, ki so sprejeti v trgovanje na reguliranem trgu ali zagonskem trgu MSP za vsaj 18 mesecev.</w:t>
      </w:r>
    </w:p>
    <w:p>
      <w:pPr>
        <w:pStyle w:val="Text1"/>
        <w:rPr>
          <w:noProof/>
          <w:szCs w:val="24"/>
        </w:rPr>
      </w:pPr>
      <w:r>
        <w:rPr>
          <w:noProof/>
        </w:rPr>
        <w:t>Ureditev glede minimalnega razkritja sestavljata posebni registracijski dokument, ki ga lahko uporabljajo osebe iz točk (a), (b) in (c), in poseben opis vrednostnih papirjev, ki ga lahko uporabljajo osebe iz točk (a) in (c).</w:t>
      </w:r>
    </w:p>
    <w:p>
      <w:pPr>
        <w:pStyle w:val="ManualNumPar1"/>
        <w:rPr>
          <w:noProof/>
        </w:rPr>
      </w:pPr>
      <w:r>
        <w:t>2.</w:t>
      </w:r>
      <w:r>
        <w:tab/>
      </w:r>
      <w:r>
        <w:rPr>
          <w:noProof/>
        </w:rPr>
        <w:t>Z odstopanjem od člena 6(1) in brez poseganja v člen 17(2) prospekt, pripravljen v skladu z ureditvijo glede minimalnega razkritja za sekundarne izdaje, vsebuje ustrezne informacije, ki so potrebne, da se vlagateljem zagotovi razumevanje prospektov izdajatelja in morebitnega garanta, ki temeljijo na minimalnih finančnih podatkih, ki jih vsebuje prospekt ali pa so vanj vključene s sklicevanjem, ter ki zajemajo samo zadnje poslovno leto, pravice, ki izhajajo iz vrednostnih papirjev, razloge za izdajo in učinek na izdajatelja. Informacije, ki jih vsebuje prospekt, se predstavijo v jedrnati in razumljivi obliki, ki omogoča preprosto analizo, in vlagateljem omogočajo, da na podlagi informacij sprejmejo odločitev o naložbi.</w:t>
      </w:r>
    </w:p>
    <w:p>
      <w:pPr>
        <w:pStyle w:val="ManualNumPar1"/>
        <w:rPr>
          <w:noProof/>
        </w:rPr>
      </w:pPr>
      <w:r>
        <w:t>3.</w:t>
      </w:r>
      <w:r>
        <w:tab/>
      </w:r>
      <w:r>
        <w:rPr>
          <w:noProof/>
        </w:rPr>
        <w:t>Komisija v skladu s členom 42 sprejme delegirane akte, da se opredeli manjši obseg informacij, ki se vključijo v sezname, ki se uporabljajo v okviru minimalne obveznosti javnega razkritja informacij, pri čemer se upoštevajo informacije, ki so že bile razkrite javnosti v skladu z Direktivo 2004/109/ES in Uredbo (EU) št. 596/2014, kjer je to ustrezno.</w:t>
      </w:r>
    </w:p>
    <w:p>
      <w:pPr>
        <w:pStyle w:val="Text1"/>
        <w:rPr>
          <w:noProof/>
        </w:rPr>
      </w:pPr>
      <w:r>
        <w:rPr>
          <w:noProof/>
        </w:rPr>
        <w:t>Navedeni delegirani akti se sprejmejo do [</w:t>
      </w:r>
      <w:r>
        <w:rPr>
          <w:i/>
          <w:noProof/>
        </w:rPr>
        <w:t>vstavite datum začetka uporabe</w:t>
      </w:r>
      <w:r>
        <w:rPr>
          <w:noProof/>
        </w:rPr>
        <w:t>].</w:t>
      </w:r>
    </w:p>
    <w:p>
      <w:pPr>
        <w:pStyle w:val="Titrearticle"/>
        <w:rPr>
          <w:b/>
          <w:noProof/>
          <w:szCs w:val="24"/>
        </w:rPr>
      </w:pPr>
      <w:r>
        <w:rPr>
          <w:b/>
          <w:i w:val="0"/>
          <w:noProof/>
        </w:rPr>
        <w:t>Člen 15</w:t>
      </w:r>
      <w:r>
        <w:rPr>
          <w:b/>
          <w:noProof/>
          <w:szCs w:val="24"/>
        </w:rPr>
        <w:br/>
      </w:r>
      <w:r>
        <w:rPr>
          <w:b/>
          <w:noProof/>
        </w:rPr>
        <w:t>Ureditev glede minimalnega razkritja za MSP</w:t>
      </w:r>
    </w:p>
    <w:p>
      <w:pPr>
        <w:pStyle w:val="ManualNumPar1"/>
        <w:rPr>
          <w:noProof/>
        </w:rPr>
      </w:pPr>
      <w:r>
        <w:t>1.</w:t>
      </w:r>
      <w:r>
        <w:tab/>
      </w:r>
      <w:r>
        <w:rPr>
          <w:noProof/>
        </w:rPr>
        <w:t xml:space="preserve">MSP se lahko v primeru javne ponudbe vrednostnih papirjev odločijo za pripravo prospekta v skladu z ureditvijo za razkritja za MSP, če nimajo vrednostnih papirjev, ki so bili sprejeti v trgovanje na reguliranem trgu. </w:t>
      </w:r>
    </w:p>
    <w:p>
      <w:pPr>
        <w:pStyle w:val="Text1"/>
        <w:rPr>
          <w:noProof/>
          <w:szCs w:val="24"/>
        </w:rPr>
      </w:pPr>
      <w:r>
        <w:rPr>
          <w:noProof/>
        </w:rPr>
        <w:t xml:space="preserve">Ureditev glede minimalnega razkritja sestavljata posebni registracijski dokument in poseben opis vrednostnih papirjev. </w:t>
      </w:r>
    </w:p>
    <w:p>
      <w:pPr>
        <w:pStyle w:val="Text1"/>
        <w:rPr>
          <w:noProof/>
          <w:szCs w:val="24"/>
        </w:rPr>
      </w:pPr>
      <w:r>
        <w:rPr>
          <w:noProof/>
        </w:rPr>
        <w:t>Pri izdelavi ustreznih seznamov prospektov se informacije prilagodijo obsegu in obdobju, za katerega so na razpolago dosedanji rezultati takih podjetij.</w:t>
      </w:r>
    </w:p>
    <w:p>
      <w:pPr>
        <w:pStyle w:val="ManualNumPar1"/>
        <w:rPr>
          <w:noProof/>
          <w:szCs w:val="24"/>
        </w:rPr>
      </w:pPr>
      <w:r>
        <w:t>2.</w:t>
      </w:r>
      <w:r>
        <w:tab/>
      </w:r>
      <w:r>
        <w:rPr>
          <w:noProof/>
        </w:rPr>
        <w:t>Podjetja, ki uporabljajo ureditev glede minimalnega razkritja iz odstavka 1 in ponujajo delnice ali nelastniške vrednostne papirje, ki niso podrejeni, konvertibilni ali zamenljivi, ne podeljujejo pravice do vpisa ali pridobitve drugih vrst vrednostnih papirjev in niso povezani z izvedenim finančnim instrumentom, so upravičena do priprave prospekta v obliki vprašalnika s standardnim besedilom, ki ga izpolni izdajatelj. Za ta namen se v navedeni obliki pripravita poseben registracijski dokument in poseben opis vrednostnih papirjev.</w:t>
      </w:r>
    </w:p>
    <w:p>
      <w:pPr>
        <w:pStyle w:val="ManualNumPar1"/>
        <w:rPr>
          <w:noProof/>
        </w:rPr>
      </w:pPr>
      <w:r>
        <w:t>3.</w:t>
      </w:r>
      <w:r>
        <w:tab/>
      </w:r>
      <w:r>
        <w:rPr>
          <w:noProof/>
        </w:rPr>
        <w:t>Komisija v skladu s členom 42 sprejme delegirane akte, da se opredelita manjši obseg informacij, ki se vključijo v sezname, ki se uporabljajo v skladu z ureditvijo glede minimalnega razkritja, in neobvezna oblika, ki je dovoljena v odstavku 2.</w:t>
      </w:r>
    </w:p>
    <w:p>
      <w:pPr>
        <w:pStyle w:val="Text1"/>
        <w:rPr>
          <w:noProof/>
        </w:rPr>
      </w:pPr>
      <w:r>
        <w:rPr>
          <w:noProof/>
        </w:rPr>
        <w:t>Navedeni delegirani akti se sprejmejo do [</w:t>
      </w:r>
      <w:r>
        <w:rPr>
          <w:i/>
          <w:noProof/>
        </w:rPr>
        <w:t>vstavite datum začetka uporabe</w:t>
      </w:r>
      <w:r>
        <w:rPr>
          <w:noProof/>
        </w:rPr>
        <w:t>].</w:t>
      </w:r>
    </w:p>
    <w:p>
      <w:pPr>
        <w:pStyle w:val="ManualNumPar1"/>
        <w:rPr>
          <w:noProof/>
        </w:rPr>
      </w:pPr>
      <w:r>
        <w:t>4.</w:t>
      </w:r>
      <w:r>
        <w:tab/>
      </w:r>
      <w:r>
        <w:rPr>
          <w:noProof/>
        </w:rPr>
        <w:t xml:space="preserve">ESMA pripravi smernice za MSP, kako naj pripravijo prospekt v skladu z obliko iz odstavka 2. Postopki iz pododstavkov od 2 do 4 člena 16(3) Uredbe (EU) št. 1095/2010 se ne uporabljajo. </w:t>
      </w:r>
    </w:p>
    <w:p>
      <w:pPr>
        <w:pStyle w:val="Titrearticle"/>
        <w:rPr>
          <w:b/>
          <w:noProof/>
          <w:szCs w:val="24"/>
        </w:rPr>
      </w:pPr>
      <w:r>
        <w:rPr>
          <w:b/>
          <w:i w:val="0"/>
          <w:noProof/>
        </w:rPr>
        <w:t>Člen 16</w:t>
      </w:r>
      <w:r>
        <w:rPr>
          <w:b/>
          <w:noProof/>
          <w:szCs w:val="24"/>
        </w:rPr>
        <w:br/>
      </w:r>
      <w:r>
        <w:rPr>
          <w:b/>
          <w:noProof/>
        </w:rPr>
        <w:t>Dejavniki tveganja</w:t>
      </w:r>
    </w:p>
    <w:p>
      <w:pPr>
        <w:pStyle w:val="ManualNumPar1"/>
        <w:rPr>
          <w:noProof/>
        </w:rPr>
      </w:pPr>
      <w:r>
        <w:t>1.</w:t>
      </w:r>
      <w:r>
        <w:tab/>
      </w:r>
      <w:r>
        <w:rPr>
          <w:noProof/>
        </w:rPr>
        <w:t>Dejavniki tveganja, navedeni v prospektu, so omejeni na tveganja, ki so specifična za izdajatelja in/ali vrednostne papirje ter so pomembna za sprejetje odločitve o naložbi na podlagi informacij, kot jih potrjujeta vsebina registracijskega dokumenta in opis vrednostnih papirjev. Razvrstijo se v največ tri ločene kategorije, ki se med seboj razlikujejo glede na relativno pomembnost tveganj, ki temelji na oceni verjetnosti njihovega nastanka in pričakovane razsežnosti njihovega negativnega učinka, ki jo opravi izdajatelj.</w:t>
      </w:r>
    </w:p>
    <w:p>
      <w:pPr>
        <w:pStyle w:val="ManualNumPar1"/>
        <w:rPr>
          <w:noProof/>
        </w:rPr>
      </w:pPr>
      <w:r>
        <w:t>2.</w:t>
      </w:r>
      <w:r>
        <w:tab/>
      </w:r>
      <w:r>
        <w:rPr>
          <w:noProof/>
        </w:rPr>
        <w:t>ESMA pripravi smernice za oceno specifičnosti in pomembnosti dejavnikov tveganja, ki jo opravijo pristojni organi, in za razvrstitev dejavnikov tveganja v kategorije.</w:t>
      </w:r>
    </w:p>
    <w:p>
      <w:pPr>
        <w:pStyle w:val="Titrearticle"/>
        <w:rPr>
          <w:b/>
          <w:noProof/>
          <w:szCs w:val="24"/>
        </w:rPr>
      </w:pPr>
      <w:r>
        <w:rPr>
          <w:b/>
          <w:i w:val="0"/>
          <w:noProof/>
        </w:rPr>
        <w:t>Člen 17</w:t>
      </w:r>
      <w:r>
        <w:rPr>
          <w:b/>
          <w:i w:val="0"/>
          <w:noProof/>
          <w:szCs w:val="24"/>
        </w:rPr>
        <w:br/>
      </w:r>
      <w:r>
        <w:rPr>
          <w:b/>
          <w:noProof/>
        </w:rPr>
        <w:t>Opustitev navedbe informacij</w:t>
      </w:r>
    </w:p>
    <w:p>
      <w:pPr>
        <w:pStyle w:val="ManualNumPar1"/>
        <w:rPr>
          <w:noProof/>
        </w:rPr>
      </w:pPr>
      <w:r>
        <w:t>1.</w:t>
      </w:r>
      <w:r>
        <w:tab/>
      </w:r>
      <w:r>
        <w:rPr>
          <w:noProof/>
        </w:rPr>
        <w:t>Če se končna cena ponudbe in/ali količina javno ponujenih vrednostnih papirjev ne moreta vključiti v prospekt:</w:t>
      </w:r>
    </w:p>
    <w:p>
      <w:pPr>
        <w:pStyle w:val="Point1letter"/>
        <w:numPr>
          <w:ilvl w:val="3"/>
          <w:numId w:val="28"/>
        </w:numPr>
        <w:rPr>
          <w:noProof/>
          <w:szCs w:val="24"/>
        </w:rPr>
      </w:pPr>
      <w:r>
        <w:rPr>
          <w:noProof/>
        </w:rPr>
        <w:t>se v prospektu navedejo merila in/ali pogoji, v skladu s katerimi se določita zgoraj navedena elementa, ali v primeru cene najvišja cena;</w:t>
      </w:r>
    </w:p>
    <w:p>
      <w:pPr>
        <w:pStyle w:val="Point1letter"/>
        <w:numPr>
          <w:ilvl w:val="3"/>
          <w:numId w:val="28"/>
        </w:numPr>
        <w:rPr>
          <w:noProof/>
          <w:szCs w:val="24"/>
        </w:rPr>
      </w:pPr>
      <w:r>
        <w:rPr>
          <w:noProof/>
        </w:rPr>
        <w:t>ali pa se lahko sprejetje nakupa ali vpisa vrednostnih papirjev najmanj dva delovna dni po vložitvi končne cene ponudbe in/ali količine javno ponujenih vrednostnih papirjev umakne.</w:t>
      </w:r>
    </w:p>
    <w:p>
      <w:pPr>
        <w:pStyle w:val="Text1"/>
        <w:rPr>
          <w:noProof/>
          <w:szCs w:val="24"/>
        </w:rPr>
      </w:pPr>
      <w:r>
        <w:rPr>
          <w:noProof/>
        </w:rPr>
        <w:t>Končna cena ponudbe in količina vrednostnih papirjev se vložita pri pristojnem organu matične države članice in objavita v skladu s členom 20(2).</w:t>
      </w:r>
    </w:p>
    <w:p>
      <w:pPr>
        <w:pStyle w:val="ManualNumPar1"/>
        <w:rPr>
          <w:noProof/>
        </w:rPr>
      </w:pPr>
      <w:r>
        <w:t>2.</w:t>
      </w:r>
      <w:r>
        <w:tab/>
      </w:r>
      <w:r>
        <w:rPr>
          <w:noProof/>
        </w:rPr>
        <w:t>Pristojni organ matične države članice lahko odobri opustitev navedbe določenih informacij, ki se morajo vključiti v prospekt, iz prospekta, če meni, da je izpolnjen kateri koli od naslednjih pogojev:</w:t>
      </w:r>
    </w:p>
    <w:p>
      <w:pPr>
        <w:pStyle w:val="Point1letter"/>
        <w:numPr>
          <w:ilvl w:val="3"/>
          <w:numId w:val="29"/>
        </w:numPr>
        <w:rPr>
          <w:noProof/>
          <w:szCs w:val="24"/>
        </w:rPr>
      </w:pPr>
      <w:r>
        <w:rPr>
          <w:noProof/>
        </w:rPr>
        <w:t>razkritje takih informacij bi bilo v nasprotju z javnim interesom;</w:t>
      </w:r>
    </w:p>
    <w:p>
      <w:pPr>
        <w:pStyle w:val="Point1letter"/>
        <w:numPr>
          <w:ilvl w:val="3"/>
          <w:numId w:val="29"/>
        </w:numPr>
        <w:rPr>
          <w:noProof/>
          <w:szCs w:val="24"/>
        </w:rPr>
      </w:pPr>
      <w:r>
        <w:rPr>
          <w:noProof/>
        </w:rPr>
        <w:t>razkritje takih informacij bi resno škodovalo izdajatelju, če z opustitvijo navedbe takih informacij javnost najverjetneje ne bo zavedena glede dejstev in okoliščin, ki so bistvene za informirano oceno izdajatelja, ponudnika ali garanta, če obstajajo, in pravic, ki izhajajo iz vrednostnih papirjev, na katere se nanaša prospekt;</w:t>
      </w:r>
    </w:p>
    <w:p>
      <w:pPr>
        <w:pStyle w:val="Point1letter"/>
        <w:numPr>
          <w:ilvl w:val="3"/>
          <w:numId w:val="29"/>
        </w:numPr>
        <w:rPr>
          <w:noProof/>
          <w:szCs w:val="24"/>
        </w:rPr>
      </w:pPr>
      <w:r>
        <w:rPr>
          <w:noProof/>
        </w:rPr>
        <w:t>take informacije niso zelo pomembne za določeno ponudbo ali sprejem v trgovanje na reguliranem trgu in ne bi vplivale na oceno finančnega položaja in pričakovanja izdajatelja, ponudnika ali garanta.</w:t>
      </w:r>
    </w:p>
    <w:p>
      <w:pPr>
        <w:pStyle w:val="Text1"/>
        <w:rPr>
          <w:noProof/>
          <w:szCs w:val="24"/>
        </w:rPr>
      </w:pPr>
      <w:r>
        <w:rPr>
          <w:noProof/>
        </w:rPr>
        <w:t>Pristojni organ organu ESMA vsako leto predloži poročilo o informacijah, za katere je odobril opustitev navedbe.</w:t>
      </w:r>
    </w:p>
    <w:p>
      <w:pPr>
        <w:pStyle w:val="ManualNumPar1"/>
        <w:rPr>
          <w:noProof/>
        </w:rPr>
      </w:pPr>
      <w:r>
        <w:t>3.</w:t>
      </w:r>
      <w:r>
        <w:tab/>
      </w:r>
      <w:r>
        <w:rPr>
          <w:noProof/>
        </w:rPr>
        <w:t>Če določene informacije, ki jih je treba vključiti v prospekt, izjemoma niso ustrezne za področje poslovanja ali pravno obliko izdajatelja ali vrednostne papirje, na katere se nanaša prospekt, prospekt brez poseganja v zahteve glede zadostnih informacij, ki se morajo zagotoviti vlagateljem, vsebuje informacije, ki so enakovredne zahtevanim informacijam, razen če take informacije ne obstajajo.</w:t>
      </w:r>
    </w:p>
    <w:p>
      <w:pPr>
        <w:pStyle w:val="ManualNumPar1"/>
        <w:rPr>
          <w:noProof/>
        </w:rPr>
      </w:pPr>
      <w:r>
        <w:t>4.</w:t>
      </w:r>
      <w:r>
        <w:tab/>
      </w:r>
      <w:r>
        <w:rPr>
          <w:noProof/>
        </w:rPr>
        <w:t>Če za vrednostne papirje jamči država članica, ima izdajatelj, ponudnik ali oseba, ki prosi za sprejem v trgovanje na reguliranem trgu, pravico, da pri pripravi prospekta v skladu s členom 4 opusti informacije, ki se nanašajo na navedeno državo članico.</w:t>
      </w:r>
    </w:p>
    <w:p>
      <w:pPr>
        <w:pStyle w:val="ManualNumPar1"/>
        <w:rPr>
          <w:noProof/>
        </w:rPr>
      </w:pPr>
      <w:r>
        <w:t>5.</w:t>
      </w:r>
      <w:r>
        <w:tab/>
      </w:r>
      <w:r>
        <w:rPr>
          <w:noProof/>
        </w:rPr>
        <w:t>Na Komisijo se v skladu s členom 42 prenese pooblastilo za sprejetje delegiranih aktov, da se opredelijo primeri, v katerih se lahko informacije opustijo v skladu z odstavkom 2, pri čemer se upoštevajo poročila pristojnih organov organu ESMA iz odstavka 2.</w:t>
      </w:r>
    </w:p>
    <w:p>
      <w:pPr>
        <w:pStyle w:val="Titrearticle"/>
        <w:rPr>
          <w:b/>
          <w:noProof/>
          <w:szCs w:val="24"/>
        </w:rPr>
      </w:pPr>
      <w:r>
        <w:rPr>
          <w:b/>
          <w:i w:val="0"/>
          <w:noProof/>
        </w:rPr>
        <w:t>Člen 18</w:t>
      </w:r>
      <w:r>
        <w:rPr>
          <w:b/>
          <w:i w:val="0"/>
          <w:noProof/>
          <w:szCs w:val="24"/>
        </w:rPr>
        <w:br/>
      </w:r>
      <w:r>
        <w:rPr>
          <w:b/>
          <w:noProof/>
        </w:rPr>
        <w:t>Vključitev s sklicevanjem</w:t>
      </w:r>
    </w:p>
    <w:p>
      <w:pPr>
        <w:pStyle w:val="ManualNumPar1"/>
        <w:rPr>
          <w:noProof/>
        </w:rPr>
      </w:pPr>
      <w:r>
        <w:t>1.</w:t>
      </w:r>
      <w:r>
        <w:tab/>
      </w:r>
      <w:r>
        <w:rPr>
          <w:noProof/>
        </w:rPr>
        <w:t>Informacije se lahko v prospekt vključijo s sklicevanjem, če so bile predhodno ali istočasno elektronsko objavljene, če se navedejo v jeziku, ki izpolnjuje zahteve iz člena 25, in če jih vsebuje eden od naslednjih dokumentov:</w:t>
      </w:r>
    </w:p>
    <w:p>
      <w:pPr>
        <w:pStyle w:val="Point1letter"/>
        <w:numPr>
          <w:ilvl w:val="3"/>
          <w:numId w:val="81"/>
        </w:numPr>
        <w:rPr>
          <w:noProof/>
        </w:rPr>
      </w:pPr>
      <w:r>
        <w:rPr>
          <w:noProof/>
        </w:rPr>
        <w:t xml:space="preserve">dokumenti, ki jih je odobril pristojni organ matične države članice ali pa so bili pri njem vloženi v skladu s to uredbo; </w:t>
      </w:r>
    </w:p>
    <w:p>
      <w:pPr>
        <w:pStyle w:val="Point1letter"/>
        <w:rPr>
          <w:noProof/>
        </w:rPr>
      </w:pPr>
      <w:r>
        <w:rPr>
          <w:noProof/>
        </w:rPr>
        <w:t>dokumenti iz točk (f) in (g) člena 1(3) in točk (d) in (e) člena 1(4);</w:t>
      </w:r>
    </w:p>
    <w:p>
      <w:pPr>
        <w:pStyle w:val="Point1letter"/>
        <w:rPr>
          <w:noProof/>
        </w:rPr>
      </w:pPr>
      <w:r>
        <w:rPr>
          <w:noProof/>
        </w:rPr>
        <w:t>predpisane informacije, kot so opredeljene v točki (l) člena 2(1);</w:t>
      </w:r>
    </w:p>
    <w:p>
      <w:pPr>
        <w:pStyle w:val="Point1letter"/>
        <w:rPr>
          <w:noProof/>
        </w:rPr>
      </w:pPr>
      <w:r>
        <w:rPr>
          <w:noProof/>
        </w:rPr>
        <w:t>letni in vmesni finančni podatki;</w:t>
      </w:r>
    </w:p>
    <w:p>
      <w:pPr>
        <w:pStyle w:val="Point1letter"/>
        <w:rPr>
          <w:noProof/>
        </w:rPr>
      </w:pPr>
      <w:r>
        <w:rPr>
          <w:noProof/>
        </w:rPr>
        <w:t>revizijska poročila in računovodski izkazi;</w:t>
      </w:r>
    </w:p>
    <w:p>
      <w:pPr>
        <w:pStyle w:val="Point1letter"/>
        <w:rPr>
          <w:noProof/>
        </w:rPr>
      </w:pPr>
      <w:r>
        <w:rPr>
          <w:noProof/>
        </w:rPr>
        <w:t>poslovna poročila, kot so opredeljena v členu 19 Direktive 2013/34/EU Evropskega parlamenta in Sveta</w:t>
      </w:r>
      <w:r>
        <w:rPr>
          <w:rStyle w:val="FootnoteReference"/>
          <w:noProof/>
        </w:rPr>
        <w:footnoteReference w:id="24"/>
      </w:r>
      <w:r>
        <w:rPr>
          <w:noProof/>
        </w:rPr>
        <w:t>;</w:t>
      </w:r>
    </w:p>
    <w:p>
      <w:pPr>
        <w:pStyle w:val="Point1letter"/>
        <w:rPr>
          <w:noProof/>
        </w:rPr>
      </w:pPr>
      <w:r>
        <w:rPr>
          <w:noProof/>
        </w:rPr>
        <w:t>izjava o upravljanju podjetja, kot je opredeljena v členu 20 Direktive 2013/34/EU;</w:t>
      </w:r>
    </w:p>
    <w:p>
      <w:pPr>
        <w:pStyle w:val="Point1letter"/>
        <w:rPr>
          <w:noProof/>
        </w:rPr>
      </w:pPr>
      <w:r>
        <w:rPr>
          <w:noProof/>
        </w:rPr>
        <w:t>[poročila o prejemkih, kot so opredeljena v členu [X] [</w:t>
      </w:r>
      <w:r>
        <w:rPr>
          <w:i/>
          <w:noProof/>
        </w:rPr>
        <w:t>revidirane direktive o pravicah delničarjev</w:t>
      </w:r>
      <w:r>
        <w:rPr>
          <w:rStyle w:val="FootnoteReference"/>
          <w:i/>
          <w:noProof/>
        </w:rPr>
        <w:footnoteReference w:id="25"/>
      </w:r>
      <w:r>
        <w:rPr>
          <w:noProof/>
        </w:rPr>
        <w:t>];</w:t>
      </w:r>
    </w:p>
    <w:p>
      <w:pPr>
        <w:pStyle w:val="Point1letter"/>
        <w:rPr>
          <w:noProof/>
        </w:rPr>
      </w:pPr>
      <w:r>
        <w:rPr>
          <w:noProof/>
        </w:rPr>
        <w:t>akt o ustanovitvi in statut.</w:t>
      </w:r>
    </w:p>
    <w:p>
      <w:pPr>
        <w:pStyle w:val="Text1"/>
        <w:rPr>
          <w:noProof/>
          <w:szCs w:val="24"/>
        </w:rPr>
      </w:pPr>
      <w:r>
        <w:rPr>
          <w:noProof/>
        </w:rPr>
        <w:t xml:space="preserve">Te informacije so najnovejše informacije, ki so na voljo izdajatelju. </w:t>
      </w:r>
    </w:p>
    <w:p>
      <w:pPr>
        <w:pStyle w:val="Text1"/>
        <w:rPr>
          <w:noProof/>
          <w:szCs w:val="24"/>
        </w:rPr>
      </w:pPr>
      <w:r>
        <w:rPr>
          <w:noProof/>
        </w:rPr>
        <w:t>Če se s sklicevanjem vključijo le določeni deli dokumenta, se v prospekt vključi izjava, da deli, ki niso vključeni, niso pomembni za vlagatelja ali pa so zajeti v drugih delih prospekta.</w:t>
      </w:r>
    </w:p>
    <w:p>
      <w:pPr>
        <w:pStyle w:val="ManualNumPar1"/>
        <w:rPr>
          <w:noProof/>
        </w:rPr>
      </w:pPr>
      <w:r>
        <w:t>2.</w:t>
      </w:r>
      <w:r>
        <w:tab/>
      </w:r>
      <w:r>
        <w:rPr>
          <w:noProof/>
        </w:rPr>
        <w:t>Pri vključitvi informacij s sklicevanjem izdajatelji, ponudniki ali osebe, ki prosijo za sprejem v trgovanje na reguliranem trgu, zagotovijo dostop do informacij. Prospekt vključuje zlasti seznam sklicev, da se vlagateljem omogoči, da zlahka prepoznajo določene informacije, in hiperpovezave na vse dokumente, ki vsebujejo informacije, vključene s sklicevanjem.</w:t>
      </w:r>
    </w:p>
    <w:p>
      <w:pPr>
        <w:pStyle w:val="ManualNumPar1"/>
        <w:rPr>
          <w:noProof/>
        </w:rPr>
      </w:pPr>
      <w:r>
        <w:t>3.</w:t>
      </w:r>
      <w:r>
        <w:tab/>
      </w:r>
      <w:r>
        <w:rPr>
          <w:noProof/>
        </w:rPr>
        <w:t>Izdajatelj, ponudnik ali oseba, ki prosi za sprejem v trgovanje na reguliranem trgu, kjer je to mogoče, skupaj s prvim osnutkom prospekta, ki se predloži pristojnemu organu, in v vsakem primeru v postopku pregleda prospekta predloži vse informacije, ki so s sklicevanjem vključene v prospekt, v elektronski obliki, ki omogoča iskanje, razen če je pristojni organ, ki odobri prospekt, že odobril take informacije ali če so mu bile take informacije že vložene.</w:t>
      </w:r>
    </w:p>
    <w:p>
      <w:pPr>
        <w:pStyle w:val="ManualNumPar1"/>
        <w:rPr>
          <w:noProof/>
        </w:rPr>
      </w:pPr>
      <w:r>
        <w:t>4.</w:t>
      </w:r>
      <w:r>
        <w:tab/>
      </w:r>
      <w:r>
        <w:rPr>
          <w:noProof/>
        </w:rPr>
        <w:t>Za zagotovitev dosledne usklajenosti tega člena lahko ESMA pripravi osnutke regulativnih tehničnih standardov za posodobitev seznama iz odstavka 1, tako da se vključijo dodatne vrste dokumentov, ki jih je treba v skladu s pravom Unije vložiti pri javnemu organu ali jih mora javni organ odobriti.</w:t>
      </w:r>
    </w:p>
    <w:p>
      <w:pPr>
        <w:pStyle w:val="Text1"/>
        <w:rPr>
          <w:noProof/>
          <w:szCs w:val="24"/>
        </w:rPr>
      </w:pPr>
      <w:r>
        <w:rPr>
          <w:noProof/>
        </w:rPr>
        <w:t>Na Komisijo se prenese pooblastilo za sprejetje regulativnih tehničnih standardov iz prvega pododstavka v skladu s členi od 10 do 14 Uredbe (EU) št. 1095/2010.</w:t>
      </w:r>
    </w:p>
    <w:p>
      <w:pPr>
        <w:pStyle w:val="SectionTitle"/>
        <w:rPr>
          <w:noProof/>
          <w:sz w:val="24"/>
          <w:szCs w:val="24"/>
        </w:rPr>
      </w:pPr>
      <w:r>
        <w:rPr>
          <w:noProof/>
          <w:sz w:val="24"/>
        </w:rPr>
        <w:t>POGLAVJE IV</w:t>
      </w:r>
      <w:r>
        <w:rPr>
          <w:noProof/>
          <w:sz w:val="24"/>
          <w:szCs w:val="24"/>
        </w:rPr>
        <w:br/>
      </w:r>
      <w:r>
        <w:rPr>
          <w:noProof/>
          <w:sz w:val="24"/>
        </w:rPr>
        <w:t>UREDITVE ZA ODOBRITEV IN OBJAVO PROSPEKTA</w:t>
      </w:r>
    </w:p>
    <w:p>
      <w:pPr>
        <w:pStyle w:val="Titrearticle"/>
        <w:rPr>
          <w:b/>
          <w:noProof/>
          <w:szCs w:val="24"/>
        </w:rPr>
      </w:pPr>
      <w:r>
        <w:rPr>
          <w:b/>
          <w:i w:val="0"/>
          <w:noProof/>
        </w:rPr>
        <w:t>Člen 19</w:t>
      </w:r>
      <w:r>
        <w:rPr>
          <w:b/>
          <w:i w:val="0"/>
          <w:noProof/>
          <w:szCs w:val="24"/>
        </w:rPr>
        <w:br/>
      </w:r>
      <w:r>
        <w:rPr>
          <w:b/>
          <w:noProof/>
        </w:rPr>
        <w:t>Pregled in odobritev prospekta</w:t>
      </w:r>
    </w:p>
    <w:p>
      <w:pPr>
        <w:pStyle w:val="ManualNumPar1"/>
        <w:rPr>
          <w:noProof/>
        </w:rPr>
      </w:pPr>
      <w:r>
        <w:t>1.</w:t>
      </w:r>
      <w:r>
        <w:tab/>
      </w:r>
      <w:r>
        <w:rPr>
          <w:noProof/>
        </w:rPr>
        <w:t>Prospekt se objavi šele, ko ga odobri pristojni organ matične države članice.</w:t>
      </w:r>
    </w:p>
    <w:p>
      <w:pPr>
        <w:pStyle w:val="ManualNumPar1"/>
        <w:rPr>
          <w:noProof/>
        </w:rPr>
      </w:pPr>
      <w:r>
        <w:t>2.</w:t>
      </w:r>
      <w:r>
        <w:tab/>
      </w:r>
      <w:r>
        <w:rPr>
          <w:noProof/>
        </w:rPr>
        <w:t>Pristojni organ izdajatelja, ponudnika ali osebo, ki prosi za sprejem v trgovanje na reguliranem trgu, obvesti o svoji odločitvi glede odobritve prospekta v 10 delovnih dneh od predložitve osnutka prospekta.</w:t>
      </w:r>
    </w:p>
    <w:p>
      <w:pPr>
        <w:pStyle w:val="Text1"/>
        <w:rPr>
          <w:noProof/>
          <w:szCs w:val="24"/>
        </w:rPr>
      </w:pPr>
      <w:r>
        <w:rPr>
          <w:noProof/>
        </w:rPr>
        <w:t>Če pristojni organ odločitve o prospektu ne sprejme v rokih, določenih v tem odstavku in odstavkih 3 in 5, to ne pomeni, da je bila vloga odobrena.</w:t>
      </w:r>
    </w:p>
    <w:p>
      <w:pPr>
        <w:pStyle w:val="Text1"/>
        <w:rPr>
          <w:noProof/>
          <w:szCs w:val="24"/>
        </w:rPr>
      </w:pPr>
      <w:r>
        <w:rPr>
          <w:noProof/>
        </w:rPr>
        <w:t>Pristojni organ o odobritvi prospekta in vseh njegovih morebitnih sprememb istočasno obvesti ESMA in izdajatelja, ponudnika ali osebo, ki prosi za sprejem v trgovanje na reguliranem trgu.</w:t>
      </w:r>
    </w:p>
    <w:p>
      <w:pPr>
        <w:pStyle w:val="ManualNumPar1"/>
        <w:rPr>
          <w:noProof/>
        </w:rPr>
      </w:pPr>
      <w:r>
        <w:t>3.</w:t>
      </w:r>
      <w:r>
        <w:tab/>
      </w:r>
      <w:r>
        <w:rPr>
          <w:noProof/>
        </w:rPr>
        <w:t xml:space="preserve">Rok iz odstavka 2 se podaljša na 20 delovnih dni, če </w:t>
      </w:r>
      <w:r>
        <w:rPr>
          <w:noProof/>
          <w:color w:val="000000"/>
        </w:rPr>
        <w:t>javna ponudba</w:t>
      </w:r>
      <w:r>
        <w:rPr>
          <w:noProof/>
        </w:rPr>
        <w:t xml:space="preserve"> vključuje vrednostne papirje, ki jih je izdal izdajatelj, ki nima vrednostnih papirjev, sprejetih v trgovanje na reguliranem trgu, in ki v preteklosti še ni javno ponudil vrednostnih papirjev. </w:t>
      </w:r>
    </w:p>
    <w:p>
      <w:pPr>
        <w:pStyle w:val="Text1"/>
        <w:rPr>
          <w:noProof/>
        </w:rPr>
      </w:pPr>
      <w:r>
        <w:rPr>
          <w:noProof/>
        </w:rPr>
        <w:t>Rok 20 delovnih dni se uporablja le za prvo predložitev osnutka prospekta. Če so v skladu z odstavkom 4 potrebne nadaljnje predložitve, se uporablja rok iz odstavka 2.</w:t>
      </w:r>
    </w:p>
    <w:p>
      <w:pPr>
        <w:pStyle w:val="ManualNumPar1"/>
        <w:rPr>
          <w:noProof/>
        </w:rPr>
      </w:pPr>
      <w:r>
        <w:t>4.</w:t>
      </w:r>
      <w:r>
        <w:tab/>
      </w:r>
      <w:r>
        <w:rPr>
          <w:noProof/>
        </w:rPr>
        <w:t>Če pristojni organ ugotovi, da osnutek prospekta ne izpolnjuje standardov glede popolnosti, razumljivosti in doslednosti, ki jih mora izpolnjevati za odobritev, in/ali da so potrebne spremembe ali dodatne informacije:</w:t>
      </w:r>
    </w:p>
    <w:p>
      <w:pPr>
        <w:pStyle w:val="Point1letter"/>
        <w:numPr>
          <w:ilvl w:val="3"/>
          <w:numId w:val="72"/>
        </w:numPr>
        <w:rPr>
          <w:noProof/>
        </w:rPr>
      </w:pPr>
      <w:r>
        <w:rPr>
          <w:noProof/>
        </w:rPr>
        <w:t xml:space="preserve">v 10 delovnih dneh od predložitve osnutka prospekta in/ali dodatnih informacij o tem obvesti izdajatelja, ponudnika ali osebo, ki prosi za sprejem v trgovanje na reguliranem trgu, in navede razloge za svojo odločitev ter </w:t>
      </w:r>
    </w:p>
    <w:p>
      <w:pPr>
        <w:pStyle w:val="Point1letter"/>
        <w:rPr>
          <w:noProof/>
        </w:rPr>
      </w:pPr>
      <w:r>
        <w:rPr>
          <w:noProof/>
        </w:rPr>
        <w:t>roki iz odstavka 2 se uporabljajo samo od datuma, na katerega se zahtevani spremenjeni osnutek prospekta in/ali dodatne informacije predložijo pristojnemu organu.</w:t>
      </w:r>
    </w:p>
    <w:p>
      <w:pPr>
        <w:pStyle w:val="ManualNumPar1"/>
        <w:rPr>
          <w:noProof/>
        </w:rPr>
      </w:pPr>
      <w:r>
        <w:t>5.</w:t>
      </w:r>
      <w:r>
        <w:tab/>
      </w:r>
      <w:r>
        <w:rPr>
          <w:noProof/>
        </w:rPr>
        <w:t xml:space="preserve">Z odstopanjem od odstavkov 2 in 4 se rok iz navedenih odstavkov za pogoste izdajatelje, navedene v členu 9(11), skrajša na 5 delovnih dni. Pogosti izdajatelj pristojni organ vsaj 5 delovnih dni pred predvidenim datumom predložitve vloge v odobritev obvesti o predložitvi. </w:t>
      </w:r>
    </w:p>
    <w:p>
      <w:pPr>
        <w:pStyle w:val="Text1"/>
        <w:rPr>
          <w:noProof/>
        </w:rPr>
      </w:pPr>
      <w:r>
        <w:rPr>
          <w:noProof/>
        </w:rPr>
        <w:t>Pogosti izdajatelj pristojnemu organu predloži vlogo, ki vsebuje vse potrebne spremembe univerzalnega registracijskega dokumenta, kjer je primerno, opis vrednostnih papirjev in izvleček, ki se predložijo v odobritev.</w:t>
      </w:r>
    </w:p>
    <w:p>
      <w:pPr>
        <w:pStyle w:val="ManualNumPar1"/>
        <w:rPr>
          <w:noProof/>
        </w:rPr>
      </w:pPr>
      <w:r>
        <w:t>6.</w:t>
      </w:r>
      <w:r>
        <w:tab/>
      </w:r>
      <w:r>
        <w:rPr>
          <w:noProof/>
        </w:rPr>
        <w:t>Pristojni organi na svojih spletnih mestih zagotovijo smernice o postopku pregleda in odobritve, da se zagotovi pravočasna odobritev prospektov. Te smernice vključujejo kontaktne točke za odobritve. Izdajatelj ali oseba, odgovorna za pripravo prospekta, lahko med postopkom odobritve prospekta neposredno komunicira ali je v stiku z osebjem pristojnega organa.</w:t>
      </w:r>
    </w:p>
    <w:p>
      <w:pPr>
        <w:pStyle w:val="ManualNumPar1"/>
        <w:rPr>
          <w:noProof/>
        </w:rPr>
      </w:pPr>
      <w:r>
        <w:t>7.</w:t>
      </w:r>
      <w:r>
        <w:tab/>
      </w:r>
      <w:r>
        <w:rPr>
          <w:noProof/>
        </w:rPr>
        <w:t>Pristojni organ matične države članice lahko prenese odobritev prospekta na pristojni organ druge države članice, če o tem predhodno obvesti ESMA in če se navedeni pristojni organ s tem strinja. O takem prenosu se v treh delovnih dneh od datuma, ko pristojni organ matične države članice sprejme odločitev, obvesti izdajatelja, ponudnika ali osebo, ki prosi za sprejem v trgovanje na reguliranem trgu. Rok iz odstavka 2 velja od navedenega datuma. Člen 28(4) Uredbe (EU) št. 1095/2010 se ne uporablja za prenos odobritve prospekta v skladu s tem odstavkom.</w:t>
      </w:r>
    </w:p>
    <w:p>
      <w:pPr>
        <w:pStyle w:val="ManualNumPar1"/>
        <w:rPr>
          <w:noProof/>
        </w:rPr>
      </w:pPr>
      <w:r>
        <w:t>8.</w:t>
      </w:r>
      <w:r>
        <w:tab/>
      </w:r>
      <w:r>
        <w:rPr>
          <w:noProof/>
        </w:rPr>
        <w:t>Ta uredba ne vpliva na odgovornost pristojnega organa, ki jo še naprej ureja izključno nacionalno pravo.</w:t>
      </w:r>
    </w:p>
    <w:p>
      <w:pPr>
        <w:pStyle w:val="Text1"/>
        <w:rPr>
          <w:noProof/>
          <w:szCs w:val="24"/>
        </w:rPr>
      </w:pPr>
      <w:r>
        <w:rPr>
          <w:noProof/>
        </w:rPr>
        <w:t>Države članice zagotovijo, da se nacionalne določbe o odgovornosti pristojnih organov uporabljajo samo za odobritve prospektov s strani njihovega pristojnega organa.</w:t>
      </w:r>
    </w:p>
    <w:p>
      <w:pPr>
        <w:pStyle w:val="ManualNumPar1"/>
        <w:rPr>
          <w:noProof/>
        </w:rPr>
      </w:pPr>
      <w:r>
        <w:t>9.</w:t>
      </w:r>
      <w:r>
        <w:tab/>
      </w:r>
      <w:r>
        <w:rPr>
          <w:noProof/>
        </w:rPr>
        <w:t>Pristojbina, ki jo pristojni organ matične države članice zaračuna za odobritev prospektov, registracijskih dokumentov, vključno z univerzalnimi registracijskimi dokumenti, dodatkov in sprememb ter za vložitev univerzalnih registracijskih dokumentov, njihovih sprememb in končnih pogojev, se javnosti razkrije vsaj na spletnem mestu pristojnega organa.</w:t>
      </w:r>
    </w:p>
    <w:p>
      <w:pPr>
        <w:pStyle w:val="ManualNumPar1"/>
        <w:rPr>
          <w:noProof/>
        </w:rPr>
      </w:pPr>
      <w:r>
        <w:t>10.</w:t>
      </w:r>
      <w:r>
        <w:tab/>
      </w:r>
      <w:r>
        <w:rPr>
          <w:noProof/>
        </w:rPr>
        <w:t>Na Komisijo se v skladu s členom 42 prenese pooblastilo za sprejetje delegiranih aktov, ki opredeljujejo postopke za pregled popolnosti, razumljivosti in doslednosti ter odobritev prospekta.</w:t>
      </w:r>
    </w:p>
    <w:p>
      <w:pPr>
        <w:pStyle w:val="ManualNumPar1"/>
        <w:rPr>
          <w:noProof/>
          <w:szCs w:val="24"/>
        </w:rPr>
      </w:pPr>
      <w:r>
        <w:t>11.</w:t>
      </w:r>
      <w:r>
        <w:tab/>
      </w:r>
      <w:r>
        <w:rPr>
          <w:noProof/>
        </w:rPr>
        <w:t>ESMA uporabi svoja pooblastila iz Uredbe (EU) št. 1095/2010 za spodbujanje konvergence nadzora v zvezi s postopkoma pregleda in odobritve pristojnih organov pri ocenjevanju popolnosti, doslednosti in razumljivosti informacij, ki jih vsebuje prospekt. ESMA zlasti spodbuja konvergenco v zvezi z učinkovitostjo, metodami in časovnim načrtovanjem pregleda informacij iz prospekta, ki ga opravijo pristojni organi.</w:t>
      </w:r>
    </w:p>
    <w:p>
      <w:pPr>
        <w:pStyle w:val="ManualNumPar1"/>
        <w:rPr>
          <w:noProof/>
        </w:rPr>
      </w:pPr>
      <w:r>
        <w:t>12.</w:t>
      </w:r>
      <w:r>
        <w:tab/>
      </w:r>
      <w:r>
        <w:rPr>
          <w:noProof/>
        </w:rPr>
        <w:t>Brez poseganja v člen 30 Uredbe (EU) št. 1095/2010 ESMA organizira in izvede vsaj en strokovni pregled postopkov pregleda in odobritve pristojnih organov, vključno z medsebojnim obveščanjem pristojnih organov o odobritvi. S strokovnim pregledom se oceni tudi učinek različnih pristopov pristojnih organov k pregledu in odobritvi na zmožnost izdajateljev, da zberejo kapital v Evropski uniji. Poročilo o tem strokovnem pregledu se objavi najpozneje tri leta po datumu začetka uporabe te uredbe. ESMA v okviru tega strokovnega pregleda po potrebi zaprosi interesno skupino za vrednostne papirje in trg iz člena 37 Uredbe (EU) št. 1095/2010 za mnenje ali nasvet.</w:t>
      </w:r>
    </w:p>
    <w:p>
      <w:pPr>
        <w:pStyle w:val="Titrearticle"/>
        <w:rPr>
          <w:b/>
          <w:noProof/>
          <w:szCs w:val="24"/>
        </w:rPr>
      </w:pPr>
      <w:r>
        <w:rPr>
          <w:b/>
          <w:i w:val="0"/>
          <w:noProof/>
        </w:rPr>
        <w:t>Člen 20</w:t>
      </w:r>
      <w:r>
        <w:rPr>
          <w:b/>
          <w:i w:val="0"/>
          <w:noProof/>
          <w:szCs w:val="24"/>
        </w:rPr>
        <w:br/>
      </w:r>
      <w:r>
        <w:rPr>
          <w:b/>
          <w:noProof/>
        </w:rPr>
        <w:t>Objava prospekta</w:t>
      </w:r>
    </w:p>
    <w:p>
      <w:pPr>
        <w:pStyle w:val="ManualNumPar1"/>
        <w:rPr>
          <w:noProof/>
        </w:rPr>
      </w:pPr>
      <w:r>
        <w:t>1.</w:t>
      </w:r>
      <w:r>
        <w:tab/>
      </w:r>
      <w:r>
        <w:rPr>
          <w:noProof/>
        </w:rPr>
        <w:t xml:space="preserve">Izdajatelj, ponudnik ali oseba, ki prosi za sprejem v trgovanje na reguliranem trgu, prospekt po odobritvi javno objavi v razumnem času pred začetkom ali najpozneje ob začetku javne ponudbe ali sprejema zadevnih vrednostnih papirjev v trgovanje. </w:t>
      </w:r>
    </w:p>
    <w:p>
      <w:pPr>
        <w:pStyle w:val="Text1"/>
        <w:rPr>
          <w:noProof/>
        </w:rPr>
      </w:pPr>
      <w:r>
        <w:rPr>
          <w:noProof/>
        </w:rPr>
        <w:t>Če prva javna ponudba vključuje razred delnic, ki je prvič sprejet v trgovanje na reguliranem trgu, je prospekt na voljo vsaj šest delovnih dni pred zaključkom ponudbe.</w:t>
      </w:r>
    </w:p>
    <w:p>
      <w:pPr>
        <w:pStyle w:val="ManualNumPar1"/>
        <w:rPr>
          <w:noProof/>
        </w:rPr>
      </w:pPr>
      <w:r>
        <w:t>2.</w:t>
      </w:r>
      <w:r>
        <w:tab/>
      </w:r>
      <w:r>
        <w:rPr>
          <w:noProof/>
        </w:rPr>
        <w:t xml:space="preserve">Za prospekt se ne glede na to, ali ga sestavlja en dokument ali več ločenih dokumentov, šteje, da je bil javno objavljen, ko je v elektronski obliki objavljen na enem od naslednjih spletnih mest: </w:t>
      </w:r>
    </w:p>
    <w:p>
      <w:pPr>
        <w:pStyle w:val="Point1letter"/>
        <w:numPr>
          <w:ilvl w:val="3"/>
          <w:numId w:val="77"/>
        </w:numPr>
        <w:rPr>
          <w:noProof/>
        </w:rPr>
      </w:pPr>
      <w:r>
        <w:rPr>
          <w:noProof/>
        </w:rPr>
        <w:t xml:space="preserve">spletnem mestu izdajatelja, ponudnika ali osebe, ki prosi za sprejem v trgovanje; </w:t>
      </w:r>
    </w:p>
    <w:p>
      <w:pPr>
        <w:pStyle w:val="Point1letter"/>
        <w:rPr>
          <w:noProof/>
        </w:rPr>
      </w:pPr>
      <w:r>
        <w:rPr>
          <w:noProof/>
        </w:rPr>
        <w:t>spletnem mestu finančnih posrednikov, ki plasirajo ali prodajajo vrednostne papirje, vključno s spletnimi mesti plačilnih zastopnikov;</w:t>
      </w:r>
    </w:p>
    <w:p>
      <w:pPr>
        <w:pStyle w:val="Point1letter"/>
        <w:rPr>
          <w:noProof/>
        </w:rPr>
      </w:pPr>
      <w:r>
        <w:rPr>
          <w:noProof/>
        </w:rPr>
        <w:t>spletnem mestu reguliranega trga, za katerega se vloži vloga za sprejem v trgovanje, ali upravljavca večstranskega sistema trgovanja, kjer je to ustrezno.</w:t>
      </w:r>
    </w:p>
    <w:p>
      <w:pPr>
        <w:pStyle w:val="ManualNumPar1"/>
        <w:rPr>
          <w:noProof/>
        </w:rPr>
      </w:pPr>
      <w:r>
        <w:t>3.</w:t>
      </w:r>
      <w:r>
        <w:tab/>
      </w:r>
      <w:r>
        <w:rPr>
          <w:noProof/>
        </w:rPr>
        <w:t xml:space="preserve">Prospekt se objavi v ustreznem razdelku spletnega mesta, kjer je ob vstopu na spletno mesto zlahka dostopen. Lahko se ga prenese in natisne, pripravljen pa je v elektronski obliki, ki omogoča iskanje in preprečuje njegovo spreminjanje. </w:t>
      </w:r>
    </w:p>
    <w:p>
      <w:pPr>
        <w:pStyle w:val="Text1"/>
        <w:rPr>
          <w:noProof/>
          <w:szCs w:val="24"/>
        </w:rPr>
      </w:pPr>
      <w:r>
        <w:rPr>
          <w:noProof/>
        </w:rPr>
        <w:t>Dokumenti z informacijami, ki se v prospekt vključijo s sklicevanjem, in dodatki in/ali končni pogoji, povezani s prospektom, so na voljo v istem razdelku poleg prospekta, po potrebi pa so navedene hiperpovezave.</w:t>
      </w:r>
    </w:p>
    <w:p>
      <w:pPr>
        <w:pStyle w:val="ManualNumPar1"/>
        <w:rPr>
          <w:noProof/>
        </w:rPr>
      </w:pPr>
      <w:r>
        <w:t>4.</w:t>
      </w:r>
      <w:r>
        <w:tab/>
      </w:r>
      <w:r>
        <w:rPr>
          <w:noProof/>
        </w:rPr>
        <w:t>Za dostop do prospekta se ni treba registrirati, sprejeti izjave o omejitvi odgovornosti, ki omejuje pravno odgovornost, ali plačati pristojbine.</w:t>
      </w:r>
    </w:p>
    <w:p>
      <w:pPr>
        <w:pStyle w:val="ManualNumPar1"/>
        <w:rPr>
          <w:noProof/>
        </w:rPr>
      </w:pPr>
      <w:r>
        <w:t>5.</w:t>
      </w:r>
      <w:r>
        <w:tab/>
      </w:r>
      <w:r>
        <w:rPr>
          <w:noProof/>
        </w:rPr>
        <w:t>Pristojni organ matične države članice na svojem spletnem mestu objavi vse odobrene prospekte ali vsaj njihov seznam, vključno s hiperpovezavami na zadevne razdelke spletnih mest iz odstavka 3 in podatkom o državah članicah gostiteljicah, ki so uradno obveščene o prospektih v skladu s členom 24. Objavljen seznam, vključno s hiperpovezavami, se posodablja in vsak element je na spletnem mestu objavljen tako dolgo, kot je določeno v odstavku 7.</w:t>
      </w:r>
    </w:p>
    <w:p>
      <w:pPr>
        <w:pStyle w:val="Text1"/>
        <w:rPr>
          <w:noProof/>
          <w:szCs w:val="24"/>
        </w:rPr>
      </w:pPr>
      <w:r>
        <w:rPr>
          <w:noProof/>
        </w:rPr>
        <w:t>Ko pristojni organ obvesti ESMA o odobritvi prospekta ali katerega koli dodatka k prospektu, ji obenem predloži tudi elektronski izvod prospekta in katerega koli dodatka k prospektu ter vse podatke, ki jih ESMA potrebuje za njegovo klasifikacijo v mehanizmu za shranjevanje iz odstavka 6 in za poročilo iz člena 45.</w:t>
      </w:r>
    </w:p>
    <w:p>
      <w:pPr>
        <w:pStyle w:val="Text1"/>
        <w:rPr>
          <w:noProof/>
          <w:szCs w:val="24"/>
        </w:rPr>
      </w:pPr>
      <w:r>
        <w:rPr>
          <w:noProof/>
        </w:rPr>
        <w:t>Pristojni organ države članice gostiteljice na spletnem mestu objavi informacije o vseh uradnih obvestilih, ki jih je prejel v skladu s členom 24.</w:t>
      </w:r>
    </w:p>
    <w:p>
      <w:pPr>
        <w:pStyle w:val="ManualNumPar1"/>
        <w:rPr>
          <w:noProof/>
        </w:rPr>
      </w:pPr>
      <w:r>
        <w:t>6.</w:t>
      </w:r>
      <w:r>
        <w:tab/>
      </w:r>
      <w:r>
        <w:rPr>
          <w:noProof/>
        </w:rPr>
        <w:t>ESMA najpozneje ob začetku javne ponudbe ali sprejemu vključenih vrednostih papirjev v trgovanje na svojem spletnem mestu objavi vse prospekte, ki jih je prejela od pristojnih organov, vključno z njihovimi dodatki, končnimi pogoji in po potrebi povezanimi prevodi, ter informacije o državah članicah gostiteljicah, ki so uradno obveščene o prospektih v skladu s členom 24. Objava se zagotovi prek mehanizma za shranjevanje, ki javnosti zagotavlja brezplačen dostop in funkcijo iskanja.</w:t>
      </w:r>
    </w:p>
    <w:p>
      <w:pPr>
        <w:pStyle w:val="ManualNumPar1"/>
        <w:rPr>
          <w:noProof/>
        </w:rPr>
      </w:pPr>
      <w:r>
        <w:t>7.</w:t>
      </w:r>
      <w:r>
        <w:tab/>
      </w:r>
      <w:r>
        <w:rPr>
          <w:noProof/>
        </w:rPr>
        <w:t>Vsi odobreni prospekti so na voljo vsaj 10 let po objavi na spletnih mestih, določenih v odstavkih 2 in 6.</w:t>
      </w:r>
    </w:p>
    <w:p>
      <w:pPr>
        <w:pStyle w:val="ManualNumPar1"/>
        <w:rPr>
          <w:noProof/>
        </w:rPr>
      </w:pPr>
      <w:r>
        <w:t>8.</w:t>
      </w:r>
      <w:r>
        <w:tab/>
      </w:r>
      <w:r>
        <w:rPr>
          <w:noProof/>
        </w:rPr>
        <w:t xml:space="preserve">Če prospekt sestavlja več dokumentov in/ali vključuje informacije s sklicevanjem, se lahko dokumenti in informacije, ki sestavljajo prospekt, objavijo in distribuirajo ločeno, če so navedeni dokumenti na voljo javnosti v skladu z odstavkom 2. V vsakem dokumentu, ki je sestavni del prospekta, je navedeno, kje se lahko pridobijo drugi dokumenti, ki so že odobreni in/ali vloženi pri pristojnem organu. </w:t>
      </w:r>
    </w:p>
    <w:p>
      <w:pPr>
        <w:pStyle w:val="ManualNumPar1"/>
        <w:rPr>
          <w:noProof/>
        </w:rPr>
      </w:pPr>
      <w:r>
        <w:t>9.</w:t>
      </w:r>
      <w:r>
        <w:tab/>
      </w:r>
      <w:r>
        <w:rPr>
          <w:noProof/>
        </w:rPr>
        <w:t xml:space="preserve">Besedilo in oblika prospekta in/ali dodatki k prospektu, ki je bil javno objavljen, so vedno enaki izvirni različici, ki jo je odobril pristojni organ matične države članice. </w:t>
      </w:r>
    </w:p>
    <w:p>
      <w:pPr>
        <w:pStyle w:val="ManualNumPar1"/>
        <w:rPr>
          <w:noProof/>
        </w:rPr>
      </w:pPr>
      <w:r>
        <w:t>10.</w:t>
      </w:r>
      <w:r>
        <w:tab/>
      </w:r>
      <w:r>
        <w:rPr>
          <w:noProof/>
        </w:rPr>
        <w:t>Izdajatelj, ponudnik, oseba, ki prosi za sprejem v trgovanje, ali finančni posredniki, ki plasirajo ali prodajajo vrednostne papirje, vsaki fizični ali pravni osebi na zahtevo brezplačno zagotovijo kopijo prospekta v papirni obliki. Zagotovitev kopije se omeji na jurisdikcijo, v kateri poteka javna ponudba ali sprejem v trgovanje v skladu s to uredbo.</w:t>
      </w:r>
    </w:p>
    <w:p>
      <w:pPr>
        <w:pStyle w:val="ManualNumPar1"/>
        <w:rPr>
          <w:noProof/>
        </w:rPr>
      </w:pPr>
      <w:r>
        <w:t>11.</w:t>
      </w:r>
      <w:r>
        <w:tab/>
      </w:r>
      <w:r>
        <w:rPr>
          <w:noProof/>
        </w:rPr>
        <w:t>ESMA za zagotovitev dosledne usklajenosti postopkov iz tega člena pripravi osnutek regulativnih tehničnih standardov, da se dodatno opredelijo določbe, ki se nanašajo na objavo prospekta.</w:t>
      </w:r>
    </w:p>
    <w:p>
      <w:pPr>
        <w:pStyle w:val="Text1"/>
        <w:rPr>
          <w:noProof/>
          <w:szCs w:val="24"/>
        </w:rPr>
      </w:pPr>
      <w:r>
        <w:rPr>
          <w:noProof/>
        </w:rPr>
        <w:t>Na Komisijo se prenese pooblastilo za sprejetje regulativnih tehničnih standardov iz prvega pododstavka v skladu s členi od 10 do 14 Uredbe (EU) št. 1095/2010.</w:t>
      </w:r>
    </w:p>
    <w:p>
      <w:pPr>
        <w:pStyle w:val="ManualNumPar1"/>
        <w:rPr>
          <w:noProof/>
        </w:rPr>
      </w:pPr>
      <w:r>
        <w:t>12.</w:t>
      </w:r>
      <w:r>
        <w:tab/>
      </w:r>
      <w:r>
        <w:rPr>
          <w:noProof/>
        </w:rPr>
        <w:t>ESMA pripravi osnutek regulativnih tehničnih standardov, da se opredelijo podatki, potrebni za razvrstitev prospektov iz odstavka 5.</w:t>
      </w:r>
    </w:p>
    <w:p>
      <w:pPr>
        <w:pStyle w:val="Text1"/>
        <w:rPr>
          <w:noProof/>
          <w:szCs w:val="24"/>
        </w:rPr>
      </w:pPr>
      <w:r>
        <w:rPr>
          <w:noProof/>
        </w:rPr>
        <w:t>ESMA Komisiji predloži osnutke navedenih regulativnih tehničnih standardov do [</w:t>
      </w:r>
      <w:r>
        <w:rPr>
          <w:i/>
          <w:noProof/>
        </w:rPr>
        <w:t>vstavite datum, ki je 9 mesecev po datumu začetka veljavnosti</w:t>
      </w:r>
      <w:r>
        <w:rPr>
          <w:noProof/>
        </w:rPr>
        <w:t>].</w:t>
      </w:r>
    </w:p>
    <w:p>
      <w:pPr>
        <w:pStyle w:val="Text1"/>
        <w:rPr>
          <w:noProof/>
          <w:szCs w:val="24"/>
        </w:rPr>
      </w:pPr>
      <w:r>
        <w:rPr>
          <w:noProof/>
        </w:rPr>
        <w:t>Na Komisijo se prenese pooblastilo za sprejetje regulativnih tehničnih standardov iz prvega pododstavka v skladu s členi od 10 do 14 Uredbe (EU) št. 1095/2010.</w:t>
      </w:r>
    </w:p>
    <w:p>
      <w:pPr>
        <w:pStyle w:val="Titrearticle"/>
        <w:rPr>
          <w:b/>
          <w:noProof/>
          <w:szCs w:val="24"/>
        </w:rPr>
      </w:pPr>
      <w:r>
        <w:rPr>
          <w:b/>
          <w:i w:val="0"/>
          <w:noProof/>
        </w:rPr>
        <w:t>Člen 21</w:t>
      </w:r>
      <w:r>
        <w:rPr>
          <w:b/>
          <w:noProof/>
          <w:szCs w:val="24"/>
        </w:rPr>
        <w:br/>
      </w:r>
      <w:r>
        <w:rPr>
          <w:b/>
          <w:noProof/>
        </w:rPr>
        <w:t>Oglasi</w:t>
      </w:r>
    </w:p>
    <w:p>
      <w:pPr>
        <w:pStyle w:val="ManualNumPar1"/>
        <w:rPr>
          <w:noProof/>
        </w:rPr>
      </w:pPr>
      <w:r>
        <w:t>1.</w:t>
      </w:r>
      <w:r>
        <w:tab/>
      </w:r>
      <w:r>
        <w:rPr>
          <w:noProof/>
        </w:rPr>
        <w:t xml:space="preserve">Vsak oglas, povezan z javno ponudbo vrednostnih papirjev ali sprejemom vrednostnih papirjev v trgovanje na reguliranem trgu, je skladen z načeli iz tega člena. </w:t>
      </w:r>
    </w:p>
    <w:p>
      <w:pPr>
        <w:pStyle w:val="ManualNumPar1"/>
        <w:rPr>
          <w:noProof/>
        </w:rPr>
      </w:pPr>
      <w:r>
        <w:t>2.</w:t>
      </w:r>
      <w:r>
        <w:tab/>
      </w:r>
      <w:r>
        <w:rPr>
          <w:noProof/>
        </w:rPr>
        <w:t>V oglasih je navedeno, da je prospekt bil ali bo objavljen in kje ga lahko vlagatelji pridobijo ali kje ga bodo lahko pridobili.</w:t>
      </w:r>
    </w:p>
    <w:p>
      <w:pPr>
        <w:pStyle w:val="ManualNumPar1"/>
        <w:rPr>
          <w:noProof/>
        </w:rPr>
      </w:pPr>
      <w:r>
        <w:t>3.</w:t>
      </w:r>
      <w:r>
        <w:tab/>
      </w:r>
      <w:r>
        <w:rPr>
          <w:noProof/>
        </w:rPr>
        <w:t>Oglasi so jasno prepoznavni kot taki. Informacije, ki jih vsebuje oglas, niso netočne ali zavajajoče. Informacije, ki jih vsebuje oglas, so skladne tudi z informacijami iz prospekta, če je že bil objavljen, ali z informacijami, ki jih je treba navesti v prospektu, če bo prospekt objavljen pozneje.</w:t>
      </w:r>
    </w:p>
    <w:p>
      <w:pPr>
        <w:pStyle w:val="ManualNumPar1"/>
        <w:rPr>
          <w:noProof/>
        </w:rPr>
      </w:pPr>
      <w:r>
        <w:t>4.</w:t>
      </w:r>
      <w:r>
        <w:tab/>
      </w:r>
      <w:r>
        <w:rPr>
          <w:noProof/>
        </w:rPr>
        <w:t>Vse informacije v zvezi z javno ponudbo ali sprejemom v trgovanje na reguliranem trgu, razkrite ustno ali v pisni obliki, tudi če ne za namene oglaševanja, so skladne z informacijami, ki jih vsebuje prospekt.</w:t>
      </w:r>
    </w:p>
    <w:p>
      <w:pPr>
        <w:pStyle w:val="ManualNumPar1"/>
        <w:rPr>
          <w:noProof/>
        </w:rPr>
      </w:pPr>
      <w:r>
        <w:t>5.</w:t>
      </w:r>
      <w:r>
        <w:tab/>
      </w:r>
      <w:r>
        <w:rPr>
          <w:noProof/>
        </w:rPr>
        <w:t xml:space="preserve">Pristojni organ matične države članice ima pooblastila za nadzorovanje skladnosti dejavnosti oglaševanja v zvezi z </w:t>
      </w:r>
      <w:r>
        <w:rPr>
          <w:noProof/>
          <w:color w:val="000000"/>
        </w:rPr>
        <w:t>javno ponudbo</w:t>
      </w:r>
      <w:r>
        <w:rPr>
          <w:noProof/>
        </w:rPr>
        <w:t xml:space="preserve"> vrednostnih papirjev ali sprejemom v trgovanje na reguliranem trgu z načeli iz odstavkov od 2 do 4. </w:t>
      </w:r>
    </w:p>
    <w:p>
      <w:pPr>
        <w:pStyle w:val="ManualNumPar1"/>
        <w:rPr>
          <w:noProof/>
        </w:rPr>
      </w:pPr>
      <w:r>
        <w:t>6.</w:t>
      </w:r>
      <w:r>
        <w:tab/>
      </w:r>
      <w:r>
        <w:rPr>
          <w:noProof/>
        </w:rPr>
        <w:t>Na Komisijo se v skladu s členom 42 prenese pooblastilo za sprejetje delegiranih aktov, da se dodatno opredelijo določbe o oglasih iz odstavkov od 2 do 4 te uredbe.</w:t>
      </w:r>
    </w:p>
    <w:p>
      <w:pPr>
        <w:pStyle w:val="Titrearticle"/>
        <w:rPr>
          <w:b/>
          <w:noProof/>
          <w:szCs w:val="24"/>
        </w:rPr>
      </w:pPr>
      <w:r>
        <w:rPr>
          <w:b/>
          <w:i w:val="0"/>
          <w:noProof/>
        </w:rPr>
        <w:t>Člen 22</w:t>
      </w:r>
      <w:r>
        <w:rPr>
          <w:b/>
          <w:i w:val="0"/>
          <w:noProof/>
          <w:szCs w:val="24"/>
        </w:rPr>
        <w:br/>
      </w:r>
      <w:r>
        <w:rPr>
          <w:b/>
          <w:noProof/>
        </w:rPr>
        <w:t>Dodatki k prospektu</w:t>
      </w:r>
    </w:p>
    <w:p>
      <w:pPr>
        <w:pStyle w:val="ManualNumPar1"/>
        <w:rPr>
          <w:noProof/>
        </w:rPr>
      </w:pPr>
      <w:r>
        <w:t>1.</w:t>
      </w:r>
      <w:r>
        <w:tab/>
      </w:r>
      <w:r>
        <w:rPr>
          <w:noProof/>
        </w:rPr>
        <w:t xml:space="preserve">Vsak pomemben nov dejavnik, pomembna napaka ali netočnost v zvezi z informacijami iz prospekta, ki bi lahko vplivala na oceno vrednostnih papirjev in ki se pojavi ali ugotovi v obdobju od odobritve prospekta do dokončnega izteka javne ponudbe ali do začetka trgovanja na reguliranem trgu, odvisno od tega, kaj je pozneje, se takoj navede v dodatku k prospektu. </w:t>
      </w:r>
    </w:p>
    <w:p>
      <w:pPr>
        <w:pStyle w:val="Text1"/>
        <w:rPr>
          <w:noProof/>
        </w:rPr>
      </w:pPr>
      <w:r>
        <w:rPr>
          <w:noProof/>
        </w:rPr>
        <w:t>Tak dodatek se odobri na isti način kot prospekt, in sicer v največ petih delovnih dneh, objavi pa se v skladu z vsaj enakimi ureditvami, kot so se uporabljale za objavo izvirnega prospekta v skladu s členom 20. Po potrebi se dopolnijo tudi izvleček in morebitni prevodi izvlečka, da se upoštevajo nove informacije iz dodatka.</w:t>
      </w:r>
    </w:p>
    <w:p>
      <w:pPr>
        <w:pStyle w:val="ManualNumPar1"/>
        <w:rPr>
          <w:noProof/>
        </w:rPr>
      </w:pPr>
      <w:r>
        <w:t>2.</w:t>
      </w:r>
      <w:r>
        <w:tab/>
      </w:r>
      <w:r>
        <w:rPr>
          <w:noProof/>
        </w:rPr>
        <w:t>Če se prospekt nanaša na javno ponudbo vrednostnih papirjev, imajo vlagatelji, ki so že soglašali z nakupom ali vpisom vrednostnih papirjev pred objavo dodatka, pravico, da v dveh delovnih dneh po objavi dodatka umaknejo sprejetje ponudbe, če se je pred dokončnim iztekom javne ponudbe in izročitvijo vrednostnih papirjev, odvisno od tega, kaj se zgodi prej, pojavil nov dejavnik, napaka ali netočnost iz odstavka 1. Izdajatelj ali ponudnik lahko podaljša navedeni rok. Končni datum pravice do umika se navede v dodatku.</w:t>
      </w:r>
    </w:p>
    <w:p>
      <w:pPr>
        <w:pStyle w:val="ManualNumPar1"/>
        <w:rPr>
          <w:noProof/>
        </w:rPr>
      </w:pPr>
      <w:r>
        <w:t>3.</w:t>
      </w:r>
      <w:r>
        <w:tab/>
      </w:r>
      <w:r>
        <w:rPr>
          <w:noProof/>
        </w:rPr>
        <w:t>Če izdajatelj pripravi dodatek v zvezi z informacijami iz osnovnega prospekta, ki se nanaša samo na eno ali več posameznih izdaj, se pravica vlagateljev do umika sprejetja ponudbe v skladu z odstavkom 2 uporablja samo za navedene izdaje in ne za katere koli druge izdaje vrednostnih papirjev v okviru osnovnega prospekta.</w:t>
      </w:r>
    </w:p>
    <w:p>
      <w:pPr>
        <w:pStyle w:val="ManualNumPar1"/>
        <w:rPr>
          <w:noProof/>
        </w:rPr>
      </w:pPr>
      <w:r>
        <w:t>4.</w:t>
      </w:r>
      <w:r>
        <w:tab/>
      </w:r>
      <w:r>
        <w:rPr>
          <w:noProof/>
        </w:rPr>
        <w:t>Če se pomemben nov dejavnik, pomembna nova napaka ali netočnost iz odstavka 1 nanaša samo na informacije iz univerzalnega registracijskega dokumenta in če se ta univerzalni registracijski dokument istočasno uporablja kot sestavni del več prospektov, se pripravi samo en dodatek. V tem primeru so v dodatku navedeni vsi prospekti, na katere se nanaša.</w:t>
      </w:r>
    </w:p>
    <w:p>
      <w:pPr>
        <w:pStyle w:val="ManualNumPar1"/>
        <w:rPr>
          <w:noProof/>
        </w:rPr>
      </w:pPr>
      <w:r>
        <w:t>5.</w:t>
      </w:r>
      <w:r>
        <w:tab/>
      </w:r>
      <w:r>
        <w:rPr>
          <w:noProof/>
        </w:rPr>
        <w:t>Pristojni organ lahko pri pregledu dodatka pred odobritvijo zahteva, da mora dodatek vsebovati konsolidirano različico dopolnjenega prospekta kot prilogo, če je to potrebno za zagotavljanje razumljivosti informacij, navedenih v prospektu. Taka zahteva se šteje za zahtevo za dodatne informacije v skladu s členom 19(4).</w:t>
      </w:r>
    </w:p>
    <w:p>
      <w:pPr>
        <w:pStyle w:val="ManualNumPar1"/>
        <w:rPr>
          <w:noProof/>
        </w:rPr>
      </w:pPr>
      <w:r>
        <w:t>6.</w:t>
      </w:r>
      <w:r>
        <w:tab/>
      </w:r>
      <w:r>
        <w:rPr>
          <w:noProof/>
        </w:rPr>
        <w:t xml:space="preserve">ESMA za zagotovitev dosledne usklajenosti tega člena in upoštevanja tehničnega razvoja na finančnih trgih pripravi osnutke regulativnih tehničnih standardov, da se opredelijo primeri, v katerih je treba zaradi pomembnega novega dejavnika, pomembne napake ali netočnosti v zvezi z informacijami iz prospekta objaviti dodatek k prospektu. </w:t>
      </w:r>
    </w:p>
    <w:p>
      <w:pPr>
        <w:pStyle w:val="Text1"/>
        <w:rPr>
          <w:noProof/>
          <w:szCs w:val="24"/>
        </w:rPr>
      </w:pPr>
      <w:r>
        <w:rPr>
          <w:noProof/>
        </w:rPr>
        <w:t>ESMA Komisiji predloži osnutke navedenih regulativnih tehničnih standardov do [</w:t>
      </w:r>
      <w:r>
        <w:rPr>
          <w:i/>
          <w:noProof/>
        </w:rPr>
        <w:t>vstavite datum, ki je 9 mesecev po datumu začetka veljavnosti</w:t>
      </w:r>
      <w:r>
        <w:rPr>
          <w:noProof/>
        </w:rPr>
        <w:t>].</w:t>
      </w:r>
    </w:p>
    <w:p>
      <w:pPr>
        <w:pStyle w:val="Text1"/>
        <w:rPr>
          <w:noProof/>
          <w:szCs w:val="24"/>
        </w:rPr>
      </w:pPr>
      <w:r>
        <w:rPr>
          <w:noProof/>
        </w:rPr>
        <w:t>Na Komisijo se prenese pooblastilo za sprejetje regulativnih tehničnih standardov iz prvega pododstavka v skladu s postopkom iz členov od 10 do 14 Uredbe (EU) št. 1095/2010.</w:t>
      </w:r>
    </w:p>
    <w:p>
      <w:pPr>
        <w:pStyle w:val="SectionTitle"/>
        <w:rPr>
          <w:noProof/>
          <w:sz w:val="24"/>
          <w:szCs w:val="24"/>
        </w:rPr>
      </w:pPr>
      <w:r>
        <w:rPr>
          <w:noProof/>
          <w:sz w:val="24"/>
        </w:rPr>
        <w:t>POGLAVJE V</w:t>
      </w:r>
      <w:r>
        <w:rPr>
          <w:noProof/>
          <w:sz w:val="24"/>
          <w:szCs w:val="24"/>
        </w:rPr>
        <w:br/>
      </w:r>
      <w:r>
        <w:rPr>
          <w:noProof/>
          <w:sz w:val="24"/>
        </w:rPr>
        <w:t>ČEZMEJNE PONUDBE IN SPREJEM V TRGOVANJE TER UPORABA JEZIKOV</w:t>
      </w:r>
    </w:p>
    <w:p>
      <w:pPr>
        <w:spacing w:before="0" w:after="200" w:line="276" w:lineRule="auto"/>
        <w:jc w:val="center"/>
        <w:rPr>
          <w:b/>
          <w:noProof/>
          <w:szCs w:val="24"/>
        </w:rPr>
      </w:pPr>
      <w:r>
        <w:rPr>
          <w:b/>
          <w:noProof/>
        </w:rPr>
        <w:t>Člen 23</w:t>
      </w:r>
      <w:r>
        <w:rPr>
          <w:b/>
          <w:noProof/>
          <w:szCs w:val="24"/>
        </w:rPr>
        <w:br/>
      </w:r>
      <w:r>
        <w:rPr>
          <w:b/>
          <w:i/>
          <w:noProof/>
        </w:rPr>
        <w:t>Področje uporabe odobritev prospektov v Uniji</w:t>
      </w:r>
    </w:p>
    <w:p>
      <w:pPr>
        <w:pStyle w:val="ManualNumPar1"/>
        <w:rPr>
          <w:noProof/>
        </w:rPr>
      </w:pPr>
      <w:r>
        <w:t>1.</w:t>
      </w:r>
      <w:r>
        <w:tab/>
      </w:r>
      <w:r>
        <w:rPr>
          <w:noProof/>
        </w:rPr>
        <w:t xml:space="preserve">Brez poseganja v člen 35, če se javna ponudba ali sprejem v trgovanje na reguliranem trgu zagotovi v eni ali več državah članicah ali v državi članici, ki ni matična država članica, prospekt, ki ga je odobrila matična država članica, in vsi njegovi dodatki veljajo za </w:t>
      </w:r>
      <w:r>
        <w:rPr>
          <w:noProof/>
          <w:color w:val="000000"/>
        </w:rPr>
        <w:t>javno ponudbo</w:t>
      </w:r>
      <w:r>
        <w:rPr>
          <w:noProof/>
        </w:rPr>
        <w:t xml:space="preserve"> ali sprejem v trgovanje v vseh državah članicah gostiteljicah, če se v skladu s členom 24 uradno obvestita ESMA in pristojni organ vsake države članice gostiteljice. Pristojni organi držav članic gostiteljic ne opravijo nobenih postopkov odobritve ali upravnih postopkov, ki se nanašajo na prospekt.</w:t>
      </w:r>
    </w:p>
    <w:p>
      <w:pPr>
        <w:pStyle w:val="ManualNumPar1"/>
        <w:rPr>
          <w:noProof/>
        </w:rPr>
      </w:pPr>
      <w:r>
        <w:t>2.</w:t>
      </w:r>
      <w:r>
        <w:tab/>
      </w:r>
      <w:r>
        <w:rPr>
          <w:noProof/>
        </w:rPr>
        <w:t>Če se po odobritvi prospekta odkrijejo pomembni novi dejavniki, pomembne napake ali netočnosti, kot je navedeno v členu 22, pristojni organ matične države članice zahteva, da se objava dodatka odobri v skladu s členom 19(1). ESMA in pristojni organ države članice gostiteljice lahko uradno obvestita pristojni organ matične države članice, da potrebujeta nove informacije.</w:t>
      </w:r>
    </w:p>
    <w:p>
      <w:pPr>
        <w:spacing w:before="0" w:after="200" w:line="276" w:lineRule="auto"/>
        <w:jc w:val="center"/>
        <w:rPr>
          <w:b/>
          <w:noProof/>
          <w:szCs w:val="24"/>
        </w:rPr>
      </w:pPr>
      <w:r>
        <w:rPr>
          <w:b/>
          <w:noProof/>
        </w:rPr>
        <w:t>Člen 24</w:t>
      </w:r>
      <w:r>
        <w:rPr>
          <w:b/>
          <w:noProof/>
          <w:szCs w:val="24"/>
        </w:rPr>
        <w:br/>
      </w:r>
      <w:r>
        <w:rPr>
          <w:b/>
          <w:i/>
          <w:noProof/>
        </w:rPr>
        <w:t>Uradno obveščanje</w:t>
      </w:r>
    </w:p>
    <w:p>
      <w:pPr>
        <w:pStyle w:val="ManualNumPar1"/>
        <w:rPr>
          <w:noProof/>
        </w:rPr>
      </w:pPr>
      <w:r>
        <w:t>1.</w:t>
      </w:r>
      <w:r>
        <w:tab/>
      </w:r>
      <w:r>
        <w:rPr>
          <w:noProof/>
        </w:rPr>
        <w:t xml:space="preserve">Pristojni organ matične države članice na zahtevo izdajatelja ali osebe, odgovorne za pripravo prospekta, v treh delovnih dneh po prejemu navedene zahteve ali v enem delovnem dnevu po odobritvi prospekta, če se zahteva predloži skupaj z osnutkom prospekta, zagotovi pristojnemu organu države članice gostiteljice potrdilo o odobritvi, ki potrjuje, da je bil prospekt pripravljen v skladu s to uredbo, in elektronski izvod navedenega prospekta. </w:t>
      </w:r>
    </w:p>
    <w:p>
      <w:pPr>
        <w:pStyle w:val="Text1"/>
        <w:rPr>
          <w:noProof/>
        </w:rPr>
      </w:pPr>
      <w:r>
        <w:rPr>
          <w:noProof/>
        </w:rPr>
        <w:t xml:space="preserve">Po potrebi se uradnemu obvestilu iz prvega pododstavka priloži prevod prospekta in/ali izvlečka, za pripravo katerega je odgovoren izdajatelj ali oseba, odgovorna za pripravo prospekta. </w:t>
      </w:r>
    </w:p>
    <w:p>
      <w:pPr>
        <w:pStyle w:val="Text1"/>
        <w:rPr>
          <w:noProof/>
        </w:rPr>
      </w:pPr>
      <w:r>
        <w:rPr>
          <w:noProof/>
        </w:rPr>
        <w:t>O potrdilu o odobritvi se istočasno uradno obvestita pristojni organ države članice gostiteljice in izdajatelj ali oseba, odgovorna za pripravo prospekta.</w:t>
      </w:r>
    </w:p>
    <w:p>
      <w:pPr>
        <w:pStyle w:val="ManualNumPar1"/>
        <w:rPr>
          <w:noProof/>
        </w:rPr>
      </w:pPr>
      <w:r>
        <w:t>2.</w:t>
      </w:r>
      <w:r>
        <w:tab/>
      </w:r>
      <w:r>
        <w:rPr>
          <w:noProof/>
        </w:rPr>
        <w:t>V potrdilu se navede uporaba določb člena 17(2) in (3) ter utemeljitev.</w:t>
      </w:r>
    </w:p>
    <w:p>
      <w:pPr>
        <w:pStyle w:val="ManualNumPar1"/>
        <w:rPr>
          <w:noProof/>
        </w:rPr>
      </w:pPr>
      <w:r>
        <w:t>3.</w:t>
      </w:r>
      <w:r>
        <w:tab/>
      </w:r>
      <w:r>
        <w:rPr>
          <w:noProof/>
        </w:rPr>
        <w:t>Pristojni organ matične države članice o potrdilu o odobritvi istočasno uradno obvesti ESMA in pristojni organ države članice gostiteljice.</w:t>
      </w:r>
    </w:p>
    <w:p>
      <w:pPr>
        <w:pStyle w:val="ManualNumPar1"/>
        <w:rPr>
          <w:noProof/>
        </w:rPr>
      </w:pPr>
      <w:r>
        <w:t>4.</w:t>
      </w:r>
      <w:r>
        <w:tab/>
      </w:r>
      <w:r>
        <w:rPr>
          <w:noProof/>
        </w:rPr>
        <w:t>Če končni pogoji osnovnega prospekta, ki so bili prej sporočeni, niso vključeni v osnovni prospekt ali dodatek, jih pristojni organ matične države članice elektronsko sporoči pristojnim organom držav članic gostiteljic in ESMA takoj, kot je to mogoče po njihovi vložitvi.</w:t>
      </w:r>
    </w:p>
    <w:p>
      <w:pPr>
        <w:pStyle w:val="ManualNumPar1"/>
        <w:rPr>
          <w:noProof/>
        </w:rPr>
      </w:pPr>
      <w:r>
        <w:t>5.</w:t>
      </w:r>
      <w:r>
        <w:tab/>
      </w:r>
      <w:r>
        <w:rPr>
          <w:noProof/>
        </w:rPr>
        <w:t>Pristojni organi ne zaračunajo pristojbine za uradno obveščanje ali prejem obvestila, prospektov ali njihovih dodatkov ali za kakršne koli povezane dejavnosti nadzora v matični državi članici ali državah članicah gostiteljicah.</w:t>
      </w:r>
    </w:p>
    <w:p>
      <w:pPr>
        <w:pStyle w:val="ManualNumPar1"/>
        <w:rPr>
          <w:noProof/>
        </w:rPr>
      </w:pPr>
      <w:r>
        <w:t>6.</w:t>
      </w:r>
      <w:r>
        <w:tab/>
      </w:r>
      <w:r>
        <w:rPr>
          <w:noProof/>
        </w:rPr>
        <w:t>Da se zagotovijo enotni pogoji uporabe te uredbe in upošteva tehnični razvoj na finančnih trgih, lahko ESMA pripravi osnutke izvedbenih tehničnih standardov, da se določijo standardne oblike, predloge ali postopki za uradno obveščanje o potrdilu o odobritvi, prospektu, dodatku k prospektu ter prevodu prospekta in/ali izvlečka.</w:t>
      </w:r>
    </w:p>
    <w:p>
      <w:pPr>
        <w:pStyle w:val="Text1"/>
        <w:rPr>
          <w:noProof/>
          <w:szCs w:val="24"/>
        </w:rPr>
      </w:pPr>
      <w:r>
        <w:rPr>
          <w:noProof/>
        </w:rPr>
        <w:t>Na Komisijo se prenese pooblastilo za sprejetje izvedbenih tehničnih standardov iz prvega pododstavka v skladu s členom 15 uredbe (EU) št. 1095/2010.</w:t>
      </w:r>
    </w:p>
    <w:p>
      <w:pPr>
        <w:pStyle w:val="Titrearticle"/>
        <w:rPr>
          <w:b/>
          <w:noProof/>
          <w:szCs w:val="24"/>
        </w:rPr>
      </w:pPr>
      <w:r>
        <w:rPr>
          <w:b/>
          <w:i w:val="0"/>
          <w:noProof/>
        </w:rPr>
        <w:t>Člen 25</w:t>
      </w:r>
      <w:r>
        <w:rPr>
          <w:b/>
          <w:i w:val="0"/>
          <w:noProof/>
          <w:szCs w:val="24"/>
        </w:rPr>
        <w:br/>
      </w:r>
      <w:r>
        <w:rPr>
          <w:b/>
          <w:noProof/>
        </w:rPr>
        <w:t>Uporaba jezikov</w:t>
      </w:r>
    </w:p>
    <w:p>
      <w:pPr>
        <w:pStyle w:val="ManualNumPar1"/>
        <w:rPr>
          <w:noProof/>
        </w:rPr>
      </w:pPr>
      <w:r>
        <w:t>1.</w:t>
      </w:r>
      <w:r>
        <w:tab/>
      </w:r>
      <w:r>
        <w:rPr>
          <w:noProof/>
        </w:rPr>
        <w:t>Če javna ponudba poteka ali če se za sprejem v trgovanje na reguliranem trgu zaprosi samo v matični državi članici, se prospekt pripravi v jeziku, ki ga sprejme pristojni organ matične države članice.</w:t>
      </w:r>
    </w:p>
    <w:p>
      <w:pPr>
        <w:pStyle w:val="ManualNumPar1"/>
        <w:rPr>
          <w:noProof/>
        </w:rPr>
      </w:pPr>
      <w:r>
        <w:t>2.</w:t>
      </w:r>
      <w:r>
        <w:tab/>
      </w:r>
      <w:r>
        <w:rPr>
          <w:noProof/>
        </w:rPr>
        <w:t xml:space="preserve">Če javna ponudba poteka ali če se za sprejem v trgovanje na reguliranem trgu zaprosi v eni ali več državah članicah z izjemo matične države članice, se prospekt pripravi bodisi v jeziku, ki ga sprejmejo pristojni organi navedenih držav članic, ali v jeziku, ki se običajno uporablja na področju mednarodnih financ, po izbiri izdajatelja, ponudnika ali osebe, ki prosi za sprejem. </w:t>
      </w:r>
    </w:p>
    <w:p>
      <w:pPr>
        <w:pStyle w:val="Text1"/>
        <w:rPr>
          <w:noProof/>
          <w:szCs w:val="24"/>
        </w:rPr>
      </w:pPr>
      <w:r>
        <w:rPr>
          <w:noProof/>
        </w:rPr>
        <w:t>Pristojni organ vsake države članice gostiteljice lahko zahteva, da se izvleček iz člena 7 prevede v njegove uradne jezike, vendar ne zahteva prevoda drugih delov prospekta.</w:t>
      </w:r>
    </w:p>
    <w:p>
      <w:pPr>
        <w:pStyle w:val="Text1"/>
        <w:rPr>
          <w:noProof/>
          <w:szCs w:val="24"/>
        </w:rPr>
      </w:pPr>
      <w:r>
        <w:rPr>
          <w:noProof/>
        </w:rPr>
        <w:t>Za namene pregleda in odobritve s strani pristojnega organa matične države članice se prospekt pripravi bodisi v jeziku, ki ga sprejme ta organ, ali v jeziku, ki se običajno uporablja na področju mednarodnih financ, po izbiri izdajatelja, ponudnika ali osebe, ki prosi za sprejem v trgovanje.</w:t>
      </w:r>
    </w:p>
    <w:p>
      <w:pPr>
        <w:pStyle w:val="ManualNumPar1"/>
        <w:rPr>
          <w:noProof/>
        </w:rPr>
      </w:pPr>
      <w:r>
        <w:t>3.</w:t>
      </w:r>
      <w:r>
        <w:tab/>
      </w:r>
      <w:r>
        <w:rPr>
          <w:noProof/>
        </w:rPr>
        <w:t xml:space="preserve">Če javna ponudba poteka ali če se za sprejem v trgovanje na reguliranem trgu zaprosi v več kot eni državi članici, vključno z matično državo članico, se prospekt pripravi v jeziku, ki ga sprejme pristojni organ matične države članice, in je na voljo tudi v jeziku, ki ga sprejmejo pristojni organi vsake države članice gostiteljice, ali v jeziku, ki se običajno uporablja na področju mednarodnih financ, po izbiri izdajatelja, ponudnika ali osebe, ki prosi za sprejem v trgovanje. </w:t>
      </w:r>
    </w:p>
    <w:p>
      <w:pPr>
        <w:pStyle w:val="Text1"/>
        <w:rPr>
          <w:noProof/>
          <w:szCs w:val="24"/>
        </w:rPr>
      </w:pPr>
      <w:r>
        <w:rPr>
          <w:noProof/>
        </w:rPr>
        <w:t>Pristojni organ vsake države članice gostiteljice lahko zahteva, da se izvleček iz člena 7 prevede v uradni jezik ali jezike te države, vendar ne zahteva prevoda katerih koli drugih delov prospekta.</w:t>
      </w:r>
    </w:p>
    <w:p>
      <w:pPr>
        <w:pStyle w:val="ManualNumPar1"/>
        <w:rPr>
          <w:noProof/>
        </w:rPr>
      </w:pPr>
      <w:r>
        <w:t>4.</w:t>
      </w:r>
      <w:r>
        <w:tab/>
      </w:r>
      <w:r>
        <w:rPr>
          <w:noProof/>
        </w:rPr>
        <w:t xml:space="preserve">Končni pogoji in izvleček za posamezno izdajo se pripravijo v istem jeziku kot odobren osnovni prospekt. </w:t>
      </w:r>
    </w:p>
    <w:p>
      <w:pPr>
        <w:pStyle w:val="Text1"/>
        <w:rPr>
          <w:noProof/>
          <w:szCs w:val="24"/>
        </w:rPr>
      </w:pPr>
      <w:r>
        <w:rPr>
          <w:noProof/>
        </w:rPr>
        <w:t>Ko se končni pogoji sporočijo pristojnemu organu države članice gostiteljice ali v primeru več držav članic gostiteljic pristojnim organom držav članic gostiteljic, za končne pogoje in izvleček za posamezno izdajo, ki je priložen h končnim pogojem, veljajo zahteve glede jezika iz tega člena.</w:t>
      </w:r>
    </w:p>
    <w:p>
      <w:pPr>
        <w:pStyle w:val="SectionTitle"/>
        <w:rPr>
          <w:noProof/>
          <w:sz w:val="24"/>
          <w:szCs w:val="24"/>
        </w:rPr>
      </w:pPr>
      <w:r>
        <w:rPr>
          <w:noProof/>
          <w:sz w:val="24"/>
        </w:rPr>
        <w:t>POGLAVJE VI</w:t>
      </w:r>
      <w:r>
        <w:rPr>
          <w:noProof/>
          <w:sz w:val="24"/>
          <w:szCs w:val="24"/>
        </w:rPr>
        <w:br/>
      </w:r>
      <w:r>
        <w:rPr>
          <w:noProof/>
          <w:sz w:val="24"/>
        </w:rPr>
        <w:t>POSEBNA PRAVILA ZA IZDAJATELJE S SEDEŽEM V TRETJIH DRŽAVAH</w:t>
      </w:r>
    </w:p>
    <w:p>
      <w:pPr>
        <w:pStyle w:val="Titrearticle"/>
        <w:rPr>
          <w:b/>
          <w:noProof/>
          <w:szCs w:val="24"/>
        </w:rPr>
      </w:pPr>
      <w:r>
        <w:rPr>
          <w:b/>
          <w:i w:val="0"/>
          <w:noProof/>
        </w:rPr>
        <w:t>Člen 26</w:t>
      </w:r>
      <w:r>
        <w:rPr>
          <w:b/>
          <w:i w:val="0"/>
          <w:noProof/>
          <w:szCs w:val="24"/>
        </w:rPr>
        <w:br/>
      </w:r>
      <w:r>
        <w:rPr>
          <w:b/>
          <w:noProof/>
        </w:rPr>
        <w:t>Ponudba vrednostnih papirjev ali sprejem v trgovanje v okviru prospekta, pripravljenega v skladu s to uredbo</w:t>
      </w:r>
    </w:p>
    <w:p>
      <w:pPr>
        <w:pStyle w:val="ManualNumPar1"/>
        <w:rPr>
          <w:noProof/>
        </w:rPr>
      </w:pPr>
      <w:r>
        <w:t>1.</w:t>
      </w:r>
      <w:r>
        <w:tab/>
      </w:r>
      <w:r>
        <w:rPr>
          <w:noProof/>
        </w:rPr>
        <w:t>Izdajatelju iz tretje države, ki namerava javno ponuditi vrednostne papirje v Uniji ali prositi za sprejem vrednostnih papirjev v trgovanje na reguliranem trgu v Uniji na podlagi prospekta, pripravljenega v skladu s to uredbo, mora prospekt v skladu s členom 19 odobriti pristojni organ matične države članice, kot je določeno v točki (iii) člena 2(1)(m). Za ta prospekt in izdajatelja iz tretje države se uporabljajo vse določbe iz te uredbe, skladnost s katerimi nadzoruje pristojni organ matične države članice.</w:t>
      </w:r>
    </w:p>
    <w:p>
      <w:pPr>
        <w:pStyle w:val="ManualNumPar1"/>
        <w:rPr>
          <w:noProof/>
        </w:rPr>
      </w:pPr>
      <w:r>
        <w:t>2.</w:t>
      </w:r>
      <w:r>
        <w:tab/>
      </w:r>
      <w:r>
        <w:rPr>
          <w:noProof/>
        </w:rPr>
        <w:t>Izdajatelj iz tretje države na podlagi dovoljenja imenuje zastopnika s sedežem v matični državi članici med subjekti, za katere veljajo predpisi EU o finančnih storitvah in skladnost s katerimi se nadzoruje. Izdajatelj iz tretje države obvesti pristojni organ o identiteti in kontaktnih podatkih svojega zastopnika.</w:t>
      </w:r>
    </w:p>
    <w:p>
      <w:pPr>
        <w:pStyle w:val="ManualNumPar1"/>
        <w:rPr>
          <w:noProof/>
        </w:rPr>
      </w:pPr>
      <w:r>
        <w:t>3.</w:t>
      </w:r>
      <w:r>
        <w:tab/>
      </w:r>
      <w:r>
        <w:rPr>
          <w:noProof/>
        </w:rPr>
        <w:t>Zastopnik je za namene te uredbe kontaktna točka izdajatelja iz tretje države v Uniji, prek katere poteka vsa uradna korespondenca s pristojnim organom. Zastopnik ima skupaj z izdajateljem iz tretje države odgovornost za zagotavljanje skladnosti prospekta z zahtevami iz te uredbe v skladu s poglavjema VII in VIII te uredbe do pristojnega organa matične države članice.</w:t>
      </w:r>
    </w:p>
    <w:p>
      <w:pPr>
        <w:pStyle w:val="Titrearticle"/>
        <w:rPr>
          <w:b/>
          <w:noProof/>
          <w:szCs w:val="24"/>
        </w:rPr>
      </w:pPr>
      <w:r>
        <w:rPr>
          <w:b/>
          <w:i w:val="0"/>
          <w:noProof/>
        </w:rPr>
        <w:t>Člen 27</w:t>
      </w:r>
      <w:r>
        <w:rPr>
          <w:b/>
          <w:i w:val="0"/>
          <w:noProof/>
          <w:szCs w:val="24"/>
        </w:rPr>
        <w:br/>
      </w:r>
      <w:r>
        <w:rPr>
          <w:b/>
          <w:noProof/>
        </w:rPr>
        <w:t>Ponudba vrednostnih papirjev ali sprejem v trgovanje na podlagi prospekta, pripravljenega v skladu z zakonodajo tretje države</w:t>
      </w:r>
    </w:p>
    <w:p>
      <w:pPr>
        <w:pStyle w:val="ManualNumPar1"/>
        <w:rPr>
          <w:noProof/>
        </w:rPr>
      </w:pPr>
      <w:r>
        <w:t>1.</w:t>
      </w:r>
      <w:r>
        <w:tab/>
      </w:r>
      <w:r>
        <w:rPr>
          <w:noProof/>
        </w:rPr>
        <w:t>Pristojni organ matične države članice izdajatelja iz tretje države lahko odobri prospekt za javno ponudbo ali sprejem v trgovanje na reguliranem trgu, ki je pripravljen v skladu z nacionalno zakonodajo izdajatelja iz tretje države in za katerega se uporablja nacionalna zakonodaja izdajatelja iz tretje države, če so zahteve glede informacij iz navedene zakonodaje izdajatelja iz tretje države enakovredne zahtevam iz te uredbe.</w:t>
      </w:r>
    </w:p>
    <w:p>
      <w:pPr>
        <w:pStyle w:val="ManualNumPar1"/>
        <w:rPr>
          <w:noProof/>
        </w:rPr>
      </w:pPr>
      <w:r>
        <w:t>2.</w:t>
      </w:r>
      <w:r>
        <w:tab/>
      </w:r>
      <w:r>
        <w:rPr>
          <w:noProof/>
        </w:rPr>
        <w:t>V primeru javne ponudbe ali sprejema vrednostnih papirjev, ki jih je izdal izdajatelj iz tretje države, v trgovanje na reguliranem trgu v državi članici, ki ni matična država članica, se uporabljajo zahteve iz členov 23, 24 in 25.</w:t>
      </w:r>
    </w:p>
    <w:p>
      <w:pPr>
        <w:pStyle w:val="ManualNumPar1"/>
        <w:rPr>
          <w:noProof/>
        </w:rPr>
      </w:pPr>
      <w:r>
        <w:t>3.</w:t>
      </w:r>
      <w:r>
        <w:tab/>
      </w:r>
      <w:r>
        <w:rPr>
          <w:noProof/>
        </w:rPr>
        <w:t>Komisija lahko v skladu s členom 42 sprejme delegirane akte, ki določajo splošna merila glede enakovrednosti na podlagi zahtev iz členov 6, 7, 8 in 13.</w:t>
      </w:r>
    </w:p>
    <w:p>
      <w:pPr>
        <w:pStyle w:val="Text1"/>
        <w:rPr>
          <w:noProof/>
        </w:rPr>
      </w:pPr>
      <w:r>
        <w:rPr>
          <w:noProof/>
        </w:rPr>
        <w:t>Na podlagi zgoraj navedenih meril lahko Komisija sprejme izvedbene ukrepe v skladu s postopkom pregleda iz člena 43, ki določajo, da tretja država z nacionalnim pravom zagotovi enakovrednost prospektov, pripravljenih v navedeni državi, s to uredbo. Navedeni izvedbeni akti se sprejmejo v skladu s postopkom pregleda iz člena 43(2).</w:t>
      </w:r>
    </w:p>
    <w:p>
      <w:pPr>
        <w:pStyle w:val="Titrearticle"/>
        <w:rPr>
          <w:b/>
          <w:noProof/>
          <w:szCs w:val="24"/>
        </w:rPr>
      </w:pPr>
      <w:r>
        <w:rPr>
          <w:b/>
          <w:i w:val="0"/>
          <w:noProof/>
        </w:rPr>
        <w:t>Člen 28</w:t>
      </w:r>
      <w:r>
        <w:rPr>
          <w:b/>
          <w:i w:val="0"/>
          <w:noProof/>
          <w:szCs w:val="24"/>
        </w:rPr>
        <w:br/>
      </w:r>
      <w:r>
        <w:rPr>
          <w:b/>
          <w:noProof/>
        </w:rPr>
        <w:t>Sodelovanje s tretjimi državami</w:t>
      </w:r>
    </w:p>
    <w:p>
      <w:pPr>
        <w:pStyle w:val="ManualNumPar1"/>
        <w:rPr>
          <w:noProof/>
        </w:rPr>
      </w:pPr>
      <w:r>
        <w:t>1.</w:t>
      </w:r>
      <w:r>
        <w:tab/>
      </w:r>
      <w:r>
        <w:rPr>
          <w:noProof/>
        </w:rPr>
        <w:t xml:space="preserve">Pristojni organi držav članic za namen člena 27 ali po potrebi za namen člena 26 sklenejo dogovore o sodelovanju z nadzornimi organi tretjih držav glede izmenjave informacij z nadzornimi organi v tretjih državah in izvajanjem obveznosti, ki izhajajo iz te uredbe, v tretjih državah. Navedeni dogovori o sodelovanju zagotavljajo vsaj učinkovito izmenjavo informacij, kar pristojnim organom omogoča, da opravljajo svoje naloge v skladu s to uredbo. </w:t>
      </w:r>
    </w:p>
    <w:p>
      <w:pPr>
        <w:pStyle w:val="Text1"/>
        <w:rPr>
          <w:noProof/>
          <w:szCs w:val="24"/>
        </w:rPr>
      </w:pPr>
      <w:r>
        <w:rPr>
          <w:noProof/>
        </w:rPr>
        <w:t xml:space="preserve">Pristojni organ obvesti ESMA in druge pristojne organe, kadar namerava skleniti tak dogovor. </w:t>
      </w:r>
    </w:p>
    <w:p>
      <w:pPr>
        <w:pStyle w:val="ManualNumPar1"/>
        <w:rPr>
          <w:noProof/>
        </w:rPr>
      </w:pPr>
      <w:r>
        <w:t>2.</w:t>
      </w:r>
      <w:r>
        <w:tab/>
      </w:r>
      <w:r>
        <w:rPr>
          <w:noProof/>
        </w:rPr>
        <w:t xml:space="preserve">ESMA za namen člena 27 in po potrebi za namen člena 26 pomaga pri in koordinira pripravo dogovorov o sodelovanju med pristojnimi organi in ustreznimi nadzornimi organi tretjih držav. </w:t>
      </w:r>
    </w:p>
    <w:p>
      <w:pPr>
        <w:pStyle w:val="Text1"/>
        <w:rPr>
          <w:noProof/>
          <w:szCs w:val="24"/>
        </w:rPr>
      </w:pPr>
      <w:r>
        <w:rPr>
          <w:noProof/>
        </w:rPr>
        <w:t xml:space="preserve">Za zagotovitev doslednega usklajevanja tega člena lahko ESMA pripravi osnutke regulativnih tehničnih standardov, ki vsebujejo predlogo dokumenta za dogovore o sodelovanju, ki jih pristojni organi držav članic uporabijo, če je to mogoče. </w:t>
      </w:r>
    </w:p>
    <w:p>
      <w:pPr>
        <w:pStyle w:val="Text1"/>
        <w:rPr>
          <w:noProof/>
          <w:szCs w:val="24"/>
        </w:rPr>
      </w:pPr>
      <w:r>
        <w:rPr>
          <w:noProof/>
        </w:rPr>
        <w:t xml:space="preserve">Na Komisijo se prenese pooblastilo za sprejetje regulativnih tehničnih standardov iz drugega pododstavka v skladu s členi od 10 do 14 Uredbe (EU) št. 1095/2010. </w:t>
      </w:r>
    </w:p>
    <w:p>
      <w:pPr>
        <w:pStyle w:val="Text1"/>
        <w:rPr>
          <w:noProof/>
          <w:szCs w:val="24"/>
        </w:rPr>
      </w:pPr>
      <w:r>
        <w:rPr>
          <w:noProof/>
        </w:rPr>
        <w:t>ESMA po potrebi pomaga pri in koordinira tudi izmenjavo informacij, pridobljenih od nadzornih organov tretjih držav, ki so lahko pomembne za sprejetje ukrepov iz členov 36 in 37, med pristojnimi organi.</w:t>
      </w:r>
    </w:p>
    <w:p>
      <w:pPr>
        <w:pStyle w:val="ManualNumPar1"/>
        <w:rPr>
          <w:noProof/>
        </w:rPr>
      </w:pPr>
      <w:r>
        <w:t>3.</w:t>
      </w:r>
      <w:r>
        <w:tab/>
      </w:r>
      <w:r>
        <w:rPr>
          <w:noProof/>
        </w:rPr>
        <w:t>Pristojni organi sklenejo dogovore o sodelovanju glede izmenjave informacij z nadzornimi organi tretjih držav samo, kadar za razkrite informacije velja zagotovilo glede poslovne skrivnosti, ki je enakovredno vsaj zagotovilu iz člena 33. Taka izmenjava informacij mora biti namenjena opravljanju nalog navedenih pristojnih organov.</w:t>
      </w:r>
    </w:p>
    <w:p>
      <w:pPr>
        <w:pStyle w:val="SectionTitle"/>
        <w:rPr>
          <w:noProof/>
          <w:sz w:val="24"/>
          <w:szCs w:val="24"/>
        </w:rPr>
      </w:pPr>
      <w:r>
        <w:rPr>
          <w:noProof/>
          <w:sz w:val="24"/>
        </w:rPr>
        <w:t>POGLAVJE VII</w:t>
      </w:r>
      <w:r>
        <w:rPr>
          <w:noProof/>
          <w:sz w:val="24"/>
          <w:szCs w:val="24"/>
        </w:rPr>
        <w:br/>
      </w:r>
      <w:r>
        <w:rPr>
          <w:noProof/>
          <w:sz w:val="24"/>
        </w:rPr>
        <w:t>ESMA IN PRISTOJNI ORGANI</w:t>
      </w:r>
    </w:p>
    <w:p>
      <w:pPr>
        <w:pStyle w:val="Titrearticle"/>
        <w:rPr>
          <w:b/>
          <w:noProof/>
          <w:szCs w:val="24"/>
        </w:rPr>
      </w:pPr>
      <w:r>
        <w:rPr>
          <w:b/>
          <w:i w:val="0"/>
          <w:noProof/>
        </w:rPr>
        <w:t>Člen 29</w:t>
      </w:r>
      <w:r>
        <w:rPr>
          <w:b/>
          <w:i w:val="0"/>
          <w:noProof/>
          <w:szCs w:val="24"/>
        </w:rPr>
        <w:br/>
      </w:r>
      <w:r>
        <w:rPr>
          <w:b/>
          <w:noProof/>
        </w:rPr>
        <w:t>Pristojni organi</w:t>
      </w:r>
    </w:p>
    <w:p>
      <w:pPr>
        <w:pStyle w:val="ManualNumPar1"/>
        <w:rPr>
          <w:noProof/>
        </w:rPr>
      </w:pPr>
      <w:r>
        <w:t>1.</w:t>
      </w:r>
      <w:r>
        <w:tab/>
      </w:r>
      <w:r>
        <w:rPr>
          <w:noProof/>
        </w:rPr>
        <w:t>Vsaka država članica določi pristojni upravni organ, ki je odgovoren za izvajanje nalog, ki izhajajo iz te uredbe, in za zagotavljanje, da se uporabljajo določbe, sprejete v skladu s to uredbo. Države članice o tem ustrezno obvestijo Komisijo, ESMA in druge pristojne organe drugih držav članic.</w:t>
      </w:r>
    </w:p>
    <w:p>
      <w:pPr>
        <w:pStyle w:val="Text1"/>
        <w:rPr>
          <w:noProof/>
          <w:szCs w:val="24"/>
        </w:rPr>
      </w:pPr>
      <w:r>
        <w:rPr>
          <w:noProof/>
        </w:rPr>
        <w:t>Pristojni organ je popolnoma neodvisen od vseh udeležencev na trgu.</w:t>
      </w:r>
    </w:p>
    <w:p>
      <w:pPr>
        <w:pStyle w:val="ManualNumPar1"/>
        <w:rPr>
          <w:noProof/>
        </w:rPr>
      </w:pPr>
      <w:r>
        <w:t>2.</w:t>
      </w:r>
      <w:r>
        <w:tab/>
      </w:r>
      <w:r>
        <w:rPr>
          <w:noProof/>
        </w:rPr>
        <w:t>Države članice lahko svojemu pristojnemu organu dovolijo, da prenese naloge v zvezi s spletno objavo odobrenih prospektov.</w:t>
      </w:r>
    </w:p>
    <w:p>
      <w:pPr>
        <w:pStyle w:val="Text1"/>
        <w:rPr>
          <w:noProof/>
          <w:szCs w:val="24"/>
        </w:rPr>
      </w:pPr>
      <w:r>
        <w:rPr>
          <w:noProof/>
        </w:rPr>
        <w:t>Vsak prenos nalog na subjekte se izvede s posebnim sklepom, v katerem so navedene naloge, ki se opravijo, in pogoji, pod katerimi se izvedejo, ter ki vključuje klavzulo, v skladu s katero mora zadevni subjekt delovati in biti organiziran na tak način, da se preprečijo nasprotja interesov in uporaba informacij, pridobljenih pri opravljanju dodeljenih nalog, na nepošten način ali za preprečevanje konkurence. V takem sklepu so opredeljeni vsi dogovori med pristojnim organom in subjektom, na katerega se prenesejo naloge.</w:t>
      </w:r>
    </w:p>
    <w:p>
      <w:pPr>
        <w:pStyle w:val="Text1"/>
        <w:rPr>
          <w:noProof/>
          <w:szCs w:val="24"/>
        </w:rPr>
      </w:pPr>
      <w:r>
        <w:rPr>
          <w:noProof/>
        </w:rPr>
        <w:t>Končno odgovornost za nadzor skladnosti s to uredbo in odobritev prospekta ima pristojni organ, določen v skladu z odstavkom 1.</w:t>
      </w:r>
    </w:p>
    <w:p>
      <w:pPr>
        <w:pStyle w:val="Text1"/>
        <w:rPr>
          <w:noProof/>
        </w:rPr>
      </w:pPr>
      <w:r>
        <w:rPr>
          <w:noProof/>
        </w:rPr>
        <w:t>Države članice Komisijo, ESMA in pristojne organe drugih držav članic obvestijo o sklepu iz pododstavka 2 in tudi o vseh natančnih pogojih, ki urejajo tak prenos.</w:t>
      </w:r>
    </w:p>
    <w:p>
      <w:pPr>
        <w:pStyle w:val="ManualNumPar1"/>
        <w:rPr>
          <w:noProof/>
        </w:rPr>
      </w:pPr>
      <w:r>
        <w:t>3.</w:t>
      </w:r>
      <w:r>
        <w:tab/>
      </w:r>
      <w:r>
        <w:rPr>
          <w:noProof/>
        </w:rPr>
        <w:t>Odstavka 1 in 2 ne posegata v možnost države članice, da uvede ločeno pravno in upravno ureditev za čezmorska evropska ozemlja, za katerih zunanje odnose je odgovorna navedena država članica.</w:t>
      </w:r>
    </w:p>
    <w:p>
      <w:pPr>
        <w:pStyle w:val="Titrearticle"/>
        <w:rPr>
          <w:b/>
          <w:noProof/>
          <w:szCs w:val="24"/>
        </w:rPr>
      </w:pPr>
      <w:r>
        <w:rPr>
          <w:b/>
          <w:i w:val="0"/>
          <w:noProof/>
        </w:rPr>
        <w:t>Člen 30</w:t>
      </w:r>
      <w:r>
        <w:rPr>
          <w:b/>
          <w:i w:val="0"/>
          <w:noProof/>
          <w:szCs w:val="24"/>
        </w:rPr>
        <w:br/>
      </w:r>
      <w:r>
        <w:rPr>
          <w:b/>
          <w:noProof/>
        </w:rPr>
        <w:t>Pooblastila pristojnih organov</w:t>
      </w:r>
    </w:p>
    <w:p>
      <w:pPr>
        <w:pStyle w:val="ManualNumPar1"/>
        <w:rPr>
          <w:noProof/>
        </w:rPr>
      </w:pPr>
      <w:r>
        <w:t>1.</w:t>
      </w:r>
      <w:r>
        <w:tab/>
      </w:r>
      <w:r>
        <w:rPr>
          <w:noProof/>
        </w:rPr>
        <w:t>Da lahko pristojni organi izpolnjujejo svoje naloge iz te uredbe, imajo v skladu z nacionalnim pravom vsaj naslednja nadzorna in preiskovalna pooblastila:</w:t>
      </w:r>
    </w:p>
    <w:p>
      <w:pPr>
        <w:pStyle w:val="Point1letter"/>
        <w:numPr>
          <w:ilvl w:val="3"/>
          <w:numId w:val="40"/>
        </w:numPr>
        <w:rPr>
          <w:noProof/>
          <w:szCs w:val="24"/>
        </w:rPr>
      </w:pPr>
      <w:r>
        <w:rPr>
          <w:noProof/>
        </w:rPr>
        <w:t>od izdajateljev, ponudnikov ali oseb, ki prosijo za sprejem v trgovanje na reguliranem trgu, lahko zahtevajo, da v prospekt vključijo dodatne informacije, če je to potrebno za zagotavljanje zaščite vlagateljev;</w:t>
      </w:r>
    </w:p>
    <w:p>
      <w:pPr>
        <w:pStyle w:val="Point1letter"/>
        <w:rPr>
          <w:noProof/>
          <w:szCs w:val="24"/>
        </w:rPr>
      </w:pPr>
      <w:r>
        <w:rPr>
          <w:noProof/>
        </w:rPr>
        <w:t>od izdajateljev, ponudnikov ali oseb, ki prosijo za sprejem v trgovanje na reguliranem trgu, in oseb, ki jih obvladujejo ali pa te obvladujejo njih, lahko zahtevajo, da zagotovijo informacije in dokumente;</w:t>
      </w:r>
    </w:p>
    <w:p>
      <w:pPr>
        <w:pStyle w:val="Point1letter"/>
        <w:rPr>
          <w:noProof/>
          <w:szCs w:val="24"/>
        </w:rPr>
      </w:pPr>
      <w:r>
        <w:rPr>
          <w:noProof/>
        </w:rPr>
        <w:t>od revizorjev in upravljavcev izdajatelja, ponudnika ali osebe, ki prosi za sprejem v trgovanje na reguliranem trgu, in finančnih posrednikov, pooblaščenih za izvajanje javne ponudbe ali vložitev vloge za sprejem v trgovanje, lahko zahtevajo, da zagotovijo informacije;</w:t>
      </w:r>
    </w:p>
    <w:p>
      <w:pPr>
        <w:pStyle w:val="Point1letter"/>
        <w:rPr>
          <w:noProof/>
          <w:szCs w:val="24"/>
        </w:rPr>
      </w:pPr>
      <w:r>
        <w:rPr>
          <w:noProof/>
        </w:rPr>
        <w:t>začasno lahko prekinejo javno ponudbo ali sprejem v trgovanje za največ 10 zaporednih delovnih dni vsakič, ko utemeljeno sumijo, da se kršijo določbe te uredbe;</w:t>
      </w:r>
    </w:p>
    <w:p>
      <w:pPr>
        <w:pStyle w:val="Point1letter"/>
        <w:rPr>
          <w:noProof/>
          <w:szCs w:val="24"/>
        </w:rPr>
      </w:pPr>
      <w:r>
        <w:rPr>
          <w:noProof/>
        </w:rPr>
        <w:t>prepovejo ali začasno lahko prekinejo oglase ali od izdajateljev, ponudnikov ali oseb, ki prosijo za sprejem v trgovanje na reguliranem trgu, ali od ustreznih finančnih posrednikov zahtevajo, da prenehajo oglaševati ali začasno umaknejo oglase za največ 10 zaporednih delovnih dni, vsakič, ko utemeljeno menijo, da se kršijo določbe te uredbe;</w:t>
      </w:r>
    </w:p>
    <w:p>
      <w:pPr>
        <w:pStyle w:val="Point1letter"/>
        <w:rPr>
          <w:noProof/>
          <w:szCs w:val="24"/>
        </w:rPr>
      </w:pPr>
      <w:r>
        <w:rPr>
          <w:noProof/>
        </w:rPr>
        <w:t>prepovejo lahko javno ponudbo, če ugotovijo, da se kršijo določbe te uredbe, ali če utemeljeno sumijo, da se bodo kršile;</w:t>
      </w:r>
    </w:p>
    <w:p>
      <w:pPr>
        <w:pStyle w:val="Point1letter"/>
        <w:rPr>
          <w:noProof/>
          <w:szCs w:val="24"/>
        </w:rPr>
      </w:pPr>
      <w:r>
        <w:rPr>
          <w:noProof/>
        </w:rPr>
        <w:t>začasno lahko prekinejo trgovanje na reguliranem trgu ali od zadevnih reguliranih trgov zahtevajo, da začasno prekinejo trgovanje na reguliranem trgu, za največ 10 zaporednih delovnih dni vsakič, ko utemeljeno menijo, da se kršijo določbe te uredbe;</w:t>
      </w:r>
    </w:p>
    <w:p>
      <w:pPr>
        <w:pStyle w:val="Point1letter"/>
        <w:rPr>
          <w:noProof/>
          <w:szCs w:val="24"/>
        </w:rPr>
      </w:pPr>
      <w:r>
        <w:rPr>
          <w:noProof/>
        </w:rPr>
        <w:t>prepovejo lahko trgovanje na reguliranem trgu, če ugotovijo, da se kršijo določbe te uredbe;</w:t>
      </w:r>
    </w:p>
    <w:p>
      <w:pPr>
        <w:pStyle w:val="Point1letter"/>
        <w:rPr>
          <w:noProof/>
          <w:szCs w:val="24"/>
        </w:rPr>
      </w:pPr>
      <w:r>
        <w:rPr>
          <w:noProof/>
        </w:rPr>
        <w:t>objavijo lahko dejstvo, da izdajatelj, ponudnik ali oseba, ki prosi za sprejem v trgovanje, ne izpolnjuje svojih obveznosti;</w:t>
      </w:r>
    </w:p>
    <w:p>
      <w:pPr>
        <w:pStyle w:val="Point1letter"/>
        <w:rPr>
          <w:noProof/>
          <w:szCs w:val="24"/>
        </w:rPr>
      </w:pPr>
      <w:r>
        <w:rPr>
          <w:noProof/>
        </w:rPr>
        <w:t>začasno lahko prekinejo pregled prospekta, predloženega v odobritev, ali javno ponudbo ali sprejem v trgovanje, če pristojni organ izvaja pooblastilo glede uvedbe prepovedi ali omejitve v skladu s členom 42 Uredbe (EU) št. 600/2014 Evropskega parlamenta in Sveta</w:t>
      </w:r>
      <w:r>
        <w:rPr>
          <w:rStyle w:val="FootnoteReference"/>
          <w:noProof/>
        </w:rPr>
        <w:footnoteReference w:id="26"/>
      </w:r>
      <w:r>
        <w:rPr>
          <w:noProof/>
        </w:rPr>
        <w:t>, dokler taka prepoved ali omejitev ne preneha veljati;</w:t>
      </w:r>
    </w:p>
    <w:p>
      <w:pPr>
        <w:pStyle w:val="Point1letter"/>
        <w:rPr>
          <w:noProof/>
          <w:szCs w:val="24"/>
        </w:rPr>
      </w:pPr>
      <w:r>
        <w:rPr>
          <w:noProof/>
        </w:rPr>
        <w:t>zavrnejo lahko odobritev katerega koli prospekta, ki ga pripravi določen izdajatelj, ponudnik ali oseba, ki prosi za sprejem v trgovanje, za največ 5 let, če je ta izdajatelj, ponudnik ali oseba, ki prosi za sprejem v trgovanje, večkrat in resno kršila določbe te uredbe;</w:t>
      </w:r>
    </w:p>
    <w:p>
      <w:pPr>
        <w:pStyle w:val="Point1letter"/>
        <w:rPr>
          <w:noProof/>
          <w:szCs w:val="24"/>
        </w:rPr>
      </w:pPr>
      <w:r>
        <w:rPr>
          <w:noProof/>
        </w:rPr>
        <w:t>razkrijejo lahko vse pomembne informacije, ki lahko vplivajo na oceno vrednostnih papirjev, sprejetih v trgovanje na reguliranih trgih, ali zahtevajo od izdajatelja, da jih razkrije, da se zagotovi zaščita vlagateljev ali neovirano delovanje trga;</w:t>
      </w:r>
    </w:p>
    <w:p>
      <w:pPr>
        <w:pStyle w:val="Point1letter"/>
        <w:rPr>
          <w:noProof/>
          <w:szCs w:val="24"/>
        </w:rPr>
      </w:pPr>
      <w:r>
        <w:rPr>
          <w:noProof/>
        </w:rPr>
        <w:t>začasno lahko prekinejo trgovanje z vrednostmi papirji ali od zadevnega reguliranega trga zahtevajo, da začasno prekine trgovanje z vrednostnimi papirji, če menijo, da je položaj izdajatelja tak, da bi trgovanje škodilo interesom vlagateljev;</w:t>
      </w:r>
    </w:p>
    <w:p>
      <w:pPr>
        <w:pStyle w:val="Point1letter"/>
        <w:rPr>
          <w:noProof/>
          <w:szCs w:val="24"/>
        </w:rPr>
      </w:pPr>
      <w:r>
        <w:rPr>
          <w:noProof/>
        </w:rPr>
        <w:t xml:space="preserve">izvajajo lahko inšpekcijske preglede na kraju samem ali preiskave na krajih, ki niso zasebna prebivališča fizičnih oseb, in za ta namen vstopijo v prostore, da pridobijo dostop do dokumentov in drugih podatkov v kakršni koli obliki, če obstaja utemeljen sum, da so lahko dokumenti in drugi podatki, povezani z zadevo inšpekcijskega pregleda ali preiskave, pomembni za dokazovanje kršitve te uredbe. </w:t>
      </w:r>
    </w:p>
    <w:p>
      <w:pPr>
        <w:pStyle w:val="Text1"/>
        <w:rPr>
          <w:noProof/>
          <w:szCs w:val="24"/>
        </w:rPr>
      </w:pPr>
      <w:r>
        <w:rPr>
          <w:noProof/>
        </w:rPr>
        <w:t>Po potrebi lahko pristojni organ v skladu z nacionalnim pravom zaprosi ustrezni sodni organ, da sprejme odločitev o uporabi pooblastil iz prvega pododstavka. V skladu s členom 21 Uredbe (EU) št. 1095/2010 ima ESMA pravico sodelovati pri inšpekcijskih pregledih na kraju samem iz točke (n), ki jih skupaj izvajata dva pristojna organa ali več pristojnih organov.</w:t>
      </w:r>
    </w:p>
    <w:p>
      <w:pPr>
        <w:pStyle w:val="ManualNumPar1"/>
        <w:rPr>
          <w:noProof/>
        </w:rPr>
      </w:pPr>
      <w:r>
        <w:t>2.</w:t>
      </w:r>
      <w:r>
        <w:tab/>
      </w:r>
      <w:r>
        <w:rPr>
          <w:noProof/>
        </w:rPr>
        <w:t xml:space="preserve">Pristojni organi izvajajo funkcije in pooblastila iz odstavka 1 na katerega koli od naslednjih načinov: </w:t>
      </w:r>
    </w:p>
    <w:p>
      <w:pPr>
        <w:pStyle w:val="Point1letter"/>
        <w:numPr>
          <w:ilvl w:val="3"/>
          <w:numId w:val="66"/>
        </w:numPr>
        <w:rPr>
          <w:noProof/>
        </w:rPr>
      </w:pPr>
      <w:r>
        <w:rPr>
          <w:noProof/>
        </w:rPr>
        <w:t xml:space="preserve">neposredno; </w:t>
      </w:r>
    </w:p>
    <w:p>
      <w:pPr>
        <w:pStyle w:val="Point1letter"/>
        <w:rPr>
          <w:noProof/>
        </w:rPr>
      </w:pPr>
      <w:r>
        <w:rPr>
          <w:noProof/>
        </w:rPr>
        <w:t xml:space="preserve">v sodelovanju z drugimi organi; </w:t>
      </w:r>
    </w:p>
    <w:p>
      <w:pPr>
        <w:pStyle w:val="Point1letter"/>
        <w:rPr>
          <w:noProof/>
        </w:rPr>
      </w:pPr>
      <w:r>
        <w:rPr>
          <w:noProof/>
        </w:rPr>
        <w:t xml:space="preserve">v okviru svoje pristojnosti s prenosom pooblastil na take organe; </w:t>
      </w:r>
    </w:p>
    <w:p>
      <w:pPr>
        <w:pStyle w:val="Point1letter"/>
        <w:rPr>
          <w:noProof/>
        </w:rPr>
      </w:pPr>
      <w:r>
        <w:rPr>
          <w:noProof/>
        </w:rPr>
        <w:t xml:space="preserve">z vložitvijo zahtevka pri pristojnih sodnih organih. </w:t>
      </w:r>
    </w:p>
    <w:p>
      <w:pPr>
        <w:pStyle w:val="ManualNumPar1"/>
        <w:rPr>
          <w:noProof/>
        </w:rPr>
      </w:pPr>
      <w:r>
        <w:t>3.</w:t>
      </w:r>
      <w:r>
        <w:tab/>
      </w:r>
      <w:r>
        <w:rPr>
          <w:noProof/>
        </w:rPr>
        <w:t>Države članice zagotovijo vzpostavitev ustreznih ukrepov, da imajo pristojni organi vsa nadzorna in preiskovalna pooblastila, ki jih potrebujejo za opravljanje svojih nalog.</w:t>
      </w:r>
    </w:p>
    <w:p>
      <w:pPr>
        <w:pStyle w:val="ManualNumPar1"/>
        <w:rPr>
          <w:noProof/>
        </w:rPr>
      </w:pPr>
      <w:r>
        <w:t>4.</w:t>
      </w:r>
      <w:r>
        <w:tab/>
      </w:r>
      <w:r>
        <w:rPr>
          <w:noProof/>
        </w:rPr>
        <w:t>Za osebo, ki v skladu s to uredbo zagotovi informacije pristojnemu organu, se ne šteje, da je kršila kakršne koli omejitve o razkritju informacij, ki so določene s pogodbo ali zakonodajnimi, regulativnimi ali upravnimi določbami, in ne velja kakršna koli odgovornost v zvezi s takim obveščanjem.</w:t>
      </w:r>
    </w:p>
    <w:p>
      <w:pPr>
        <w:pStyle w:val="ManualNumPar1"/>
        <w:rPr>
          <w:noProof/>
        </w:rPr>
      </w:pPr>
      <w:r>
        <w:t>5.</w:t>
      </w:r>
      <w:r>
        <w:tab/>
      </w:r>
      <w:r>
        <w:rPr>
          <w:noProof/>
        </w:rPr>
        <w:t>Odstavki od 1 do 3 ne posegajo v možnost države članice, da uvede ločeno pravno in upravno ureditev za čezmorska evropska ozemlja, za katerih zunanje odnose je odgovorna navedena država članica.</w:t>
      </w:r>
    </w:p>
    <w:p>
      <w:pPr>
        <w:pStyle w:val="Titrearticle"/>
        <w:rPr>
          <w:b/>
          <w:noProof/>
          <w:szCs w:val="24"/>
        </w:rPr>
      </w:pPr>
      <w:r>
        <w:rPr>
          <w:b/>
          <w:i w:val="0"/>
          <w:noProof/>
        </w:rPr>
        <w:t>Člen 31</w:t>
      </w:r>
      <w:r>
        <w:rPr>
          <w:b/>
          <w:i w:val="0"/>
          <w:noProof/>
          <w:szCs w:val="24"/>
        </w:rPr>
        <w:br/>
      </w:r>
      <w:r>
        <w:rPr>
          <w:b/>
          <w:noProof/>
        </w:rPr>
        <w:t xml:space="preserve">Sodelovanje med pristojnimi organi </w:t>
      </w:r>
    </w:p>
    <w:p>
      <w:pPr>
        <w:pStyle w:val="ManualNumPar1"/>
        <w:rPr>
          <w:noProof/>
        </w:rPr>
      </w:pPr>
      <w:r>
        <w:t>1.</w:t>
      </w:r>
      <w:r>
        <w:tab/>
      </w:r>
      <w:r>
        <w:rPr>
          <w:noProof/>
        </w:rPr>
        <w:t>Pristojni organi za namene te uredbe sodelujejo med seboj in z ESMA. Brez nepotrebnega odlašanja si izmenjujejo informacije in sodelujejo pri dejavnostih preiskovanja, nadzora in pregona.</w:t>
      </w:r>
    </w:p>
    <w:p>
      <w:pPr>
        <w:pStyle w:val="Text1"/>
        <w:rPr>
          <w:noProof/>
          <w:szCs w:val="24"/>
        </w:rPr>
      </w:pPr>
      <w:r>
        <w:rPr>
          <w:noProof/>
        </w:rPr>
        <w:t>Če so države članice v skladu s členom 36 sprejele odločitev o določitvi kazenskih sankcij za kršitve določb te uredbe, zagotovijo vzpostavitev ustreznih ukrepov, na podlagi katerih imajo pristojni organi vsa potrebna pooblastila za sodelovanje s sodnimi organi v njihovi pristojnosti, zato da prejemajo specifične informacije, povezane s kazenskimi preiskavami ali postopki, ki se začnejo zaradi morebitnih kršitev te uredbe, in te informacije zagotovijo drugim pristojnim organom in ESMA, da za namene te uredbe izpolnijo svojo obveznost glede medsebojnega sodelovanja in sodelovanja z ESMA.</w:t>
      </w:r>
    </w:p>
    <w:p>
      <w:pPr>
        <w:pStyle w:val="ManualNumPar1"/>
        <w:rPr>
          <w:noProof/>
        </w:rPr>
      </w:pPr>
      <w:r>
        <w:t>2.</w:t>
      </w:r>
      <w:r>
        <w:tab/>
      </w:r>
      <w:r>
        <w:rPr>
          <w:noProof/>
        </w:rPr>
        <w:t xml:space="preserve">Pristojni organ lahko zahtevo za informacije ali zahtevo za sodelovanje v preiskavi zavrne samo v naslednjih izrednih okoliščinah: </w:t>
      </w:r>
    </w:p>
    <w:p>
      <w:pPr>
        <w:pStyle w:val="Point1letter"/>
        <w:numPr>
          <w:ilvl w:val="3"/>
          <w:numId w:val="53"/>
        </w:numPr>
        <w:rPr>
          <w:noProof/>
        </w:rPr>
      </w:pPr>
      <w:r>
        <w:rPr>
          <w:noProof/>
        </w:rPr>
        <w:t xml:space="preserve">če bi izpolnitev zahteve verjetno negativno vplivala na njegovo lastno preiskavo, dejavnosti pregona ali kazensko preiskavo; </w:t>
      </w:r>
    </w:p>
    <w:p>
      <w:pPr>
        <w:pStyle w:val="Point1letter"/>
        <w:numPr>
          <w:ilvl w:val="3"/>
          <w:numId w:val="53"/>
        </w:numPr>
        <w:rPr>
          <w:noProof/>
        </w:rPr>
      </w:pPr>
      <w:r>
        <w:rPr>
          <w:noProof/>
        </w:rPr>
        <w:t>če so se pri organih naslovljene države članice že začeli sodni postopki v zvezi z istimi dejanji in proti istim osebam;</w:t>
      </w:r>
    </w:p>
    <w:p>
      <w:pPr>
        <w:pStyle w:val="Point1letter"/>
        <w:numPr>
          <w:ilvl w:val="3"/>
          <w:numId w:val="53"/>
        </w:numPr>
        <w:rPr>
          <w:noProof/>
        </w:rPr>
      </w:pPr>
      <w:r>
        <w:rPr>
          <w:noProof/>
        </w:rPr>
        <w:t xml:space="preserve">če je bila takim osebam za ista dejanja že izrečena končna sodba v naslovljeni državi članici. </w:t>
      </w:r>
    </w:p>
    <w:p>
      <w:pPr>
        <w:pStyle w:val="ManualNumPar1"/>
        <w:rPr>
          <w:noProof/>
        </w:rPr>
      </w:pPr>
      <w:r>
        <w:t>3.</w:t>
      </w:r>
      <w:r>
        <w:tab/>
      </w:r>
      <w:r>
        <w:rPr>
          <w:noProof/>
        </w:rPr>
        <w:t>Pristojni organi na zahtevo takoj zagotovijo vse informacije, ki so potrebne za namene te uredbe.</w:t>
      </w:r>
    </w:p>
    <w:p>
      <w:pPr>
        <w:pStyle w:val="ManualNumPar1"/>
        <w:rPr>
          <w:noProof/>
        </w:rPr>
      </w:pPr>
      <w:r>
        <w:t>4.</w:t>
      </w:r>
      <w:r>
        <w:tab/>
      </w:r>
      <w:r>
        <w:rPr>
          <w:noProof/>
        </w:rPr>
        <w:t xml:space="preserve">Pristojni organ lahko zahteva pomoč pristojnega organa druge države članice pri inšpekcijskih pregledih ali preiskavah na kraju samem. </w:t>
      </w:r>
    </w:p>
    <w:p>
      <w:pPr>
        <w:pStyle w:val="Text1"/>
        <w:rPr>
          <w:noProof/>
          <w:szCs w:val="24"/>
        </w:rPr>
      </w:pPr>
      <w:r>
        <w:rPr>
          <w:noProof/>
        </w:rPr>
        <w:t xml:space="preserve">Pristojni organ, ki zahteva pomoč, obvesti ESMA o vsaki zahtevi iz prvega pododstavka. ESMA v primeru preiskave ali inšpekcijskega pregleda s čezmejnim učinkom na zahtevo enega od pristojnih organov koordinira preiskavo ali inšpekcijski pregled. </w:t>
      </w:r>
    </w:p>
    <w:p>
      <w:pPr>
        <w:pStyle w:val="Text1"/>
        <w:rPr>
          <w:noProof/>
          <w:szCs w:val="24"/>
        </w:rPr>
      </w:pPr>
      <w:r>
        <w:rPr>
          <w:noProof/>
        </w:rPr>
        <w:t xml:space="preserve">Če pristojni organ prejme zahtevo od pristojnega organa druge države članice za izvedbo inšpekcijskega pregleda ali preiskave na kraju samem, lahko: </w:t>
      </w:r>
    </w:p>
    <w:p>
      <w:pPr>
        <w:pStyle w:val="Point1letter"/>
        <w:numPr>
          <w:ilvl w:val="3"/>
          <w:numId w:val="54"/>
        </w:numPr>
        <w:rPr>
          <w:noProof/>
          <w:szCs w:val="24"/>
        </w:rPr>
      </w:pPr>
      <w:r>
        <w:rPr>
          <w:noProof/>
        </w:rPr>
        <w:t>sam opravi inšpekcijski pregled ali preiskavo na kraju samem;</w:t>
      </w:r>
    </w:p>
    <w:p>
      <w:pPr>
        <w:pStyle w:val="Point1letter"/>
        <w:rPr>
          <w:noProof/>
          <w:szCs w:val="24"/>
        </w:rPr>
      </w:pPr>
      <w:r>
        <w:rPr>
          <w:noProof/>
        </w:rPr>
        <w:t xml:space="preserve">pristojnemu organu, ki je predložil zahtevo, dovoli, da sodeluje v inšpekcijskem pregledu ali preiskavi na kraju samem; </w:t>
      </w:r>
    </w:p>
    <w:p>
      <w:pPr>
        <w:pStyle w:val="Point1letter"/>
        <w:rPr>
          <w:noProof/>
          <w:szCs w:val="24"/>
        </w:rPr>
      </w:pPr>
      <w:r>
        <w:rPr>
          <w:noProof/>
        </w:rPr>
        <w:t xml:space="preserve">pristojnemu organu, ki je predložil zahtevo, dovoli, da sam opravi inšpekcijski pregled ali preiskavo na kraju samem; </w:t>
      </w:r>
    </w:p>
    <w:p>
      <w:pPr>
        <w:pStyle w:val="Point1letter"/>
        <w:rPr>
          <w:noProof/>
          <w:szCs w:val="24"/>
        </w:rPr>
      </w:pPr>
      <w:r>
        <w:rPr>
          <w:noProof/>
        </w:rPr>
        <w:t>imenuje revizorje ali strokovnjake za izvedbo inšpekcijskega pregleda ali preiskave na kraju samem in/ali</w:t>
      </w:r>
    </w:p>
    <w:p>
      <w:pPr>
        <w:pStyle w:val="Point1letter"/>
        <w:rPr>
          <w:noProof/>
          <w:szCs w:val="24"/>
        </w:rPr>
      </w:pPr>
      <w:r>
        <w:rPr>
          <w:noProof/>
        </w:rPr>
        <w:t xml:space="preserve">si deli določene naloge, povezane z nadzornimi dejavnostmi, z drugimi pristojnimi organi. </w:t>
      </w:r>
    </w:p>
    <w:p>
      <w:pPr>
        <w:pStyle w:val="ManualNumPar1"/>
        <w:rPr>
          <w:noProof/>
        </w:rPr>
      </w:pPr>
      <w:r>
        <w:t>5.</w:t>
      </w:r>
      <w:r>
        <w:tab/>
      </w:r>
      <w:r>
        <w:rPr>
          <w:noProof/>
        </w:rPr>
        <w:t xml:space="preserve">Pristojni organi se lahko v primerih, ko je bila zahteva za sodelovanje, zlasti za izmenjavo informacij, zavrnjena ali pa ni bila obravnavana v razumnem roku, obrnejo na ESMA. Brez poseganja v člen 258 Pogodbe o delovanju Evropske unije (PDEU) lahko ESMA v primerih iz prvega stavka ukrepa v skladu s pooblastilom, dodeljenim s členom 19 Uredbe (EU) št. 1095/2010. </w:t>
      </w:r>
    </w:p>
    <w:p>
      <w:pPr>
        <w:pStyle w:val="ManualNumPar1"/>
        <w:rPr>
          <w:noProof/>
        </w:rPr>
      </w:pPr>
      <w:r>
        <w:t>6.</w:t>
      </w:r>
      <w:r>
        <w:tab/>
      </w:r>
      <w:r>
        <w:rPr>
          <w:noProof/>
        </w:rPr>
        <w:t xml:space="preserve">ESMA lahko pripravi osnutke regulativnih tehničnih standardov, da se opredelijo informacije, ki si jih pristojni organi izmenjujejo v skladu z odstavkom 1. </w:t>
      </w:r>
    </w:p>
    <w:p>
      <w:pPr>
        <w:pStyle w:val="Text1"/>
        <w:rPr>
          <w:noProof/>
          <w:szCs w:val="24"/>
        </w:rPr>
      </w:pPr>
      <w:r>
        <w:rPr>
          <w:noProof/>
        </w:rPr>
        <w:t xml:space="preserve">Na Komisijo se prenese pooblastilo za sprejetje regulativnih tehničnih standardov iz prvega pododstavka v skladu s členi od 10 do 14 Uredbe (EU) št. 1095/2010. </w:t>
      </w:r>
    </w:p>
    <w:p>
      <w:pPr>
        <w:pStyle w:val="ManualNumPar1"/>
        <w:rPr>
          <w:noProof/>
        </w:rPr>
      </w:pPr>
      <w:r>
        <w:t>7.</w:t>
      </w:r>
      <w:r>
        <w:tab/>
      </w:r>
      <w:r>
        <w:rPr>
          <w:noProof/>
        </w:rPr>
        <w:t xml:space="preserve">ESMA lahko pripravi osnutke izvedbenih tehničnih standardov, da se določijo standardni obrazci, predloge ali postopki za sodelovanje in izmenjavo informacij med pristojnimi organi. </w:t>
      </w:r>
    </w:p>
    <w:p>
      <w:pPr>
        <w:pStyle w:val="Text1"/>
        <w:rPr>
          <w:noProof/>
          <w:szCs w:val="24"/>
        </w:rPr>
      </w:pPr>
      <w:r>
        <w:rPr>
          <w:noProof/>
        </w:rPr>
        <w:t xml:space="preserve">Na Komisijo se prenese pooblastilo za sprejetje izvedbenih tehničnih standardov iz tretjega pododstavka v skladu s členom 15 Uredbe (EU) št. 1095/2010. </w:t>
      </w:r>
    </w:p>
    <w:p>
      <w:pPr>
        <w:pStyle w:val="Titrearticle"/>
        <w:rPr>
          <w:b/>
          <w:noProof/>
          <w:szCs w:val="24"/>
        </w:rPr>
      </w:pPr>
      <w:r>
        <w:rPr>
          <w:b/>
          <w:i w:val="0"/>
          <w:noProof/>
        </w:rPr>
        <w:t>Člen 32</w:t>
      </w:r>
      <w:r>
        <w:rPr>
          <w:b/>
          <w:i w:val="0"/>
          <w:noProof/>
          <w:szCs w:val="24"/>
        </w:rPr>
        <w:br/>
      </w:r>
      <w:r>
        <w:rPr>
          <w:b/>
          <w:noProof/>
        </w:rPr>
        <w:t>Sodelovanje z organom ESMA</w:t>
      </w:r>
    </w:p>
    <w:p>
      <w:pPr>
        <w:pStyle w:val="ManualNumPar1"/>
        <w:rPr>
          <w:noProof/>
        </w:rPr>
      </w:pPr>
      <w:r>
        <w:t>1.</w:t>
      </w:r>
      <w:r>
        <w:tab/>
      </w:r>
      <w:r>
        <w:rPr>
          <w:noProof/>
        </w:rPr>
        <w:t xml:space="preserve">Za namene te uredbe pristojni organi sodelujejo z ESMA v skladu z Uredbo (EU) št. 1095/2010. </w:t>
      </w:r>
    </w:p>
    <w:p>
      <w:pPr>
        <w:pStyle w:val="ManualNumPar1"/>
        <w:rPr>
          <w:noProof/>
        </w:rPr>
      </w:pPr>
      <w:r>
        <w:t>2.</w:t>
      </w:r>
      <w:r>
        <w:tab/>
      </w:r>
      <w:r>
        <w:rPr>
          <w:noProof/>
        </w:rPr>
        <w:t xml:space="preserve">Pristojni organi v skladu s členom 35 Uredbe (EU) št. 1095/2010 ESMA takoj zagotovijo vse informacije, potrebne za opravljanje nalog. </w:t>
      </w:r>
    </w:p>
    <w:p>
      <w:pPr>
        <w:pStyle w:val="ManualNumPar1"/>
        <w:rPr>
          <w:noProof/>
        </w:rPr>
      </w:pPr>
      <w:r>
        <w:t>3.</w:t>
      </w:r>
      <w:r>
        <w:tab/>
      </w:r>
      <w:r>
        <w:rPr>
          <w:noProof/>
        </w:rPr>
        <w:t>Za zagotovitev enotnih pogojev uporabe tega člena ESMA pripravi osnutke izvedbenih tehničnih standardov, da se določijo postopki in obrazci za izmenjavo informacij iz odstavka 2.</w:t>
      </w:r>
    </w:p>
    <w:p>
      <w:pPr>
        <w:pStyle w:val="Text1"/>
        <w:rPr>
          <w:noProof/>
          <w:szCs w:val="24"/>
        </w:rPr>
      </w:pPr>
      <w:r>
        <w:rPr>
          <w:noProof/>
        </w:rPr>
        <w:t>Na Komisijo se prenese pooblastilo za sprejetje izvedbenih tehničnih standardov iz prvega pododstavka v skladu s členom 15 uredbe (EU) št. 1095/2010.</w:t>
      </w:r>
    </w:p>
    <w:p>
      <w:pPr>
        <w:pStyle w:val="Titrearticle"/>
        <w:rPr>
          <w:b/>
          <w:noProof/>
          <w:szCs w:val="24"/>
        </w:rPr>
      </w:pPr>
      <w:r>
        <w:rPr>
          <w:b/>
          <w:i w:val="0"/>
          <w:noProof/>
        </w:rPr>
        <w:t>Člen 33</w:t>
      </w:r>
      <w:r>
        <w:rPr>
          <w:b/>
          <w:i w:val="0"/>
          <w:noProof/>
          <w:szCs w:val="24"/>
        </w:rPr>
        <w:br/>
      </w:r>
      <w:r>
        <w:rPr>
          <w:b/>
          <w:noProof/>
        </w:rPr>
        <w:t xml:space="preserve">Poslovna skrivnost </w:t>
      </w:r>
    </w:p>
    <w:p>
      <w:pPr>
        <w:pStyle w:val="ManualNumPar1"/>
        <w:rPr>
          <w:noProof/>
        </w:rPr>
      </w:pPr>
      <w:r>
        <w:t>1.</w:t>
      </w:r>
      <w:r>
        <w:tab/>
      </w:r>
      <w:r>
        <w:rPr>
          <w:noProof/>
        </w:rPr>
        <w:t xml:space="preserve">Vse informacije, ki si jih pristojni organi izmenjajo na podlagi te uredbe in ki zadevajo poslovne ali operativne pogoje in druge gospodarske ali osebne zadeve, se obravnavajo kot zaupne in zanje veljajo zahteve o varovanju poslovne skrivnosti, razen če pristojni organ v času njihovega posredovanja navede, da se take informacije lahko razkrijejo, ali če je razkritje potrebno za sodne postopke. </w:t>
      </w:r>
    </w:p>
    <w:p>
      <w:pPr>
        <w:pStyle w:val="ManualNumPar1"/>
        <w:rPr>
          <w:noProof/>
        </w:rPr>
      </w:pPr>
      <w:r>
        <w:t>2.</w:t>
      </w:r>
      <w:r>
        <w:tab/>
      </w:r>
      <w:r>
        <w:rPr>
          <w:noProof/>
        </w:rPr>
        <w:t xml:space="preserve">Obveznost varovanja poslovne skrivnosti velja za vse osebe, ki delajo ali so delale pri pristojnem organu ali katerem koli subjektu, na katerega je pristojni organ prenesel svoja pooblastila. Informacije, ki so poslovna skrivnost, se ne smejo razkriti nobeni drugi osebi ali organu, razen na podlagi določb prava Unije ali nacionalnega prava. </w:t>
      </w:r>
    </w:p>
    <w:p>
      <w:pPr>
        <w:pStyle w:val="Titrearticle"/>
        <w:rPr>
          <w:b/>
          <w:noProof/>
          <w:szCs w:val="24"/>
        </w:rPr>
      </w:pPr>
      <w:r>
        <w:rPr>
          <w:b/>
          <w:i w:val="0"/>
          <w:noProof/>
        </w:rPr>
        <w:t>Člen 34</w:t>
      </w:r>
      <w:r>
        <w:rPr>
          <w:b/>
          <w:i w:val="0"/>
          <w:noProof/>
          <w:szCs w:val="24"/>
        </w:rPr>
        <w:br/>
      </w:r>
      <w:r>
        <w:rPr>
          <w:b/>
          <w:noProof/>
        </w:rPr>
        <w:t>Varstvo podatkov</w:t>
      </w:r>
    </w:p>
    <w:p>
      <w:pPr>
        <w:spacing w:before="0" w:after="200" w:line="276" w:lineRule="auto"/>
        <w:rPr>
          <w:noProof/>
          <w:szCs w:val="24"/>
        </w:rPr>
      </w:pPr>
      <w:r>
        <w:rPr>
          <w:noProof/>
        </w:rPr>
        <w:t xml:space="preserve">Pri obdelavi osebnih podatkov v okviru te uredbe pristojni organi opravljajo svoje naloge za namene te uredbe v skladu z nacionalnimi zakoni in drugimi predpisi za prenos Direktive 95/46/ES. </w:t>
      </w:r>
    </w:p>
    <w:p>
      <w:pPr>
        <w:spacing w:before="0" w:after="200" w:line="276" w:lineRule="auto"/>
        <w:rPr>
          <w:noProof/>
          <w:szCs w:val="24"/>
        </w:rPr>
      </w:pPr>
      <w:r>
        <w:rPr>
          <w:noProof/>
        </w:rPr>
        <w:t xml:space="preserve">ESMA pri obdelavi osebnih podatkov v okviru te uredbe zagotovi skladnost z določbami Uredbe (ES) št. 45/2001. </w:t>
      </w:r>
    </w:p>
    <w:p>
      <w:pPr>
        <w:pStyle w:val="Titrearticle"/>
        <w:rPr>
          <w:b/>
          <w:noProof/>
          <w:szCs w:val="24"/>
        </w:rPr>
      </w:pPr>
      <w:r>
        <w:rPr>
          <w:b/>
          <w:i w:val="0"/>
          <w:noProof/>
        </w:rPr>
        <w:t>Člen 35</w:t>
      </w:r>
      <w:r>
        <w:rPr>
          <w:b/>
          <w:i w:val="0"/>
          <w:noProof/>
          <w:szCs w:val="24"/>
        </w:rPr>
        <w:br/>
      </w:r>
      <w:r>
        <w:rPr>
          <w:b/>
          <w:noProof/>
        </w:rPr>
        <w:t>Ukrepi zavarovanja</w:t>
      </w:r>
    </w:p>
    <w:p>
      <w:pPr>
        <w:pStyle w:val="ManualNumPar1"/>
        <w:rPr>
          <w:noProof/>
        </w:rPr>
      </w:pPr>
      <w:r>
        <w:t>1.</w:t>
      </w:r>
      <w:r>
        <w:tab/>
      </w:r>
      <w:r>
        <w:rPr>
          <w:noProof/>
        </w:rPr>
        <w:t>Če pristojni organ države članice gostiteljice ugotovi nepravilnosti pri izdajatelju, ponudniku ali osebi, ki prosi za sprejem v trgovanje, ali finančnih institucijah, ki so odgovorne za javno ponudbo, ali če so navedene osebe kršile svoje obveznosti iz te uredbe, te ugotovitve posreduje pristojnemu organu matične države članice in ESMA.</w:t>
      </w:r>
    </w:p>
    <w:p>
      <w:pPr>
        <w:pStyle w:val="ManualNumPar1"/>
        <w:rPr>
          <w:noProof/>
        </w:rPr>
      </w:pPr>
      <w:r>
        <w:t>2.</w:t>
      </w:r>
      <w:r>
        <w:tab/>
      </w:r>
      <w:r>
        <w:rPr>
          <w:noProof/>
        </w:rPr>
        <w:t>Če izdajatelj, ponudnik ali oseba, ki prosi za sprejem v trgovanje, ali finančne institucije, ki so odgovorne za javno ponudbo, kljub ukrepom, ki jih je sprejel pristojni organ matične države članice, še naprej kršijo zadevne določbe te uredbe, pristojni organ države članice gostiteljice o tem obvesti pristojni organ matične države članice in ESMA ter nato sprejme vse ustrezne ukrepe, da zaščiti vlagatelje, in o tem takoj obvesti Komisijo in ESMA.</w:t>
      </w:r>
    </w:p>
    <w:p>
      <w:pPr>
        <w:pStyle w:val="ManualNumPar1"/>
        <w:rPr>
          <w:noProof/>
        </w:rPr>
      </w:pPr>
      <w:r>
        <w:t>3.</w:t>
      </w:r>
      <w:r>
        <w:tab/>
      </w:r>
      <w:r>
        <w:rPr>
          <w:noProof/>
        </w:rPr>
        <w:t>ESMA lahko v primerih iz drugega odstavka ukrepa v skladu s pooblastilom, podeljenim s členom 19 Uredbe (EU) št. 1095/2010.</w:t>
      </w:r>
    </w:p>
    <w:p>
      <w:pPr>
        <w:pStyle w:val="SectionTitle"/>
        <w:rPr>
          <w:noProof/>
          <w:sz w:val="24"/>
          <w:szCs w:val="24"/>
        </w:rPr>
      </w:pPr>
      <w:r>
        <w:rPr>
          <w:noProof/>
          <w:sz w:val="24"/>
        </w:rPr>
        <w:t>POGLAVJE VIII</w:t>
      </w:r>
      <w:r>
        <w:rPr>
          <w:noProof/>
          <w:sz w:val="24"/>
          <w:szCs w:val="24"/>
        </w:rPr>
        <w:br/>
      </w:r>
      <w:r>
        <w:rPr>
          <w:noProof/>
          <w:sz w:val="24"/>
        </w:rPr>
        <w:t>UPRAVNI UKREPI IN SANKCIJE</w:t>
      </w:r>
    </w:p>
    <w:p>
      <w:pPr>
        <w:pStyle w:val="Titrearticle"/>
        <w:rPr>
          <w:b/>
          <w:noProof/>
          <w:szCs w:val="24"/>
        </w:rPr>
      </w:pPr>
      <w:r>
        <w:rPr>
          <w:b/>
          <w:i w:val="0"/>
          <w:noProof/>
        </w:rPr>
        <w:t>Člen 36</w:t>
      </w:r>
      <w:r>
        <w:rPr>
          <w:b/>
          <w:i w:val="0"/>
          <w:noProof/>
          <w:szCs w:val="24"/>
        </w:rPr>
        <w:br/>
      </w:r>
      <w:r>
        <w:rPr>
          <w:b/>
          <w:noProof/>
        </w:rPr>
        <w:t>Upravni ukrepi in sankcije</w:t>
      </w:r>
    </w:p>
    <w:p>
      <w:pPr>
        <w:pStyle w:val="ManualNumPar1"/>
        <w:rPr>
          <w:noProof/>
        </w:rPr>
      </w:pPr>
      <w:r>
        <w:t>1.</w:t>
      </w:r>
      <w:r>
        <w:tab/>
      </w:r>
      <w:r>
        <w:rPr>
          <w:noProof/>
        </w:rPr>
        <w:t>Brez poseganja v nadzorna in preiskovalna pooblastila pristojnih organov iz člena 30 in v pravico držav članic, da zagotovijo in naložijo kazenske sankcije, države članice v skladu z nacionalnim pravom zagotovijo, da so pristojni organi pooblaščeni za sprejemanje ustreznih upravnih ukrepov in naložitev upravnih sankcij vsaj za:</w:t>
      </w:r>
    </w:p>
    <w:p>
      <w:pPr>
        <w:pStyle w:val="Point1letter"/>
        <w:numPr>
          <w:ilvl w:val="3"/>
          <w:numId w:val="67"/>
        </w:numPr>
        <w:rPr>
          <w:noProof/>
        </w:rPr>
      </w:pPr>
      <w:r>
        <w:rPr>
          <w:noProof/>
        </w:rPr>
        <w:t>kršitve členov 3, 5 in 6, člena 7(1) do (10), člena 8, člena 9(1) do (13), člena 10, člena 11(1) in (3), člena 12, členov 14(2), 15(1) in (2), 16(1), 17(1) in (3), 18(1) do (3), 19(1), 20(1) do (4) in od (7) do (10), 21(2) do (4), 22(1), (2) in (4) ter člena 25 te uredbe;</w:t>
      </w:r>
    </w:p>
    <w:p>
      <w:pPr>
        <w:pStyle w:val="Point1letter"/>
        <w:numPr>
          <w:ilvl w:val="3"/>
          <w:numId w:val="67"/>
        </w:numPr>
        <w:rPr>
          <w:noProof/>
        </w:rPr>
      </w:pPr>
      <w:r>
        <w:rPr>
          <w:noProof/>
        </w:rPr>
        <w:t>nesodelovanje v preiskavi ali inšpekcijskem pregledu ali zahtevi iz člena 30 ali neupoštevanje tega člena.</w:t>
      </w:r>
    </w:p>
    <w:p>
      <w:pPr>
        <w:pStyle w:val="Text1"/>
        <w:rPr>
          <w:noProof/>
        </w:rPr>
      </w:pPr>
      <w:r>
        <w:rPr>
          <w:noProof/>
        </w:rPr>
        <w:t>Države članice se lahko do [</w:t>
      </w:r>
      <w:r>
        <w:rPr>
          <w:i/>
          <w:noProof/>
        </w:rPr>
        <w:t>vstavite datum, ki je 12 mesecev po datumu začetka veljavnosti</w:t>
      </w:r>
      <w:r>
        <w:rPr>
          <w:noProof/>
        </w:rPr>
        <w:t>] odločijo, da ne bodo določile pravil za upravne sankcije iz prvega pododstavka, če se za kršitve iz točke (a) ali točke (b) navedenega pododstavka že uporabljajo kazenske sankcije iz njihovega nacionalnega prava. V tem primeru države članice Komisijo in ESMA obvestijo o podrobnostih ustreznih delov njihovega kazenskega prava.</w:t>
      </w:r>
    </w:p>
    <w:p>
      <w:pPr>
        <w:pStyle w:val="Text1"/>
        <w:rPr>
          <w:noProof/>
        </w:rPr>
      </w:pPr>
      <w:r>
        <w:rPr>
          <w:noProof/>
        </w:rPr>
        <w:t>Države članice do [</w:t>
      </w:r>
      <w:r>
        <w:rPr>
          <w:i/>
          <w:noProof/>
        </w:rPr>
        <w:t>vstavite datum, ki je 12 mesecev po datumu začetka veljavnosti</w:t>
      </w:r>
      <w:r>
        <w:rPr>
          <w:noProof/>
        </w:rPr>
        <w:t>] obvestijo Komisijo in ESMA o podrobnostih pravil iz prvega in drugega pododstavka. Komisijo in ESMA takoj obvestijo o vseh poznejših spremembah teh pravil.</w:t>
      </w:r>
    </w:p>
    <w:p>
      <w:pPr>
        <w:pStyle w:val="ManualNumPar1"/>
        <w:rPr>
          <w:noProof/>
        </w:rPr>
      </w:pPr>
      <w:r>
        <w:t>2.</w:t>
      </w:r>
      <w:r>
        <w:tab/>
      </w:r>
      <w:r>
        <w:rPr>
          <w:noProof/>
        </w:rPr>
        <w:t xml:space="preserve">Države članice v skladu z nacionalnim pravom zagotovijo, da so pristojni organi v zvezi s kršitvami iz točke (a) odstavka 1 pooblaščeni, da naložijo vsaj naslednje upravne sankcije in ukrepe: </w:t>
      </w:r>
    </w:p>
    <w:p>
      <w:pPr>
        <w:pStyle w:val="Point1letter"/>
        <w:numPr>
          <w:ilvl w:val="3"/>
          <w:numId w:val="68"/>
        </w:numPr>
        <w:rPr>
          <w:noProof/>
        </w:rPr>
      </w:pPr>
      <w:r>
        <w:rPr>
          <w:noProof/>
        </w:rPr>
        <w:t>javno izjavo, v kateri sta navedeni odgovorna fizična ali pravna oseba in narava kršitve;</w:t>
      </w:r>
    </w:p>
    <w:p>
      <w:pPr>
        <w:pStyle w:val="Point1letter"/>
        <w:numPr>
          <w:ilvl w:val="3"/>
          <w:numId w:val="67"/>
        </w:numPr>
        <w:rPr>
          <w:noProof/>
        </w:rPr>
      </w:pPr>
      <w:r>
        <w:rPr>
          <w:noProof/>
        </w:rPr>
        <w:t>odredbo, v skladu s katero mora odgovorna fizična ali pravna oseba prenehati z ravnanjem, ki pomeni kršitev;</w:t>
      </w:r>
    </w:p>
    <w:p>
      <w:pPr>
        <w:pStyle w:val="Point1letter"/>
        <w:numPr>
          <w:ilvl w:val="3"/>
          <w:numId w:val="67"/>
        </w:numPr>
        <w:rPr>
          <w:noProof/>
        </w:rPr>
      </w:pPr>
      <w:r>
        <w:rPr>
          <w:noProof/>
        </w:rPr>
        <w:t xml:space="preserve">najvišje upravne denarne sankcije v višini vsaj dvakratnega zneska pridobljenega dobička ali preprečene izgube zaradi kršitve, če se lahko ugotovita; </w:t>
      </w:r>
    </w:p>
    <w:p>
      <w:pPr>
        <w:pStyle w:val="Point1letter"/>
        <w:numPr>
          <w:ilvl w:val="3"/>
          <w:numId w:val="67"/>
        </w:numPr>
        <w:rPr>
          <w:noProof/>
        </w:rPr>
      </w:pPr>
      <w:r>
        <w:rPr>
          <w:noProof/>
        </w:rPr>
        <w:t>v primeru pravne osebe najvišje upravne denarne sankcije v višini vsaj 5 000 000 EUR ali v državah članicah, katerih valuta ni euro, v ustreznem znesku v nacionalni valuti dne [</w:t>
      </w:r>
      <w:r>
        <w:rPr>
          <w:i/>
          <w:noProof/>
        </w:rPr>
        <w:t>vstavite datum začetka veljavnosti</w:t>
      </w:r>
      <w:r>
        <w:rPr>
          <w:noProof/>
        </w:rPr>
        <w:t xml:space="preserve">] ali 3 % skupnega letnega prometa navedene pravne osebe glede na najnovejše razpoložljive računovodske izkaze, ki jih je odobril organ upravljanja; </w:t>
      </w:r>
    </w:p>
    <w:p>
      <w:pPr>
        <w:pStyle w:val="Text2"/>
        <w:rPr>
          <w:noProof/>
        </w:rPr>
      </w:pPr>
      <w:r>
        <w:rPr>
          <w:noProof/>
        </w:rPr>
        <w:t xml:space="preserve">če je pravna oseba obvladujoče podjetje ali odvisno podjetje obvladujočega podjetja, ki mora pripraviti konsolidirane računovodske izkaze v skladu z Direktivo 2013/34/EU, je zadevni skupni letni promet enak skupnemu letnemu prometu ali ustrezni vrsti prihodka v skladu z relevantnim pravom Unije na področju računovodstva glede na najnovejše razpoložljive konsolidirane računovodske izkaze, ki jih je odobril organ upravljanja končnega obvladujočega podjetja; </w:t>
      </w:r>
    </w:p>
    <w:p>
      <w:pPr>
        <w:pStyle w:val="Point1letter"/>
        <w:rPr>
          <w:noProof/>
          <w:szCs w:val="24"/>
        </w:rPr>
      </w:pPr>
      <w:r>
        <w:rPr>
          <w:noProof/>
        </w:rPr>
        <w:t>v primeru fizične osebe najvišje upravne denarne sankcije v višini vsaj 700 000 EUR ali v državah članicah, katerih valuta ni euro, v ustreznem znesku v nacionalni valuti dne [</w:t>
      </w:r>
      <w:r>
        <w:rPr>
          <w:i/>
          <w:noProof/>
        </w:rPr>
        <w:t>vstavite datum začetka veljavnosti</w:t>
      </w:r>
      <w:r>
        <w:rPr>
          <w:noProof/>
        </w:rPr>
        <w:t xml:space="preserve">]. </w:t>
      </w:r>
    </w:p>
    <w:p>
      <w:pPr>
        <w:pStyle w:val="ManualNumPar1"/>
        <w:rPr>
          <w:noProof/>
        </w:rPr>
      </w:pPr>
      <w:r>
        <w:t>3.</w:t>
      </w:r>
      <w:r>
        <w:tab/>
      </w:r>
      <w:r>
        <w:rPr>
          <w:noProof/>
        </w:rPr>
        <w:t>Države članice lahko določijo dodatne sankcije ali ukrepe in višje upravne kazni, kot so navedene v tej uredbi.</w:t>
      </w:r>
    </w:p>
    <w:p>
      <w:pPr>
        <w:pStyle w:val="Titrearticle"/>
        <w:rPr>
          <w:b/>
          <w:noProof/>
          <w:szCs w:val="24"/>
        </w:rPr>
      </w:pPr>
      <w:r>
        <w:rPr>
          <w:b/>
          <w:i w:val="0"/>
          <w:noProof/>
        </w:rPr>
        <w:t>Člen 37</w:t>
      </w:r>
      <w:r>
        <w:rPr>
          <w:b/>
          <w:i w:val="0"/>
          <w:iCs/>
          <w:noProof/>
          <w:szCs w:val="24"/>
        </w:rPr>
        <w:br/>
      </w:r>
      <w:r>
        <w:rPr>
          <w:b/>
          <w:noProof/>
        </w:rPr>
        <w:t>Izvajanje nadzornih in preiskovalnih pooblastil</w:t>
      </w:r>
    </w:p>
    <w:p>
      <w:pPr>
        <w:pStyle w:val="ManualNumPar1"/>
        <w:rPr>
          <w:noProof/>
        </w:rPr>
      </w:pPr>
      <w:r>
        <w:t>1.</w:t>
      </w:r>
      <w:r>
        <w:tab/>
      </w:r>
      <w:r>
        <w:rPr>
          <w:noProof/>
        </w:rPr>
        <w:t>Pristojni organi pri določanju vrste in ravni upravnih sankcij in ukrepov upoštevajo vse pomembne okoliščine, ki po potrebi vključujejo:</w:t>
      </w:r>
    </w:p>
    <w:p>
      <w:pPr>
        <w:pStyle w:val="Point1letter"/>
        <w:numPr>
          <w:ilvl w:val="3"/>
          <w:numId w:val="69"/>
        </w:numPr>
        <w:rPr>
          <w:noProof/>
          <w:szCs w:val="24"/>
        </w:rPr>
      </w:pPr>
      <w:r>
        <w:rPr>
          <w:noProof/>
        </w:rPr>
        <w:t xml:space="preserve">resnost in trajanje kršitve; </w:t>
      </w:r>
    </w:p>
    <w:p>
      <w:pPr>
        <w:pStyle w:val="Point1letter"/>
        <w:numPr>
          <w:ilvl w:val="3"/>
          <w:numId w:val="69"/>
        </w:numPr>
        <w:rPr>
          <w:noProof/>
          <w:szCs w:val="24"/>
        </w:rPr>
      </w:pPr>
      <w:r>
        <w:rPr>
          <w:noProof/>
        </w:rPr>
        <w:t>stopnjo odgovornosti osebe, odgovorne za kršitev;</w:t>
      </w:r>
    </w:p>
    <w:p>
      <w:pPr>
        <w:pStyle w:val="Point1letter"/>
        <w:numPr>
          <w:ilvl w:val="3"/>
          <w:numId w:val="69"/>
        </w:numPr>
        <w:rPr>
          <w:noProof/>
          <w:szCs w:val="24"/>
        </w:rPr>
      </w:pPr>
      <w:r>
        <w:rPr>
          <w:noProof/>
        </w:rPr>
        <w:t xml:space="preserve">finančno moč osebe, odgovorne za kršitev, kot je prikazana s skupnim prometom odgovorne pravne osebe ali letnim prihodkom in čistim premoženjem odgovorne fizične osebe; </w:t>
      </w:r>
    </w:p>
    <w:p>
      <w:pPr>
        <w:pStyle w:val="Point1letter"/>
        <w:numPr>
          <w:ilvl w:val="3"/>
          <w:numId w:val="69"/>
        </w:numPr>
        <w:rPr>
          <w:noProof/>
          <w:szCs w:val="24"/>
        </w:rPr>
      </w:pPr>
      <w:r>
        <w:rPr>
          <w:noProof/>
        </w:rPr>
        <w:t xml:space="preserve">učinek kršitve na interese malih vlagateljev; </w:t>
      </w:r>
    </w:p>
    <w:p>
      <w:pPr>
        <w:pStyle w:val="Point1letter"/>
        <w:numPr>
          <w:ilvl w:val="3"/>
          <w:numId w:val="69"/>
        </w:numPr>
        <w:rPr>
          <w:noProof/>
          <w:szCs w:val="24"/>
        </w:rPr>
      </w:pPr>
      <w:r>
        <w:rPr>
          <w:noProof/>
        </w:rPr>
        <w:t>pomembnost pridobljenega dobička ali preprečenih izgub osebe, odgovorne za kršitev, ali izgub, ki so jih zaradi kršitve utrpele tretje osebe, če se lahko ugotovijo;</w:t>
      </w:r>
    </w:p>
    <w:p>
      <w:pPr>
        <w:pStyle w:val="Point1letter"/>
        <w:numPr>
          <w:ilvl w:val="3"/>
          <w:numId w:val="69"/>
        </w:numPr>
        <w:rPr>
          <w:noProof/>
          <w:szCs w:val="24"/>
        </w:rPr>
      </w:pPr>
      <w:r>
        <w:rPr>
          <w:noProof/>
        </w:rPr>
        <w:t xml:space="preserve">raven sodelovanja osebe, odgovorne za kršitev, s pristojnim organom, brez poseganja v potrebo po izročitvi pridobljenega dobička ali preprečenih izgub te osebe; </w:t>
      </w:r>
    </w:p>
    <w:p>
      <w:pPr>
        <w:pStyle w:val="Point1letter"/>
        <w:numPr>
          <w:ilvl w:val="3"/>
          <w:numId w:val="69"/>
        </w:numPr>
        <w:rPr>
          <w:noProof/>
          <w:szCs w:val="24"/>
        </w:rPr>
      </w:pPr>
      <w:r>
        <w:rPr>
          <w:noProof/>
        </w:rPr>
        <w:t xml:space="preserve">prejšnje kršitve osebe, odgovorne za kršitev; </w:t>
      </w:r>
    </w:p>
    <w:p>
      <w:pPr>
        <w:pStyle w:val="Point1letter"/>
        <w:rPr>
          <w:noProof/>
          <w:szCs w:val="24"/>
        </w:rPr>
      </w:pPr>
      <w:r>
        <w:rPr>
          <w:noProof/>
        </w:rPr>
        <w:t>ukrepe, ki jih je oseba, odgovorna za kršitev, sprejela po kršitvi za preprečitev ponovitve kršitve.</w:t>
      </w:r>
    </w:p>
    <w:p>
      <w:pPr>
        <w:pStyle w:val="ManualNumPar1"/>
        <w:rPr>
          <w:noProof/>
        </w:rPr>
      </w:pPr>
      <w:r>
        <w:t>2.</w:t>
      </w:r>
      <w:r>
        <w:tab/>
      </w:r>
      <w:r>
        <w:rPr>
          <w:noProof/>
        </w:rPr>
        <w:t>Pristojni organi pri izvajanju pooblastil za naložitev upravnih sankcij in drugih upravnih ukrepov v skladu s členom 36 tesno sodelujejo, da zagotovijo učinkovito in ustrezno izvajanje svojih nadzornih in preiskovalnih pooblastil ter naloženih upravnih sankcij in ukrepov v skladu s to uredbo. Svoje delovanje usklajujejo, da se preprečita podvajanje in prekrivanje pri izvajanju nadzornih in preiskovalnih pooblastil in pri naložitvi upravnih sankcij in ukrepov v čezmejnih primerih.</w:t>
      </w:r>
    </w:p>
    <w:p>
      <w:pPr>
        <w:pStyle w:val="Titrearticle"/>
        <w:rPr>
          <w:b/>
          <w:noProof/>
          <w:szCs w:val="24"/>
        </w:rPr>
      </w:pPr>
      <w:r>
        <w:rPr>
          <w:b/>
          <w:i w:val="0"/>
          <w:noProof/>
        </w:rPr>
        <w:t>Člen 38</w:t>
      </w:r>
      <w:r>
        <w:rPr>
          <w:b/>
          <w:i w:val="0"/>
          <w:noProof/>
          <w:szCs w:val="24"/>
        </w:rPr>
        <w:br/>
      </w:r>
      <w:r>
        <w:rPr>
          <w:b/>
          <w:noProof/>
        </w:rPr>
        <w:t>Pravica do pritožbe</w:t>
      </w:r>
    </w:p>
    <w:p>
      <w:pPr>
        <w:spacing w:before="0" w:after="200" w:line="276" w:lineRule="auto"/>
        <w:rPr>
          <w:noProof/>
          <w:szCs w:val="24"/>
        </w:rPr>
      </w:pPr>
      <w:r>
        <w:rPr>
          <w:noProof/>
        </w:rPr>
        <w:t>Države članice zagotovijo, da so sklepi, sprejeti v skladu s to uredbo, ustrezno utemeljeni in da zanje velja pravica do pritožbe na sodišču.</w:t>
      </w:r>
    </w:p>
    <w:p>
      <w:pPr>
        <w:pStyle w:val="Titrearticle"/>
        <w:rPr>
          <w:b/>
          <w:noProof/>
          <w:szCs w:val="24"/>
        </w:rPr>
      </w:pPr>
      <w:r>
        <w:rPr>
          <w:b/>
          <w:i w:val="0"/>
          <w:noProof/>
        </w:rPr>
        <w:t>Člen 39</w:t>
      </w:r>
      <w:r>
        <w:rPr>
          <w:b/>
          <w:i w:val="0"/>
          <w:noProof/>
          <w:szCs w:val="24"/>
        </w:rPr>
        <w:br/>
      </w:r>
      <w:r>
        <w:rPr>
          <w:b/>
          <w:noProof/>
        </w:rPr>
        <w:t>Prijava kršitev</w:t>
      </w:r>
    </w:p>
    <w:p>
      <w:pPr>
        <w:pStyle w:val="ManualNumPar1"/>
        <w:rPr>
          <w:noProof/>
        </w:rPr>
      </w:pPr>
      <w:r>
        <w:t>1.</w:t>
      </w:r>
      <w:r>
        <w:tab/>
      </w:r>
      <w:r>
        <w:rPr>
          <w:noProof/>
        </w:rPr>
        <w:t xml:space="preserve">Pristojni organi vzpostavijo učinkovite mehanizme za spodbujanje in omogočanje prijave dejanskih ali morebitnih kršitev te uredbe. </w:t>
      </w:r>
    </w:p>
    <w:p>
      <w:pPr>
        <w:pStyle w:val="ManualNumPar1"/>
        <w:rPr>
          <w:noProof/>
        </w:rPr>
      </w:pPr>
      <w:r>
        <w:t>2.</w:t>
      </w:r>
      <w:r>
        <w:tab/>
      </w:r>
      <w:r>
        <w:rPr>
          <w:noProof/>
        </w:rPr>
        <w:t xml:space="preserve">Mehanizmi iz odstavka 1 vključujejo vsaj: </w:t>
      </w:r>
    </w:p>
    <w:p>
      <w:pPr>
        <w:pStyle w:val="Point1letter"/>
        <w:numPr>
          <w:ilvl w:val="3"/>
          <w:numId w:val="55"/>
        </w:numPr>
        <w:rPr>
          <w:noProof/>
        </w:rPr>
      </w:pPr>
      <w:r>
        <w:rPr>
          <w:noProof/>
        </w:rPr>
        <w:t xml:space="preserve">posebne postopke za prejem poročil o dejanskih ali morebitnih kršitvah in njihovo nadaljnje spremljanje, vključno z vzpostavitvijo varnih komunikacijskih kanalov za taka poročila; </w:t>
      </w:r>
    </w:p>
    <w:p>
      <w:pPr>
        <w:pStyle w:val="Point1letter"/>
        <w:numPr>
          <w:ilvl w:val="3"/>
          <w:numId w:val="55"/>
        </w:numPr>
        <w:rPr>
          <w:noProof/>
        </w:rPr>
      </w:pPr>
      <w:r>
        <w:rPr>
          <w:noProof/>
        </w:rPr>
        <w:t xml:space="preserve">ustrezno zaščito zaposlenih, ki so zaposleni na podlagi pogodbe o zaposlitvi in ki prijavijo kršitve, vsaj proti povračilnim ukrepom, diskriminacijo in drugim oblikam nepravične obravnave s strani delodajalca ali tretjih oseb; </w:t>
      </w:r>
    </w:p>
    <w:p>
      <w:pPr>
        <w:pStyle w:val="Point1letter"/>
        <w:numPr>
          <w:ilvl w:val="3"/>
          <w:numId w:val="55"/>
        </w:numPr>
        <w:rPr>
          <w:noProof/>
        </w:rPr>
      </w:pPr>
      <w:r>
        <w:rPr>
          <w:noProof/>
        </w:rPr>
        <w:t xml:space="preserve">varstvo identitete in osebnih podatkov osebe, ki prijavi kršitve, in fizične osebe, ki je domnevno odgovorna za kršitev, v vseh fazah postopka, razen če nacionalno pravo določa tako razkritje pri nadaljnji preiskavi ali v nadaljnjih sodnih postopkih. </w:t>
      </w:r>
    </w:p>
    <w:p>
      <w:pPr>
        <w:pStyle w:val="ManualNumPar1"/>
        <w:rPr>
          <w:noProof/>
        </w:rPr>
      </w:pPr>
      <w:r>
        <w:t>3.</w:t>
      </w:r>
      <w:r>
        <w:tab/>
      </w:r>
      <w:r>
        <w:rPr>
          <w:noProof/>
        </w:rPr>
        <w:t>Države članice lahko za osebe, ki ponudijo pomembne informacije o dejanskih ali morebitnih kršitvah te uredbe, določijo finančne spodbude v skladu z nacionalnim pravom, če za te osebe ne veljajo druge obstoječe pravne ali pogodbene obveznosti glede poročanja takšnih informacij ter če so informacije nove in če se na njihovi podlagi lahko naloži upravna ali kazenska sankcija ali sprejme drug upravni ukrep za kršitev te uredbe.</w:t>
      </w:r>
    </w:p>
    <w:p>
      <w:pPr>
        <w:pStyle w:val="ManualNumPar1"/>
        <w:rPr>
          <w:noProof/>
        </w:rPr>
      </w:pPr>
      <w:r>
        <w:t>4.</w:t>
      </w:r>
      <w:r>
        <w:tab/>
      </w:r>
      <w:r>
        <w:rPr>
          <w:noProof/>
        </w:rPr>
        <w:t xml:space="preserve">Države članice od delodajalcev, ki opravljajo zakonsko urejene dejavnosti v sklopu opravljanja finančnih storitev, zahtevajo, da imajo vzpostavljene ustrezne postopke, pri katerih lahko zaposleni prek posebnega, neodvisnega in avtonomnega kanala interno prijavijo dejanske in morebitne kršitve. </w:t>
      </w:r>
    </w:p>
    <w:p>
      <w:pPr>
        <w:pStyle w:val="Titrearticle"/>
        <w:rPr>
          <w:b/>
          <w:noProof/>
          <w:szCs w:val="24"/>
        </w:rPr>
      </w:pPr>
      <w:r>
        <w:rPr>
          <w:b/>
          <w:i w:val="0"/>
          <w:noProof/>
        </w:rPr>
        <w:t>Člen 40</w:t>
      </w:r>
      <w:r>
        <w:rPr>
          <w:b/>
          <w:i w:val="0"/>
          <w:noProof/>
          <w:szCs w:val="24"/>
        </w:rPr>
        <w:br/>
      </w:r>
      <w:r>
        <w:rPr>
          <w:b/>
          <w:noProof/>
        </w:rPr>
        <w:t>Objava sklepov</w:t>
      </w:r>
    </w:p>
    <w:p>
      <w:pPr>
        <w:pStyle w:val="ManualNumPar1"/>
        <w:rPr>
          <w:noProof/>
        </w:rPr>
      </w:pPr>
      <w:r>
        <w:t>1.</w:t>
      </w:r>
      <w:r>
        <w:tab/>
      </w:r>
      <w:r>
        <w:rPr>
          <w:noProof/>
        </w:rPr>
        <w:t>Pristojni organi objavijo sklep o naložitvi upravne sankcije ali ukrepa zaradi kršitve te uredbe na svojih uradnih spletnih mestih, takoj ko je oseba, ki ji je bila naložena kazen, obveščena o navedenem sklepu. Objavijo se vsaj informacije o vrsti in naravi kršitve ter identiteti odgovornih oseb. Navedena obveznost ne velja za sklepe o uvedbi ukrepov preiskovalne narave.</w:t>
      </w:r>
    </w:p>
    <w:p>
      <w:pPr>
        <w:pStyle w:val="ManualNumPar1"/>
        <w:rPr>
          <w:noProof/>
        </w:rPr>
      </w:pPr>
      <w:r>
        <w:t>2.</w:t>
      </w:r>
      <w:r>
        <w:tab/>
      </w:r>
      <w:r>
        <w:rPr>
          <w:noProof/>
        </w:rPr>
        <w:t xml:space="preserve">Če je objava identitete pravnih oseb oziroma identitete ali osebnih podatkov fizičnih oseb po mnenju pristojnega organa nesorazmerna, pri čemer se sorazmernost objave takih podatkov oceni za vsak posamezni primer, ali če bi taka objava ogrozila stabilnost finančnih trgov ali preiskavo v teku, države članice zagotovijo, da pristojni organi: </w:t>
      </w:r>
    </w:p>
    <w:p>
      <w:pPr>
        <w:pStyle w:val="Point1letter"/>
        <w:numPr>
          <w:ilvl w:val="3"/>
          <w:numId w:val="71"/>
        </w:numPr>
        <w:rPr>
          <w:noProof/>
        </w:rPr>
      </w:pPr>
      <w:r>
        <w:rPr>
          <w:noProof/>
        </w:rPr>
        <w:t xml:space="preserve">odložijo objavo sklepa o naložitvi sankcije ali ukrepa, dokler ni več razlogov za njihovo neobjavo; </w:t>
      </w:r>
    </w:p>
    <w:p>
      <w:pPr>
        <w:pStyle w:val="Point1letter"/>
        <w:rPr>
          <w:noProof/>
        </w:rPr>
      </w:pPr>
      <w:r>
        <w:rPr>
          <w:noProof/>
        </w:rPr>
        <w:t>objavijo sklep o naložitvi sankcije ali ukrepa na anonimni podlagi tako, da se zagotovi skladnost z nacionalnim pravom, če taka anonimna objava zagotavlja učinkovito varstvo zadevnih osebnih podatkov; v primeru sklepa o objavi sankcije ali ukrepa na anonimni podlagi se lahko objava zadevnih podatkov odloži za razumno obdobje, če se predvideva, da v navedenem obdobju ne bo več razlogov za anonimno objavo;</w:t>
      </w:r>
    </w:p>
    <w:p>
      <w:pPr>
        <w:pStyle w:val="Point1letter"/>
        <w:rPr>
          <w:noProof/>
        </w:rPr>
      </w:pPr>
      <w:r>
        <w:rPr>
          <w:noProof/>
        </w:rPr>
        <w:t xml:space="preserve">sklepa o naložitvi sankcije ali ukrepa ne objavijo, če se za možnosti iz točk (a) in (b) šteje, da so nezadostne za zagotovitev, da: </w:t>
      </w:r>
    </w:p>
    <w:p>
      <w:pPr>
        <w:pStyle w:val="Point2"/>
        <w:rPr>
          <w:noProof/>
        </w:rPr>
      </w:pPr>
      <w:r>
        <w:rPr>
          <w:noProof/>
        </w:rPr>
        <w:t>(i)</w:t>
      </w:r>
      <w:r>
        <w:rPr>
          <w:noProof/>
        </w:rPr>
        <w:tab/>
        <w:t xml:space="preserve">stabilnost finančnih trgov ne bo ogrožena; </w:t>
      </w:r>
    </w:p>
    <w:p>
      <w:pPr>
        <w:pStyle w:val="Point2"/>
        <w:rPr>
          <w:noProof/>
          <w:szCs w:val="24"/>
        </w:rPr>
      </w:pPr>
      <w:r>
        <w:rPr>
          <w:noProof/>
        </w:rPr>
        <w:t>(ii)</w:t>
      </w:r>
      <w:r>
        <w:rPr>
          <w:noProof/>
        </w:rPr>
        <w:tab/>
        <w:t>bo objava takih sklepov glede na ukrepe, ki se štejejo za manj pomembne, sorazmerna.</w:t>
      </w:r>
    </w:p>
    <w:p>
      <w:pPr>
        <w:pStyle w:val="ManualNumPar1"/>
        <w:rPr>
          <w:noProof/>
        </w:rPr>
      </w:pPr>
      <w:r>
        <w:t>3.</w:t>
      </w:r>
      <w:r>
        <w:tab/>
      </w:r>
      <w:r>
        <w:rPr>
          <w:noProof/>
        </w:rPr>
        <w:t>Če je sklep o naložitvi sankcije ali ukrepa predmet pritožbe pred ustreznim sodnim organom ali drugimi organi, pristojni organi na svojih uradnih spletnih mestih takoj objavijo tudi te informacije in vse poznejše informacije o rezultatu zadevne pritožbe. Poleg tega se objavi tudi vsak sklep, s katerim se razveljavi predhoden sklep o naložitvi sankcije ali ukrepa.</w:t>
      </w:r>
    </w:p>
    <w:p>
      <w:pPr>
        <w:pStyle w:val="ManualNumPar1"/>
        <w:rPr>
          <w:noProof/>
        </w:rPr>
      </w:pPr>
      <w:r>
        <w:t>4.</w:t>
      </w:r>
      <w:r>
        <w:tab/>
      </w:r>
      <w:r>
        <w:rPr>
          <w:noProof/>
        </w:rPr>
        <w:t>Pristojni organi zagotovijo, da vsaka objava v skladu s tem členom ostane na njihovem uradnem spletnem mestu vsaj pet let. Objavljeni osebni podatki ostanejo na uradnem spletnem mestu pristojnega organa le toliko časa, kot je treba v skladu z veljavnimi predpisi o varstvu podatkov.</w:t>
      </w:r>
    </w:p>
    <w:p>
      <w:pPr>
        <w:pStyle w:val="Titrearticle"/>
        <w:rPr>
          <w:b/>
          <w:noProof/>
          <w:szCs w:val="24"/>
        </w:rPr>
      </w:pPr>
      <w:r>
        <w:rPr>
          <w:b/>
          <w:i w:val="0"/>
          <w:noProof/>
        </w:rPr>
        <w:t>Člen 41</w:t>
      </w:r>
      <w:r>
        <w:rPr>
          <w:b/>
          <w:i w:val="0"/>
          <w:noProof/>
          <w:szCs w:val="24"/>
        </w:rPr>
        <w:br/>
      </w:r>
      <w:r>
        <w:rPr>
          <w:b/>
          <w:noProof/>
        </w:rPr>
        <w:t xml:space="preserve">Poročanje o sankcijah organu ESMA </w:t>
      </w:r>
    </w:p>
    <w:p>
      <w:pPr>
        <w:pStyle w:val="ManualNumPar1"/>
        <w:rPr>
          <w:noProof/>
        </w:rPr>
      </w:pPr>
      <w:r>
        <w:t>1.</w:t>
      </w:r>
      <w:r>
        <w:tab/>
      </w:r>
      <w:r>
        <w:rPr>
          <w:noProof/>
        </w:rPr>
        <w:t>Pristojni organ ESMA vsako leto zagotovi vse informacije o vseh upravnih sankcijah in ukrepih, naloženih v skladu s členom 36. ESMA te informacije objavi v letnem poročilu.</w:t>
      </w:r>
    </w:p>
    <w:p>
      <w:pPr>
        <w:pStyle w:val="Text1"/>
        <w:rPr>
          <w:noProof/>
        </w:rPr>
      </w:pPr>
      <w:r>
        <w:rPr>
          <w:noProof/>
        </w:rPr>
        <w:t>Če so države članice v skladu s členom 36(1) sprejele odločitev o določitvi kazenskih sankcij za kršitve določb iz člena 36(1), njihovi pristojni organi ESMA vsako leto zagotovijo anonimizirane in zbrane podatke o vseh opravljenih kazenskih preiskavah in naloženih kazenskih sankcijah. ESMA podatke o naloženih kazenskih sankcijah objavi v letnem poročilu.</w:t>
      </w:r>
    </w:p>
    <w:p>
      <w:pPr>
        <w:pStyle w:val="ManualNumPar1"/>
        <w:rPr>
          <w:noProof/>
        </w:rPr>
      </w:pPr>
      <w:r>
        <w:t>2.</w:t>
      </w:r>
      <w:r>
        <w:tab/>
      </w:r>
      <w:r>
        <w:rPr>
          <w:noProof/>
        </w:rPr>
        <w:t xml:space="preserve">Če pristojni organ javno razkrije upravne ali kazenske sankcije ali druge upravne ukrepe javnosti, o njih istočasno obvesti tudi ESMA. </w:t>
      </w:r>
    </w:p>
    <w:p>
      <w:pPr>
        <w:pStyle w:val="ManualNumPar1"/>
        <w:rPr>
          <w:noProof/>
        </w:rPr>
      </w:pPr>
      <w:r>
        <w:t>3.</w:t>
      </w:r>
      <w:r>
        <w:tab/>
      </w:r>
      <w:r>
        <w:rPr>
          <w:noProof/>
        </w:rPr>
        <w:t>Pristojni organi obvestijo ESMA o vseh upravnih sankcijah ali ukrepih, ki so bili naloženi, vendar niso bili objavljeni v skladu s členom 40(2)(c), vključno z vsako pritožbo v zvezi z njimi in njenim rezultatom. Države članice zagotovijo, da pristojni organi prejmejo informacije in končno sodbo v zvezi z vsemi naloženimi kazenskimi sankcijami ter jih predložijo ESMA. ESMA vzdržuje centralno zbirko podatkov o sankcijah, o katerih je bila obveščena, izključno za namene izmenjave informacij med pristojnimi organi. Do te zbirke podatkov imajo dostop samo pristojni organi, posodablja pa se na podlagi informacij, ki jih zagotovijo pristojni organi.</w:t>
      </w:r>
    </w:p>
    <w:p>
      <w:pPr>
        <w:pStyle w:val="SectionTitle"/>
        <w:rPr>
          <w:noProof/>
          <w:sz w:val="24"/>
          <w:szCs w:val="24"/>
        </w:rPr>
      </w:pPr>
      <w:r>
        <w:rPr>
          <w:noProof/>
          <w:sz w:val="24"/>
        </w:rPr>
        <w:t>POGLAVJE IX</w:t>
      </w:r>
      <w:r>
        <w:rPr>
          <w:noProof/>
          <w:sz w:val="24"/>
          <w:szCs w:val="24"/>
        </w:rPr>
        <w:br/>
      </w:r>
      <w:r>
        <w:rPr>
          <w:noProof/>
          <w:sz w:val="24"/>
        </w:rPr>
        <w:t>DELEGIRANI IN IZVEDBENI AKTI</w:t>
      </w:r>
    </w:p>
    <w:p>
      <w:pPr>
        <w:pStyle w:val="Titrearticle"/>
        <w:rPr>
          <w:b/>
          <w:noProof/>
          <w:szCs w:val="24"/>
        </w:rPr>
      </w:pPr>
      <w:r>
        <w:rPr>
          <w:b/>
          <w:i w:val="0"/>
          <w:noProof/>
        </w:rPr>
        <w:t>Člen 42</w:t>
      </w:r>
      <w:r>
        <w:rPr>
          <w:b/>
          <w:i w:val="0"/>
          <w:noProof/>
          <w:szCs w:val="24"/>
        </w:rPr>
        <w:br/>
      </w:r>
      <w:r>
        <w:rPr>
          <w:b/>
          <w:noProof/>
        </w:rPr>
        <w:t>Izvajanje pooblastila</w:t>
      </w:r>
    </w:p>
    <w:p>
      <w:pPr>
        <w:pStyle w:val="ManualNumPar1"/>
        <w:rPr>
          <w:noProof/>
        </w:rPr>
      </w:pPr>
      <w:r>
        <w:t>1.</w:t>
      </w:r>
      <w:r>
        <w:tab/>
      </w:r>
      <w:r>
        <w:rPr>
          <w:noProof/>
        </w:rPr>
        <w:t>Pooblastilo za sprejetje delegiranih aktov se prenese na Komisijo pod pogoji, določenimi v tem členu.</w:t>
      </w:r>
    </w:p>
    <w:p>
      <w:pPr>
        <w:pStyle w:val="ManualNumPar1"/>
        <w:rPr>
          <w:noProof/>
        </w:rPr>
      </w:pPr>
      <w:r>
        <w:t>2.</w:t>
      </w:r>
      <w:r>
        <w:tab/>
      </w:r>
      <w:r>
        <w:rPr>
          <w:noProof/>
        </w:rPr>
        <w:t>Na Komisijo se za nedoločen čas od [</w:t>
      </w:r>
      <w:r>
        <w:rPr>
          <w:i/>
          <w:noProof/>
        </w:rPr>
        <w:t>vstavite datum začetka veljavnosti</w:t>
      </w:r>
      <w:r>
        <w:rPr>
          <w:noProof/>
        </w:rPr>
        <w:t>] prenese pooblastilo iz členov 1(5) in (6), 2(2), 9(14), 13(1) in (2), 14(3), 15(3), 17(5), 19(10), 21(6) in 27(3).</w:t>
      </w:r>
    </w:p>
    <w:p>
      <w:pPr>
        <w:pStyle w:val="ManualNumPar1"/>
        <w:rPr>
          <w:noProof/>
        </w:rPr>
      </w:pPr>
      <w:r>
        <w:t>3.</w:t>
      </w:r>
      <w:r>
        <w:tab/>
      </w:r>
      <w:r>
        <w:rPr>
          <w:noProof/>
        </w:rPr>
        <w:t xml:space="preserve">Pooblastila iz členov 1(5) in (6), 2(2), 9(14), 13(1) in (2), 14(3), 15(3), 17(5), 19(10), 21(6) in 27(3) lahko kadar koli prekliče Evropski parlament ali Svet. S sklepom o preklicu preneha veljati prenos pooblastila iz navedenega sklepa. Preklic začne veljati dan po objavi sklepa v </w:t>
      </w:r>
      <w:r>
        <w:rPr>
          <w:i/>
          <w:noProof/>
        </w:rPr>
        <w:t>Uradnem listu Evropske unije</w:t>
      </w:r>
      <w:r>
        <w:rPr>
          <w:noProof/>
        </w:rPr>
        <w:t xml:space="preserve"> ali na poznejši datum, ki je določen v njem. Sklep ne vpliva na veljavnost že veljavnih delegiranih aktov.</w:t>
      </w:r>
    </w:p>
    <w:p>
      <w:pPr>
        <w:pStyle w:val="ManualNumPar1"/>
        <w:rPr>
          <w:noProof/>
        </w:rPr>
      </w:pPr>
      <w:r>
        <w:t>4.</w:t>
      </w:r>
      <w:r>
        <w:tab/>
      </w:r>
      <w:r>
        <w:rPr>
          <w:noProof/>
        </w:rPr>
        <w:t>Komisija takoj po sprejetju delegiranega akta o njem sočasno uradno obvesti Evropski parlament in Svet.</w:t>
      </w:r>
    </w:p>
    <w:p>
      <w:pPr>
        <w:pStyle w:val="ManualNumPar1"/>
        <w:rPr>
          <w:noProof/>
        </w:rPr>
      </w:pPr>
      <w:r>
        <w:t>5.</w:t>
      </w:r>
      <w:r>
        <w:tab/>
      </w:r>
      <w:r>
        <w:rPr>
          <w:noProof/>
        </w:rPr>
        <w:t>Delegirani akt, sprejet v skladu s členi 1(5) in (6), 2(2), 9(14), 13(1) in (2), 14(3), 15(3), 17(5), 19(10), 21(6) in 27(3), začne veljati samo, če niti Evropski parlament niti Svet ne nasprotuje delegiranemu aktu v roku treh mesecev od uradnega obvestila Evropskemu parlamentu in Svetu o tem aktu ali če sta pred iztekom tega roka tako Evropski parlament kot Svet obvestila Komisijo, da mu ne bosta nasprotovala. Ta rok se na pobudo Evropskega parlamenta ali Sveta podaljša za tri mesece.</w:t>
      </w:r>
    </w:p>
    <w:p>
      <w:pPr>
        <w:pStyle w:val="Titrearticle"/>
        <w:rPr>
          <w:noProof/>
        </w:rPr>
      </w:pPr>
      <w:r>
        <w:rPr>
          <w:b/>
          <w:i w:val="0"/>
          <w:noProof/>
        </w:rPr>
        <w:t>Člen 43</w:t>
      </w:r>
      <w:r>
        <w:rPr>
          <w:b/>
          <w:i w:val="0"/>
          <w:noProof/>
          <w:szCs w:val="24"/>
        </w:rPr>
        <w:br/>
      </w:r>
      <w:r>
        <w:rPr>
          <w:b/>
          <w:noProof/>
        </w:rPr>
        <w:t>Postopek v odboru</w:t>
      </w:r>
    </w:p>
    <w:p>
      <w:pPr>
        <w:pStyle w:val="ManualNumPar1"/>
        <w:rPr>
          <w:noProof/>
        </w:rPr>
      </w:pPr>
      <w:r>
        <w:t>1.</w:t>
      </w:r>
      <w:r>
        <w:tab/>
      </w:r>
      <w:r>
        <w:rPr>
          <w:noProof/>
        </w:rPr>
        <w:t>Komisiji pomaga Evropski odbor za vrednostne papirje, ustanovljen s Sklepom Komisije 2001/528/ES</w:t>
      </w:r>
      <w:r>
        <w:rPr>
          <w:rStyle w:val="FootnoteReference"/>
          <w:noProof/>
        </w:rPr>
        <w:footnoteReference w:id="27"/>
      </w:r>
      <w:r>
        <w:rPr>
          <w:noProof/>
        </w:rPr>
        <w:t>. Ta odbor je odbor v smislu Uredbe (EU) št. 182/2011.</w:t>
      </w:r>
    </w:p>
    <w:p>
      <w:pPr>
        <w:pStyle w:val="ManualNumPar1"/>
        <w:rPr>
          <w:noProof/>
        </w:rPr>
      </w:pPr>
      <w:r>
        <w:t>2.</w:t>
      </w:r>
      <w:r>
        <w:tab/>
      </w:r>
      <w:r>
        <w:rPr>
          <w:noProof/>
        </w:rPr>
        <w:t>Pri sklicevanju na ta odstavek se uporablja člen 5 Uredbe (EU) št. 182/2011.</w:t>
      </w:r>
    </w:p>
    <w:p>
      <w:pPr>
        <w:pStyle w:val="SectionTitle"/>
        <w:rPr>
          <w:noProof/>
          <w:sz w:val="24"/>
          <w:szCs w:val="24"/>
        </w:rPr>
      </w:pPr>
      <w:r>
        <w:rPr>
          <w:noProof/>
          <w:sz w:val="24"/>
        </w:rPr>
        <w:t>POGLAVJE X</w:t>
      </w:r>
      <w:r>
        <w:rPr>
          <w:noProof/>
          <w:sz w:val="24"/>
          <w:szCs w:val="24"/>
        </w:rPr>
        <w:br/>
      </w:r>
      <w:r>
        <w:rPr>
          <w:noProof/>
          <w:sz w:val="24"/>
        </w:rPr>
        <w:t>KONČNE DOLOČBE</w:t>
      </w:r>
    </w:p>
    <w:p>
      <w:pPr>
        <w:pStyle w:val="Titrearticle"/>
        <w:rPr>
          <w:b/>
          <w:noProof/>
          <w:szCs w:val="24"/>
        </w:rPr>
      </w:pPr>
      <w:r>
        <w:rPr>
          <w:b/>
          <w:i w:val="0"/>
          <w:noProof/>
        </w:rPr>
        <w:t>Člen 44</w:t>
      </w:r>
      <w:r>
        <w:rPr>
          <w:b/>
          <w:i w:val="0"/>
          <w:noProof/>
          <w:szCs w:val="24"/>
        </w:rPr>
        <w:br/>
      </w:r>
      <w:r>
        <w:rPr>
          <w:b/>
          <w:noProof/>
        </w:rPr>
        <w:t>Razveljavitev</w:t>
      </w:r>
    </w:p>
    <w:p>
      <w:pPr>
        <w:pStyle w:val="ManualNumPar1"/>
        <w:rPr>
          <w:noProof/>
        </w:rPr>
      </w:pPr>
      <w:r>
        <w:t>1.</w:t>
      </w:r>
      <w:r>
        <w:tab/>
      </w:r>
      <w:r>
        <w:rPr>
          <w:noProof/>
        </w:rPr>
        <w:t>Direktiva 2003/71/ES se razveljavi z učinkom od [</w:t>
      </w:r>
      <w:r>
        <w:rPr>
          <w:i/>
          <w:noProof/>
        </w:rPr>
        <w:t>vstavite datum začetka uporabe</w:t>
      </w:r>
      <w:r>
        <w:rPr>
          <w:noProof/>
        </w:rPr>
        <w:t>].</w:t>
      </w:r>
    </w:p>
    <w:p>
      <w:pPr>
        <w:pStyle w:val="ManualNumPar1"/>
        <w:rPr>
          <w:noProof/>
        </w:rPr>
      </w:pPr>
      <w:r>
        <w:t>2.</w:t>
      </w:r>
      <w:r>
        <w:tab/>
      </w:r>
      <w:r>
        <w:rPr>
          <w:noProof/>
        </w:rPr>
        <w:t>Sklicevanja na Direktivo 2003/71/ES se štejejo za sklicevanja na to uredbo in se berejo v skladu s korelacijsko tabelo iz Priloge IV k tej uredbi.</w:t>
      </w:r>
    </w:p>
    <w:p>
      <w:pPr>
        <w:pStyle w:val="ManualNumPar1"/>
        <w:rPr>
          <w:noProof/>
        </w:rPr>
      </w:pPr>
      <w:r>
        <w:t>3.</w:t>
      </w:r>
      <w:r>
        <w:tab/>
      </w:r>
      <w:r>
        <w:rPr>
          <w:noProof/>
        </w:rPr>
        <w:t>Sklicevanja na tretji in četrti pododstavek člena 4(1) Direktive 2003/71/ES in drugi pododstavek točke (a) člena 25(4) Direktive 2014/65/EU se še naprej uporabljajo za namen opredelitve pojma enakovrednega trga tretje države iz Direktive 2014/65/EU.</w:t>
      </w:r>
    </w:p>
    <w:p>
      <w:pPr>
        <w:pStyle w:val="ManualNumPar1"/>
        <w:rPr>
          <w:noProof/>
        </w:rPr>
      </w:pPr>
      <w:r>
        <w:t>4.</w:t>
      </w:r>
      <w:r>
        <w:tab/>
      </w:r>
      <w:r>
        <w:rPr>
          <w:noProof/>
        </w:rPr>
        <w:t>Prospekte, odobrene v skladu z nacionalnimi zakoni za prenos Direktive 2003/71/ES pred [</w:t>
      </w:r>
      <w:r>
        <w:rPr>
          <w:i/>
          <w:noProof/>
        </w:rPr>
        <w:t>vstavite datum začetka uporabe te uredbe</w:t>
      </w:r>
      <w:r>
        <w:rPr>
          <w:noProof/>
        </w:rPr>
        <w:t>], še naprej ureja navedeni nacionalni zakon do konca njihove veljavnosti ali pa do dvanajst mesecev po [</w:t>
      </w:r>
      <w:r>
        <w:rPr>
          <w:i/>
          <w:noProof/>
        </w:rPr>
        <w:t>vstavite datum začetka uporabe te uredbe</w:t>
      </w:r>
      <w:r>
        <w:rPr>
          <w:noProof/>
        </w:rPr>
        <w:t>], odvisno od tega, kaj nastopi prej.</w:t>
      </w:r>
    </w:p>
    <w:p>
      <w:pPr>
        <w:pStyle w:val="Titrearticle"/>
        <w:rPr>
          <w:b/>
          <w:noProof/>
          <w:szCs w:val="24"/>
        </w:rPr>
      </w:pPr>
      <w:r>
        <w:rPr>
          <w:b/>
          <w:i w:val="0"/>
          <w:noProof/>
        </w:rPr>
        <w:t>Člen 45</w:t>
      </w:r>
      <w:r>
        <w:rPr>
          <w:b/>
          <w:i w:val="0"/>
          <w:noProof/>
          <w:szCs w:val="24"/>
        </w:rPr>
        <w:br/>
      </w:r>
      <w:r>
        <w:rPr>
          <w:b/>
          <w:noProof/>
        </w:rPr>
        <w:t xml:space="preserve">Poročilo organa ESMA o prospektih </w:t>
      </w:r>
    </w:p>
    <w:p>
      <w:pPr>
        <w:pStyle w:val="ManualNumPar1"/>
        <w:rPr>
          <w:noProof/>
        </w:rPr>
      </w:pPr>
      <w:r>
        <w:t>1.</w:t>
      </w:r>
      <w:r>
        <w:tab/>
      </w:r>
      <w:r>
        <w:rPr>
          <w:noProof/>
        </w:rPr>
        <w:t>Na podlagi dokumentov, ki se objavijo prek mehanizma iz člena 20(6), ESMA vsako leto objavi poročilo s statističnimi podatki o odobrenih in priglašenih prospektih v Uniji ter analizo trendov, pri čemer se upoštevajo vrste izdajateljev, zlasti MSP, in vrste izdaj, zlasti vrednost ponudbe, vrsta prenosljivih vrednostnih papirjev, vrsta mesta trgovanja in nominalna vrednost.</w:t>
      </w:r>
    </w:p>
    <w:p>
      <w:pPr>
        <w:pStyle w:val="ManualNumPar1"/>
        <w:rPr>
          <w:noProof/>
        </w:rPr>
      </w:pPr>
      <w:r>
        <w:t>2.</w:t>
      </w:r>
      <w:r>
        <w:tab/>
      </w:r>
      <w:r>
        <w:rPr>
          <w:noProof/>
        </w:rPr>
        <w:t>To poročilo vsebuje zlasti:</w:t>
      </w:r>
    </w:p>
    <w:p>
      <w:pPr>
        <w:pStyle w:val="Point1letter"/>
        <w:numPr>
          <w:ilvl w:val="3"/>
          <w:numId w:val="79"/>
        </w:numPr>
        <w:rPr>
          <w:noProof/>
        </w:rPr>
      </w:pPr>
      <w:r>
        <w:rPr>
          <w:noProof/>
        </w:rPr>
        <w:t>analizo obsega, v katerem se ureditvi za razkritja iz členov 14 in 15 ter univerzalni registracijski dokument iz člena 9 uporabljajo v Uniji;</w:t>
      </w:r>
    </w:p>
    <w:p>
      <w:pPr>
        <w:pStyle w:val="Point1letter"/>
        <w:rPr>
          <w:noProof/>
        </w:rPr>
      </w:pPr>
      <w:r>
        <w:rPr>
          <w:noProof/>
        </w:rPr>
        <w:t>statistične podatke o osnovnih prospektih in končnih pogojih ter prospektih, ki se pripravijo kot ločeni dokumenti ali en dokument;</w:t>
      </w:r>
    </w:p>
    <w:p>
      <w:pPr>
        <w:pStyle w:val="Point1letter"/>
        <w:rPr>
          <w:noProof/>
        </w:rPr>
      </w:pPr>
      <w:r>
        <w:rPr>
          <w:noProof/>
        </w:rPr>
        <w:t>statistične podatke o povprečnih in skupnih zneskih, ki so jih z javno ponudbo vrednostnih papirjev v skladu s to uredbo zbrala podjetja, ki ne kotirajo na borzi, podjetja, z vrednostnimi papirji katerih se trguje v večstranskih sistemih trgovanja, vključno na zagonskih trgih MSP, in podjetja, katerih vrednostni papirji so sprejeti v trgovanje na reguliranih trgih. Po potrebi taki statistični podatki zagotavljajo razčlenitev med prvimi javnimi ponudbami in nadaljnjimi ponudbami ter med lastniškimi in nelastniškimi vrednostnimi papirji.</w:t>
      </w:r>
    </w:p>
    <w:p>
      <w:pPr>
        <w:pStyle w:val="Titrearticle"/>
        <w:rPr>
          <w:b/>
          <w:noProof/>
          <w:szCs w:val="24"/>
        </w:rPr>
      </w:pPr>
      <w:r>
        <w:rPr>
          <w:b/>
          <w:i w:val="0"/>
          <w:noProof/>
        </w:rPr>
        <w:t>Člen 46</w:t>
      </w:r>
      <w:r>
        <w:rPr>
          <w:b/>
          <w:i w:val="0"/>
          <w:noProof/>
          <w:szCs w:val="24"/>
        </w:rPr>
        <w:br/>
      </w:r>
      <w:r>
        <w:rPr>
          <w:b/>
          <w:noProof/>
        </w:rPr>
        <w:t>Pregled</w:t>
      </w:r>
    </w:p>
    <w:p>
      <w:pPr>
        <w:spacing w:before="0" w:after="200" w:line="276" w:lineRule="auto"/>
        <w:rPr>
          <w:noProof/>
          <w:szCs w:val="24"/>
        </w:rPr>
      </w:pPr>
      <w:r>
        <w:rPr>
          <w:noProof/>
        </w:rPr>
        <w:t>Komisija pred [</w:t>
      </w:r>
      <w:r>
        <w:rPr>
          <w:i/>
          <w:noProof/>
        </w:rPr>
        <w:t>vstavite datum, ki je 5 let po datumu začetka veljavnosti</w:t>
      </w:r>
      <w:r>
        <w:rPr>
          <w:noProof/>
        </w:rPr>
        <w:t>] Evropskemu parlamentu in Svetu predstavi poročilo o uporabi te uredbe, ki mu po potrebi priloži zakonodajni predlog.</w:t>
      </w:r>
    </w:p>
    <w:p>
      <w:pPr>
        <w:spacing w:before="0" w:after="200" w:line="276" w:lineRule="auto"/>
        <w:rPr>
          <w:noProof/>
          <w:szCs w:val="24"/>
        </w:rPr>
      </w:pPr>
      <w:r>
        <w:rPr>
          <w:noProof/>
        </w:rPr>
        <w:t>V tem poročilu je med drugim ocenjeno, ali izvleček prospekta, ureditvi za razkritja iz členov 14 in 15 in univerzalni registracijski dokument iz člena 9 ustrezajo svojim ciljem. V poročilu se upoštevajo rezultati strokovnega pregleda iz člena 19(12).</w:t>
      </w:r>
    </w:p>
    <w:p>
      <w:pPr>
        <w:pStyle w:val="Titrearticle"/>
        <w:rPr>
          <w:b/>
          <w:noProof/>
          <w:szCs w:val="24"/>
        </w:rPr>
      </w:pPr>
      <w:r>
        <w:rPr>
          <w:b/>
          <w:i w:val="0"/>
          <w:noProof/>
        </w:rPr>
        <w:t>Člen 47</w:t>
      </w:r>
      <w:r>
        <w:rPr>
          <w:b/>
          <w:i w:val="0"/>
          <w:noProof/>
          <w:szCs w:val="24"/>
        </w:rPr>
        <w:br/>
      </w:r>
      <w:r>
        <w:rPr>
          <w:b/>
          <w:noProof/>
        </w:rPr>
        <w:t>Začetek veljavnosti in uporaba</w:t>
      </w:r>
    </w:p>
    <w:p>
      <w:pPr>
        <w:pStyle w:val="ManualNumPar1"/>
        <w:rPr>
          <w:noProof/>
        </w:rPr>
      </w:pPr>
      <w:r>
        <w:t>1.</w:t>
      </w:r>
      <w:r>
        <w:tab/>
      </w:r>
      <w:r>
        <w:rPr>
          <w:noProof/>
        </w:rPr>
        <w:t xml:space="preserve">Ta uredba začne veljati dvajseti dan po objavi v </w:t>
      </w:r>
      <w:r>
        <w:rPr>
          <w:i/>
          <w:noProof/>
        </w:rPr>
        <w:t>Uradnem listu Evropske unije.</w:t>
      </w:r>
    </w:p>
    <w:p>
      <w:pPr>
        <w:pStyle w:val="ManualNumPar1"/>
        <w:rPr>
          <w:noProof/>
        </w:rPr>
      </w:pPr>
      <w:r>
        <w:t>2.</w:t>
      </w:r>
      <w:r>
        <w:tab/>
      </w:r>
      <w:r>
        <w:rPr>
          <w:noProof/>
        </w:rPr>
        <w:t>Uporablja se od [vstavite datum, ki je 12 mesecev po datumu začetka veljavnosti].</w:t>
      </w:r>
    </w:p>
    <w:p>
      <w:pPr>
        <w:pStyle w:val="ManualNumPar1"/>
        <w:rPr>
          <w:noProof/>
        </w:rPr>
      </w:pPr>
      <w:r>
        <w:t>3.</w:t>
      </w:r>
      <w:r>
        <w:tab/>
      </w:r>
      <w:r>
        <w:rPr>
          <w:noProof/>
        </w:rPr>
        <w:t>Države članice do [</w:t>
      </w:r>
      <w:r>
        <w:rPr>
          <w:i/>
          <w:noProof/>
        </w:rPr>
        <w:t>vstavite datum, ki je 12 mesecev po datumu začetka veljavnosti</w:t>
      </w:r>
      <w:r>
        <w:rPr>
          <w:noProof/>
        </w:rPr>
        <w:t>] sprejmejo potrebne ukrepe za zagotavljanje skladnosti s členom 11, členom 19(8) ter členi 29, 30, 36, 37, 38, 39, 40 in 41.</w:t>
      </w:r>
    </w:p>
    <w:p>
      <w:pPr>
        <w:pStyle w:val="Applicationdirecte"/>
        <w:rPr>
          <w:noProof/>
          <w:color w:val="000000"/>
          <w:szCs w:val="24"/>
        </w:rPr>
      </w:pPr>
      <w:r>
        <w:rPr>
          <w:noProof/>
        </w:rPr>
        <w:t>Ta uredba je zavezujoča v celoti in se neposredno uporablja v vseh državah članicah.</w:t>
      </w:r>
    </w:p>
    <w:p>
      <w:pPr>
        <w:pStyle w:val="Fait"/>
        <w:rPr>
          <w:noProof/>
        </w:rPr>
      </w:pPr>
      <w:r>
        <w:rPr>
          <w:noProof/>
        </w:rPr>
        <w:t>V Bruslju,</w:t>
      </w:r>
    </w:p>
    <w:p>
      <w:pPr>
        <w:pStyle w:val="Institutionquisigne"/>
        <w:rPr>
          <w:noProof/>
          <w:szCs w:val="24"/>
        </w:rPr>
      </w:pPr>
      <w:r>
        <w:rPr>
          <w:noProof/>
        </w:rPr>
        <w:t>Za Evropski parlament</w:t>
      </w:r>
      <w:r>
        <w:rPr>
          <w:noProof/>
        </w:rPr>
        <w:tab/>
        <w:t>Za Svet</w:t>
      </w:r>
    </w:p>
    <w:p>
      <w:pPr>
        <w:pStyle w:val="Personnequisigne"/>
        <w:rPr>
          <w:noProof/>
          <w:szCs w:val="24"/>
        </w:rPr>
      </w:pPr>
      <w:r>
        <w:rPr>
          <w:noProof/>
        </w:rPr>
        <w:t>Predsednik</w:t>
      </w:r>
      <w:r>
        <w:rPr>
          <w:noProof/>
        </w:rPr>
        <w:tab/>
        <w:t>Predsednik</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OCENA FINANČNIH POSLEDIC ZAKONODAJNEGA PREDLOGA</w:t>
      </w:r>
    </w:p>
    <w:p>
      <w:pPr>
        <w:pStyle w:val="ManualHeading1"/>
        <w:rPr>
          <w:noProof/>
        </w:rPr>
      </w:pPr>
      <w:r>
        <w:rPr>
          <w:noProof/>
        </w:rPr>
        <w:t>1.</w:t>
      </w:r>
      <w:r>
        <w:rPr>
          <w:noProof/>
        </w:rPr>
        <w:tab/>
        <w:t xml:space="preserve">OKVIR PREDLOGA/POBUDE </w:t>
      </w:r>
    </w:p>
    <w:p>
      <w:pPr>
        <w:pStyle w:val="ManualHeading2"/>
        <w:rPr>
          <w:b w:val="0"/>
          <w:noProof/>
        </w:rPr>
      </w:pPr>
      <w:r>
        <w:rPr>
          <w:noProof/>
        </w:rPr>
        <w:tab/>
      </w:r>
      <w:r>
        <w:rPr>
          <w:b w:val="0"/>
          <w:noProof/>
        </w:rPr>
        <w:t>1.1.</w:t>
      </w:r>
      <w:r>
        <w:rPr>
          <w:noProof/>
        </w:rPr>
        <w:tab/>
      </w:r>
      <w:r>
        <w:rPr>
          <w:b w:val="0"/>
          <w:noProof/>
        </w:rPr>
        <w:t xml:space="preserve">Naslov predloga/pobude </w:t>
      </w:r>
    </w:p>
    <w:p>
      <w:pPr>
        <w:pStyle w:val="ManualHeading2"/>
        <w:rPr>
          <w:b w:val="0"/>
          <w:noProof/>
        </w:rPr>
      </w:pPr>
      <w:r>
        <w:rPr>
          <w:noProof/>
        </w:rPr>
        <w:tab/>
      </w:r>
      <w:r>
        <w:rPr>
          <w:b w:val="0"/>
          <w:noProof/>
        </w:rPr>
        <w:t>1.2.</w:t>
      </w:r>
      <w:r>
        <w:rPr>
          <w:noProof/>
        </w:rPr>
        <w:tab/>
      </w:r>
      <w:r>
        <w:rPr>
          <w:b w:val="0"/>
          <w:noProof/>
        </w:rPr>
        <w:t>Zadevna področja v strukturi ABM/ABB</w:t>
      </w:r>
    </w:p>
    <w:p>
      <w:pPr>
        <w:pStyle w:val="ManualHeading2"/>
        <w:rPr>
          <w:b w:val="0"/>
          <w:noProof/>
        </w:rPr>
      </w:pPr>
      <w:r>
        <w:rPr>
          <w:noProof/>
        </w:rPr>
        <w:tab/>
      </w:r>
      <w:r>
        <w:rPr>
          <w:b w:val="0"/>
          <w:noProof/>
        </w:rPr>
        <w:t>1.3.</w:t>
      </w:r>
      <w:r>
        <w:rPr>
          <w:noProof/>
        </w:rPr>
        <w:tab/>
      </w:r>
      <w:r>
        <w:rPr>
          <w:b w:val="0"/>
          <w:noProof/>
        </w:rPr>
        <w:t xml:space="preserve">Vrsta predloga/pobude </w:t>
      </w:r>
    </w:p>
    <w:p>
      <w:pPr>
        <w:pStyle w:val="ManualHeading2"/>
        <w:rPr>
          <w:b w:val="0"/>
          <w:noProof/>
        </w:rPr>
      </w:pPr>
      <w:r>
        <w:rPr>
          <w:noProof/>
        </w:rPr>
        <w:tab/>
      </w:r>
      <w:r>
        <w:rPr>
          <w:b w:val="0"/>
          <w:noProof/>
        </w:rPr>
        <w:t>1.4.</w:t>
      </w:r>
      <w:r>
        <w:rPr>
          <w:noProof/>
        </w:rPr>
        <w:tab/>
      </w:r>
      <w:r>
        <w:rPr>
          <w:b w:val="0"/>
          <w:noProof/>
        </w:rPr>
        <w:t xml:space="preserve">Cilji </w:t>
      </w:r>
    </w:p>
    <w:p>
      <w:pPr>
        <w:pStyle w:val="ManualHeading2"/>
        <w:rPr>
          <w:b w:val="0"/>
          <w:noProof/>
        </w:rPr>
      </w:pPr>
      <w:r>
        <w:rPr>
          <w:noProof/>
        </w:rPr>
        <w:tab/>
      </w:r>
      <w:r>
        <w:rPr>
          <w:b w:val="0"/>
          <w:noProof/>
        </w:rPr>
        <w:t>1.5.</w:t>
      </w:r>
      <w:r>
        <w:rPr>
          <w:noProof/>
        </w:rPr>
        <w:tab/>
      </w:r>
      <w:r>
        <w:rPr>
          <w:b w:val="0"/>
          <w:noProof/>
        </w:rPr>
        <w:t xml:space="preserve">Utemeljitev predloga/pobude </w:t>
      </w:r>
    </w:p>
    <w:p>
      <w:pPr>
        <w:pStyle w:val="ManualHeading2"/>
        <w:rPr>
          <w:b w:val="0"/>
          <w:noProof/>
        </w:rPr>
      </w:pPr>
      <w:r>
        <w:rPr>
          <w:noProof/>
        </w:rPr>
        <w:tab/>
      </w:r>
      <w:r>
        <w:rPr>
          <w:b w:val="0"/>
          <w:noProof/>
        </w:rPr>
        <w:t>1.6.</w:t>
      </w:r>
      <w:r>
        <w:rPr>
          <w:noProof/>
        </w:rPr>
        <w:tab/>
      </w:r>
      <w:r>
        <w:rPr>
          <w:b w:val="0"/>
          <w:noProof/>
        </w:rPr>
        <w:t xml:space="preserve">Trajanje ukrepa in finančnih posledic </w:t>
      </w:r>
    </w:p>
    <w:p>
      <w:pPr>
        <w:pStyle w:val="ManualHeading2"/>
        <w:rPr>
          <w:b w:val="0"/>
          <w:noProof/>
        </w:rPr>
      </w:pPr>
      <w:r>
        <w:rPr>
          <w:noProof/>
        </w:rPr>
        <w:tab/>
      </w:r>
      <w:r>
        <w:rPr>
          <w:b w:val="0"/>
          <w:noProof/>
        </w:rPr>
        <w:t>1.7.</w:t>
      </w:r>
      <w:r>
        <w:rPr>
          <w:noProof/>
        </w:rPr>
        <w:tab/>
      </w:r>
      <w:r>
        <w:rPr>
          <w:b w:val="0"/>
          <w:noProof/>
        </w:rPr>
        <w:t xml:space="preserve">Načrtovani načini upravljanja </w:t>
      </w:r>
    </w:p>
    <w:p>
      <w:pPr>
        <w:pStyle w:val="ManualHeading1"/>
        <w:rPr>
          <w:noProof/>
        </w:rPr>
      </w:pPr>
      <w:r>
        <w:rPr>
          <w:noProof/>
        </w:rPr>
        <w:t>2.</w:t>
      </w:r>
      <w:r>
        <w:rPr>
          <w:noProof/>
        </w:rPr>
        <w:tab/>
        <w:t xml:space="preserve">UKREPI UPRAVLJANJA </w:t>
      </w:r>
    </w:p>
    <w:p>
      <w:pPr>
        <w:pStyle w:val="ManualHeading2"/>
        <w:rPr>
          <w:b w:val="0"/>
          <w:noProof/>
        </w:rPr>
      </w:pPr>
      <w:r>
        <w:rPr>
          <w:noProof/>
        </w:rPr>
        <w:tab/>
      </w:r>
      <w:r>
        <w:rPr>
          <w:b w:val="0"/>
          <w:noProof/>
        </w:rPr>
        <w:t>2.1.</w:t>
      </w:r>
      <w:r>
        <w:rPr>
          <w:noProof/>
        </w:rPr>
        <w:tab/>
      </w:r>
      <w:r>
        <w:rPr>
          <w:b w:val="0"/>
          <w:noProof/>
        </w:rPr>
        <w:t xml:space="preserve">Pravila o spremljanju in poročanju </w:t>
      </w:r>
    </w:p>
    <w:p>
      <w:pPr>
        <w:pStyle w:val="ManualHeading2"/>
        <w:rPr>
          <w:b w:val="0"/>
          <w:noProof/>
        </w:rPr>
      </w:pPr>
      <w:r>
        <w:rPr>
          <w:noProof/>
        </w:rPr>
        <w:tab/>
      </w:r>
      <w:r>
        <w:rPr>
          <w:b w:val="0"/>
          <w:noProof/>
        </w:rPr>
        <w:t>2.2.</w:t>
      </w:r>
      <w:r>
        <w:rPr>
          <w:noProof/>
        </w:rPr>
        <w:tab/>
      </w:r>
      <w:r>
        <w:rPr>
          <w:b w:val="0"/>
          <w:noProof/>
        </w:rPr>
        <w:t xml:space="preserve">Upravljavski in kontrolni sistem </w:t>
      </w:r>
    </w:p>
    <w:p>
      <w:pPr>
        <w:pStyle w:val="ManualHeading2"/>
        <w:rPr>
          <w:b w:val="0"/>
          <w:noProof/>
        </w:rPr>
      </w:pPr>
      <w:r>
        <w:rPr>
          <w:noProof/>
        </w:rPr>
        <w:tab/>
      </w:r>
      <w:r>
        <w:rPr>
          <w:b w:val="0"/>
          <w:noProof/>
        </w:rPr>
        <w:t>2.3.</w:t>
      </w:r>
      <w:r>
        <w:rPr>
          <w:noProof/>
        </w:rPr>
        <w:tab/>
      </w:r>
      <w:r>
        <w:rPr>
          <w:b w:val="0"/>
          <w:noProof/>
        </w:rPr>
        <w:t xml:space="preserve">Ukrepi za preprečevanje goljufij in nepravilnosti </w:t>
      </w:r>
    </w:p>
    <w:p>
      <w:pPr>
        <w:pStyle w:val="ManualHeading1"/>
        <w:rPr>
          <w:noProof/>
        </w:rPr>
      </w:pPr>
      <w:r>
        <w:rPr>
          <w:noProof/>
        </w:rPr>
        <w:t>3.</w:t>
      </w:r>
      <w:r>
        <w:rPr>
          <w:noProof/>
        </w:rPr>
        <w:tab/>
        <w:t xml:space="preserve">OCENA FINANČNIH POSLEDIC PREDLOGA/POBUDE </w:t>
      </w:r>
    </w:p>
    <w:p>
      <w:pPr>
        <w:pStyle w:val="ManualHeading2"/>
        <w:rPr>
          <w:b w:val="0"/>
          <w:noProof/>
        </w:rPr>
      </w:pPr>
      <w:r>
        <w:rPr>
          <w:noProof/>
        </w:rPr>
        <w:tab/>
      </w:r>
      <w:r>
        <w:rPr>
          <w:b w:val="0"/>
          <w:noProof/>
        </w:rPr>
        <w:t>3.1.</w:t>
      </w:r>
      <w:r>
        <w:rPr>
          <w:noProof/>
        </w:rPr>
        <w:tab/>
      </w:r>
      <w:r>
        <w:rPr>
          <w:b w:val="0"/>
          <w:noProof/>
        </w:rPr>
        <w:t xml:space="preserve">Zadevni razdelki večletnega finančnega okvira in odhodkovne proračunske vrstice </w:t>
      </w:r>
    </w:p>
    <w:p>
      <w:pPr>
        <w:pStyle w:val="ManualHeading2"/>
        <w:rPr>
          <w:noProof/>
        </w:rPr>
      </w:pPr>
      <w:r>
        <w:rPr>
          <w:noProof/>
        </w:rPr>
        <w:tab/>
      </w:r>
      <w:r>
        <w:rPr>
          <w:b w:val="0"/>
          <w:noProof/>
        </w:rPr>
        <w:t>3.2.</w:t>
      </w:r>
      <w:r>
        <w:rPr>
          <w:noProof/>
        </w:rPr>
        <w:tab/>
      </w:r>
      <w:r>
        <w:rPr>
          <w:b w:val="0"/>
          <w:noProof/>
        </w:rPr>
        <w:t>Ocenjene posledice za odhodke</w:t>
      </w:r>
      <w:r>
        <w:rPr>
          <w:noProof/>
        </w:rPr>
        <w:t xml:space="preserve"> </w:t>
      </w:r>
    </w:p>
    <w:p>
      <w:pPr>
        <w:pStyle w:val="ManualHeading3"/>
        <w:rPr>
          <w:noProof/>
        </w:rPr>
      </w:pPr>
      <w:r>
        <w:rPr>
          <w:noProof/>
        </w:rPr>
        <w:tab/>
        <w:t>3.2.1.</w:t>
      </w:r>
      <w:r>
        <w:rPr>
          <w:noProof/>
        </w:rPr>
        <w:tab/>
        <w:t xml:space="preserve">Povzetek ocenjenih posledic za odhodke </w:t>
      </w:r>
    </w:p>
    <w:p>
      <w:pPr>
        <w:pStyle w:val="ManualHeading3"/>
        <w:rPr>
          <w:noProof/>
        </w:rPr>
      </w:pPr>
      <w:r>
        <w:rPr>
          <w:noProof/>
        </w:rPr>
        <w:tab/>
        <w:t>3.2.2.</w:t>
      </w:r>
      <w:r>
        <w:rPr>
          <w:noProof/>
        </w:rPr>
        <w:tab/>
        <w:t xml:space="preserve">Ocenjene posledice za odobritve za poslovanje </w:t>
      </w:r>
    </w:p>
    <w:p>
      <w:pPr>
        <w:pStyle w:val="ManualHeading3"/>
        <w:rPr>
          <w:noProof/>
        </w:rPr>
      </w:pPr>
      <w:r>
        <w:rPr>
          <w:noProof/>
        </w:rPr>
        <w:tab/>
        <w:t>3.2.3.</w:t>
      </w:r>
      <w:r>
        <w:rPr>
          <w:noProof/>
        </w:rPr>
        <w:tab/>
        <w:t>Ocenjene posledice za odobritve za upravne zadeve</w:t>
      </w:r>
    </w:p>
    <w:p>
      <w:pPr>
        <w:pStyle w:val="ManualHeading3"/>
        <w:rPr>
          <w:noProof/>
        </w:rPr>
      </w:pPr>
      <w:r>
        <w:rPr>
          <w:noProof/>
        </w:rPr>
        <w:tab/>
        <w:t>3.2.4.</w:t>
      </w:r>
      <w:r>
        <w:rPr>
          <w:noProof/>
        </w:rPr>
        <w:tab/>
        <w:t>Skladnost z veljavnim večletnim finančnim okvirom</w:t>
      </w:r>
    </w:p>
    <w:p>
      <w:pPr>
        <w:pStyle w:val="ManualHeading3"/>
        <w:rPr>
          <w:noProof/>
        </w:rPr>
      </w:pPr>
      <w:r>
        <w:rPr>
          <w:noProof/>
        </w:rPr>
        <w:tab/>
        <w:t>3.2.5.</w:t>
      </w:r>
      <w:r>
        <w:rPr>
          <w:noProof/>
        </w:rPr>
        <w:tab/>
        <w:t xml:space="preserve">Udeležba tretjih oseb pri financiranju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Ocenjene posledice za prihodke</w:t>
      </w:r>
    </w:p>
    <w:p>
      <w:pPr>
        <w:jc w:val="center"/>
        <w:rPr>
          <w:noProof/>
        </w:rPr>
      </w:pPr>
      <w:r>
        <w:rPr>
          <w:b/>
          <w:noProof/>
          <w:u w:val="single"/>
        </w:rPr>
        <w:t>OCENA FINANČNIH POSLEDIC ZAKONODAJNEGA PREDLOGA</w:t>
      </w:r>
    </w:p>
    <w:p>
      <w:pPr>
        <w:pStyle w:val="ManualHeading1"/>
        <w:rPr>
          <w:noProof/>
        </w:rPr>
      </w:pPr>
      <w:r>
        <w:t>1.</w:t>
      </w:r>
      <w:r>
        <w:tab/>
      </w:r>
      <w:r>
        <w:rPr>
          <w:noProof/>
        </w:rPr>
        <w:t xml:space="preserve">OKVIR PREDLOGA/POBUDE </w:t>
      </w:r>
    </w:p>
    <w:p>
      <w:pPr>
        <w:pStyle w:val="ManualHeading2"/>
        <w:rPr>
          <w:noProof/>
        </w:rPr>
      </w:pPr>
      <w:r>
        <w:t>1.1.</w:t>
      </w:r>
      <w:r>
        <w:tab/>
      </w:r>
      <w:r>
        <w:rPr>
          <w:noProof/>
        </w:rPr>
        <w:t xml:space="preserve">Naslov predloga/pobude </w:t>
      </w:r>
    </w:p>
    <w:p>
      <w:pPr>
        <w:pBdr>
          <w:top w:val="single" w:sz="4" w:space="1" w:color="auto"/>
          <w:left w:val="single" w:sz="4" w:space="4" w:color="auto"/>
          <w:bottom w:val="single" w:sz="4" w:space="1" w:color="auto"/>
          <w:right w:val="single" w:sz="4" w:space="4" w:color="auto"/>
        </w:pBdr>
        <w:rPr>
          <w:rFonts w:eastAsia="Times New Roman"/>
          <w:noProof/>
        </w:rPr>
      </w:pPr>
      <w:r>
        <w:rPr>
          <w:noProof/>
        </w:rPr>
        <w:t xml:space="preserve">Predlog „Uredbe XXX/XX/EU Evropskega parlamenta in Sveta z dne xx/xx/xx o prospektu, ki se objavi ob javni ponudbi ali sprejemu vrednostnih papirjev v trgovanje“ </w:t>
      </w:r>
    </w:p>
    <w:p>
      <w:pPr>
        <w:pStyle w:val="ManualHeading2"/>
        <w:rPr>
          <w:noProof/>
          <w:szCs w:val="24"/>
        </w:rPr>
      </w:pPr>
      <w:r>
        <w:t>1.2.</w:t>
      </w:r>
      <w:r>
        <w:tab/>
      </w:r>
      <w:r>
        <w:rPr>
          <w:noProof/>
        </w:rPr>
        <w:t>Zadevna področja v strukturi ABM/ABB</w:t>
      </w:r>
      <w:r>
        <w:rPr>
          <w:rStyle w:val="FootnoteReference"/>
          <w:noProof/>
        </w:rPr>
        <w:footnoteReference w:id="28"/>
      </w:r>
      <w:r>
        <w:rPr>
          <w:i/>
          <w:noProof/>
        </w:rPr>
        <w:t xml:space="preserve"> </w:t>
      </w:r>
    </w:p>
    <w:p>
      <w:pPr>
        <w:pBdr>
          <w:top w:val="single" w:sz="4" w:space="1" w:color="auto"/>
          <w:left w:val="single" w:sz="4" w:space="4" w:color="auto"/>
          <w:bottom w:val="single" w:sz="4" w:space="1" w:color="auto"/>
          <w:right w:val="single" w:sz="4" w:space="4" w:color="auto"/>
        </w:pBdr>
        <w:rPr>
          <w:rFonts w:eastAsia="Times New Roman"/>
          <w:noProof/>
        </w:rPr>
      </w:pPr>
      <w:r>
        <w:rPr>
          <w:noProof/>
        </w:rPr>
        <w:t>Področje politike: […]</w:t>
      </w:r>
    </w:p>
    <w:p>
      <w:pPr>
        <w:pBdr>
          <w:top w:val="single" w:sz="4" w:space="1" w:color="auto"/>
          <w:left w:val="single" w:sz="4" w:space="4" w:color="auto"/>
          <w:bottom w:val="single" w:sz="4" w:space="1" w:color="auto"/>
          <w:right w:val="single" w:sz="4" w:space="4" w:color="auto"/>
        </w:pBdr>
        <w:rPr>
          <w:rFonts w:eastAsia="Times New Roman"/>
          <w:noProof/>
        </w:rPr>
      </w:pPr>
      <w:r>
        <w:rPr>
          <w:noProof/>
        </w:rPr>
        <w:t>Dejavnost: […]</w:t>
      </w:r>
    </w:p>
    <w:p>
      <w:pPr>
        <w:pStyle w:val="ManualHeading2"/>
        <w:rPr>
          <w:bCs/>
          <w:noProof/>
          <w:szCs w:val="24"/>
        </w:rPr>
      </w:pPr>
      <w:r>
        <w:t>1.3.</w:t>
      </w:r>
      <w:r>
        <w:tab/>
      </w:r>
      <w:r>
        <w:rPr>
          <w:noProof/>
        </w:rPr>
        <w:t xml:space="preserve">Vrsta predloga/pobude </w:t>
      </w:r>
    </w:p>
    <w:p>
      <w:pPr>
        <w:pStyle w:val="Text1"/>
        <w:rPr>
          <w:b/>
          <w:noProof/>
          <w:sz w:val="22"/>
        </w:rPr>
      </w:pPr>
      <w:r>
        <w:rPr>
          <w:noProof/>
          <w:sz w:val="22"/>
        </w:rPr>
        <w:sym w:font="Wingdings" w:char="F0A8"/>
      </w:r>
      <w:r>
        <w:rPr>
          <w:b/>
          <w:i/>
          <w:noProof/>
          <w:sz w:val="22"/>
        </w:rPr>
        <w:t xml:space="preserve"> </w:t>
      </w:r>
      <w:r>
        <w:rPr>
          <w:noProof/>
        </w:rPr>
        <w:t xml:space="preserve">Predlog/pobuda se nanaša na </w:t>
      </w:r>
      <w:r>
        <w:rPr>
          <w:b/>
          <w:noProof/>
        </w:rPr>
        <w:t>nov ukrep</w:t>
      </w:r>
      <w:r>
        <w:rPr>
          <w:noProof/>
        </w:rPr>
        <w:t>.</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Predlog/pobuda se nanaša na </w:t>
      </w:r>
      <w:r>
        <w:rPr>
          <w:b/>
          <w:noProof/>
        </w:rPr>
        <w:t>nov ukrep na podlagi pilotnega projekta / pripravljalnega ukrepa</w:t>
      </w:r>
      <w:r>
        <w:rPr>
          <w:rStyle w:val="FootnoteReference"/>
          <w:b/>
          <w:noProof/>
        </w:rPr>
        <w:footnoteReference w:id="29"/>
      </w:r>
      <w:r>
        <w:rPr>
          <w:noProof/>
        </w:rPr>
        <w:t>.</w:t>
      </w:r>
      <w:r>
        <w:rPr>
          <w:noProof/>
          <w:sz w:val="22"/>
        </w:rPr>
        <w:t xml:space="preserve"> </w:t>
      </w:r>
    </w:p>
    <w:p>
      <w:pPr>
        <w:pStyle w:val="Text1"/>
        <w:rPr>
          <w:noProof/>
          <w:sz w:val="22"/>
        </w:rPr>
      </w:pPr>
      <w:r>
        <w:rPr>
          <w:rFonts w:eastAsia="Times New Roman"/>
          <w:noProof/>
        </w:rPr>
        <w:sym w:font="Wingdings" w:char="F0FD"/>
      </w:r>
      <w:r>
        <w:rPr>
          <w:noProof/>
        </w:rPr>
        <w:t xml:space="preserve">Predlog/pobuda se nanaša na </w:t>
      </w:r>
      <w:r>
        <w:rPr>
          <w:b/>
          <w:noProof/>
        </w:rPr>
        <w:t>podaljšanje obstoječega ukrepa</w:t>
      </w:r>
      <w:r>
        <w:rPr>
          <w:noProof/>
        </w:rPr>
        <w:t>.</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Predlog/pobuda se nanaša na </w:t>
      </w:r>
      <w:r>
        <w:rPr>
          <w:b/>
          <w:noProof/>
        </w:rPr>
        <w:t>obstoječ ukrep, preusmerjen v nov ukrep</w:t>
      </w:r>
      <w:r>
        <w:rPr>
          <w:noProof/>
        </w:rPr>
        <w:t xml:space="preserve">. </w:t>
      </w:r>
    </w:p>
    <w:p>
      <w:pPr>
        <w:pStyle w:val="ManualHeading2"/>
        <w:rPr>
          <w:bCs/>
          <w:noProof/>
          <w:szCs w:val="24"/>
        </w:rPr>
      </w:pPr>
      <w:r>
        <w:t>1.4.</w:t>
      </w:r>
      <w:r>
        <w:tab/>
      </w:r>
      <w:r>
        <w:rPr>
          <w:noProof/>
        </w:rPr>
        <w:t>Cilji</w:t>
      </w:r>
    </w:p>
    <w:p>
      <w:pPr>
        <w:pStyle w:val="ManualHeading3"/>
        <w:rPr>
          <w:noProof/>
        </w:rPr>
      </w:pPr>
      <w:r>
        <w:t>1.4.1.</w:t>
      </w:r>
      <w:r>
        <w:tab/>
      </w:r>
      <w:r>
        <w:rPr>
          <w:noProof/>
        </w:rPr>
        <w:t xml:space="preserve">Večletni strateški cilji Komisije, ki naj bi bili doseženi s predlogom/pobudo </w:t>
      </w:r>
    </w:p>
    <w:p>
      <w:pPr>
        <w:pBdr>
          <w:top w:val="single" w:sz="4" w:space="1" w:color="auto"/>
          <w:left w:val="single" w:sz="4" w:space="4" w:color="auto"/>
          <w:bottom w:val="single" w:sz="4" w:space="1" w:color="auto"/>
          <w:right w:val="single" w:sz="4" w:space="4" w:color="auto"/>
        </w:pBdr>
        <w:rPr>
          <w:rFonts w:eastAsia="Times New Roman"/>
          <w:noProof/>
        </w:rPr>
      </w:pPr>
      <w:r>
        <w:rPr>
          <w:noProof/>
        </w:rPr>
        <w:t>Ta pobuda je eden od temeljnih elementov pobude o uniji kapitalskih trgov. Cilja tega predloga sta zlasti:</w:t>
      </w:r>
    </w:p>
    <w:p>
      <w:pPr>
        <w:pBdr>
          <w:top w:val="single" w:sz="4" w:space="1" w:color="auto"/>
          <w:left w:val="single" w:sz="4" w:space="4" w:color="auto"/>
          <w:bottom w:val="single" w:sz="4" w:space="1" w:color="auto"/>
          <w:right w:val="single" w:sz="4" w:space="4" w:color="auto"/>
        </w:pBdr>
        <w:rPr>
          <w:rFonts w:eastAsia="Times New Roman"/>
          <w:noProof/>
        </w:rPr>
      </w:pPr>
      <w:r>
        <w:rPr>
          <w:noProof/>
        </w:rPr>
        <w:t>(1)</w:t>
      </w:r>
      <w:r>
        <w:rPr>
          <w:noProof/>
        </w:rPr>
        <w:tab/>
        <w:t>zmanjšanje razdrobljenosti finančnih trgov,</w:t>
      </w:r>
    </w:p>
    <w:p>
      <w:pPr>
        <w:pBdr>
          <w:top w:val="single" w:sz="4" w:space="1" w:color="auto"/>
          <w:left w:val="single" w:sz="4" w:space="4" w:color="auto"/>
          <w:bottom w:val="single" w:sz="4" w:space="1" w:color="auto"/>
          <w:right w:val="single" w:sz="4" w:space="4" w:color="auto"/>
        </w:pBdr>
        <w:rPr>
          <w:rFonts w:eastAsia="Times New Roman"/>
          <w:noProof/>
        </w:rPr>
      </w:pPr>
      <w:r>
        <w:rPr>
          <w:noProof/>
        </w:rPr>
        <w:t>(2)</w:t>
      </w:r>
      <w:r>
        <w:rPr>
          <w:noProof/>
        </w:rPr>
        <w:tab/>
        <w:t>izboljšanje zaščite vlagateljev na kapitalskih trgih.</w:t>
      </w:r>
    </w:p>
    <w:p>
      <w:pPr>
        <w:pStyle w:val="ManualHeading3"/>
        <w:rPr>
          <w:bCs/>
          <w:noProof/>
          <w:szCs w:val="24"/>
        </w:rPr>
      </w:pPr>
      <w:r>
        <w:t>1.4.2.</w:t>
      </w:r>
      <w:r>
        <w:tab/>
      </w:r>
      <w:r>
        <w:rPr>
          <w:noProof/>
        </w:rPr>
        <w:t xml:space="preserve">Posamezni cilji in zadevne dejavnosti v strukturi ABM/ABB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Posamezni cilj št.</w:t>
      </w:r>
    </w:p>
    <w:p>
      <w:pPr>
        <w:pBdr>
          <w:top w:val="single" w:sz="4" w:space="1" w:color="auto"/>
          <w:left w:val="single" w:sz="4" w:space="4" w:color="auto"/>
          <w:bottom w:val="single" w:sz="4" w:space="1" w:color="auto"/>
          <w:right w:val="single" w:sz="4" w:space="4" w:color="auto"/>
        </w:pBdr>
        <w:rPr>
          <w:rFonts w:eastAsia="Times New Roman"/>
          <w:noProof/>
          <w:sz w:val="22"/>
        </w:rPr>
      </w:pPr>
      <w:r>
        <w:rPr>
          <w:noProof/>
          <w:sz w:val="22"/>
        </w:rPr>
        <w:t xml:space="preserve">Predlagani ukrepi bi morali: </w:t>
      </w:r>
    </w:p>
    <w:p>
      <w:pPr>
        <w:pBdr>
          <w:top w:val="single" w:sz="4" w:space="1" w:color="auto"/>
          <w:left w:val="single" w:sz="4" w:space="4" w:color="auto"/>
          <w:bottom w:val="single" w:sz="4" w:space="1" w:color="auto"/>
          <w:right w:val="single" w:sz="4" w:space="4" w:color="auto"/>
        </w:pBdr>
        <w:rPr>
          <w:rFonts w:eastAsia="Times New Roman"/>
          <w:noProof/>
          <w:sz w:val="22"/>
        </w:rPr>
      </w:pPr>
      <w:r>
        <w:rPr>
          <w:noProof/>
          <w:sz w:val="22"/>
        </w:rPr>
        <w:t xml:space="preserve">(i) zmanjšati upravno breme pri pripravi prospekta za MSP in pogoste izdajatelje vrednostnih papirjev; </w:t>
      </w:r>
    </w:p>
    <w:p>
      <w:pPr>
        <w:pBdr>
          <w:top w:val="single" w:sz="4" w:space="1" w:color="auto"/>
          <w:left w:val="single" w:sz="4" w:space="4" w:color="auto"/>
          <w:bottom w:val="single" w:sz="4" w:space="1" w:color="auto"/>
          <w:right w:val="single" w:sz="4" w:space="4" w:color="auto"/>
        </w:pBdr>
        <w:rPr>
          <w:rFonts w:eastAsia="Times New Roman"/>
          <w:noProof/>
          <w:sz w:val="22"/>
        </w:rPr>
      </w:pPr>
      <w:r>
        <w:rPr>
          <w:noProof/>
          <w:sz w:val="22"/>
        </w:rPr>
        <w:t xml:space="preserve">(ii) zagotoviti, da prospekt postane ustreznejše orodje za razkrivanje informacij za potencialne vlagatelje; </w:t>
      </w:r>
    </w:p>
    <w:p>
      <w:pPr>
        <w:pStyle w:val="Text1"/>
        <w:pBdr>
          <w:top w:val="single" w:sz="4" w:space="1" w:color="auto"/>
          <w:left w:val="single" w:sz="4" w:space="4" w:color="auto"/>
          <w:bottom w:val="single" w:sz="4" w:space="1" w:color="auto"/>
          <w:right w:val="single" w:sz="4" w:space="4" w:color="auto"/>
        </w:pBdr>
        <w:rPr>
          <w:noProof/>
        </w:rPr>
      </w:pPr>
      <w:r>
        <w:rPr>
          <w:noProof/>
          <w:sz w:val="22"/>
        </w:rPr>
        <w:t>(iii) doseči večjo konvergenco med prospektom EU in drugimi pravili o razkritju EU.</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Zadevne dejavnosti v strukturi ABM/ABB</w:t>
      </w:r>
    </w:p>
    <w:p>
      <w:pPr>
        <w:pStyle w:val="ManualHeading3"/>
        <w:rPr>
          <w:bCs/>
          <w:noProof/>
          <w:szCs w:val="24"/>
        </w:rPr>
      </w:pPr>
      <w:r>
        <w:rPr>
          <w:noProof/>
        </w:rPr>
        <w:br w:type="page"/>
      </w:r>
      <w:r>
        <w:t>1.4.3.</w:t>
      </w:r>
      <w:r>
        <w:tab/>
      </w:r>
      <w:r>
        <w:rPr>
          <w:noProof/>
        </w:rPr>
        <w:t>Pričakovani rezultati in posledice</w:t>
      </w:r>
    </w:p>
    <w:p>
      <w:pPr>
        <w:pStyle w:val="Text1"/>
        <w:rPr>
          <w:i/>
          <w:noProof/>
          <w:sz w:val="20"/>
        </w:rPr>
      </w:pPr>
      <w:r>
        <w:rPr>
          <w:i/>
          <w:noProof/>
          <w:sz w:val="20"/>
        </w:rPr>
        <w:t>Navedite, kakšne posledice naj bi imel(-a) predlog/pobuda za upravičence/ciljne skupine.</w:t>
      </w:r>
    </w:p>
    <w:p>
      <w:pPr>
        <w:pBdr>
          <w:top w:val="single" w:sz="4" w:space="1" w:color="auto"/>
          <w:left w:val="single" w:sz="4" w:space="4" w:color="auto"/>
          <w:bottom w:val="single" w:sz="4" w:space="1" w:color="auto"/>
          <w:right w:val="single" w:sz="4" w:space="4" w:color="auto"/>
        </w:pBdr>
        <w:rPr>
          <w:rFonts w:eastAsia="Times New Roman"/>
          <w:noProof/>
        </w:rPr>
      </w:pPr>
      <w:r>
        <w:rPr>
          <w:noProof/>
        </w:rPr>
        <w:t>1.</w:t>
      </w:r>
      <w:r>
        <w:rPr>
          <w:noProof/>
        </w:rPr>
        <w:tab/>
        <w:t>Zmanjšanje upravnega bremena zaradi zagotavljanja skladnosti z direktivo o prospektu za ponudnike in izdajatelje;</w:t>
      </w:r>
    </w:p>
    <w:p>
      <w:pPr>
        <w:pBdr>
          <w:top w:val="single" w:sz="4" w:space="1" w:color="auto"/>
          <w:left w:val="single" w:sz="4" w:space="4" w:color="auto"/>
          <w:bottom w:val="single" w:sz="4" w:space="1" w:color="auto"/>
          <w:right w:val="single" w:sz="4" w:space="4" w:color="auto"/>
        </w:pBdr>
        <w:rPr>
          <w:rFonts w:eastAsia="Times New Roman"/>
          <w:noProof/>
        </w:rPr>
      </w:pPr>
      <w:r>
        <w:rPr>
          <w:noProof/>
        </w:rPr>
        <w:t>2.</w:t>
      </w:r>
      <w:r>
        <w:rPr>
          <w:noProof/>
        </w:rPr>
        <w:tab/>
        <w:t>zagotavljanje prožnejšega regulativnega okvira za prospekte, ki je primeren za različne vrste zajetih vrednostnih papirjev in izdajateljev, zlasti za MSP;</w:t>
      </w:r>
    </w:p>
    <w:p>
      <w:pPr>
        <w:pBdr>
          <w:top w:val="single" w:sz="4" w:space="1" w:color="auto"/>
          <w:left w:val="single" w:sz="4" w:space="4" w:color="auto"/>
          <w:bottom w:val="single" w:sz="4" w:space="1" w:color="auto"/>
          <w:right w:val="single" w:sz="4" w:space="4" w:color="auto"/>
        </w:pBdr>
        <w:rPr>
          <w:rFonts w:eastAsia="Times New Roman"/>
          <w:noProof/>
        </w:rPr>
      </w:pPr>
      <w:r>
        <w:rPr>
          <w:noProof/>
        </w:rPr>
        <w:t>4.</w:t>
      </w:r>
      <w:r>
        <w:rPr>
          <w:noProof/>
        </w:rPr>
        <w:tab/>
        <w:t>boljša uskladitev direktive o prospektu z novejšim pravom EU;</w:t>
      </w:r>
    </w:p>
    <w:p>
      <w:pPr>
        <w:pBdr>
          <w:top w:val="single" w:sz="4" w:space="1" w:color="auto"/>
          <w:left w:val="single" w:sz="4" w:space="4" w:color="auto"/>
          <w:bottom w:val="single" w:sz="4" w:space="1" w:color="auto"/>
          <w:right w:val="single" w:sz="4" w:space="4" w:color="auto"/>
        </w:pBdr>
        <w:rPr>
          <w:rFonts w:eastAsia="Times New Roman"/>
          <w:noProof/>
        </w:rPr>
      </w:pPr>
      <w:r>
        <w:rPr>
          <w:noProof/>
        </w:rPr>
        <w:t>5.</w:t>
      </w:r>
      <w:r>
        <w:rPr>
          <w:noProof/>
        </w:rPr>
        <w:tab/>
        <w:t>zagotavljanje učinkovitejšega razkritja vlagateljem v okviru ureditve za prospekte.</w:t>
      </w:r>
    </w:p>
    <w:p>
      <w:pPr>
        <w:pStyle w:val="ManualHeading3"/>
        <w:rPr>
          <w:bCs/>
          <w:noProof/>
          <w:szCs w:val="24"/>
        </w:rPr>
      </w:pPr>
      <w:r>
        <w:t>1.4.4.</w:t>
      </w:r>
      <w:r>
        <w:tab/>
      </w:r>
      <w:r>
        <w:rPr>
          <w:noProof/>
        </w:rPr>
        <w:t xml:space="preserve">Kazalniki rezultatov in posledic </w:t>
      </w:r>
    </w:p>
    <w:p>
      <w:pPr>
        <w:pStyle w:val="Text1"/>
        <w:rPr>
          <w:i/>
          <w:noProof/>
          <w:sz w:val="20"/>
        </w:rPr>
      </w:pPr>
      <w:r>
        <w:rPr>
          <w:i/>
          <w:noProof/>
          <w:sz w:val="20"/>
        </w:rPr>
        <w:t>Navedite, s katerimi kazalniki se bo spremljalo izvajanje predloga/pobude.</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r>
        <w:rPr>
          <w:noProof/>
        </w:rPr>
        <w:tab/>
        <w:t>s številom odobrenih prospektov v okviru različnih ureditev direktive o prospektu in zbranimi zneski;</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r>
        <w:rPr>
          <w:noProof/>
        </w:rPr>
        <w:tab/>
        <w:t>deležem prospektov, ki jih objavijo MSP;</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r>
        <w:rPr>
          <w:noProof/>
        </w:rPr>
        <w:tab/>
        <w:t>deležem malih vlagateljev med vlagatelji pri prvih javnih ponudbah;</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r>
        <w:rPr>
          <w:noProof/>
        </w:rPr>
        <w:tab/>
        <w:t>likvidnostjo sekundarnih trgov;</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r>
        <w:rPr>
          <w:noProof/>
        </w:rPr>
        <w:tab/>
        <w:t>stroški priprave in odobritve prospekta v primerjavi s trenutnimi stroški;</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r>
        <w:rPr>
          <w:noProof/>
        </w:rPr>
        <w:tab/>
        <w:t xml:space="preserve">deležem prospektov, ki imajo enotno dovoljenje za uporabo v drugih državah članicah. </w:t>
      </w:r>
    </w:p>
    <w:p>
      <w:pPr>
        <w:pStyle w:val="ManualHeading2"/>
        <w:rPr>
          <w:bCs/>
          <w:noProof/>
          <w:szCs w:val="24"/>
        </w:rPr>
      </w:pPr>
      <w:r>
        <w:t>1.5.</w:t>
      </w:r>
      <w:r>
        <w:tab/>
      </w:r>
      <w:r>
        <w:rPr>
          <w:noProof/>
        </w:rPr>
        <w:t xml:space="preserve">Utemeljitev predloga/pobude </w:t>
      </w:r>
    </w:p>
    <w:p>
      <w:pPr>
        <w:pStyle w:val="ManualHeading3"/>
        <w:rPr>
          <w:noProof/>
        </w:rPr>
      </w:pPr>
      <w:r>
        <w:t>1.5.1.</w:t>
      </w:r>
      <w:r>
        <w:tab/>
      </w:r>
      <w:r>
        <w:rPr>
          <w:noProof/>
        </w:rPr>
        <w:t xml:space="preserve">Potrebe, ki jih je treba zadovoljiti kratkoročno ali dolgoročno </w:t>
      </w:r>
    </w:p>
    <w:p>
      <w:pPr>
        <w:pStyle w:val="ManualHeading3"/>
        <w:rPr>
          <w:noProof/>
        </w:rPr>
      </w:pPr>
      <w:r>
        <w:t>1.5.2.</w:t>
      </w:r>
      <w:r>
        <w:tab/>
      </w:r>
      <w:r>
        <w:rPr>
          <w:noProof/>
        </w:rPr>
        <w:t>Namen reforme prospekta je zagotoviti prispevek k ciljem unije kapitalskih trgov glede zmanjšanja razdrobljenosti finančnih trgov, diverzifikacije virov financiranja in okrepitve čezmejnega pretoka kapitala. Dodana vrednost ukrepanja EU</w:t>
      </w:r>
    </w:p>
    <w:p>
      <w:pPr>
        <w:pBdr>
          <w:top w:val="single" w:sz="4" w:space="1" w:color="auto"/>
          <w:left w:val="single" w:sz="4" w:space="4" w:color="auto"/>
          <w:bottom w:val="single" w:sz="4" w:space="1" w:color="auto"/>
          <w:right w:val="single" w:sz="4" w:space="4" w:color="auto"/>
        </w:pBdr>
        <w:rPr>
          <w:rFonts w:eastAsia="Times New Roman"/>
          <w:noProof/>
        </w:rPr>
      </w:pPr>
      <w:r>
        <w:rPr>
          <w:noProof/>
          <w:sz w:val="22"/>
        </w:rPr>
        <w:t>Usklajeni prospekt EU je temeljno orodje za integracijo kapitalskih trgov v Uniji. Ko pristojni organ države članice EGP odobri prospekt, se lahko ta prospekt uporabi za zbiranje kapitala z javno ponudbo ali sprejemom na regulirani trg v drugih državah članicah. Ključni del vzpostavitve unije kapitalskih trgov je zagotovitev večje dostopnosti prospekta za MSP in podjetja, ki pogosto dostopajo do kapitalskih trgov (pogosti izdajatelji).</w:t>
      </w:r>
    </w:p>
    <w:p>
      <w:pPr>
        <w:pStyle w:val="ManualHeading3"/>
        <w:rPr>
          <w:bCs/>
          <w:noProof/>
          <w:szCs w:val="24"/>
        </w:rPr>
      </w:pPr>
      <w:r>
        <w:t>1.5.3.</w:t>
      </w:r>
      <w:r>
        <w:tab/>
      </w:r>
      <w:r>
        <w:rPr>
          <w:noProof/>
        </w:rPr>
        <w:t>Spoznanja iz podobnih izkušenj v preteklosti</w:t>
      </w:r>
    </w:p>
    <w:p>
      <w:pPr>
        <w:pStyle w:val="Text1"/>
        <w:pBdr>
          <w:top w:val="single" w:sz="4" w:space="1" w:color="auto"/>
          <w:left w:val="single" w:sz="4" w:space="4" w:color="auto"/>
          <w:bottom w:val="single" w:sz="4" w:space="1" w:color="auto"/>
          <w:right w:val="single" w:sz="4" w:space="4" w:color="auto"/>
        </w:pBdr>
        <w:rPr>
          <w:noProof/>
        </w:rPr>
      </w:pPr>
      <w:r>
        <w:rPr>
          <w:noProof/>
        </w:rPr>
        <w:t>Direktiva o prospektu je bila spremenjena že leta 2010. Ukrepi, ki so se takrat sprejeli, naj bi po pričakovanjih ustvarili prihranke. Ocena delovanja spremenjene direktive je pokazala, da vse skupine deležnikov, izdajatelji, vlagatelji in države članice menijo, da je direktiva uporaben instrument za spodbujanje tržne učinkovitosti, povezovanja in zagotavljanja zaščite vlagateljev. Direktiva je ustvarila minimalni standard za razkritje in odobritev s strani nacionalnih pristojnih organov, na katerega se lahko zanašajo v celotni Uniji. Vendar so bile spremembe kljub pozitivnim dosežkom večinoma postopne in niso dovolj zmanjšale stroškov zbiranja kapitala s prospektom.</w:t>
      </w:r>
    </w:p>
    <w:p>
      <w:pPr>
        <w:pStyle w:val="ManualHeading3"/>
        <w:rPr>
          <w:bCs/>
          <w:noProof/>
          <w:szCs w:val="24"/>
        </w:rPr>
      </w:pPr>
      <w:r>
        <w:t>1.5.4.</w:t>
      </w:r>
      <w:r>
        <w:tab/>
      </w:r>
      <w:r>
        <w:rPr>
          <w:noProof/>
        </w:rPr>
        <w:t>Skladnost in možnosti sinergij z drugimi ustreznimi instrumenti</w:t>
      </w:r>
    </w:p>
    <w:p>
      <w:pPr>
        <w:pStyle w:val="Text1"/>
        <w:pBdr>
          <w:top w:val="single" w:sz="4" w:space="1" w:color="auto"/>
          <w:left w:val="single" w:sz="4" w:space="4" w:color="auto"/>
          <w:bottom w:val="single" w:sz="4" w:space="1" w:color="auto"/>
          <w:right w:val="single" w:sz="4" w:space="4" w:color="auto"/>
        </w:pBdr>
        <w:rPr>
          <w:noProof/>
        </w:rPr>
      </w:pPr>
      <w:r>
        <w:rPr>
          <w:noProof/>
        </w:rPr>
        <w:t>Ta pregled direktive o prospektu je del akcijskega načrta za unijo kapitalskih trgov, ki je bil sprejet 30. septembra 2015. Predlagani ukrepi naj bi imeli po pričakovanjih velik učinek na likvidnost, stabilnost in privlačnost kapitalskih trgov v Uniji. Ker na trgih obstajajo različne ovire, tega ni mogoče doseči z enim ukrepom.</w:t>
      </w:r>
    </w:p>
    <w:p>
      <w:pPr>
        <w:pStyle w:val="ManualHeading2"/>
        <w:rPr>
          <w:bCs/>
          <w:noProof/>
          <w:szCs w:val="24"/>
        </w:rPr>
      </w:pPr>
      <w:r>
        <w:rPr>
          <w:noProof/>
        </w:rPr>
        <w:br w:type="page"/>
      </w:r>
      <w:r>
        <w:t>1.6.</w:t>
      </w:r>
      <w:r>
        <w:tab/>
      </w:r>
      <w:r>
        <w:rPr>
          <w:noProof/>
        </w:rPr>
        <w:t xml:space="preserve">Trajanje ukrepa in finančnih posledic </w:t>
      </w:r>
    </w:p>
    <w:p>
      <w:pPr>
        <w:pStyle w:val="Text1"/>
        <w:rPr>
          <w:noProof/>
        </w:rPr>
      </w:pPr>
      <w:r>
        <w:rPr>
          <w:noProof/>
        </w:rPr>
        <w:sym w:font="Wingdings" w:char="F0A8"/>
      </w:r>
      <w:r>
        <w:rPr>
          <w:b/>
          <w:i/>
          <w:noProof/>
        </w:rPr>
        <w:t xml:space="preserve"> </w:t>
      </w:r>
      <w:r>
        <w:rPr>
          <w:b/>
          <w:noProof/>
        </w:rPr>
        <w:t>Časovno omejen(-a)</w:t>
      </w:r>
      <w:r>
        <w:rPr>
          <w:noProof/>
        </w:rPr>
        <w:t xml:space="preserve"> predlog/pobuda:</w:t>
      </w:r>
      <w:r>
        <w:rPr>
          <w:b/>
          <w:noProof/>
        </w:rPr>
        <w:t xml:space="preserve"> </w:t>
      </w:r>
    </w:p>
    <w:p>
      <w:pPr>
        <w:pStyle w:val="ListDash2"/>
        <w:rPr>
          <w:noProof/>
        </w:rPr>
      </w:pPr>
      <w:r>
        <w:rPr>
          <w:noProof/>
        </w:rPr>
        <w:sym w:font="Wingdings" w:char="F0A8"/>
      </w:r>
      <w:r>
        <w:rPr>
          <w:noProof/>
        </w:rPr>
        <w:tab/>
      </w:r>
      <w:r>
        <w:rPr>
          <w:noProof/>
        </w:rPr>
        <w:sym w:font="Wingdings" w:char="F0A8"/>
      </w:r>
      <w:r>
        <w:rPr>
          <w:noProof/>
        </w:rPr>
        <w:t xml:space="preserve">trajanje predloga/pobude od [DD. MM.] LLLL do [DD. MM.] LLLL, </w:t>
      </w:r>
    </w:p>
    <w:p>
      <w:pPr>
        <w:pStyle w:val="ListDash2"/>
        <w:rPr>
          <w:noProof/>
        </w:rPr>
      </w:pPr>
      <w:r>
        <w:rPr>
          <w:noProof/>
        </w:rPr>
        <w:sym w:font="Wingdings" w:char="F0A8"/>
      </w:r>
      <w:r>
        <w:rPr>
          <w:noProof/>
        </w:rPr>
        <w:tab/>
      </w:r>
      <w:r>
        <w:rPr>
          <w:noProof/>
        </w:rPr>
        <w:sym w:font="Wingdings" w:char="F0A8"/>
      </w:r>
      <w:r>
        <w:rPr>
          <w:noProof/>
        </w:rPr>
        <w:t xml:space="preserve">finančne posledice med letoma LLLL in LLLL. </w:t>
      </w:r>
    </w:p>
    <w:p>
      <w:pPr>
        <w:pStyle w:val="Text1"/>
        <w:rPr>
          <w:noProof/>
        </w:rPr>
      </w:pPr>
      <w:r>
        <w:rPr>
          <w:rFonts w:eastAsia="Times New Roman"/>
          <w:noProof/>
        </w:rPr>
        <w:sym w:font="Wingdings" w:char="F0FD"/>
      </w:r>
      <w:r>
        <w:rPr>
          <w:b/>
          <w:i/>
          <w:noProof/>
        </w:rPr>
        <w:t xml:space="preserve"> </w:t>
      </w:r>
      <w:r>
        <w:rPr>
          <w:b/>
          <w:noProof/>
        </w:rPr>
        <w:t>Časovno neomejen(-a)</w:t>
      </w:r>
      <w:r>
        <w:rPr>
          <w:noProof/>
        </w:rPr>
        <w:t xml:space="preserve"> predlog/pobuda:</w:t>
      </w:r>
    </w:p>
    <w:p>
      <w:pPr>
        <w:pStyle w:val="ListDash1"/>
        <w:rPr>
          <w:noProof/>
        </w:rPr>
      </w:pPr>
      <w:r>
        <w:rPr>
          <w:noProof/>
        </w:rPr>
        <w:t>izvajanje z obdobjem uvajanja med letoma 2017 in 2019,</w:t>
      </w:r>
    </w:p>
    <w:p>
      <w:pPr>
        <w:pStyle w:val="ListDash1"/>
        <w:rPr>
          <w:noProof/>
        </w:rPr>
      </w:pPr>
      <w:r>
        <w:rPr>
          <w:noProof/>
        </w:rPr>
        <w:t>ki mu sledi izvajanje predloga/pobude v celoti.</w:t>
      </w:r>
    </w:p>
    <w:p>
      <w:pPr>
        <w:pStyle w:val="ManualHeading2"/>
        <w:rPr>
          <w:bCs/>
          <w:noProof/>
          <w:szCs w:val="24"/>
        </w:rPr>
      </w:pPr>
      <w:r>
        <w:t>1.7.</w:t>
      </w:r>
      <w:r>
        <w:tab/>
      </w:r>
      <w:r>
        <w:rPr>
          <w:noProof/>
        </w:rPr>
        <w:t>Načrtovani načini upravljanja</w:t>
      </w:r>
      <w:r>
        <w:rPr>
          <w:rStyle w:val="FootnoteReference"/>
          <w:noProof/>
        </w:rPr>
        <w:footnoteReference w:id="30"/>
      </w:r>
      <w:r>
        <w:rPr>
          <w:rStyle w:val="FootnoteReference"/>
          <w:noProof/>
        </w:rPr>
        <w:t xml:space="preserve"> </w:t>
      </w:r>
    </w:p>
    <w:p>
      <w:pPr>
        <w:pStyle w:val="Text1"/>
        <w:rPr>
          <w:noProof/>
        </w:rPr>
      </w:pPr>
      <w:r>
        <w:rPr>
          <w:noProof/>
        </w:rPr>
        <w:sym w:font="Wingdings" w:char="F0A8"/>
      </w:r>
      <w:r>
        <w:rPr>
          <w:i/>
          <w:noProof/>
        </w:rPr>
        <w:t xml:space="preserve"> </w:t>
      </w:r>
      <w:r>
        <w:rPr>
          <w:b/>
          <w:noProof/>
        </w:rPr>
        <w:t>Neposredno upravljanje</w:t>
      </w:r>
      <w:r>
        <w:rPr>
          <w:noProof/>
        </w:rPr>
        <w:t xml:space="preserve"> – Komisija:</w:t>
      </w:r>
    </w:p>
    <w:p>
      <w:pPr>
        <w:pStyle w:val="ListDash2"/>
        <w:rPr>
          <w:rFonts w:cs="EUAlbertina"/>
          <w:noProof/>
        </w:rPr>
      </w:pPr>
      <w:r>
        <w:rPr>
          <w:noProof/>
        </w:rPr>
        <w:sym w:font="Wingdings" w:char="F0A8"/>
      </w:r>
      <w:r>
        <w:rPr>
          <w:noProof/>
        </w:rPr>
        <w:t xml:space="preserve"> z lastnimi službami, vključno z zaposlenimi v delegacijah Unije, </w:t>
      </w:r>
    </w:p>
    <w:p>
      <w:pPr>
        <w:pStyle w:val="ListDash2"/>
        <w:rPr>
          <w:noProof/>
        </w:rPr>
      </w:pPr>
      <w:r>
        <w:rPr>
          <w:noProof/>
        </w:rPr>
        <w:sym w:font="Wingdings" w:char="F0A8"/>
      </w:r>
      <w:r>
        <w:rPr>
          <w:noProof/>
        </w:rPr>
        <w:tab/>
      </w:r>
      <w:r>
        <w:rPr>
          <w:noProof/>
        </w:rPr>
        <w:sym w:font="Wingdings" w:char="F0A8"/>
      </w:r>
      <w:r>
        <w:rPr>
          <w:noProof/>
        </w:rPr>
        <w:t xml:space="preserve">prek izvajalskih agencij. </w:t>
      </w:r>
    </w:p>
    <w:p>
      <w:pPr>
        <w:pStyle w:val="Text1"/>
        <w:rPr>
          <w:noProof/>
        </w:rPr>
      </w:pPr>
      <w:r>
        <w:rPr>
          <w:noProof/>
        </w:rPr>
        <w:sym w:font="Wingdings" w:char="F0A8"/>
      </w:r>
      <w:r>
        <w:rPr>
          <w:b/>
          <w:i/>
          <w:noProof/>
        </w:rPr>
        <w:t xml:space="preserve"> </w:t>
      </w:r>
      <w:r>
        <w:rPr>
          <w:b/>
          <w:noProof/>
        </w:rPr>
        <w:t>Deljeno upravljanje</w:t>
      </w:r>
      <w:r>
        <w:rPr>
          <w:noProof/>
        </w:rPr>
        <w:t xml:space="preserve"> z državami članicami. </w:t>
      </w:r>
    </w:p>
    <w:p>
      <w:pPr>
        <w:pStyle w:val="Text1"/>
        <w:rPr>
          <w:noProof/>
        </w:rPr>
      </w:pPr>
      <w:r>
        <w:rPr>
          <w:rFonts w:eastAsia="Times New Roman"/>
          <w:noProof/>
        </w:rPr>
        <w:sym w:font="Wingdings" w:char="F0FD"/>
      </w:r>
      <w:r>
        <w:rPr>
          <w:i/>
          <w:noProof/>
        </w:rPr>
        <w:t xml:space="preserve"> </w:t>
      </w:r>
      <w:r>
        <w:rPr>
          <w:b/>
          <w:noProof/>
        </w:rPr>
        <w:t>Posredno upravljanje</w:t>
      </w:r>
      <w:r>
        <w:rPr>
          <w:noProof/>
        </w:rPr>
        <w:t xml:space="preserve"> s poverjanjem nalog izvrševanja proračuna:</w:t>
      </w:r>
    </w:p>
    <w:p>
      <w:pPr>
        <w:pStyle w:val="ListDash2"/>
        <w:rPr>
          <w:noProof/>
        </w:rPr>
      </w:pPr>
      <w:r>
        <w:rPr>
          <w:noProof/>
        </w:rPr>
        <w:sym w:font="Wingdings" w:char="F0A8"/>
      </w:r>
      <w:r>
        <w:rPr>
          <w:noProof/>
        </w:rPr>
        <w:t xml:space="preserve"> tretjim državam ali organom, ki jih te imenujejo,</w:t>
      </w:r>
    </w:p>
    <w:p>
      <w:pPr>
        <w:pStyle w:val="ListDash2"/>
        <w:rPr>
          <w:noProof/>
        </w:rPr>
      </w:pPr>
      <w:r>
        <w:rPr>
          <w:noProof/>
        </w:rPr>
        <w:sym w:font="Wingdings" w:char="F0A8"/>
      </w:r>
      <w:r>
        <w:rPr>
          <w:noProof/>
        </w:rPr>
        <w:t xml:space="preserve"> mednarodnim organizacijam in njihovim agencijam (navedite),</w:t>
      </w:r>
    </w:p>
    <w:p>
      <w:pPr>
        <w:pStyle w:val="ListDash2"/>
        <w:rPr>
          <w:noProof/>
        </w:rPr>
      </w:pPr>
      <w:r>
        <w:rPr>
          <w:noProof/>
        </w:rPr>
        <w:sym w:font="Wingdings" w:char="F0A8"/>
      </w:r>
      <w:r>
        <w:rPr>
          <w:noProof/>
        </w:rPr>
        <w:t>EIB in Evropskemu investicijskemu skladu,</w:t>
      </w:r>
    </w:p>
    <w:p>
      <w:pPr>
        <w:pStyle w:val="ListDash2"/>
        <w:rPr>
          <w:noProof/>
        </w:rPr>
      </w:pPr>
      <w:r>
        <w:rPr>
          <w:noProof/>
        </w:rPr>
        <w:sym w:font="Wingdings" w:char="F0FD"/>
      </w:r>
      <w:r>
        <w:rPr>
          <w:noProof/>
        </w:rPr>
        <w:t xml:space="preserve"> organom iz členov 208 in 209 finančne uredbe,</w:t>
      </w:r>
    </w:p>
    <w:p>
      <w:pPr>
        <w:pStyle w:val="ListDash2"/>
        <w:rPr>
          <w:noProof/>
        </w:rPr>
      </w:pPr>
      <w:r>
        <w:rPr>
          <w:noProof/>
        </w:rPr>
        <w:sym w:font="Wingdings" w:char="F0A8"/>
      </w:r>
      <w:r>
        <w:rPr>
          <w:noProof/>
        </w:rPr>
        <w:t xml:space="preserve"> subjektom javnega prava,</w:t>
      </w:r>
    </w:p>
    <w:p>
      <w:pPr>
        <w:pStyle w:val="ListDash2"/>
        <w:rPr>
          <w:noProof/>
        </w:rPr>
      </w:pPr>
      <w:r>
        <w:rPr>
          <w:noProof/>
        </w:rPr>
        <w:sym w:font="Wingdings" w:char="F0A8"/>
      </w:r>
      <w:r>
        <w:rPr>
          <w:noProof/>
        </w:rPr>
        <w:t xml:space="preserve"> subjektom zasebnega prava, ki opravljajo javne storitve, kolikor ti subjekti zagotavljajo ustrezna finančna jamstva,</w:t>
      </w:r>
    </w:p>
    <w:p>
      <w:pPr>
        <w:pStyle w:val="ListDash2"/>
        <w:rPr>
          <w:noProof/>
        </w:rPr>
      </w:pPr>
      <w:r>
        <w:rPr>
          <w:noProof/>
        </w:rPr>
        <w:sym w:font="Wingdings" w:char="F0A8"/>
      </w:r>
      <w:r>
        <w:rPr>
          <w:noProof/>
        </w:rPr>
        <w:t xml:space="preserve"> subjektom zasebnega prava države članice, ki so pooblaščeni za izvajanje javno-zasebnih partnerstev in ki zagotavljajo ustrezna finančna jamstva,</w:t>
      </w:r>
    </w:p>
    <w:p>
      <w:pPr>
        <w:pStyle w:val="ListDash2"/>
        <w:rPr>
          <w:noProof/>
        </w:rPr>
      </w:pPr>
      <w:r>
        <w:rPr>
          <w:noProof/>
        </w:rPr>
        <w:sym w:font="Wingdings" w:char="F0A8"/>
      </w:r>
      <w:r>
        <w:rPr>
          <w:noProof/>
        </w:rPr>
        <w:t xml:space="preserve"> osebam, pooblaščenim za izvajanje določenih ukrepov SZVP v skladu z naslovom V PEU in opredeljenim v zadevnem temeljnem aktu.</w:t>
      </w:r>
    </w:p>
    <w:p>
      <w:pPr>
        <w:pStyle w:val="ListDash2"/>
        <w:rPr>
          <w:i/>
          <w:noProof/>
          <w:sz w:val="18"/>
          <w:u w:val="single"/>
        </w:rPr>
      </w:pPr>
      <w:r>
        <w:rPr>
          <w:i/>
          <w:noProof/>
          <w:sz w:val="18"/>
        </w:rPr>
        <w:t>Pri navedbi več kot enega načina upravljanja je treba to natančneje obrazložiti v oddelku „opombe“.</w:t>
      </w:r>
    </w:p>
    <w:p>
      <w:pPr>
        <w:rPr>
          <w:noProof/>
        </w:rPr>
      </w:pPr>
      <w:r>
        <w:rPr>
          <w:noProof/>
        </w:rPr>
        <w:t xml:space="preserve">Opombe </w:t>
      </w:r>
    </w:p>
    <w:p>
      <w:pPr>
        <w:pBdr>
          <w:top w:val="single" w:sz="4" w:space="1" w:color="auto"/>
          <w:left w:val="single" w:sz="4" w:space="4" w:color="auto"/>
          <w:bottom w:val="single" w:sz="4" w:space="1" w:color="auto"/>
          <w:right w:val="single" w:sz="4" w:space="4" w:color="auto"/>
        </w:pBdr>
        <w:rPr>
          <w:rFonts w:eastAsia="Times New Roman"/>
          <w:noProof/>
        </w:rPr>
      </w:pPr>
      <w:r>
        <w:rPr>
          <w:noProof/>
        </w:rPr>
        <w:t xml:space="preserve">Izvajanje pobude bo vključevalo organ ESMA. Predlagani viri so za ESMA, ki je regulativna agencija in ne izvajalska agencija. ESMA deluje pod nadzorom Komisije. </w:t>
      </w:r>
    </w:p>
    <w:p>
      <w:pPr>
        <w:pBdr>
          <w:top w:val="single" w:sz="4" w:space="1" w:color="auto"/>
          <w:left w:val="single" w:sz="4" w:space="4" w:color="auto"/>
          <w:bottom w:val="single" w:sz="4" w:space="1" w:color="auto"/>
          <w:right w:val="single" w:sz="4" w:space="4" w:color="auto"/>
        </w:pBdr>
        <w:rPr>
          <w:rFonts w:eastAsia="Times New Roman"/>
          <w:noProof/>
        </w:rPr>
      </w:pPr>
      <w:r>
        <w:rPr>
          <w:noProof/>
        </w:rPr>
        <w:t xml:space="preserve">Za izvajanje ukrepa bo morala ESMA razviti rešitev IT za shranjevanje prospektov in z njimi povezanih dokumentov v obliki, ki uporabnikom zagotavlja lahek dostop in iskalna orodja.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UKREPI UPRAVLJANJA </w:t>
      </w:r>
    </w:p>
    <w:p>
      <w:pPr>
        <w:pStyle w:val="ManualHeading2"/>
        <w:rPr>
          <w:noProof/>
        </w:rPr>
      </w:pPr>
      <w:r>
        <w:t>2.1.</w:t>
      </w:r>
      <w:r>
        <w:tab/>
      </w:r>
      <w:r>
        <w:rPr>
          <w:noProof/>
        </w:rPr>
        <w:t xml:space="preserve">Pravila o spremljanju in poročanju </w:t>
      </w:r>
    </w:p>
    <w:p>
      <w:pPr>
        <w:pStyle w:val="Text1"/>
        <w:rPr>
          <w:i/>
          <w:noProof/>
          <w:sz w:val="20"/>
          <w:u w:val="single"/>
        </w:rPr>
      </w:pPr>
      <w:r>
        <w:rPr>
          <w:i/>
          <w:noProof/>
          <w:sz w:val="20"/>
        </w:rPr>
        <w:t>Navedite pogostost in pogoje.</w:t>
      </w:r>
    </w:p>
    <w:p>
      <w:pPr>
        <w:pStyle w:val="Text1"/>
        <w:pBdr>
          <w:top w:val="single" w:sz="4" w:space="1" w:color="auto"/>
          <w:left w:val="single" w:sz="4" w:space="4" w:color="auto"/>
          <w:bottom w:val="single" w:sz="4" w:space="1" w:color="auto"/>
          <w:right w:val="single" w:sz="4" w:space="4" w:color="auto"/>
        </w:pBdr>
        <w:rPr>
          <w:noProof/>
        </w:rPr>
      </w:pPr>
      <w:r>
        <w:rPr>
          <w:noProof/>
        </w:rPr>
        <w:t>Komisija bi morala učinkovitost predlaganih ukrepov pregledati po 5 letih od začetka uporabe predloga.</w:t>
      </w:r>
    </w:p>
    <w:p>
      <w:pPr>
        <w:pStyle w:val="ManualHeading2"/>
        <w:rPr>
          <w:bCs/>
          <w:noProof/>
          <w:szCs w:val="24"/>
        </w:rPr>
      </w:pPr>
      <w:r>
        <w:t>2.2.</w:t>
      </w:r>
      <w:r>
        <w:tab/>
      </w:r>
      <w:r>
        <w:rPr>
          <w:noProof/>
        </w:rPr>
        <w:t xml:space="preserve">Upravljavski in kontrolni sistem </w:t>
      </w:r>
    </w:p>
    <w:p>
      <w:pPr>
        <w:pStyle w:val="ManualHeading3"/>
        <w:rPr>
          <w:noProof/>
        </w:rPr>
      </w:pPr>
      <w:r>
        <w:t>2.2.1.</w:t>
      </w:r>
      <w:r>
        <w:tab/>
      </w:r>
      <w:r>
        <w:rPr>
          <w:noProof/>
        </w:rPr>
        <w:t xml:space="preserve">Ugotovljena tveganja </w:t>
      </w:r>
    </w:p>
    <w:p>
      <w:pPr>
        <w:pStyle w:val="Text1"/>
        <w:pBdr>
          <w:top w:val="single" w:sz="4" w:space="1" w:color="auto"/>
          <w:left w:val="single" w:sz="4" w:space="4" w:color="auto"/>
          <w:bottom w:val="single" w:sz="4" w:space="1" w:color="auto"/>
          <w:right w:val="single" w:sz="4" w:space="4" w:color="auto"/>
        </w:pBdr>
        <w:rPr>
          <w:noProof/>
        </w:rPr>
      </w:pPr>
      <w:r>
        <w:rPr>
          <w:noProof/>
        </w:rPr>
        <w:t>V zvezi z zakonito, gospodarno, učinkovito in uspešno uporabo odobritev, ki izhajajo iz predloga, se pričakuje, da predlog ne bi prinesel novih tveganj, ki jih trenutno ne zajema obstoječi okvir za notranjo kontrolo ESMA.</w:t>
      </w:r>
    </w:p>
    <w:p>
      <w:pPr>
        <w:pStyle w:val="ManualHeading3"/>
        <w:rPr>
          <w:bCs/>
          <w:noProof/>
          <w:szCs w:val="24"/>
        </w:rPr>
      </w:pPr>
      <w:r>
        <w:t>2.2.2.</w:t>
      </w:r>
      <w:r>
        <w:tab/>
      </w:r>
      <w:r>
        <w:rPr>
          <w:noProof/>
        </w:rPr>
        <w:t>Načrtovani načini kontrole</w:t>
      </w:r>
    </w:p>
    <w:p>
      <w:pPr>
        <w:pStyle w:val="Text1"/>
        <w:pBdr>
          <w:top w:val="single" w:sz="4" w:space="1" w:color="auto"/>
          <w:left w:val="single" w:sz="4" w:space="4" w:color="auto"/>
          <w:bottom w:val="single" w:sz="4" w:space="1" w:color="auto"/>
          <w:right w:val="single" w:sz="4" w:space="4" w:color="auto"/>
        </w:pBdr>
        <w:rPr>
          <w:noProof/>
        </w:rPr>
      </w:pPr>
      <w:r>
        <w:rPr>
          <w:noProof/>
        </w:rPr>
        <w:t>Ni relevantno.</w:t>
      </w:r>
    </w:p>
    <w:p>
      <w:pPr>
        <w:pStyle w:val="ManualHeading2"/>
        <w:rPr>
          <w:bCs/>
          <w:noProof/>
          <w:szCs w:val="24"/>
        </w:rPr>
      </w:pPr>
      <w:r>
        <w:t>2.3.</w:t>
      </w:r>
      <w:r>
        <w:tab/>
      </w:r>
      <w:r>
        <w:rPr>
          <w:noProof/>
        </w:rPr>
        <w:t xml:space="preserve">Ukrepi za preprečevanje goljufij in nepravilnosti </w:t>
      </w:r>
    </w:p>
    <w:p>
      <w:pPr>
        <w:pStyle w:val="Text1"/>
        <w:rPr>
          <w:i/>
          <w:noProof/>
          <w:sz w:val="20"/>
        </w:rPr>
      </w:pPr>
      <w:r>
        <w:rPr>
          <w:i/>
          <w:noProof/>
          <w:sz w:val="20"/>
        </w:rPr>
        <w:t>Navedite obstoječe ali načrtovane preprečevalne in zaščitne ukrepe.</w:t>
      </w:r>
    </w:p>
    <w:p>
      <w:pPr>
        <w:pBdr>
          <w:top w:val="single" w:sz="4" w:space="1" w:color="auto"/>
          <w:left w:val="single" w:sz="4" w:space="4" w:color="auto"/>
          <w:bottom w:val="single" w:sz="4" w:space="1" w:color="auto"/>
          <w:right w:val="single" w:sz="4" w:space="4" w:color="auto"/>
        </w:pBdr>
        <w:rPr>
          <w:rFonts w:eastAsia="Times New Roman"/>
          <w:noProof/>
        </w:rPr>
      </w:pPr>
      <w:r>
        <w:rPr>
          <w:noProof/>
        </w:rPr>
        <w:t>Za namene boja proti goljufijam, korupciji in drugim nezakonitim dejanjem se določbe Uredbe (ES) št. 1073/1999 Evropskega parlamenta in Sveta z dne 25. maja 1999 o preiskavah, ki jih izvaja Evropski urad za boj proti goljufijam (OLAF), brez omejitev uporabljajo za ESMA.</w:t>
      </w:r>
    </w:p>
    <w:p>
      <w:pPr>
        <w:pBdr>
          <w:top w:val="single" w:sz="4" w:space="1" w:color="auto"/>
          <w:left w:val="single" w:sz="4" w:space="4" w:color="auto"/>
          <w:bottom w:val="single" w:sz="4" w:space="1" w:color="auto"/>
          <w:right w:val="single" w:sz="4" w:space="4" w:color="auto"/>
        </w:pBdr>
        <w:spacing w:before="0"/>
        <w:rPr>
          <w:rFonts w:eastAsia="Times New Roman"/>
          <w:noProof/>
        </w:rPr>
      </w:pPr>
      <w:r>
        <w:rPr>
          <w:noProof/>
        </w:rPr>
        <w:t>ESMA pristopi k Medinstitucionalnemu sporazumu z dne 25. maja 1999 med Evropskim parlamentom, Svetom Evropske unije in Komisijo Evropskih skupnosti o notranjih preiskavah Evropskega urada za boj proti goljufijam (OLAF) in takoj sprejme ustrezne določbe za svoje celotno osebje.</w:t>
      </w:r>
    </w:p>
    <w:p>
      <w:pPr>
        <w:pBdr>
          <w:top w:val="single" w:sz="4" w:space="1" w:color="auto"/>
          <w:left w:val="single" w:sz="4" w:space="4" w:color="auto"/>
          <w:bottom w:val="single" w:sz="4" w:space="1" w:color="auto"/>
          <w:right w:val="single" w:sz="4" w:space="4" w:color="auto"/>
        </w:pBdr>
        <w:spacing w:before="0"/>
        <w:rPr>
          <w:rFonts w:eastAsia="Times New Roman"/>
          <w:noProof/>
        </w:rPr>
      </w:pPr>
      <w:r>
        <w:rPr>
          <w:noProof/>
        </w:rPr>
        <w:t>Odločitve o financiranju ter sporazumi in iz njih izhajajoči izvedbeni instrumenti izrecno določajo, da lahko Računsko sodišče in OLAF po potrebi opravljata preglede na kraju samem pri prejemnikih denarnih sredstev, ki jih izplača ESMA, in osebju, odgovornem za njihovo dodelitev.</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OCENA FINANČNIH POSLEDIC PREDLOGA/POBUDE </w:t>
      </w:r>
    </w:p>
    <w:p>
      <w:pPr>
        <w:pStyle w:val="ManualHeading2"/>
        <w:rPr>
          <w:noProof/>
        </w:rPr>
      </w:pPr>
      <w:r>
        <w:t>3.1.</w:t>
      </w:r>
      <w:r>
        <w:tab/>
      </w:r>
      <w:r>
        <w:rPr>
          <w:noProof/>
        </w:rPr>
        <w:t xml:space="preserve">Zadevni razdelki večletnega finančnega okvira in odhodkovne proračunske vrstice </w:t>
      </w:r>
    </w:p>
    <w:p>
      <w:pPr>
        <w:pStyle w:val="ListBullet1"/>
        <w:rPr>
          <w:noProof/>
        </w:rPr>
      </w:pPr>
      <w:r>
        <w:rPr>
          <w:noProof/>
        </w:rPr>
        <w:t xml:space="preserve">Obstoječe proračunske vrstice </w:t>
      </w:r>
    </w:p>
    <w:p>
      <w:pPr>
        <w:pStyle w:val="Text1"/>
        <w:rPr>
          <w:noProof/>
        </w:rPr>
      </w:pPr>
      <w:r>
        <w:rPr>
          <w:noProof/>
          <w:u w:val="single"/>
        </w:rPr>
        <w:t>Po vrstnem redu</w:t>
      </w:r>
      <w:r>
        <w:rPr>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Razdelek večletnega finančnega okvira</w:t>
            </w:r>
          </w:p>
        </w:tc>
        <w:tc>
          <w:tcPr>
            <w:tcW w:w="3960" w:type="dxa"/>
            <w:vAlign w:val="center"/>
          </w:tcPr>
          <w:p>
            <w:pPr>
              <w:spacing w:before="60" w:after="60"/>
              <w:jc w:val="center"/>
              <w:rPr>
                <w:noProof/>
                <w:sz w:val="22"/>
              </w:rPr>
            </w:pPr>
            <w:r>
              <w:rPr>
                <w:noProof/>
                <w:sz w:val="20"/>
              </w:rPr>
              <w:t>Proračunska vrstica</w:t>
            </w:r>
          </w:p>
        </w:tc>
        <w:tc>
          <w:tcPr>
            <w:tcW w:w="1080" w:type="dxa"/>
            <w:vAlign w:val="center"/>
          </w:tcPr>
          <w:p>
            <w:pPr>
              <w:spacing w:before="60" w:after="60"/>
              <w:jc w:val="center"/>
              <w:rPr>
                <w:noProof/>
                <w:sz w:val="22"/>
              </w:rPr>
            </w:pPr>
            <w:r>
              <w:rPr>
                <w:noProof/>
                <w:sz w:val="18"/>
              </w:rPr>
              <w:t xml:space="preserve">Vrsta </w:t>
            </w:r>
            <w:r>
              <w:rPr>
                <w:noProof/>
                <w:sz w:val="22"/>
              </w:rPr>
              <w:br/>
            </w:r>
            <w:r>
              <w:rPr>
                <w:noProof/>
                <w:sz w:val="18"/>
              </w:rPr>
              <w:t>odhodkov</w:t>
            </w:r>
          </w:p>
        </w:tc>
        <w:tc>
          <w:tcPr>
            <w:tcW w:w="4440" w:type="dxa"/>
            <w:gridSpan w:val="4"/>
            <w:vAlign w:val="center"/>
          </w:tcPr>
          <w:p>
            <w:pPr>
              <w:spacing w:before="60" w:after="60"/>
              <w:jc w:val="center"/>
              <w:rPr>
                <w:noProof/>
                <w:sz w:val="22"/>
              </w:rPr>
            </w:pPr>
            <w:r>
              <w:rPr>
                <w:noProof/>
                <w:sz w:val="20"/>
              </w:rPr>
              <w:t xml:space="preserve">Prispevek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številka [poimenovanje………………………...……………]</w:t>
            </w:r>
          </w:p>
        </w:tc>
        <w:tc>
          <w:tcPr>
            <w:tcW w:w="1080" w:type="dxa"/>
            <w:vAlign w:val="center"/>
          </w:tcPr>
          <w:p>
            <w:pPr>
              <w:jc w:val="center"/>
              <w:rPr>
                <w:noProof/>
                <w:sz w:val="22"/>
              </w:rPr>
            </w:pPr>
            <w:r>
              <w:rPr>
                <w:noProof/>
                <w:sz w:val="18"/>
              </w:rPr>
              <w:t>dif./nedif.</w:t>
            </w:r>
            <w:r>
              <w:rPr>
                <w:rStyle w:val="FootnoteReference"/>
                <w:noProof/>
                <w:sz w:val="18"/>
              </w:rPr>
              <w:footnoteReference w:id="31"/>
            </w:r>
            <w:r>
              <w:rPr>
                <w:noProof/>
              </w:rPr>
              <w:t>.</w:t>
            </w:r>
          </w:p>
        </w:tc>
        <w:tc>
          <w:tcPr>
            <w:tcW w:w="956" w:type="dxa"/>
            <w:vAlign w:val="center"/>
          </w:tcPr>
          <w:p>
            <w:pPr>
              <w:jc w:val="center"/>
              <w:rPr>
                <w:noProof/>
                <w:sz w:val="22"/>
              </w:rPr>
            </w:pPr>
            <w:r>
              <w:rPr>
                <w:noProof/>
                <w:sz w:val="18"/>
              </w:rPr>
              <w:t>držav Efte</w:t>
            </w:r>
            <w:r>
              <w:rPr>
                <w:rStyle w:val="FootnoteReference"/>
                <w:noProof/>
                <w:sz w:val="18"/>
              </w:rPr>
              <w:footnoteReference w:id="32"/>
            </w:r>
          </w:p>
          <w:p>
            <w:pPr>
              <w:spacing w:before="0" w:after="0"/>
              <w:jc w:val="center"/>
              <w:rPr>
                <w:b/>
                <w:noProof/>
                <w:sz w:val="18"/>
              </w:rPr>
            </w:pPr>
          </w:p>
        </w:tc>
        <w:tc>
          <w:tcPr>
            <w:tcW w:w="1080" w:type="dxa"/>
            <w:vAlign w:val="center"/>
          </w:tcPr>
          <w:p>
            <w:pPr>
              <w:jc w:val="center"/>
              <w:rPr>
                <w:noProof/>
                <w:sz w:val="22"/>
              </w:rPr>
            </w:pPr>
            <w:r>
              <w:rPr>
                <w:noProof/>
                <w:sz w:val="18"/>
              </w:rPr>
              <w:t>držav kandidatk</w:t>
            </w:r>
            <w:r>
              <w:rPr>
                <w:rStyle w:val="FootnoteReference"/>
                <w:noProof/>
                <w:sz w:val="18"/>
              </w:rPr>
              <w:footnoteReference w:id="33"/>
            </w:r>
          </w:p>
          <w:p>
            <w:pPr>
              <w:spacing w:before="0" w:after="0"/>
              <w:jc w:val="center"/>
              <w:rPr>
                <w:noProof/>
                <w:sz w:val="18"/>
              </w:rPr>
            </w:pPr>
          </w:p>
        </w:tc>
        <w:tc>
          <w:tcPr>
            <w:tcW w:w="956" w:type="dxa"/>
            <w:vAlign w:val="center"/>
          </w:tcPr>
          <w:p>
            <w:pPr>
              <w:jc w:val="center"/>
              <w:rPr>
                <w:noProof/>
                <w:sz w:val="18"/>
              </w:rPr>
            </w:pPr>
            <w:r>
              <w:rPr>
                <w:noProof/>
                <w:sz w:val="18"/>
              </w:rPr>
              <w:t>tretjih držav</w:t>
            </w:r>
          </w:p>
        </w:tc>
        <w:tc>
          <w:tcPr>
            <w:tcW w:w="1448" w:type="dxa"/>
            <w:vAlign w:val="center"/>
          </w:tcPr>
          <w:p>
            <w:pPr>
              <w:jc w:val="center"/>
              <w:rPr>
                <w:noProof/>
                <w:sz w:val="22"/>
              </w:rPr>
            </w:pPr>
            <w:r>
              <w:rPr>
                <w:noProof/>
                <w:sz w:val="16"/>
              </w:rPr>
              <w:t xml:space="preserve">po členu 21(2)(b) finančne uredbe </w:t>
            </w:r>
          </w:p>
        </w:tc>
      </w:tr>
      <w:tr>
        <w:tc>
          <w:tcPr>
            <w:tcW w:w="1080" w:type="dxa"/>
            <w:vAlign w:val="center"/>
          </w:tcPr>
          <w:p>
            <w:pPr>
              <w:jc w:val="center"/>
              <w:rPr>
                <w:noProof/>
                <w:color w:val="0000FF"/>
                <w:sz w:val="22"/>
              </w:rPr>
            </w:pPr>
            <w:r>
              <w:rPr>
                <w:noProof/>
                <w:sz w:val="22"/>
              </w:rPr>
              <w:t>1a</w:t>
            </w:r>
          </w:p>
        </w:tc>
        <w:tc>
          <w:tcPr>
            <w:tcW w:w="3960" w:type="dxa"/>
            <w:vAlign w:val="center"/>
          </w:tcPr>
          <w:p>
            <w:pPr>
              <w:spacing w:before="60"/>
              <w:rPr>
                <w:noProof/>
                <w:sz w:val="22"/>
              </w:rPr>
            </w:pPr>
            <w:r>
              <w:rPr>
                <w:noProof/>
              </w:rPr>
              <w:t>12.02.06 ESMA</w:t>
            </w:r>
          </w:p>
        </w:tc>
        <w:tc>
          <w:tcPr>
            <w:tcW w:w="1080" w:type="dxa"/>
            <w:vAlign w:val="center"/>
          </w:tcPr>
          <w:p>
            <w:pPr>
              <w:jc w:val="center"/>
              <w:rPr>
                <w:noProof/>
                <w:color w:val="0000FF"/>
                <w:sz w:val="22"/>
              </w:rPr>
            </w:pPr>
            <w:r>
              <w:rPr>
                <w:noProof/>
                <w:sz w:val="22"/>
              </w:rPr>
              <w:t>dif./</w:t>
            </w:r>
          </w:p>
        </w:tc>
        <w:tc>
          <w:tcPr>
            <w:tcW w:w="956" w:type="dxa"/>
            <w:vAlign w:val="center"/>
          </w:tcPr>
          <w:p>
            <w:pPr>
              <w:jc w:val="center"/>
              <w:rPr>
                <w:noProof/>
                <w:sz w:val="22"/>
              </w:rPr>
            </w:pPr>
            <w:r>
              <w:rPr>
                <w:noProof/>
                <w:sz w:val="22"/>
              </w:rPr>
              <w:t>DA</w:t>
            </w:r>
          </w:p>
        </w:tc>
        <w:tc>
          <w:tcPr>
            <w:tcW w:w="1080" w:type="dxa"/>
            <w:vAlign w:val="center"/>
          </w:tcPr>
          <w:p>
            <w:pPr>
              <w:jc w:val="center"/>
              <w:rPr>
                <w:noProof/>
                <w:sz w:val="22"/>
              </w:rPr>
            </w:pPr>
            <w:r>
              <w:rPr>
                <w:noProof/>
                <w:sz w:val="22"/>
              </w:rPr>
              <w:t>DA</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bl>
    <w:p>
      <w:pPr>
        <w:pStyle w:val="ListBullet1"/>
        <w:rPr>
          <w:noProof/>
        </w:rPr>
      </w:pPr>
      <w:r>
        <w:rPr>
          <w:noProof/>
        </w:rPr>
        <w:t xml:space="preserve">Zahtevane nove proračunske vrstice </w:t>
      </w:r>
    </w:p>
    <w:p>
      <w:pPr>
        <w:pStyle w:val="Text1"/>
        <w:rPr>
          <w:i/>
          <w:noProof/>
          <w:sz w:val="20"/>
        </w:rPr>
      </w:pPr>
      <w:r>
        <w:rPr>
          <w:i/>
          <w:noProof/>
          <w:u w:val="single"/>
        </w:rPr>
        <w:t>Po vrstnem redu</w:t>
      </w:r>
      <w:r>
        <w:rPr>
          <w:i/>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Razdelek večletnega finančnega okvira</w:t>
            </w:r>
          </w:p>
        </w:tc>
        <w:tc>
          <w:tcPr>
            <w:tcW w:w="3960" w:type="dxa"/>
            <w:vAlign w:val="center"/>
          </w:tcPr>
          <w:p>
            <w:pPr>
              <w:spacing w:before="60" w:after="60"/>
              <w:jc w:val="center"/>
              <w:rPr>
                <w:noProof/>
                <w:sz w:val="22"/>
              </w:rPr>
            </w:pPr>
            <w:r>
              <w:rPr>
                <w:noProof/>
                <w:sz w:val="20"/>
              </w:rPr>
              <w:t>Proračunska vrstica</w:t>
            </w:r>
          </w:p>
        </w:tc>
        <w:tc>
          <w:tcPr>
            <w:tcW w:w="1080" w:type="dxa"/>
            <w:vAlign w:val="center"/>
          </w:tcPr>
          <w:p>
            <w:pPr>
              <w:spacing w:before="60" w:after="60"/>
              <w:jc w:val="center"/>
              <w:rPr>
                <w:noProof/>
                <w:sz w:val="22"/>
              </w:rPr>
            </w:pPr>
            <w:r>
              <w:rPr>
                <w:noProof/>
                <w:sz w:val="18"/>
              </w:rPr>
              <w:t>Vrsta</w:t>
            </w:r>
            <w:r>
              <w:rPr>
                <w:noProof/>
                <w:sz w:val="22"/>
              </w:rPr>
              <w:br/>
            </w:r>
            <w:r>
              <w:rPr>
                <w:noProof/>
                <w:sz w:val="18"/>
              </w:rPr>
              <w:t>odhodkov</w:t>
            </w:r>
          </w:p>
        </w:tc>
        <w:tc>
          <w:tcPr>
            <w:tcW w:w="4440" w:type="dxa"/>
            <w:gridSpan w:val="4"/>
            <w:vAlign w:val="center"/>
          </w:tcPr>
          <w:p>
            <w:pPr>
              <w:spacing w:before="60" w:after="60"/>
              <w:jc w:val="center"/>
              <w:rPr>
                <w:noProof/>
                <w:sz w:val="22"/>
              </w:rPr>
            </w:pPr>
            <w:r>
              <w:rPr>
                <w:noProof/>
                <w:sz w:val="20"/>
              </w:rPr>
              <w:t xml:space="preserve">Prispevek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številka</w:t>
            </w:r>
            <w:r>
              <w:rPr>
                <w:noProof/>
                <w:sz w:val="22"/>
              </w:rPr>
              <w:br/>
            </w:r>
            <w:r>
              <w:rPr>
                <w:noProof/>
                <w:sz w:val="20"/>
              </w:rPr>
              <w:t>[poimenovanje……………n.r.………………………]</w:t>
            </w:r>
          </w:p>
        </w:tc>
        <w:tc>
          <w:tcPr>
            <w:tcW w:w="1080" w:type="dxa"/>
            <w:vAlign w:val="center"/>
          </w:tcPr>
          <w:p>
            <w:pPr>
              <w:jc w:val="center"/>
              <w:rPr>
                <w:noProof/>
                <w:sz w:val="22"/>
              </w:rPr>
            </w:pPr>
            <w:r>
              <w:rPr>
                <w:noProof/>
                <w:sz w:val="18"/>
              </w:rPr>
              <w:t>dif./nedif.</w:t>
            </w:r>
          </w:p>
        </w:tc>
        <w:tc>
          <w:tcPr>
            <w:tcW w:w="956" w:type="dxa"/>
            <w:vAlign w:val="center"/>
          </w:tcPr>
          <w:p>
            <w:pPr>
              <w:jc w:val="center"/>
              <w:rPr>
                <w:noProof/>
                <w:sz w:val="18"/>
              </w:rPr>
            </w:pPr>
            <w:r>
              <w:rPr>
                <w:noProof/>
                <w:sz w:val="18"/>
              </w:rPr>
              <w:t>držav Efte</w:t>
            </w:r>
          </w:p>
        </w:tc>
        <w:tc>
          <w:tcPr>
            <w:tcW w:w="1080" w:type="dxa"/>
            <w:vAlign w:val="center"/>
          </w:tcPr>
          <w:p>
            <w:pPr>
              <w:jc w:val="center"/>
              <w:rPr>
                <w:noProof/>
                <w:sz w:val="18"/>
              </w:rPr>
            </w:pPr>
            <w:r>
              <w:rPr>
                <w:noProof/>
                <w:sz w:val="18"/>
              </w:rPr>
              <w:t>držav kandidatk</w:t>
            </w:r>
          </w:p>
        </w:tc>
        <w:tc>
          <w:tcPr>
            <w:tcW w:w="956" w:type="dxa"/>
            <w:vAlign w:val="center"/>
          </w:tcPr>
          <w:p>
            <w:pPr>
              <w:jc w:val="center"/>
              <w:rPr>
                <w:noProof/>
                <w:sz w:val="18"/>
              </w:rPr>
            </w:pPr>
            <w:r>
              <w:rPr>
                <w:noProof/>
                <w:sz w:val="18"/>
              </w:rPr>
              <w:t>tretjih držav</w:t>
            </w:r>
          </w:p>
        </w:tc>
        <w:tc>
          <w:tcPr>
            <w:tcW w:w="1448" w:type="dxa"/>
            <w:vAlign w:val="center"/>
          </w:tcPr>
          <w:p>
            <w:pPr>
              <w:jc w:val="center"/>
              <w:rPr>
                <w:noProof/>
                <w:sz w:val="22"/>
              </w:rPr>
            </w:pPr>
            <w:r>
              <w:rPr>
                <w:noProof/>
                <w:sz w:val="16"/>
              </w:rPr>
              <w:t xml:space="preserve">po členu 21(2)(b) finančne uredbe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DA/NE</w:t>
            </w:r>
          </w:p>
        </w:tc>
        <w:tc>
          <w:tcPr>
            <w:tcW w:w="1080" w:type="dxa"/>
            <w:vAlign w:val="center"/>
          </w:tcPr>
          <w:p>
            <w:pPr>
              <w:jc w:val="center"/>
              <w:rPr>
                <w:noProof/>
                <w:color w:val="0000FF"/>
                <w:sz w:val="18"/>
              </w:rPr>
            </w:pPr>
            <w:r>
              <w:rPr>
                <w:noProof/>
                <w:sz w:val="22"/>
              </w:rPr>
              <w:t>DA/NE</w:t>
            </w:r>
          </w:p>
        </w:tc>
        <w:tc>
          <w:tcPr>
            <w:tcW w:w="956" w:type="dxa"/>
            <w:vAlign w:val="center"/>
          </w:tcPr>
          <w:p>
            <w:pPr>
              <w:jc w:val="center"/>
              <w:rPr>
                <w:noProof/>
                <w:color w:val="0000FF"/>
                <w:sz w:val="18"/>
              </w:rPr>
            </w:pPr>
            <w:r>
              <w:rPr>
                <w:noProof/>
                <w:sz w:val="22"/>
              </w:rPr>
              <w:t>DA/NE</w:t>
            </w:r>
          </w:p>
        </w:tc>
        <w:tc>
          <w:tcPr>
            <w:tcW w:w="1448" w:type="dxa"/>
            <w:vAlign w:val="center"/>
          </w:tcPr>
          <w:p>
            <w:pPr>
              <w:jc w:val="center"/>
              <w:rPr>
                <w:noProof/>
                <w:sz w:val="22"/>
              </w:rPr>
            </w:pPr>
            <w:r>
              <w:rPr>
                <w:noProof/>
                <w:sz w:val="22"/>
              </w:rPr>
              <w:t>DA/NE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Ocenjene posledice za odhodke </w:t>
      </w:r>
    </w:p>
    <w:p>
      <w:pPr>
        <w:pStyle w:val="Text1"/>
        <w:rPr>
          <w:noProof/>
        </w:rPr>
      </w:pPr>
      <w:r>
        <w:rPr>
          <w:noProof/>
          <w:highlight w:val="lightGray"/>
        </w:rPr>
        <w:t xml:space="preserve">[Ta oddelek bi bilo treba izpolniti s </w:t>
      </w:r>
      <w:hyperlink r:id="rId13">
        <w:r>
          <w:rPr>
            <w:rStyle w:val="Hyperlink"/>
            <w:b/>
            <w:noProof/>
          </w:rPr>
          <w:t>preglednico o proračunskih podatkih upravne narave</w:t>
        </w:r>
      </w:hyperlink>
      <w:r>
        <w:rPr>
          <w:noProof/>
          <w:highlight w:val="lightGray"/>
        </w:rPr>
        <w:t xml:space="preserve"> (drugi dokument v prilogi k tej oceni finančnih posledic) in prenesti na CISNET za namene posvetovanj med službami.]</w:t>
      </w:r>
    </w:p>
    <w:p>
      <w:pPr>
        <w:pStyle w:val="ManualHeading3"/>
        <w:rPr>
          <w:noProof/>
          <w:u w:val="single"/>
        </w:rPr>
      </w:pPr>
      <w:r>
        <w:t>3.2.1.</w:t>
      </w:r>
      <w:r>
        <w:tab/>
      </w:r>
      <w:r>
        <w:rPr>
          <w:noProof/>
        </w:rPr>
        <w:t xml:space="preserve">Povzetek ocenjenih posledic za odhodke </w:t>
      </w:r>
    </w:p>
    <w:p>
      <w:pPr>
        <w:jc w:val="right"/>
        <w:rPr>
          <w:noProof/>
          <w:sz w:val="20"/>
        </w:rPr>
      </w:pPr>
      <w:r>
        <w:rPr>
          <w:noProof/>
          <w:sz w:val="20"/>
        </w:rPr>
        <w:t>v mio. EUR (na tri decimalna mesta natančno)</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Razdelek večletnega finančnega</w:t>
            </w:r>
            <w:r>
              <w:rPr>
                <w:noProof/>
                <w:sz w:val="22"/>
              </w:rPr>
              <w:br/>
            </w:r>
            <w:r>
              <w:rPr>
                <w:b/>
                <w:noProof/>
                <w:sz w:val="22"/>
              </w:rPr>
              <w:t xml:space="preserve">okvira </w:t>
            </w:r>
          </w:p>
        </w:tc>
        <w:tc>
          <w:tcPr>
            <w:tcW w:w="1080" w:type="dxa"/>
            <w:vAlign w:val="center"/>
          </w:tcPr>
          <w:p>
            <w:pPr>
              <w:spacing w:before="60" w:after="60"/>
              <w:jc w:val="center"/>
              <w:rPr>
                <w:noProof/>
                <w:sz w:val="22"/>
              </w:rPr>
            </w:pPr>
            <w:r>
              <w:rPr>
                <w:noProof/>
                <w:sz w:val="22"/>
              </w:rPr>
              <w:t>številka</w:t>
            </w:r>
          </w:p>
        </w:tc>
        <w:tc>
          <w:tcPr>
            <w:tcW w:w="7817" w:type="dxa"/>
            <w:vAlign w:val="center"/>
          </w:tcPr>
          <w:p>
            <w:pPr>
              <w:spacing w:before="60" w:after="60"/>
              <w:rPr>
                <w:noProof/>
                <w:sz w:val="22"/>
              </w:rPr>
            </w:pPr>
            <w:r>
              <w:rPr>
                <w:noProof/>
                <w:sz w:val="22"/>
              </w:rPr>
              <w:t>[poimenovanje……………...……………………………………………………………….]</w:t>
            </w:r>
          </w:p>
        </w:tc>
      </w:tr>
    </w:tbl>
    <w:p>
      <w:pPr>
        <w:jc w:val="right"/>
        <w:rPr>
          <w:rFonts w:eastAsia="Times New Roman"/>
          <w:noProof/>
          <w:sz w:val="20"/>
        </w:rPr>
      </w:pPr>
      <w:r>
        <w:rPr>
          <w:noProof/>
          <w:sz w:val="20"/>
        </w:rPr>
        <w:t>v mio. EUR (na tri decimalna mesta natančno)</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b/>
                <w:noProof/>
                <w:sz w:val="22"/>
              </w:rPr>
              <w:t>Razdelek večletnega finančnega</w:t>
            </w:r>
            <w:r>
              <w:rPr>
                <w:rFonts w:eastAsia="Times New Roman"/>
                <w:noProof/>
                <w:sz w:val="22"/>
              </w:rPr>
              <w:br/>
            </w:r>
            <w:r>
              <w:rPr>
                <w:b/>
                <w:noProof/>
                <w:sz w:val="22"/>
              </w:rPr>
              <w:t xml:space="preserve">okvira </w:t>
            </w:r>
          </w:p>
        </w:tc>
        <w:tc>
          <w:tcPr>
            <w:tcW w:w="1080" w:type="dxa"/>
            <w:vAlign w:val="center"/>
          </w:tcPr>
          <w:p>
            <w:pPr>
              <w:spacing w:before="60" w:after="60"/>
              <w:jc w:val="center"/>
              <w:rPr>
                <w:rFonts w:eastAsia="Times New Roman"/>
                <w:noProof/>
              </w:rPr>
            </w:pPr>
            <w:r>
              <w:rPr>
                <w:noProof/>
                <w:sz w:val="22"/>
              </w:rPr>
              <w:t>številka</w:t>
            </w:r>
          </w:p>
        </w:tc>
        <w:tc>
          <w:tcPr>
            <w:tcW w:w="7817" w:type="dxa"/>
            <w:vAlign w:val="center"/>
          </w:tcPr>
          <w:p>
            <w:pPr>
              <w:spacing w:before="60" w:after="60"/>
              <w:rPr>
                <w:rFonts w:eastAsia="Times New Roman"/>
                <w:noProof/>
              </w:rPr>
            </w:pPr>
            <w:r>
              <w:rPr>
                <w:noProof/>
              </w:rPr>
              <w:t>[poimenovanje: 1a]</w:t>
            </w:r>
          </w:p>
        </w:tc>
      </w:tr>
    </w:tbl>
    <w:p>
      <w:pPr>
        <w:rPr>
          <w:rFonts w:eastAsia="Times New Roman"/>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3"/>
        <w:gridCol w:w="591"/>
        <w:gridCol w:w="868"/>
        <w:gridCol w:w="868"/>
        <w:gridCol w:w="868"/>
        <w:gridCol w:w="868"/>
        <w:gridCol w:w="868"/>
        <w:gridCol w:w="868"/>
        <w:gridCol w:w="868"/>
        <w:gridCol w:w="1777"/>
      </w:tblGrid>
      <w:tr>
        <w:tc>
          <w:tcPr>
            <w:tcW w:w="3960" w:type="dxa"/>
            <w:vAlign w:val="center"/>
          </w:tcPr>
          <w:p>
            <w:pPr>
              <w:jc w:val="center"/>
              <w:rPr>
                <w:rFonts w:eastAsia="Times New Roman"/>
                <w:noProof/>
              </w:rPr>
            </w:pPr>
            <w:r>
              <w:rPr>
                <w:noProof/>
                <w:sz w:val="22"/>
              </w:rPr>
              <w:t xml:space="preserve">[organ]: </w:t>
            </w:r>
            <w:r>
              <w:rPr>
                <w:noProof/>
              </w:rPr>
              <w:t>ESMA</w:t>
            </w:r>
          </w:p>
        </w:tc>
        <w:tc>
          <w:tcPr>
            <w:tcW w:w="1503" w:type="dxa"/>
            <w:gridSpan w:val="2"/>
          </w:tcPr>
          <w:p>
            <w:pPr>
              <w:rPr>
                <w:rFonts w:eastAsia="Times New Roman"/>
                <w:noProof/>
                <w:sz w:val="20"/>
              </w:rPr>
            </w:pPr>
          </w:p>
        </w:tc>
        <w:tc>
          <w:tcPr>
            <w:tcW w:w="591" w:type="dxa"/>
          </w:tcPr>
          <w:p>
            <w:pPr>
              <w:jc w:val="center"/>
              <w:rPr>
                <w:rFonts w:eastAsia="Times New Roman"/>
                <w:noProof/>
                <w:sz w:val="20"/>
              </w:rPr>
            </w:pPr>
          </w:p>
        </w:tc>
        <w:tc>
          <w:tcPr>
            <w:tcW w:w="868"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w:t>
            </w:r>
            <w:r>
              <w:rPr>
                <w:rStyle w:val="FootnoteReference"/>
                <w:noProof/>
              </w:rPr>
              <w:footnoteReference w:id="34"/>
            </w:r>
            <w:r>
              <w:rPr>
                <w:b/>
                <w:noProof/>
                <w:sz w:val="20"/>
              </w:rPr>
              <w:t>: 2016</w:t>
            </w:r>
          </w:p>
        </w:tc>
        <w:tc>
          <w:tcPr>
            <w:tcW w:w="868"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N+1: 2017</w:t>
            </w:r>
          </w:p>
        </w:tc>
        <w:tc>
          <w:tcPr>
            <w:tcW w:w="868"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N+2: 2018</w:t>
            </w:r>
          </w:p>
        </w:tc>
        <w:tc>
          <w:tcPr>
            <w:tcW w:w="868"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N+3: 2019</w:t>
            </w:r>
          </w:p>
        </w:tc>
        <w:tc>
          <w:tcPr>
            <w:tcW w:w="2604" w:type="dxa"/>
            <w:gridSpan w:val="3"/>
            <w:vAlign w:val="center"/>
          </w:tcPr>
          <w:p>
            <w:pPr>
              <w:jc w:val="center"/>
              <w:rPr>
                <w:rFonts w:eastAsia="Times New Roman"/>
                <w:b/>
                <w:noProof/>
                <w:sz w:val="18"/>
              </w:rPr>
            </w:pPr>
            <w:r>
              <w:rPr>
                <w:noProof/>
                <w:sz w:val="18"/>
              </w:rPr>
              <w:t>Vstavite ustrezno število let glede na trajanje posledic (gl. točko 1.6)</w:t>
            </w:r>
          </w:p>
        </w:tc>
        <w:tc>
          <w:tcPr>
            <w:tcW w:w="1777" w:type="dxa"/>
            <w:vAlign w:val="center"/>
          </w:tcPr>
          <w:p>
            <w:pPr>
              <w:jc w:val="center"/>
              <w:rPr>
                <w:rFonts w:eastAsia="Times New Roman"/>
                <w:b/>
                <w:noProof/>
                <w:sz w:val="20"/>
              </w:rPr>
            </w:pPr>
            <w:r>
              <w:rPr>
                <w:b/>
                <w:noProof/>
                <w:sz w:val="20"/>
              </w:rPr>
              <w:t>SKUPAJ</w:t>
            </w:r>
            <w:r>
              <w:rPr>
                <w:rStyle w:val="FootnoteReference"/>
                <w:noProof/>
              </w:rPr>
              <w:footnoteReference w:id="35"/>
            </w:r>
          </w:p>
        </w:tc>
      </w:tr>
      <w:tr>
        <w:trPr>
          <w:trHeight w:val="277"/>
        </w:trPr>
        <w:tc>
          <w:tcPr>
            <w:tcW w:w="3960" w:type="dxa"/>
            <w:vMerge w:val="restart"/>
            <w:vAlign w:val="center"/>
          </w:tcPr>
          <w:p>
            <w:pPr>
              <w:rPr>
                <w:rFonts w:eastAsia="Times New Roman"/>
                <w:noProof/>
              </w:rPr>
            </w:pPr>
            <w:r>
              <w:rPr>
                <w:noProof/>
                <w:sz w:val="20"/>
              </w:rPr>
              <w:t>Naslov 1:</w:t>
            </w:r>
          </w:p>
        </w:tc>
        <w:tc>
          <w:tcPr>
            <w:tcW w:w="1440" w:type="dxa"/>
            <w:vAlign w:val="center"/>
          </w:tcPr>
          <w:p>
            <w:pPr>
              <w:spacing w:before="20" w:after="20"/>
              <w:rPr>
                <w:rFonts w:eastAsia="Times New Roman"/>
                <w:noProof/>
              </w:rPr>
            </w:pPr>
            <w:r>
              <w:rPr>
                <w:noProof/>
                <w:sz w:val="18"/>
              </w:rPr>
              <w:t>obveznosti</w:t>
            </w:r>
          </w:p>
        </w:tc>
        <w:tc>
          <w:tcPr>
            <w:tcW w:w="654" w:type="dxa"/>
            <w:gridSpan w:val="2"/>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20"/>
              </w:rPr>
            </w:pPr>
            <w:r>
              <w:rPr>
                <w:noProof/>
                <w:sz w:val="20"/>
              </w:rPr>
              <w:t>0,362</w:t>
            </w:r>
          </w:p>
        </w:tc>
        <w:tc>
          <w:tcPr>
            <w:tcW w:w="868" w:type="dxa"/>
            <w:vAlign w:val="center"/>
          </w:tcPr>
          <w:p>
            <w:pPr>
              <w:spacing w:before="20" w:after="20"/>
              <w:jc w:val="right"/>
              <w:rPr>
                <w:rFonts w:eastAsia="Times New Roman"/>
                <w:noProof/>
                <w:sz w:val="20"/>
              </w:rPr>
            </w:pPr>
            <w:r>
              <w:rPr>
                <w:noProof/>
                <w:sz w:val="20"/>
              </w:rPr>
              <w:t>1,078</w:t>
            </w:r>
          </w:p>
        </w:tc>
        <w:tc>
          <w:tcPr>
            <w:tcW w:w="868" w:type="dxa"/>
            <w:vAlign w:val="center"/>
          </w:tcPr>
          <w:p>
            <w:pPr>
              <w:spacing w:before="20" w:after="20"/>
              <w:jc w:val="right"/>
              <w:rPr>
                <w:rFonts w:eastAsia="Times New Roman"/>
                <w:noProof/>
                <w:sz w:val="20"/>
              </w:rPr>
            </w:pPr>
            <w:r>
              <w:rPr>
                <w:noProof/>
                <w:sz w:val="20"/>
              </w:rPr>
              <w:t>0,924</w:t>
            </w:r>
          </w:p>
        </w:tc>
        <w:tc>
          <w:tcPr>
            <w:tcW w:w="868" w:type="dxa"/>
            <w:vAlign w:val="center"/>
          </w:tcPr>
          <w:p>
            <w:pPr>
              <w:spacing w:before="20" w:after="20"/>
              <w:jc w:val="right"/>
              <w:rPr>
                <w:rFonts w:eastAsia="Times New Roman"/>
                <w:noProof/>
                <w:sz w:val="20"/>
              </w:rPr>
            </w:pPr>
            <w:r>
              <w:rPr>
                <w:noProof/>
                <w:sz w:val="20"/>
              </w:rPr>
              <w:t>0,200</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b/>
                <w:noProof/>
                <w:sz w:val="20"/>
              </w:rPr>
            </w:pPr>
            <w:r>
              <w:rPr>
                <w:b/>
                <w:noProof/>
                <w:sz w:val="20"/>
              </w:rPr>
              <w:t>…</w:t>
            </w:r>
          </w:p>
        </w:tc>
        <w:tc>
          <w:tcPr>
            <w:tcW w:w="1777" w:type="dxa"/>
            <w:vAlign w:val="center"/>
          </w:tcPr>
          <w:p>
            <w:pPr>
              <w:spacing w:before="20" w:after="20"/>
              <w:jc w:val="right"/>
              <w:rPr>
                <w:rFonts w:eastAsia="Times New Roman"/>
                <w:b/>
                <w:noProof/>
                <w:sz w:val="20"/>
              </w:rPr>
            </w:pPr>
            <w:r>
              <w:rPr>
                <w:b/>
                <w:noProof/>
                <w:sz w:val="20"/>
              </w:rPr>
              <w:t>2,564</w:t>
            </w:r>
          </w:p>
        </w:tc>
      </w:tr>
      <w:tr>
        <w:tc>
          <w:tcPr>
            <w:tcW w:w="3960" w:type="dxa"/>
            <w:vMerge/>
            <w:vAlign w:val="center"/>
          </w:tcPr>
          <w:p>
            <w:pPr>
              <w:rPr>
                <w:rFonts w:eastAsia="Times New Roman"/>
                <w:noProof/>
              </w:rPr>
            </w:pPr>
          </w:p>
        </w:tc>
        <w:tc>
          <w:tcPr>
            <w:tcW w:w="1440" w:type="dxa"/>
            <w:vAlign w:val="center"/>
          </w:tcPr>
          <w:p>
            <w:pPr>
              <w:spacing w:before="20" w:after="20"/>
              <w:rPr>
                <w:rFonts w:eastAsia="Times New Roman"/>
                <w:noProof/>
                <w:sz w:val="18"/>
              </w:rPr>
            </w:pPr>
            <w:r>
              <w:rPr>
                <w:noProof/>
                <w:sz w:val="18"/>
              </w:rPr>
              <w:t>plačila</w:t>
            </w:r>
          </w:p>
        </w:tc>
        <w:tc>
          <w:tcPr>
            <w:tcW w:w="654" w:type="dxa"/>
            <w:gridSpan w:val="2"/>
            <w:vAlign w:val="center"/>
          </w:tcPr>
          <w:p>
            <w:pPr>
              <w:spacing w:before="20" w:after="20"/>
              <w:jc w:val="center"/>
              <w:rPr>
                <w:rFonts w:eastAsia="Times New Roman"/>
                <w:noProof/>
                <w:sz w:val="14"/>
              </w:rPr>
            </w:pPr>
            <w:r>
              <w:rPr>
                <w:noProof/>
                <w:sz w:val="14"/>
              </w:rPr>
              <w:t>(2)</w:t>
            </w:r>
          </w:p>
        </w:tc>
        <w:tc>
          <w:tcPr>
            <w:tcW w:w="868" w:type="dxa"/>
            <w:vAlign w:val="center"/>
          </w:tcPr>
          <w:p>
            <w:pPr>
              <w:spacing w:before="20" w:after="20"/>
              <w:jc w:val="right"/>
              <w:rPr>
                <w:rFonts w:eastAsia="Times New Roman"/>
                <w:noProof/>
                <w:sz w:val="20"/>
              </w:rPr>
            </w:pPr>
            <w:r>
              <w:rPr>
                <w:noProof/>
                <w:sz w:val="20"/>
              </w:rPr>
              <w:t>0,362</w:t>
            </w:r>
          </w:p>
        </w:tc>
        <w:tc>
          <w:tcPr>
            <w:tcW w:w="868" w:type="dxa"/>
            <w:vAlign w:val="center"/>
          </w:tcPr>
          <w:p>
            <w:pPr>
              <w:spacing w:before="20" w:after="20"/>
              <w:jc w:val="right"/>
              <w:rPr>
                <w:rFonts w:eastAsia="Times New Roman"/>
                <w:noProof/>
                <w:sz w:val="20"/>
              </w:rPr>
            </w:pPr>
            <w:r>
              <w:rPr>
                <w:noProof/>
                <w:sz w:val="20"/>
              </w:rPr>
              <w:t>1,078</w:t>
            </w:r>
          </w:p>
        </w:tc>
        <w:tc>
          <w:tcPr>
            <w:tcW w:w="868" w:type="dxa"/>
            <w:vAlign w:val="center"/>
          </w:tcPr>
          <w:p>
            <w:pPr>
              <w:spacing w:before="20" w:after="20"/>
              <w:jc w:val="right"/>
              <w:rPr>
                <w:rFonts w:eastAsia="Times New Roman"/>
                <w:noProof/>
                <w:sz w:val="20"/>
              </w:rPr>
            </w:pPr>
            <w:r>
              <w:rPr>
                <w:noProof/>
                <w:sz w:val="20"/>
              </w:rPr>
              <w:t>0,924</w:t>
            </w:r>
          </w:p>
        </w:tc>
        <w:tc>
          <w:tcPr>
            <w:tcW w:w="868" w:type="dxa"/>
            <w:vAlign w:val="center"/>
          </w:tcPr>
          <w:p>
            <w:pPr>
              <w:spacing w:before="20" w:after="20"/>
              <w:jc w:val="right"/>
              <w:rPr>
                <w:rFonts w:eastAsia="Times New Roman"/>
                <w:noProof/>
                <w:sz w:val="20"/>
              </w:rPr>
            </w:pPr>
            <w:r>
              <w:rPr>
                <w:noProof/>
                <w:sz w:val="20"/>
              </w:rPr>
              <w:t>0,200</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b/>
                <w:noProof/>
                <w:sz w:val="20"/>
              </w:rPr>
            </w:pPr>
            <w:r>
              <w:rPr>
                <w:b/>
                <w:noProof/>
                <w:sz w:val="20"/>
              </w:rPr>
              <w:t>…</w:t>
            </w:r>
          </w:p>
        </w:tc>
        <w:tc>
          <w:tcPr>
            <w:tcW w:w="1777" w:type="dxa"/>
            <w:vAlign w:val="center"/>
          </w:tcPr>
          <w:p>
            <w:pPr>
              <w:spacing w:before="20" w:after="20"/>
              <w:jc w:val="right"/>
              <w:rPr>
                <w:rFonts w:eastAsia="Times New Roman"/>
                <w:b/>
                <w:noProof/>
                <w:sz w:val="20"/>
              </w:rPr>
            </w:pPr>
            <w:r>
              <w:rPr>
                <w:b/>
                <w:noProof/>
                <w:sz w:val="20"/>
              </w:rPr>
              <w:t>2,564</w:t>
            </w:r>
          </w:p>
        </w:tc>
      </w:tr>
      <w:tr>
        <w:tc>
          <w:tcPr>
            <w:tcW w:w="3960" w:type="dxa"/>
            <w:vMerge w:val="restart"/>
            <w:vAlign w:val="center"/>
          </w:tcPr>
          <w:p>
            <w:pPr>
              <w:rPr>
                <w:rFonts w:eastAsia="Times New Roman"/>
                <w:noProof/>
              </w:rPr>
            </w:pPr>
            <w:r>
              <w:rPr>
                <w:noProof/>
                <w:sz w:val="20"/>
              </w:rPr>
              <w:t>Naslov 2:</w:t>
            </w:r>
          </w:p>
        </w:tc>
        <w:tc>
          <w:tcPr>
            <w:tcW w:w="1440" w:type="dxa"/>
            <w:vAlign w:val="center"/>
          </w:tcPr>
          <w:p>
            <w:pPr>
              <w:spacing w:before="20" w:after="20"/>
              <w:rPr>
                <w:rFonts w:eastAsia="Times New Roman"/>
                <w:noProof/>
                <w:sz w:val="18"/>
              </w:rPr>
            </w:pPr>
            <w:r>
              <w:rPr>
                <w:noProof/>
                <w:sz w:val="18"/>
              </w:rPr>
              <w:t>obveznosti</w:t>
            </w:r>
          </w:p>
        </w:tc>
        <w:tc>
          <w:tcPr>
            <w:tcW w:w="654" w:type="dxa"/>
            <w:gridSpan w:val="2"/>
            <w:vAlign w:val="center"/>
          </w:tcPr>
          <w:p>
            <w:pPr>
              <w:spacing w:before="20" w:after="20"/>
              <w:jc w:val="center"/>
              <w:rPr>
                <w:rFonts w:eastAsia="Times New Roman"/>
                <w:noProof/>
                <w:sz w:val="14"/>
              </w:rPr>
            </w:pPr>
            <w:r>
              <w:rPr>
                <w:noProof/>
                <w:sz w:val="14"/>
              </w:rPr>
              <w:t>(1a)</w:t>
            </w:r>
          </w:p>
        </w:tc>
        <w:tc>
          <w:tcPr>
            <w:tcW w:w="868" w:type="dxa"/>
            <w:vAlign w:val="center"/>
          </w:tcPr>
          <w:p>
            <w:pPr>
              <w:spacing w:before="20" w:after="20"/>
              <w:jc w:val="right"/>
              <w:rPr>
                <w:rFonts w:eastAsia="Times New Roman"/>
                <w:noProof/>
                <w:sz w:val="20"/>
              </w:rPr>
            </w:pPr>
            <w:r>
              <w:rPr>
                <w:noProof/>
                <w:sz w:val="20"/>
              </w:rPr>
              <w:t>0</w:t>
            </w:r>
          </w:p>
        </w:tc>
        <w:tc>
          <w:tcPr>
            <w:tcW w:w="868" w:type="dxa"/>
            <w:vAlign w:val="center"/>
          </w:tcPr>
          <w:p>
            <w:pPr>
              <w:spacing w:before="20" w:after="20"/>
              <w:jc w:val="right"/>
              <w:rPr>
                <w:rFonts w:eastAsia="Times New Roman"/>
                <w:noProof/>
                <w:sz w:val="20"/>
              </w:rPr>
            </w:pPr>
            <w:r>
              <w:rPr>
                <w:noProof/>
                <w:sz w:val="20"/>
              </w:rPr>
              <w:t>0,600</w:t>
            </w:r>
          </w:p>
        </w:tc>
        <w:tc>
          <w:tcPr>
            <w:tcW w:w="868" w:type="dxa"/>
            <w:vAlign w:val="center"/>
          </w:tcPr>
          <w:p>
            <w:pPr>
              <w:spacing w:before="20" w:after="20"/>
              <w:jc w:val="right"/>
              <w:rPr>
                <w:rFonts w:eastAsia="Times New Roman"/>
                <w:noProof/>
                <w:sz w:val="20"/>
              </w:rPr>
            </w:pPr>
            <w:r>
              <w:rPr>
                <w:noProof/>
                <w:sz w:val="20"/>
              </w:rPr>
              <w:t>0,600</w:t>
            </w:r>
          </w:p>
        </w:tc>
        <w:tc>
          <w:tcPr>
            <w:tcW w:w="868" w:type="dxa"/>
            <w:vAlign w:val="center"/>
          </w:tcPr>
          <w:p>
            <w:pPr>
              <w:spacing w:before="20" w:after="20"/>
              <w:jc w:val="right"/>
              <w:rPr>
                <w:rFonts w:eastAsia="Times New Roman"/>
                <w:noProof/>
                <w:sz w:val="20"/>
              </w:rPr>
            </w:pPr>
            <w:r>
              <w:rPr>
                <w:noProof/>
                <w:sz w:val="20"/>
              </w:rPr>
              <w:t>0,120</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b/>
                <w:noProof/>
                <w:sz w:val="20"/>
              </w:rPr>
            </w:pPr>
            <w:r>
              <w:rPr>
                <w:b/>
                <w:noProof/>
                <w:sz w:val="20"/>
              </w:rPr>
              <w:t>…</w:t>
            </w:r>
          </w:p>
        </w:tc>
        <w:tc>
          <w:tcPr>
            <w:tcW w:w="1777" w:type="dxa"/>
            <w:vAlign w:val="center"/>
          </w:tcPr>
          <w:p>
            <w:pPr>
              <w:spacing w:before="20" w:after="20"/>
              <w:jc w:val="right"/>
              <w:rPr>
                <w:rFonts w:eastAsia="Times New Roman"/>
                <w:b/>
                <w:noProof/>
                <w:sz w:val="20"/>
              </w:rPr>
            </w:pPr>
            <w:r>
              <w:rPr>
                <w:b/>
                <w:noProof/>
                <w:sz w:val="20"/>
              </w:rPr>
              <w:t>1,320</w:t>
            </w:r>
          </w:p>
        </w:tc>
      </w:tr>
      <w:tr>
        <w:tc>
          <w:tcPr>
            <w:tcW w:w="3960" w:type="dxa"/>
            <w:vMerge/>
            <w:vAlign w:val="center"/>
          </w:tcPr>
          <w:p>
            <w:pPr>
              <w:rPr>
                <w:rFonts w:eastAsia="Times New Roman"/>
                <w:noProof/>
              </w:rPr>
            </w:pPr>
          </w:p>
        </w:tc>
        <w:tc>
          <w:tcPr>
            <w:tcW w:w="1440" w:type="dxa"/>
            <w:vAlign w:val="center"/>
          </w:tcPr>
          <w:p>
            <w:pPr>
              <w:spacing w:before="20" w:after="20"/>
              <w:rPr>
                <w:rFonts w:eastAsia="Times New Roman"/>
                <w:noProof/>
                <w:sz w:val="18"/>
              </w:rPr>
            </w:pPr>
            <w:r>
              <w:rPr>
                <w:noProof/>
                <w:sz w:val="18"/>
              </w:rPr>
              <w:t>plačila</w:t>
            </w:r>
          </w:p>
        </w:tc>
        <w:tc>
          <w:tcPr>
            <w:tcW w:w="654" w:type="dxa"/>
            <w:gridSpan w:val="2"/>
            <w:vAlign w:val="center"/>
          </w:tcPr>
          <w:p>
            <w:pPr>
              <w:spacing w:before="20" w:after="20"/>
              <w:jc w:val="center"/>
              <w:rPr>
                <w:rFonts w:eastAsia="Times New Roman"/>
                <w:noProof/>
                <w:sz w:val="14"/>
              </w:rPr>
            </w:pPr>
            <w:r>
              <w:rPr>
                <w:noProof/>
                <w:sz w:val="14"/>
              </w:rPr>
              <w:t>(2a)</w:t>
            </w:r>
          </w:p>
        </w:tc>
        <w:tc>
          <w:tcPr>
            <w:tcW w:w="868" w:type="dxa"/>
            <w:vAlign w:val="center"/>
          </w:tcPr>
          <w:p>
            <w:pPr>
              <w:spacing w:before="20" w:after="20"/>
              <w:jc w:val="right"/>
              <w:rPr>
                <w:rFonts w:eastAsia="Times New Roman"/>
                <w:noProof/>
                <w:sz w:val="20"/>
              </w:rPr>
            </w:pPr>
            <w:r>
              <w:rPr>
                <w:noProof/>
                <w:sz w:val="20"/>
              </w:rPr>
              <w:t>0</w:t>
            </w:r>
          </w:p>
        </w:tc>
        <w:tc>
          <w:tcPr>
            <w:tcW w:w="868" w:type="dxa"/>
            <w:vAlign w:val="center"/>
          </w:tcPr>
          <w:p>
            <w:pPr>
              <w:spacing w:before="20" w:after="20"/>
              <w:jc w:val="right"/>
              <w:rPr>
                <w:rFonts w:eastAsia="Times New Roman"/>
                <w:noProof/>
                <w:sz w:val="20"/>
              </w:rPr>
            </w:pPr>
            <w:r>
              <w:rPr>
                <w:noProof/>
                <w:sz w:val="20"/>
              </w:rPr>
              <w:t>0,600</w:t>
            </w:r>
          </w:p>
        </w:tc>
        <w:tc>
          <w:tcPr>
            <w:tcW w:w="868" w:type="dxa"/>
            <w:vAlign w:val="center"/>
          </w:tcPr>
          <w:p>
            <w:pPr>
              <w:spacing w:before="20" w:after="20"/>
              <w:jc w:val="right"/>
              <w:rPr>
                <w:rFonts w:eastAsia="Times New Roman"/>
                <w:noProof/>
                <w:sz w:val="20"/>
              </w:rPr>
            </w:pPr>
            <w:r>
              <w:rPr>
                <w:noProof/>
                <w:sz w:val="20"/>
              </w:rPr>
              <w:t>0,600</w:t>
            </w:r>
          </w:p>
        </w:tc>
        <w:tc>
          <w:tcPr>
            <w:tcW w:w="868" w:type="dxa"/>
            <w:vAlign w:val="center"/>
          </w:tcPr>
          <w:p>
            <w:pPr>
              <w:spacing w:before="20" w:after="20"/>
              <w:jc w:val="right"/>
              <w:rPr>
                <w:rFonts w:eastAsia="Times New Roman"/>
                <w:noProof/>
                <w:sz w:val="20"/>
              </w:rPr>
            </w:pPr>
            <w:r>
              <w:rPr>
                <w:noProof/>
                <w:sz w:val="20"/>
              </w:rPr>
              <w:t>0,120</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b/>
                <w:noProof/>
                <w:sz w:val="20"/>
              </w:rPr>
            </w:pPr>
            <w:r>
              <w:rPr>
                <w:b/>
                <w:noProof/>
                <w:sz w:val="20"/>
              </w:rPr>
              <w:t>…</w:t>
            </w:r>
          </w:p>
        </w:tc>
        <w:tc>
          <w:tcPr>
            <w:tcW w:w="1777" w:type="dxa"/>
            <w:vAlign w:val="center"/>
          </w:tcPr>
          <w:p>
            <w:pPr>
              <w:spacing w:before="20" w:after="20"/>
              <w:jc w:val="right"/>
              <w:rPr>
                <w:rFonts w:eastAsia="Times New Roman"/>
                <w:b/>
                <w:noProof/>
                <w:sz w:val="20"/>
              </w:rPr>
            </w:pPr>
            <w:r>
              <w:rPr>
                <w:b/>
                <w:noProof/>
                <w:sz w:val="20"/>
              </w:rPr>
              <w:t>1,320</w:t>
            </w:r>
          </w:p>
        </w:tc>
      </w:tr>
      <w:tr>
        <w:trPr>
          <w:trHeight w:val="319"/>
        </w:trPr>
        <w:tc>
          <w:tcPr>
            <w:tcW w:w="3960" w:type="dxa"/>
            <w:vAlign w:val="center"/>
          </w:tcPr>
          <w:p>
            <w:pPr>
              <w:spacing w:before="60" w:after="60"/>
              <w:rPr>
                <w:rFonts w:eastAsia="Times New Roman"/>
                <w:noProof/>
              </w:rPr>
            </w:pPr>
            <w:r>
              <w:rPr>
                <w:noProof/>
                <w:sz w:val="20"/>
              </w:rPr>
              <w:t>Naslov 3:</w:t>
            </w:r>
          </w:p>
        </w:tc>
        <w:tc>
          <w:tcPr>
            <w:tcW w:w="1440" w:type="dxa"/>
            <w:vAlign w:val="center"/>
          </w:tcPr>
          <w:p>
            <w:pPr>
              <w:spacing w:before="40" w:after="40"/>
              <w:rPr>
                <w:rFonts w:eastAsia="Times New Roman"/>
                <w:noProof/>
                <w:sz w:val="18"/>
              </w:rPr>
            </w:pPr>
            <w:r>
              <w:rPr>
                <w:noProof/>
                <w:sz w:val="18"/>
              </w:rPr>
              <w:t>obveznosti</w:t>
            </w:r>
          </w:p>
        </w:tc>
        <w:tc>
          <w:tcPr>
            <w:tcW w:w="654" w:type="dxa"/>
            <w:gridSpan w:val="2"/>
            <w:vAlign w:val="center"/>
          </w:tcPr>
          <w:p>
            <w:pPr>
              <w:spacing w:before="40" w:after="40"/>
              <w:jc w:val="center"/>
              <w:rPr>
                <w:rFonts w:eastAsia="Times New Roman"/>
                <w:noProof/>
                <w:sz w:val="14"/>
              </w:rPr>
            </w:pPr>
            <w:r>
              <w:rPr>
                <w:noProof/>
                <w:sz w:val="14"/>
              </w:rPr>
              <w:t>(3a)</w:t>
            </w: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1777" w:type="dxa"/>
            <w:vAlign w:val="center"/>
          </w:tcPr>
          <w:p>
            <w:pPr>
              <w:spacing w:before="40" w:after="40"/>
              <w:jc w:val="right"/>
              <w:rPr>
                <w:rFonts w:eastAsia="Times New Roman"/>
                <w:b/>
                <w:noProof/>
                <w:sz w:val="20"/>
              </w:rPr>
            </w:pPr>
          </w:p>
        </w:tc>
      </w:tr>
      <w:tr>
        <w:trPr>
          <w:trHeight w:val="319"/>
        </w:trPr>
        <w:tc>
          <w:tcPr>
            <w:tcW w:w="3960" w:type="dxa"/>
            <w:vAlign w:val="center"/>
          </w:tcPr>
          <w:p>
            <w:pPr>
              <w:spacing w:before="60" w:after="60"/>
              <w:rPr>
                <w:rFonts w:eastAsia="Times New Roman"/>
                <w:b/>
                <w:noProof/>
                <w:sz w:val="20"/>
              </w:rPr>
            </w:pPr>
          </w:p>
        </w:tc>
        <w:tc>
          <w:tcPr>
            <w:tcW w:w="1440" w:type="dxa"/>
            <w:vAlign w:val="center"/>
          </w:tcPr>
          <w:p>
            <w:pPr>
              <w:spacing w:before="40" w:after="40"/>
              <w:rPr>
                <w:rFonts w:eastAsia="Times New Roman"/>
                <w:noProof/>
                <w:sz w:val="18"/>
              </w:rPr>
            </w:pPr>
            <w:r>
              <w:rPr>
                <w:noProof/>
                <w:sz w:val="18"/>
              </w:rPr>
              <w:t>plačila</w:t>
            </w:r>
          </w:p>
        </w:tc>
        <w:tc>
          <w:tcPr>
            <w:tcW w:w="654" w:type="dxa"/>
            <w:gridSpan w:val="2"/>
            <w:vAlign w:val="center"/>
          </w:tcPr>
          <w:p>
            <w:pPr>
              <w:spacing w:before="40" w:after="40"/>
              <w:jc w:val="center"/>
              <w:rPr>
                <w:rFonts w:eastAsia="Times New Roman"/>
                <w:noProof/>
                <w:sz w:val="14"/>
              </w:rPr>
            </w:pPr>
            <w:r>
              <w:rPr>
                <w:noProof/>
                <w:sz w:val="14"/>
              </w:rPr>
              <w:t>(3b)</w:t>
            </w: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1777" w:type="dxa"/>
            <w:vAlign w:val="center"/>
          </w:tcPr>
          <w:p>
            <w:pPr>
              <w:spacing w:before="40" w:after="40"/>
              <w:jc w:val="right"/>
              <w:rPr>
                <w:rFonts w:eastAsia="Times New Roman"/>
                <w:b/>
                <w:noProof/>
                <w:sz w:val="20"/>
              </w:rPr>
            </w:pPr>
          </w:p>
        </w:tc>
      </w:tr>
      <w:tr>
        <w:tc>
          <w:tcPr>
            <w:tcW w:w="3960" w:type="dxa"/>
            <w:vMerge w:val="restart"/>
            <w:vAlign w:val="center"/>
          </w:tcPr>
          <w:p>
            <w:pPr>
              <w:jc w:val="center"/>
              <w:rPr>
                <w:rFonts w:eastAsia="Times New Roman"/>
                <w:noProof/>
              </w:rPr>
            </w:pPr>
            <w:r>
              <w:rPr>
                <w:b/>
                <w:noProof/>
                <w:sz w:val="22"/>
              </w:rPr>
              <w:t xml:space="preserve">Odobritve za </w:t>
            </w:r>
            <w:r>
              <w:rPr>
                <w:noProof/>
                <w:sz w:val="22"/>
              </w:rPr>
              <w:t>ESMA</w:t>
            </w:r>
            <w:r>
              <w:rPr>
                <w:rFonts w:eastAsia="Times New Roman"/>
                <w:noProof/>
                <w:sz w:val="22"/>
              </w:rPr>
              <w:br/>
            </w:r>
            <w:r>
              <w:rPr>
                <w:b/>
                <w:noProof/>
              </w:rPr>
              <w:t>SKUPAJ</w:t>
            </w:r>
          </w:p>
        </w:tc>
        <w:tc>
          <w:tcPr>
            <w:tcW w:w="1440" w:type="dxa"/>
            <w:vAlign w:val="center"/>
          </w:tcPr>
          <w:p>
            <w:pPr>
              <w:rPr>
                <w:rFonts w:eastAsia="Times New Roman"/>
                <w:noProof/>
                <w:sz w:val="18"/>
              </w:rPr>
            </w:pPr>
            <w:r>
              <w:rPr>
                <w:noProof/>
                <w:sz w:val="18"/>
              </w:rPr>
              <w:t>obveznosti</w:t>
            </w:r>
          </w:p>
        </w:tc>
        <w:tc>
          <w:tcPr>
            <w:tcW w:w="654" w:type="dxa"/>
            <w:gridSpan w:val="2"/>
            <w:vAlign w:val="center"/>
          </w:tcPr>
          <w:p>
            <w:pPr>
              <w:jc w:val="center"/>
              <w:rPr>
                <w:rFonts w:eastAsia="Times New Roman"/>
                <w:noProof/>
                <w:sz w:val="14"/>
              </w:rPr>
            </w:pPr>
            <w:r>
              <w:rPr>
                <w:noProof/>
                <w:sz w:val="14"/>
              </w:rPr>
              <w:t>= 1 + 1a + 3a</w:t>
            </w:r>
          </w:p>
        </w:tc>
        <w:tc>
          <w:tcPr>
            <w:tcW w:w="868" w:type="dxa"/>
            <w:vAlign w:val="center"/>
          </w:tcPr>
          <w:p>
            <w:pPr>
              <w:spacing w:before="20" w:after="20"/>
              <w:jc w:val="right"/>
              <w:rPr>
                <w:rFonts w:eastAsia="Times New Roman"/>
                <w:noProof/>
                <w:sz w:val="20"/>
              </w:rPr>
            </w:pPr>
            <w:r>
              <w:rPr>
                <w:noProof/>
                <w:sz w:val="20"/>
              </w:rPr>
              <w:t>0,362</w:t>
            </w:r>
          </w:p>
        </w:tc>
        <w:tc>
          <w:tcPr>
            <w:tcW w:w="868" w:type="dxa"/>
            <w:vAlign w:val="center"/>
          </w:tcPr>
          <w:p>
            <w:pPr>
              <w:spacing w:before="20" w:after="20"/>
              <w:jc w:val="right"/>
              <w:rPr>
                <w:rFonts w:eastAsia="Times New Roman"/>
                <w:noProof/>
                <w:sz w:val="20"/>
              </w:rPr>
            </w:pPr>
            <w:r>
              <w:rPr>
                <w:noProof/>
                <w:sz w:val="20"/>
              </w:rPr>
              <w:t>1,678</w:t>
            </w:r>
          </w:p>
        </w:tc>
        <w:tc>
          <w:tcPr>
            <w:tcW w:w="868" w:type="dxa"/>
            <w:vAlign w:val="center"/>
          </w:tcPr>
          <w:p>
            <w:pPr>
              <w:spacing w:before="20" w:after="20"/>
              <w:jc w:val="right"/>
              <w:rPr>
                <w:rFonts w:eastAsia="Times New Roman"/>
                <w:noProof/>
                <w:sz w:val="20"/>
              </w:rPr>
            </w:pPr>
            <w:r>
              <w:rPr>
                <w:noProof/>
                <w:sz w:val="20"/>
              </w:rPr>
              <w:t>1,524</w:t>
            </w:r>
          </w:p>
        </w:tc>
        <w:tc>
          <w:tcPr>
            <w:tcW w:w="868" w:type="dxa"/>
            <w:vAlign w:val="center"/>
          </w:tcPr>
          <w:p>
            <w:pPr>
              <w:spacing w:before="20" w:after="20"/>
              <w:jc w:val="right"/>
              <w:rPr>
                <w:rFonts w:eastAsia="Times New Roman"/>
                <w:noProof/>
                <w:sz w:val="20"/>
              </w:rPr>
            </w:pPr>
            <w:r>
              <w:rPr>
                <w:noProof/>
                <w:sz w:val="20"/>
              </w:rPr>
              <w:t>0,320</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b/>
                <w:noProof/>
                <w:sz w:val="20"/>
              </w:rPr>
            </w:pPr>
            <w:r>
              <w:rPr>
                <w:b/>
                <w:noProof/>
                <w:sz w:val="20"/>
              </w:rPr>
              <w:t>…</w:t>
            </w:r>
          </w:p>
        </w:tc>
        <w:tc>
          <w:tcPr>
            <w:tcW w:w="1777" w:type="dxa"/>
            <w:vAlign w:val="center"/>
          </w:tcPr>
          <w:p>
            <w:pPr>
              <w:spacing w:before="20" w:after="20"/>
              <w:jc w:val="right"/>
              <w:rPr>
                <w:rFonts w:eastAsia="Times New Roman"/>
                <w:b/>
                <w:noProof/>
                <w:sz w:val="20"/>
              </w:rPr>
            </w:pPr>
            <w:r>
              <w:rPr>
                <w:b/>
                <w:noProof/>
                <w:sz w:val="20"/>
              </w:rPr>
              <w:t>3,884</w:t>
            </w:r>
          </w:p>
        </w:tc>
      </w:tr>
      <w:tr>
        <w:tc>
          <w:tcPr>
            <w:tcW w:w="3960" w:type="dxa"/>
            <w:vMerge/>
            <w:vAlign w:val="center"/>
          </w:tcPr>
          <w:p>
            <w:pPr>
              <w:rPr>
                <w:rFonts w:eastAsia="Times New Roman"/>
                <w:b/>
                <w:noProof/>
              </w:rPr>
            </w:pPr>
          </w:p>
        </w:tc>
        <w:tc>
          <w:tcPr>
            <w:tcW w:w="1440" w:type="dxa"/>
            <w:vAlign w:val="center"/>
          </w:tcPr>
          <w:p>
            <w:pPr>
              <w:rPr>
                <w:rFonts w:eastAsia="Times New Roman"/>
                <w:noProof/>
                <w:sz w:val="18"/>
              </w:rPr>
            </w:pPr>
            <w:r>
              <w:rPr>
                <w:noProof/>
                <w:sz w:val="18"/>
              </w:rPr>
              <w:t>plačila</w:t>
            </w:r>
          </w:p>
        </w:tc>
        <w:tc>
          <w:tcPr>
            <w:tcW w:w="654" w:type="dxa"/>
            <w:gridSpan w:val="2"/>
            <w:vAlign w:val="center"/>
          </w:tcPr>
          <w:p>
            <w:pPr>
              <w:jc w:val="center"/>
              <w:rPr>
                <w:rFonts w:eastAsia="Times New Roman"/>
                <w:noProof/>
                <w:sz w:val="14"/>
              </w:rPr>
            </w:pPr>
            <w:r>
              <w:rPr>
                <w:noProof/>
                <w:sz w:val="14"/>
              </w:rPr>
              <w:t>= 2 + 2a</w:t>
            </w:r>
          </w:p>
          <w:p>
            <w:pPr>
              <w:jc w:val="center"/>
              <w:rPr>
                <w:rFonts w:eastAsia="Times New Roman"/>
                <w:noProof/>
                <w:sz w:val="14"/>
              </w:rPr>
            </w:pPr>
            <w:r>
              <w:rPr>
                <w:noProof/>
                <w:sz w:val="14"/>
              </w:rPr>
              <w:t>+ 3b</w:t>
            </w:r>
          </w:p>
        </w:tc>
        <w:tc>
          <w:tcPr>
            <w:tcW w:w="868" w:type="dxa"/>
            <w:vAlign w:val="center"/>
          </w:tcPr>
          <w:p>
            <w:pPr>
              <w:spacing w:before="20" w:after="20"/>
              <w:jc w:val="right"/>
              <w:rPr>
                <w:rFonts w:eastAsia="Times New Roman"/>
                <w:noProof/>
                <w:sz w:val="20"/>
              </w:rPr>
            </w:pPr>
            <w:r>
              <w:rPr>
                <w:noProof/>
                <w:sz w:val="20"/>
              </w:rPr>
              <w:t>0,362</w:t>
            </w:r>
          </w:p>
        </w:tc>
        <w:tc>
          <w:tcPr>
            <w:tcW w:w="868" w:type="dxa"/>
            <w:vAlign w:val="center"/>
          </w:tcPr>
          <w:p>
            <w:pPr>
              <w:spacing w:before="20" w:after="20"/>
              <w:jc w:val="right"/>
              <w:rPr>
                <w:rFonts w:eastAsia="Times New Roman"/>
                <w:noProof/>
                <w:sz w:val="20"/>
              </w:rPr>
            </w:pPr>
            <w:r>
              <w:rPr>
                <w:noProof/>
                <w:sz w:val="20"/>
              </w:rPr>
              <w:t>1,678</w:t>
            </w:r>
          </w:p>
        </w:tc>
        <w:tc>
          <w:tcPr>
            <w:tcW w:w="868" w:type="dxa"/>
            <w:vAlign w:val="center"/>
          </w:tcPr>
          <w:p>
            <w:pPr>
              <w:spacing w:before="20" w:after="20"/>
              <w:jc w:val="right"/>
              <w:rPr>
                <w:rFonts w:eastAsia="Times New Roman"/>
                <w:noProof/>
                <w:sz w:val="20"/>
              </w:rPr>
            </w:pPr>
            <w:r>
              <w:rPr>
                <w:noProof/>
                <w:sz w:val="20"/>
              </w:rPr>
              <w:t>1,524</w:t>
            </w:r>
          </w:p>
        </w:tc>
        <w:tc>
          <w:tcPr>
            <w:tcW w:w="868" w:type="dxa"/>
            <w:vAlign w:val="center"/>
          </w:tcPr>
          <w:p>
            <w:pPr>
              <w:spacing w:before="20" w:after="20"/>
              <w:jc w:val="right"/>
              <w:rPr>
                <w:rFonts w:eastAsia="Times New Roman"/>
                <w:noProof/>
                <w:sz w:val="20"/>
              </w:rPr>
            </w:pPr>
            <w:r>
              <w:rPr>
                <w:noProof/>
                <w:sz w:val="20"/>
              </w:rPr>
              <w:t>0,320</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b/>
                <w:noProof/>
                <w:sz w:val="20"/>
              </w:rPr>
            </w:pPr>
            <w:r>
              <w:rPr>
                <w:b/>
                <w:noProof/>
                <w:sz w:val="20"/>
              </w:rPr>
              <w:t>…</w:t>
            </w:r>
          </w:p>
        </w:tc>
        <w:tc>
          <w:tcPr>
            <w:tcW w:w="1777" w:type="dxa"/>
            <w:vAlign w:val="center"/>
          </w:tcPr>
          <w:p>
            <w:pPr>
              <w:spacing w:before="20" w:after="20"/>
              <w:jc w:val="right"/>
              <w:rPr>
                <w:rFonts w:eastAsia="Times New Roman"/>
                <w:b/>
                <w:noProof/>
                <w:sz w:val="20"/>
              </w:rPr>
            </w:pPr>
            <w:r>
              <w:rPr>
                <w:b/>
                <w:noProof/>
                <w:sz w:val="20"/>
              </w:rPr>
              <w:t>3,884</w:t>
            </w:r>
          </w:p>
        </w:tc>
      </w:tr>
    </w:tbl>
    <w:p>
      <w:pPr>
        <w:rPr>
          <w:rFonts w:eastAsia="Times New Roman"/>
          <w:noProof/>
        </w:rPr>
      </w:pPr>
      <w:r>
        <w:rPr>
          <w:noProof/>
        </w:rPr>
        <w:br/>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noProof/>
              </w:rPr>
              <w:br w:type="page"/>
            </w:r>
            <w:r>
              <w:rPr>
                <w:b/>
                <w:noProof/>
                <w:sz w:val="22"/>
              </w:rPr>
              <w:t>Razdelek večletnega finančnega</w:t>
            </w:r>
            <w:r>
              <w:rPr>
                <w:rFonts w:eastAsia="Times New Roman"/>
                <w:noProof/>
                <w:sz w:val="22"/>
              </w:rPr>
              <w:br/>
            </w:r>
            <w:r>
              <w:rPr>
                <w:b/>
                <w:noProof/>
                <w:sz w:val="22"/>
              </w:rPr>
              <w:t xml:space="preserve">okvira </w:t>
            </w:r>
          </w:p>
        </w:tc>
        <w:tc>
          <w:tcPr>
            <w:tcW w:w="1080" w:type="dxa"/>
            <w:shd w:val="thinDiagStripe" w:color="C0C0C0" w:fill="auto"/>
            <w:vAlign w:val="center"/>
          </w:tcPr>
          <w:p>
            <w:pPr>
              <w:spacing w:before="60" w:after="60"/>
              <w:jc w:val="center"/>
              <w:rPr>
                <w:rFonts w:eastAsia="Times New Roman"/>
                <w:noProof/>
              </w:rPr>
            </w:pPr>
            <w:r>
              <w:rPr>
                <w:b/>
                <w:noProof/>
                <w:sz w:val="22"/>
              </w:rPr>
              <w:t>5</w:t>
            </w:r>
          </w:p>
        </w:tc>
        <w:tc>
          <w:tcPr>
            <w:tcW w:w="7817" w:type="dxa"/>
            <w:vAlign w:val="center"/>
          </w:tcPr>
          <w:p>
            <w:pPr>
              <w:spacing w:before="60" w:after="60"/>
              <w:rPr>
                <w:rFonts w:eastAsia="Times New Roman"/>
                <w:noProof/>
              </w:rPr>
            </w:pPr>
            <w:r>
              <w:rPr>
                <w:noProof/>
                <w:sz w:val="22"/>
              </w:rPr>
              <w:t>„Upravni odhodki“</w:t>
            </w:r>
          </w:p>
        </w:tc>
      </w:tr>
    </w:tbl>
    <w:p>
      <w:pPr>
        <w:jc w:val="right"/>
        <w:rPr>
          <w:rFonts w:eastAsia="Times New Roman"/>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rPr>
            </w:pPr>
          </w:p>
        </w:tc>
        <w:tc>
          <w:tcPr>
            <w:tcW w:w="1560" w:type="dxa"/>
            <w:tcBorders>
              <w:top w:val="nil"/>
              <w:left w:val="nil"/>
              <w:right w:val="nil"/>
            </w:tcBorders>
          </w:tcPr>
          <w:p>
            <w:pPr>
              <w:rPr>
                <w:rFonts w:eastAsia="Times New Roman"/>
                <w:noProof/>
                <w:sz w:val="20"/>
              </w:rPr>
            </w:pPr>
          </w:p>
        </w:tc>
        <w:tc>
          <w:tcPr>
            <w:tcW w:w="534" w:type="dxa"/>
            <w:tcBorders>
              <w:top w:val="nil"/>
              <w:left w:val="nil"/>
            </w:tcBorders>
          </w:tcPr>
          <w:p>
            <w:pPr>
              <w:jc w:val="center"/>
              <w:rPr>
                <w:rFonts w:eastAsia="Times New Roman"/>
                <w:noProof/>
                <w:sz w:val="20"/>
              </w:rPr>
            </w:pPr>
          </w:p>
        </w:tc>
        <w:tc>
          <w:tcPr>
            <w:tcW w:w="868"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w:t>
            </w:r>
          </w:p>
        </w:tc>
        <w:tc>
          <w:tcPr>
            <w:tcW w:w="868"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N+1</w:t>
            </w:r>
          </w:p>
        </w:tc>
        <w:tc>
          <w:tcPr>
            <w:tcW w:w="868"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N+2</w:t>
            </w:r>
          </w:p>
        </w:tc>
        <w:tc>
          <w:tcPr>
            <w:tcW w:w="868"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N+3</w:t>
            </w:r>
          </w:p>
        </w:tc>
        <w:tc>
          <w:tcPr>
            <w:tcW w:w="2604" w:type="dxa"/>
            <w:gridSpan w:val="3"/>
            <w:vAlign w:val="center"/>
          </w:tcPr>
          <w:p>
            <w:pPr>
              <w:jc w:val="center"/>
              <w:rPr>
                <w:rFonts w:eastAsia="Times New Roman"/>
                <w:b/>
                <w:noProof/>
                <w:sz w:val="18"/>
              </w:rPr>
            </w:pPr>
            <w:r>
              <w:rPr>
                <w:noProof/>
                <w:sz w:val="18"/>
              </w:rPr>
              <w:t xml:space="preserve">Vstavite ustrezno število let glede na trajanje posledic (gl. točko 1.6) </w:t>
            </w:r>
          </w:p>
        </w:tc>
        <w:tc>
          <w:tcPr>
            <w:tcW w:w="1777" w:type="dxa"/>
            <w:vAlign w:val="center"/>
          </w:tcPr>
          <w:p>
            <w:pPr>
              <w:jc w:val="center"/>
              <w:rPr>
                <w:rFonts w:eastAsia="Times New Roman"/>
                <w:b/>
                <w:noProof/>
                <w:sz w:val="20"/>
              </w:rPr>
            </w:pPr>
            <w:r>
              <w:rPr>
                <w:b/>
                <w:noProof/>
                <w:sz w:val="20"/>
              </w:rPr>
              <w:t>SKUPAJ</w:t>
            </w:r>
          </w:p>
        </w:tc>
      </w:tr>
      <w:tr>
        <w:trPr>
          <w:gridAfter w:val="10"/>
          <w:wAfter w:w="9947" w:type="dxa"/>
        </w:trPr>
        <w:tc>
          <w:tcPr>
            <w:tcW w:w="3960" w:type="dxa"/>
            <w:vAlign w:val="center"/>
          </w:tcPr>
          <w:p>
            <w:pPr>
              <w:spacing w:before="60" w:after="60"/>
              <w:jc w:val="center"/>
              <w:rPr>
                <w:rFonts w:eastAsia="Times New Roman"/>
                <w:noProof/>
              </w:rPr>
            </w:pPr>
            <w:r>
              <w:rPr>
                <w:noProof/>
                <w:sz w:val="22"/>
              </w:rPr>
              <w:t xml:space="preserve">GD: </w:t>
            </w:r>
            <w:r>
              <w:rPr>
                <w:noProof/>
              </w:rPr>
              <w:t>&lt;…….&gt;</w:t>
            </w:r>
          </w:p>
        </w:tc>
      </w:tr>
      <w:tr>
        <w:trPr>
          <w:trHeight w:val="313"/>
        </w:trPr>
        <w:tc>
          <w:tcPr>
            <w:tcW w:w="6054" w:type="dxa"/>
            <w:gridSpan w:val="3"/>
            <w:vAlign w:val="center"/>
          </w:tcPr>
          <w:p>
            <w:pPr>
              <w:spacing w:before="20" w:after="20"/>
              <w:rPr>
                <w:rFonts w:eastAsia="Times New Roman"/>
                <w:noProof/>
              </w:rPr>
            </w:pPr>
            <w:r>
              <w:rPr>
                <w:rFonts w:eastAsia="Times New Roman"/>
                <w:noProof/>
                <w:sz w:val="22"/>
              </w:rPr>
              <w:sym w:font="Wingdings" w:char="F09F"/>
            </w:r>
            <w:r>
              <w:rPr>
                <w:noProof/>
                <w:sz w:val="22"/>
              </w:rPr>
              <w:t xml:space="preserve"> Človeški viri</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rPr>
          <w:trHeight w:val="351"/>
        </w:trPr>
        <w:tc>
          <w:tcPr>
            <w:tcW w:w="6054" w:type="dxa"/>
            <w:gridSpan w:val="3"/>
            <w:vAlign w:val="center"/>
          </w:tcPr>
          <w:p>
            <w:pPr>
              <w:spacing w:before="20" w:after="20"/>
              <w:rPr>
                <w:rFonts w:eastAsia="Times New Roman"/>
                <w:noProof/>
              </w:rPr>
            </w:pPr>
            <w:r>
              <w:rPr>
                <w:rFonts w:eastAsia="Times New Roman"/>
                <w:noProof/>
                <w:sz w:val="22"/>
              </w:rPr>
              <w:sym w:font="Wingdings" w:char="F09F"/>
            </w:r>
            <w:r>
              <w:rPr>
                <w:noProof/>
                <w:sz w:val="22"/>
              </w:rPr>
              <w:t xml:space="preserve"> Drugi upravni odhodki</w:t>
            </w: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Align w:val="center"/>
          </w:tcPr>
          <w:p>
            <w:pPr>
              <w:jc w:val="center"/>
              <w:rPr>
                <w:rFonts w:eastAsia="Times New Roman"/>
                <w:b/>
                <w:noProof/>
              </w:rPr>
            </w:pPr>
            <w:r>
              <w:rPr>
                <w:b/>
                <w:noProof/>
                <w:sz w:val="22"/>
              </w:rPr>
              <w:t>GD &lt;….&gt; SKUPAJ</w:t>
            </w:r>
          </w:p>
        </w:tc>
        <w:tc>
          <w:tcPr>
            <w:tcW w:w="2094" w:type="dxa"/>
            <w:gridSpan w:val="2"/>
            <w:vAlign w:val="center"/>
          </w:tcPr>
          <w:p>
            <w:pPr>
              <w:rPr>
                <w:rFonts w:eastAsia="Times New Roman"/>
                <w:noProof/>
                <w:sz w:val="14"/>
              </w:rPr>
            </w:pPr>
            <w:r>
              <w:rPr>
                <w:noProof/>
                <w:sz w:val="18"/>
              </w:rPr>
              <w:t xml:space="preserve">odobritve </w:t>
            </w:r>
          </w:p>
        </w:tc>
        <w:tc>
          <w:tcPr>
            <w:tcW w:w="868" w:type="dxa"/>
            <w:vAlign w:val="center"/>
          </w:tcPr>
          <w:p>
            <w:pPr>
              <w:spacing w:before="60" w:after="6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bl>
    <w:p>
      <w:pPr>
        <w:rPr>
          <w:rFonts w:eastAsia="Times New Roman"/>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rFonts w:eastAsia="Times New Roman"/>
                <w:b/>
                <w:noProof/>
              </w:rPr>
            </w:pPr>
            <w:r>
              <w:rPr>
                <w:b/>
                <w:noProof/>
                <w:sz w:val="22"/>
              </w:rPr>
              <w:t>Odobritve iz</w:t>
            </w:r>
            <w:r>
              <w:rPr>
                <w:rFonts w:eastAsia="Times New Roman"/>
                <w:noProof/>
                <w:sz w:val="22"/>
              </w:rPr>
              <w:br/>
            </w:r>
            <w:r>
              <w:rPr>
                <w:b/>
                <w:noProof/>
                <w:sz w:val="22"/>
              </w:rPr>
              <w:t>RAZDELKA 5</w:t>
            </w:r>
            <w:r>
              <w:rPr>
                <w:rFonts w:eastAsia="Times New Roman"/>
                <w:noProof/>
                <w:sz w:val="22"/>
              </w:rPr>
              <w:br/>
            </w:r>
            <w:r>
              <w:rPr>
                <w:noProof/>
                <w:sz w:val="22"/>
              </w:rPr>
              <w:t xml:space="preserve">večletnega finančnega okvira </w:t>
            </w:r>
            <w:r>
              <w:rPr>
                <w:b/>
                <w:noProof/>
                <w:sz w:val="22"/>
              </w:rPr>
              <w:t xml:space="preserve">SKUPAJ </w:t>
            </w:r>
          </w:p>
        </w:tc>
        <w:tc>
          <w:tcPr>
            <w:tcW w:w="2094" w:type="dxa"/>
            <w:vAlign w:val="center"/>
          </w:tcPr>
          <w:p>
            <w:pPr>
              <w:spacing w:before="40" w:after="40"/>
              <w:rPr>
                <w:rFonts w:eastAsia="Times New Roman"/>
                <w:noProof/>
              </w:rPr>
            </w:pPr>
            <w:r>
              <w:rPr>
                <w:noProof/>
                <w:sz w:val="18"/>
              </w:rPr>
              <w:t>(obveznosti skupaj = plačila skupaj)</w:t>
            </w:r>
          </w:p>
        </w:tc>
        <w:tc>
          <w:tcPr>
            <w:tcW w:w="868" w:type="dxa"/>
            <w:vAlign w:val="center"/>
          </w:tcPr>
          <w:p>
            <w:pPr>
              <w:spacing w:before="20" w:after="20"/>
              <w:jc w:val="right"/>
              <w:rPr>
                <w:rFonts w:eastAsia="Times New Roman"/>
                <w:noProof/>
                <w:sz w:val="20"/>
              </w:rPr>
            </w:pPr>
            <w:r>
              <w:rPr>
                <w:noProof/>
                <w:sz w:val="20"/>
              </w:rPr>
              <w:t>n. r.</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bl>
    <w:p>
      <w:pPr>
        <w:jc w:val="right"/>
        <w:rPr>
          <w:rFonts w:eastAsia="Times New Roman"/>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369"/>
        <w:gridCol w:w="1033"/>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rPr>
            </w:pPr>
          </w:p>
        </w:tc>
        <w:tc>
          <w:tcPr>
            <w:tcW w:w="1560" w:type="dxa"/>
            <w:tcBorders>
              <w:top w:val="nil"/>
              <w:left w:val="nil"/>
              <w:right w:val="nil"/>
            </w:tcBorders>
          </w:tcPr>
          <w:p>
            <w:pPr>
              <w:rPr>
                <w:rFonts w:eastAsia="Times New Roman"/>
                <w:noProof/>
                <w:sz w:val="20"/>
              </w:rPr>
            </w:pPr>
          </w:p>
        </w:tc>
        <w:tc>
          <w:tcPr>
            <w:tcW w:w="369" w:type="dxa"/>
            <w:tcBorders>
              <w:top w:val="nil"/>
              <w:left w:val="nil"/>
            </w:tcBorders>
          </w:tcPr>
          <w:p>
            <w:pPr>
              <w:jc w:val="center"/>
              <w:rPr>
                <w:rFonts w:eastAsia="Times New Roman"/>
                <w:noProof/>
                <w:sz w:val="20"/>
              </w:rPr>
            </w:pPr>
          </w:p>
        </w:tc>
        <w:tc>
          <w:tcPr>
            <w:tcW w:w="1033"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w:t>
            </w:r>
            <w:r>
              <w:rPr>
                <w:rStyle w:val="FootnoteReference"/>
                <w:noProof/>
              </w:rPr>
              <w:footnoteReference w:id="36"/>
            </w:r>
            <w:r>
              <w:rPr>
                <w:b/>
                <w:noProof/>
                <w:sz w:val="20"/>
              </w:rPr>
              <w:t>: 2016</w:t>
            </w:r>
          </w:p>
        </w:tc>
        <w:tc>
          <w:tcPr>
            <w:tcW w:w="868"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N+1: 2017</w:t>
            </w:r>
          </w:p>
        </w:tc>
        <w:tc>
          <w:tcPr>
            <w:tcW w:w="868"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N+2: 2018</w:t>
            </w:r>
          </w:p>
        </w:tc>
        <w:tc>
          <w:tcPr>
            <w:tcW w:w="868"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N+3: 2019</w:t>
            </w:r>
          </w:p>
        </w:tc>
        <w:tc>
          <w:tcPr>
            <w:tcW w:w="2604" w:type="dxa"/>
            <w:gridSpan w:val="3"/>
            <w:vAlign w:val="center"/>
          </w:tcPr>
          <w:p>
            <w:pPr>
              <w:jc w:val="center"/>
              <w:rPr>
                <w:rFonts w:eastAsia="Times New Roman"/>
                <w:b/>
                <w:noProof/>
                <w:sz w:val="18"/>
              </w:rPr>
            </w:pPr>
            <w:r>
              <w:rPr>
                <w:noProof/>
                <w:sz w:val="18"/>
              </w:rPr>
              <w:t>Vstavite ustrezno število let glede na trajanje posledic (gl. točko 1.6)</w:t>
            </w:r>
          </w:p>
        </w:tc>
        <w:tc>
          <w:tcPr>
            <w:tcW w:w="1777" w:type="dxa"/>
            <w:vAlign w:val="center"/>
          </w:tcPr>
          <w:p>
            <w:pPr>
              <w:jc w:val="center"/>
              <w:rPr>
                <w:rFonts w:eastAsia="Times New Roman"/>
                <w:b/>
                <w:noProof/>
                <w:sz w:val="20"/>
              </w:rPr>
            </w:pPr>
            <w:r>
              <w:rPr>
                <w:b/>
                <w:noProof/>
                <w:sz w:val="20"/>
              </w:rPr>
              <w:t>SKUPAJ</w:t>
            </w:r>
            <w:r>
              <w:rPr>
                <w:rStyle w:val="FootnoteReference"/>
                <w:noProof/>
              </w:rPr>
              <w:footnoteReference w:id="37"/>
            </w:r>
          </w:p>
        </w:tc>
      </w:tr>
      <w:tr>
        <w:tc>
          <w:tcPr>
            <w:tcW w:w="3960" w:type="dxa"/>
            <w:vMerge w:val="restart"/>
            <w:shd w:val="clear" w:color="auto" w:fill="C0C0C0"/>
            <w:vAlign w:val="center"/>
          </w:tcPr>
          <w:p>
            <w:pPr>
              <w:jc w:val="center"/>
              <w:rPr>
                <w:rFonts w:eastAsia="Times New Roman"/>
                <w:b/>
                <w:noProof/>
              </w:rPr>
            </w:pPr>
            <w:r>
              <w:rPr>
                <w:b/>
                <w:noProof/>
                <w:sz w:val="22"/>
              </w:rPr>
              <w:t>Odobritve iz</w:t>
            </w:r>
            <w:r>
              <w:rPr>
                <w:rFonts w:eastAsia="Times New Roman"/>
                <w:noProof/>
                <w:sz w:val="22"/>
              </w:rPr>
              <w:br/>
            </w:r>
            <w:r>
              <w:rPr>
                <w:b/>
                <w:noProof/>
                <w:sz w:val="22"/>
              </w:rPr>
              <w:t>RAZDELKOV od 1 do 5</w:t>
            </w:r>
            <w:r>
              <w:rPr>
                <w:rFonts w:eastAsia="Times New Roman"/>
                <w:noProof/>
                <w:sz w:val="22"/>
              </w:rPr>
              <w:br/>
            </w:r>
            <w:r>
              <w:rPr>
                <w:noProof/>
                <w:sz w:val="22"/>
              </w:rPr>
              <w:t xml:space="preserve">večletnega finančnega okvira </w:t>
            </w:r>
            <w:r>
              <w:rPr>
                <w:b/>
                <w:noProof/>
                <w:sz w:val="22"/>
              </w:rPr>
              <w:t xml:space="preserve">SKUPAJ </w:t>
            </w:r>
          </w:p>
        </w:tc>
        <w:tc>
          <w:tcPr>
            <w:tcW w:w="1929" w:type="dxa"/>
            <w:gridSpan w:val="2"/>
            <w:vAlign w:val="center"/>
          </w:tcPr>
          <w:p>
            <w:pPr>
              <w:rPr>
                <w:rFonts w:eastAsia="Times New Roman"/>
                <w:noProof/>
                <w:sz w:val="14"/>
              </w:rPr>
            </w:pPr>
            <w:r>
              <w:rPr>
                <w:noProof/>
                <w:sz w:val="18"/>
              </w:rPr>
              <w:t>obveznosti</w:t>
            </w:r>
          </w:p>
        </w:tc>
        <w:tc>
          <w:tcPr>
            <w:tcW w:w="1033" w:type="dxa"/>
            <w:vAlign w:val="center"/>
          </w:tcPr>
          <w:p>
            <w:pPr>
              <w:spacing w:before="20" w:after="20"/>
              <w:jc w:val="right"/>
              <w:rPr>
                <w:rFonts w:eastAsia="Times New Roman"/>
                <w:noProof/>
                <w:sz w:val="20"/>
              </w:rPr>
            </w:pPr>
            <w:r>
              <w:rPr>
                <w:noProof/>
                <w:sz w:val="20"/>
              </w:rPr>
              <w:t>0,362</w:t>
            </w:r>
          </w:p>
        </w:tc>
        <w:tc>
          <w:tcPr>
            <w:tcW w:w="868" w:type="dxa"/>
            <w:vAlign w:val="center"/>
          </w:tcPr>
          <w:p>
            <w:pPr>
              <w:spacing w:before="20" w:after="20"/>
              <w:jc w:val="right"/>
              <w:rPr>
                <w:rFonts w:eastAsia="Times New Roman"/>
                <w:noProof/>
                <w:sz w:val="20"/>
              </w:rPr>
            </w:pPr>
            <w:r>
              <w:rPr>
                <w:noProof/>
                <w:sz w:val="20"/>
              </w:rPr>
              <w:t>1,678</w:t>
            </w:r>
          </w:p>
        </w:tc>
        <w:tc>
          <w:tcPr>
            <w:tcW w:w="868" w:type="dxa"/>
            <w:vAlign w:val="center"/>
          </w:tcPr>
          <w:p>
            <w:pPr>
              <w:spacing w:before="20" w:after="20"/>
              <w:jc w:val="right"/>
              <w:rPr>
                <w:rFonts w:eastAsia="Times New Roman"/>
                <w:noProof/>
                <w:sz w:val="20"/>
              </w:rPr>
            </w:pPr>
            <w:r>
              <w:rPr>
                <w:noProof/>
                <w:sz w:val="20"/>
              </w:rPr>
              <w:t>1,524</w:t>
            </w:r>
          </w:p>
        </w:tc>
        <w:tc>
          <w:tcPr>
            <w:tcW w:w="868" w:type="dxa"/>
            <w:vAlign w:val="center"/>
          </w:tcPr>
          <w:p>
            <w:pPr>
              <w:spacing w:before="20" w:after="20"/>
              <w:jc w:val="right"/>
              <w:rPr>
                <w:rFonts w:eastAsia="Times New Roman"/>
                <w:noProof/>
                <w:sz w:val="20"/>
              </w:rPr>
            </w:pPr>
            <w:r>
              <w:rPr>
                <w:noProof/>
                <w:sz w:val="20"/>
              </w:rPr>
              <w:t>0,320</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b/>
                <w:noProof/>
                <w:sz w:val="20"/>
              </w:rPr>
            </w:pPr>
            <w:r>
              <w:rPr>
                <w:b/>
                <w:noProof/>
                <w:sz w:val="20"/>
              </w:rPr>
              <w:t>…</w:t>
            </w:r>
          </w:p>
        </w:tc>
        <w:tc>
          <w:tcPr>
            <w:tcW w:w="1777" w:type="dxa"/>
            <w:vAlign w:val="center"/>
          </w:tcPr>
          <w:p>
            <w:pPr>
              <w:spacing w:before="20" w:after="20"/>
              <w:jc w:val="right"/>
              <w:rPr>
                <w:rFonts w:eastAsia="Times New Roman"/>
                <w:b/>
                <w:noProof/>
                <w:sz w:val="20"/>
              </w:rPr>
            </w:pPr>
            <w:r>
              <w:rPr>
                <w:b/>
                <w:noProof/>
                <w:sz w:val="20"/>
              </w:rPr>
              <w:t>3,884</w:t>
            </w:r>
          </w:p>
        </w:tc>
      </w:tr>
      <w:tr>
        <w:tc>
          <w:tcPr>
            <w:tcW w:w="3960" w:type="dxa"/>
            <w:vMerge/>
            <w:vAlign w:val="center"/>
          </w:tcPr>
          <w:p>
            <w:pPr>
              <w:rPr>
                <w:rFonts w:eastAsia="Times New Roman"/>
                <w:b/>
                <w:noProof/>
              </w:rPr>
            </w:pPr>
          </w:p>
        </w:tc>
        <w:tc>
          <w:tcPr>
            <w:tcW w:w="1929" w:type="dxa"/>
            <w:gridSpan w:val="2"/>
            <w:vAlign w:val="center"/>
          </w:tcPr>
          <w:p>
            <w:pPr>
              <w:rPr>
                <w:rFonts w:eastAsia="Times New Roman"/>
                <w:noProof/>
                <w:sz w:val="14"/>
              </w:rPr>
            </w:pPr>
            <w:r>
              <w:rPr>
                <w:noProof/>
                <w:sz w:val="18"/>
              </w:rPr>
              <w:t>plačila</w:t>
            </w:r>
          </w:p>
        </w:tc>
        <w:tc>
          <w:tcPr>
            <w:tcW w:w="1033" w:type="dxa"/>
            <w:vAlign w:val="center"/>
          </w:tcPr>
          <w:p>
            <w:pPr>
              <w:spacing w:before="20" w:after="20"/>
              <w:jc w:val="right"/>
              <w:rPr>
                <w:rFonts w:eastAsia="Times New Roman"/>
                <w:noProof/>
                <w:sz w:val="20"/>
              </w:rPr>
            </w:pPr>
            <w:r>
              <w:rPr>
                <w:noProof/>
                <w:sz w:val="20"/>
              </w:rPr>
              <w:t>0,362</w:t>
            </w:r>
          </w:p>
        </w:tc>
        <w:tc>
          <w:tcPr>
            <w:tcW w:w="868" w:type="dxa"/>
            <w:vAlign w:val="center"/>
          </w:tcPr>
          <w:p>
            <w:pPr>
              <w:spacing w:before="20" w:after="20"/>
              <w:jc w:val="right"/>
              <w:rPr>
                <w:rFonts w:eastAsia="Times New Roman"/>
                <w:noProof/>
                <w:sz w:val="20"/>
              </w:rPr>
            </w:pPr>
            <w:r>
              <w:rPr>
                <w:noProof/>
                <w:sz w:val="20"/>
              </w:rPr>
              <w:t>1,678</w:t>
            </w:r>
          </w:p>
        </w:tc>
        <w:tc>
          <w:tcPr>
            <w:tcW w:w="868" w:type="dxa"/>
            <w:vAlign w:val="center"/>
          </w:tcPr>
          <w:p>
            <w:pPr>
              <w:spacing w:before="20" w:after="20"/>
              <w:jc w:val="right"/>
              <w:rPr>
                <w:rFonts w:eastAsia="Times New Roman"/>
                <w:noProof/>
                <w:sz w:val="20"/>
              </w:rPr>
            </w:pPr>
            <w:r>
              <w:rPr>
                <w:noProof/>
                <w:sz w:val="20"/>
              </w:rPr>
              <w:t>1,524</w:t>
            </w:r>
          </w:p>
        </w:tc>
        <w:tc>
          <w:tcPr>
            <w:tcW w:w="868" w:type="dxa"/>
            <w:vAlign w:val="center"/>
          </w:tcPr>
          <w:p>
            <w:pPr>
              <w:spacing w:before="20" w:after="20"/>
              <w:jc w:val="right"/>
              <w:rPr>
                <w:rFonts w:eastAsia="Times New Roman"/>
                <w:noProof/>
                <w:sz w:val="20"/>
              </w:rPr>
            </w:pPr>
            <w:r>
              <w:rPr>
                <w:noProof/>
                <w:sz w:val="20"/>
              </w:rPr>
              <w:t>0,320</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b/>
                <w:noProof/>
                <w:sz w:val="20"/>
              </w:rPr>
            </w:pPr>
            <w:r>
              <w:rPr>
                <w:b/>
                <w:noProof/>
                <w:sz w:val="20"/>
              </w:rPr>
              <w:t>…</w:t>
            </w:r>
          </w:p>
        </w:tc>
        <w:tc>
          <w:tcPr>
            <w:tcW w:w="1777" w:type="dxa"/>
            <w:vAlign w:val="center"/>
          </w:tcPr>
          <w:p>
            <w:pPr>
              <w:spacing w:before="20" w:after="20"/>
              <w:jc w:val="right"/>
              <w:rPr>
                <w:rFonts w:eastAsia="Times New Roman"/>
                <w:b/>
                <w:noProof/>
                <w:sz w:val="20"/>
              </w:rPr>
            </w:pPr>
            <w:r>
              <w:rPr>
                <w:b/>
                <w:noProof/>
                <w:sz w:val="20"/>
              </w:rPr>
              <w:t>3,884</w:t>
            </w:r>
          </w:p>
        </w:tc>
      </w:tr>
    </w:tbl>
    <w:p>
      <w:pPr>
        <w:rPr>
          <w:rFonts w:eastAsia="Times New Roman"/>
          <w:noProof/>
        </w:rPr>
        <w:sectPr>
          <w:headerReference w:type="default" r:id="rId14"/>
          <w:footerReference w:type="default" r:id="rId15"/>
          <w:headerReference w:type="first" r:id="rId16"/>
          <w:footerReference w:type="first" r:id="rId17"/>
          <w:pgSz w:w="15840" w:h="12240" w:orient="landscape"/>
          <w:pgMar w:top="1134" w:right="1077" w:bottom="902" w:left="1247" w:header="709" w:footer="510" w:gutter="0"/>
          <w:cols w:space="720"/>
          <w:docGrid w:linePitch="326"/>
        </w:sectPr>
      </w:pPr>
    </w:p>
    <w:p>
      <w:pPr>
        <w:pStyle w:val="ManualHeading3"/>
        <w:rPr>
          <w:rFonts w:eastAsia="Times New Roman"/>
          <w:noProof/>
          <w:szCs w:val="24"/>
        </w:rPr>
      </w:pPr>
      <w:r>
        <w:t>3.2.2.</w:t>
      </w:r>
      <w:r>
        <w:tab/>
      </w:r>
      <w:r>
        <w:rPr>
          <w:noProof/>
        </w:rPr>
        <w:t xml:space="preserve">Ocenjene posledice za odobritve za ESMA </w:t>
      </w:r>
    </w:p>
    <w:p>
      <w:pPr>
        <w:pStyle w:val="ListDash1"/>
        <w:rPr>
          <w:noProof/>
        </w:rPr>
      </w:pPr>
      <w:r>
        <w:rPr>
          <w:noProof/>
        </w:rPr>
        <w:sym w:font="Wingdings" w:char="F0FD"/>
      </w:r>
      <w:r>
        <w:rPr>
          <w:noProof/>
        </w:rPr>
        <w:tab/>
        <w:t xml:space="preserve">Za predlog/pobudo niso potrebne odobritve za poslovanje. </w:t>
      </w:r>
    </w:p>
    <w:p>
      <w:pPr>
        <w:pStyle w:val="ListDash1"/>
        <w:rPr>
          <w:noProof/>
        </w:rPr>
      </w:pPr>
      <w:r>
        <w:rPr>
          <w:noProof/>
        </w:rPr>
        <w:sym w:font="Wingdings" w:char="F0A8"/>
      </w:r>
      <w:r>
        <w:rPr>
          <w:noProof/>
        </w:rPr>
        <w:tab/>
        <w:t>Za predlog/pobudo so potrebne odobritve za poslovanje, kot je pojasnjeno v nadaljevanju:</w:t>
      </w:r>
    </w:p>
    <w:p>
      <w:pPr>
        <w:jc w:val="right"/>
        <w:rPr>
          <w:rFonts w:eastAsia="Times New Roman"/>
          <w:noProof/>
          <w:sz w:val="20"/>
        </w:rPr>
      </w:pPr>
      <w:r>
        <w:rPr>
          <w:noProof/>
          <w:sz w:val="20"/>
        </w:rPr>
        <w:t>odobritve za prevzem obveznosti 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rFonts w:eastAsia="Times New Roman"/>
                <w:b/>
                <w:noProof/>
                <w:sz w:val="18"/>
              </w:rPr>
            </w:pPr>
            <w:r>
              <w:rPr>
                <w:b/>
                <w:noProof/>
                <w:sz w:val="18"/>
              </w:rPr>
              <w:t xml:space="preserve">Cilji in realizacije </w:t>
            </w:r>
          </w:p>
          <w:p>
            <w:pPr>
              <w:ind w:right="-29"/>
              <w:jc w:val="center"/>
              <w:rPr>
                <w:rFonts w:eastAsia="Times New Roman"/>
                <w:b/>
                <w:noProof/>
                <w:sz w:val="18"/>
              </w:rPr>
            </w:pPr>
          </w:p>
          <w:p>
            <w:pPr>
              <w:ind w:right="-29"/>
              <w:jc w:val="center"/>
              <w:rPr>
                <w:rFonts w:eastAsia="Times New Roman"/>
                <w:noProof/>
                <w:sz w:val="18"/>
              </w:rPr>
            </w:pPr>
            <w:r>
              <w:rPr>
                <w:rFonts w:eastAsia="Times New Roman"/>
                <w:noProof/>
                <w:sz w:val="18"/>
              </w:rPr>
              <w:sym w:font="Wingdings" w:char="F0F2"/>
            </w:r>
          </w:p>
        </w:tc>
        <w:tc>
          <w:tcPr>
            <w:tcW w:w="720" w:type="dxa"/>
            <w:vAlign w:val="center"/>
          </w:tcPr>
          <w:p>
            <w:pPr>
              <w:ind w:right="-29"/>
              <w:jc w:val="center"/>
              <w:rPr>
                <w:rFonts w:eastAsia="Times New Roman"/>
                <w:noProof/>
                <w:sz w:val="18"/>
              </w:rPr>
            </w:pPr>
          </w:p>
        </w:tc>
        <w:tc>
          <w:tcPr>
            <w:tcW w:w="701" w:type="dxa"/>
            <w:vAlign w:val="center"/>
          </w:tcPr>
          <w:p>
            <w:pPr>
              <w:ind w:right="-29"/>
              <w:jc w:val="center"/>
              <w:rPr>
                <w:rFonts w:eastAsia="Times New Roman"/>
                <w:noProof/>
                <w:sz w:val="18"/>
              </w:rPr>
            </w:pPr>
          </w:p>
        </w:tc>
        <w:tc>
          <w:tcPr>
            <w:tcW w:w="1224" w:type="dxa"/>
            <w:gridSpan w:val="2"/>
            <w:tcBorders>
              <w:left w:val="nil"/>
            </w:tcBorders>
            <w:vAlign w:val="center"/>
          </w:tcPr>
          <w:p>
            <w:pPr>
              <w:ind w:right="-29"/>
              <w:jc w:val="center"/>
              <w:rPr>
                <w:rFonts w:eastAsia="Times New Roman"/>
                <w:noProof/>
                <w:sz w:val="18"/>
              </w:rPr>
            </w:pPr>
            <w:r>
              <w:rPr>
                <w:noProof/>
                <w:sz w:val="18"/>
              </w:rPr>
              <w:t>Leto</w:t>
            </w:r>
            <w:r>
              <w:rPr>
                <w:rFonts w:eastAsia="Times New Roman"/>
                <w:noProof/>
                <w:sz w:val="22"/>
              </w:rPr>
              <w:br/>
            </w:r>
            <w:r>
              <w:rPr>
                <w:b/>
                <w:noProof/>
                <w:sz w:val="18"/>
              </w:rPr>
              <w:t>N</w:t>
            </w:r>
            <w:r>
              <w:rPr>
                <w:b/>
                <w:noProof/>
                <w:sz w:val="20"/>
              </w:rPr>
              <w:t>: 2016</w:t>
            </w:r>
          </w:p>
        </w:tc>
        <w:tc>
          <w:tcPr>
            <w:tcW w:w="1260" w:type="dxa"/>
            <w:gridSpan w:val="2"/>
            <w:vAlign w:val="center"/>
          </w:tcPr>
          <w:p>
            <w:pPr>
              <w:ind w:right="-29"/>
              <w:jc w:val="center"/>
              <w:rPr>
                <w:rFonts w:eastAsia="Times New Roman"/>
                <w:noProof/>
                <w:sz w:val="18"/>
              </w:rPr>
            </w:pPr>
            <w:r>
              <w:rPr>
                <w:noProof/>
                <w:sz w:val="18"/>
              </w:rPr>
              <w:t>Leto</w:t>
            </w:r>
            <w:r>
              <w:rPr>
                <w:rFonts w:eastAsia="Times New Roman"/>
                <w:noProof/>
                <w:sz w:val="22"/>
              </w:rPr>
              <w:br/>
            </w:r>
            <w:r>
              <w:rPr>
                <w:b/>
                <w:noProof/>
                <w:sz w:val="18"/>
              </w:rPr>
              <w:t>N+1</w:t>
            </w:r>
            <w:r>
              <w:rPr>
                <w:b/>
                <w:noProof/>
                <w:sz w:val="20"/>
              </w:rPr>
              <w:t>: 2017</w:t>
            </w:r>
          </w:p>
        </w:tc>
        <w:tc>
          <w:tcPr>
            <w:tcW w:w="1440" w:type="dxa"/>
            <w:gridSpan w:val="2"/>
            <w:vAlign w:val="center"/>
          </w:tcPr>
          <w:p>
            <w:pPr>
              <w:ind w:right="-29"/>
              <w:jc w:val="center"/>
              <w:rPr>
                <w:rFonts w:eastAsia="Times New Roman"/>
                <w:noProof/>
                <w:sz w:val="18"/>
              </w:rPr>
            </w:pPr>
            <w:r>
              <w:rPr>
                <w:noProof/>
                <w:sz w:val="18"/>
              </w:rPr>
              <w:t>Leto</w:t>
            </w:r>
            <w:r>
              <w:rPr>
                <w:rFonts w:eastAsia="Times New Roman"/>
                <w:noProof/>
                <w:sz w:val="22"/>
              </w:rPr>
              <w:br/>
            </w:r>
            <w:r>
              <w:rPr>
                <w:b/>
                <w:noProof/>
                <w:sz w:val="18"/>
              </w:rPr>
              <w:t>N+2</w:t>
            </w:r>
            <w:r>
              <w:rPr>
                <w:b/>
                <w:noProof/>
                <w:sz w:val="20"/>
              </w:rPr>
              <w:t>: 2018</w:t>
            </w:r>
          </w:p>
        </w:tc>
        <w:tc>
          <w:tcPr>
            <w:tcW w:w="1620" w:type="dxa"/>
            <w:gridSpan w:val="3"/>
            <w:vAlign w:val="center"/>
          </w:tcPr>
          <w:p>
            <w:pPr>
              <w:ind w:right="-29"/>
              <w:jc w:val="center"/>
              <w:rPr>
                <w:rFonts w:eastAsia="Times New Roman"/>
                <w:noProof/>
                <w:sz w:val="18"/>
              </w:rPr>
            </w:pPr>
            <w:r>
              <w:rPr>
                <w:noProof/>
                <w:sz w:val="18"/>
              </w:rPr>
              <w:t>Leto</w:t>
            </w:r>
            <w:r>
              <w:rPr>
                <w:rFonts w:eastAsia="Times New Roman"/>
                <w:noProof/>
                <w:sz w:val="22"/>
              </w:rPr>
              <w:br/>
            </w:r>
            <w:r>
              <w:rPr>
                <w:b/>
                <w:noProof/>
                <w:sz w:val="18"/>
              </w:rPr>
              <w:t>N+3</w:t>
            </w:r>
            <w:r>
              <w:rPr>
                <w:b/>
                <w:noProof/>
                <w:sz w:val="20"/>
              </w:rPr>
              <w:t>: 2019</w:t>
            </w:r>
          </w:p>
        </w:tc>
        <w:tc>
          <w:tcPr>
            <w:tcW w:w="3600" w:type="dxa"/>
            <w:gridSpan w:val="6"/>
            <w:vAlign w:val="center"/>
          </w:tcPr>
          <w:p>
            <w:pPr>
              <w:jc w:val="center"/>
              <w:rPr>
                <w:rFonts w:eastAsia="Times New Roman"/>
                <w:b/>
                <w:noProof/>
                <w:sz w:val="18"/>
              </w:rPr>
            </w:pPr>
            <w:r>
              <w:rPr>
                <w:noProof/>
                <w:sz w:val="18"/>
              </w:rPr>
              <w:t>Vstavite ustrezno število let glede na trajanje posledic (gl. točko 1.6)</w:t>
            </w:r>
          </w:p>
        </w:tc>
        <w:tc>
          <w:tcPr>
            <w:tcW w:w="1620" w:type="dxa"/>
            <w:gridSpan w:val="2"/>
            <w:tcBorders>
              <w:left w:val="nil"/>
              <w:bottom w:val="nil"/>
            </w:tcBorders>
            <w:vAlign w:val="center"/>
          </w:tcPr>
          <w:p>
            <w:pPr>
              <w:ind w:right="-29"/>
              <w:jc w:val="center"/>
              <w:rPr>
                <w:rFonts w:eastAsia="Times New Roman"/>
                <w:noProof/>
                <w:sz w:val="18"/>
              </w:rPr>
            </w:pPr>
            <w:r>
              <w:rPr>
                <w:b/>
                <w:noProof/>
                <w:sz w:val="18"/>
              </w:rPr>
              <w:t>SKUPAJ</w:t>
            </w:r>
          </w:p>
        </w:tc>
      </w:tr>
      <w:tr>
        <w:trPr>
          <w:jc w:val="center"/>
        </w:trPr>
        <w:tc>
          <w:tcPr>
            <w:tcW w:w="1423" w:type="dxa"/>
            <w:vMerge/>
            <w:vAlign w:val="center"/>
          </w:tcPr>
          <w:p>
            <w:pPr>
              <w:rPr>
                <w:rFonts w:eastAsia="Times New Roman"/>
                <w:noProof/>
                <w:sz w:val="18"/>
              </w:rPr>
            </w:pPr>
          </w:p>
        </w:tc>
        <w:tc>
          <w:tcPr>
            <w:tcW w:w="12185" w:type="dxa"/>
            <w:gridSpan w:val="19"/>
            <w:vAlign w:val="center"/>
          </w:tcPr>
          <w:p>
            <w:pPr>
              <w:spacing w:before="60" w:after="60"/>
              <w:ind w:right="-29"/>
              <w:jc w:val="center"/>
              <w:rPr>
                <w:rFonts w:eastAsia="Times New Roman"/>
                <w:noProof/>
                <w:sz w:val="18"/>
              </w:rPr>
            </w:pPr>
            <w:r>
              <w:rPr>
                <w:b/>
                <w:noProof/>
                <w:sz w:val="18"/>
              </w:rPr>
              <w:t>REALIZACIJE</w:t>
            </w:r>
          </w:p>
        </w:tc>
      </w:tr>
      <w:tr>
        <w:trPr>
          <w:cantSplit/>
          <w:trHeight w:val="1134"/>
          <w:jc w:val="center"/>
        </w:trPr>
        <w:tc>
          <w:tcPr>
            <w:tcW w:w="1423" w:type="dxa"/>
            <w:vMerge/>
            <w:vAlign w:val="center"/>
          </w:tcPr>
          <w:p>
            <w:pPr>
              <w:rPr>
                <w:rFonts w:eastAsia="Times New Roman"/>
                <w:noProof/>
                <w:sz w:val="18"/>
              </w:rPr>
            </w:pPr>
          </w:p>
        </w:tc>
        <w:tc>
          <w:tcPr>
            <w:tcW w:w="720" w:type="dxa"/>
            <w:vAlign w:val="center"/>
          </w:tcPr>
          <w:p>
            <w:pPr>
              <w:jc w:val="center"/>
              <w:rPr>
                <w:rFonts w:eastAsia="Times New Roman"/>
                <w:noProof/>
                <w:sz w:val="18"/>
              </w:rPr>
            </w:pPr>
            <w:r>
              <w:rPr>
                <w:noProof/>
                <w:sz w:val="18"/>
              </w:rPr>
              <w:t>vrsta</w:t>
            </w:r>
            <w:r>
              <w:rPr>
                <w:rStyle w:val="FootnoteReference"/>
                <w:noProof/>
              </w:rPr>
              <w:footnoteReference w:id="38"/>
            </w:r>
          </w:p>
        </w:tc>
        <w:tc>
          <w:tcPr>
            <w:tcW w:w="701" w:type="dxa"/>
            <w:vAlign w:val="center"/>
          </w:tcPr>
          <w:p>
            <w:pPr>
              <w:jc w:val="center"/>
              <w:rPr>
                <w:rFonts w:eastAsia="Times New Roman"/>
                <w:noProof/>
              </w:rPr>
            </w:pPr>
            <w:r>
              <w:rPr>
                <w:noProof/>
                <w:sz w:val="18"/>
              </w:rPr>
              <w:t>povprečni stroški</w:t>
            </w:r>
          </w:p>
        </w:tc>
        <w:tc>
          <w:tcPr>
            <w:tcW w:w="504" w:type="dxa"/>
            <w:tcBorders>
              <w:left w:val="nil"/>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ne</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ne</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stroški</w:t>
            </w:r>
          </w:p>
        </w:tc>
        <w:tc>
          <w:tcPr>
            <w:tcW w:w="72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ne</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stroški</w:t>
            </w:r>
          </w:p>
        </w:tc>
        <w:tc>
          <w:tcPr>
            <w:tcW w:w="90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ne</w:t>
            </w:r>
          </w:p>
        </w:tc>
        <w:tc>
          <w:tcPr>
            <w:tcW w:w="720" w:type="dxa"/>
            <w:gridSpan w:val="2"/>
            <w:tcBorders>
              <w:left w:val="dashSmallGap" w:sz="4" w:space="0" w:color="auto"/>
            </w:tcBorders>
            <w:shd w:val="pct10" w:color="auto" w:fill="auto"/>
            <w:vAlign w:val="center"/>
          </w:tcPr>
          <w:p>
            <w:pPr>
              <w:jc w:val="center"/>
              <w:rPr>
                <w:rFonts w:eastAsia="Times New Roman"/>
                <w:noProof/>
                <w:sz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ne</w:t>
            </w:r>
          </w:p>
        </w:tc>
        <w:tc>
          <w:tcPr>
            <w:tcW w:w="648" w:type="dxa"/>
            <w:tcBorders>
              <w:left w:val="dashSmallGap" w:sz="4" w:space="0" w:color="auto"/>
            </w:tcBorders>
            <w:shd w:val="pct10" w:color="auto" w:fill="auto"/>
            <w:vAlign w:val="center"/>
          </w:tcPr>
          <w:p>
            <w:pPr>
              <w:jc w:val="center"/>
              <w:rPr>
                <w:rFonts w:eastAsia="Times New Roman"/>
                <w:noProof/>
                <w:sz w:val="18"/>
              </w:rPr>
            </w:pPr>
            <w:r>
              <w:rPr>
                <w:noProof/>
                <w:sz w:val="18"/>
              </w:rPr>
              <w:t>stroški</w:t>
            </w:r>
          </w:p>
        </w:tc>
        <w:tc>
          <w:tcPr>
            <w:tcW w:w="432"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ne</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ne</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stroški</w:t>
            </w:r>
          </w:p>
        </w:tc>
        <w:tc>
          <w:tcPr>
            <w:tcW w:w="720" w:type="dxa"/>
            <w:tcBorders>
              <w:right w:val="dashSmallGap" w:sz="4" w:space="0" w:color="auto"/>
            </w:tcBorders>
            <w:shd w:val="pct10" w:color="auto" w:fill="auto"/>
            <w:vAlign w:val="center"/>
          </w:tcPr>
          <w:p>
            <w:pPr>
              <w:jc w:val="center"/>
              <w:rPr>
                <w:rFonts w:eastAsia="Times New Roman"/>
                <w:noProof/>
                <w:sz w:val="18"/>
              </w:rPr>
            </w:pPr>
            <w:r>
              <w:rPr>
                <w:noProof/>
                <w:sz w:val="18"/>
              </w:rPr>
              <w:t>število realizacij skupaj</w:t>
            </w:r>
          </w:p>
        </w:tc>
        <w:tc>
          <w:tcPr>
            <w:tcW w:w="900" w:type="dxa"/>
            <w:tcBorders>
              <w:left w:val="dashSmallGap" w:sz="4" w:space="0" w:color="auto"/>
            </w:tcBorders>
            <w:shd w:val="pct10" w:color="auto" w:fill="auto"/>
            <w:vAlign w:val="center"/>
          </w:tcPr>
          <w:p>
            <w:pPr>
              <w:jc w:val="center"/>
              <w:rPr>
                <w:rFonts w:eastAsia="Times New Roman"/>
                <w:noProof/>
              </w:rPr>
            </w:pPr>
            <w:r>
              <w:rPr>
                <w:noProof/>
                <w:sz w:val="18"/>
              </w:rPr>
              <w:t>stroški realizacij skupaj</w:t>
            </w: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POSAMEZNI CILJ št. 1</w:t>
            </w:r>
            <w:r>
              <w:rPr>
                <w:rStyle w:val="FootnoteReference"/>
                <w:noProof/>
              </w:rPr>
              <w:footnoteReference w:id="39"/>
            </w:r>
            <w:r>
              <w:rPr>
                <w:noProof/>
                <w:sz w:val="18"/>
              </w:rPr>
              <w:t>...</w:t>
            </w:r>
          </w:p>
        </w:tc>
        <w:tc>
          <w:tcPr>
            <w:tcW w:w="504"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54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900" w:type="dxa"/>
            <w:tcBorders>
              <w:top w:val="nil"/>
              <w:left w:val="nil"/>
              <w:bottom w:val="nil"/>
              <w:right w:val="nil"/>
            </w:tcBorders>
          </w:tcPr>
          <w:p>
            <w:pPr>
              <w:spacing w:before="60" w:after="60"/>
              <w:ind w:right="-29"/>
              <w:jc w:val="center"/>
              <w:rPr>
                <w:rFonts w:eastAsia="Times New Roman"/>
                <w:noProof/>
                <w:sz w:val="18"/>
              </w:rPr>
            </w:pPr>
          </w:p>
        </w:tc>
        <w:tc>
          <w:tcPr>
            <w:tcW w:w="720" w:type="dxa"/>
            <w:gridSpan w:val="2"/>
            <w:tcBorders>
              <w:top w:val="nil"/>
              <w:left w:val="nil"/>
              <w:bottom w:val="nil"/>
              <w:right w:val="nil"/>
            </w:tcBorders>
          </w:tcPr>
          <w:p>
            <w:pPr>
              <w:spacing w:before="60" w:after="60"/>
              <w:ind w:right="-29"/>
              <w:jc w:val="center"/>
              <w:rPr>
                <w:rFonts w:eastAsia="Times New Roman"/>
                <w:noProof/>
                <w:sz w:val="18"/>
              </w:rPr>
            </w:pPr>
          </w:p>
        </w:tc>
        <w:tc>
          <w:tcPr>
            <w:tcW w:w="540" w:type="dxa"/>
            <w:tcBorders>
              <w:top w:val="nil"/>
              <w:left w:val="nil"/>
              <w:bottom w:val="nil"/>
              <w:right w:val="nil"/>
            </w:tcBorders>
          </w:tcPr>
          <w:p>
            <w:pPr>
              <w:spacing w:before="60" w:after="60"/>
              <w:ind w:right="-29"/>
              <w:jc w:val="center"/>
              <w:rPr>
                <w:rFonts w:eastAsia="Times New Roman"/>
                <w:noProof/>
                <w:sz w:val="18"/>
              </w:rPr>
            </w:pPr>
          </w:p>
        </w:tc>
        <w:tc>
          <w:tcPr>
            <w:tcW w:w="648" w:type="dxa"/>
            <w:tcBorders>
              <w:top w:val="nil"/>
              <w:left w:val="nil"/>
              <w:bottom w:val="nil"/>
              <w:right w:val="nil"/>
            </w:tcBorders>
          </w:tcPr>
          <w:p>
            <w:pPr>
              <w:spacing w:before="60" w:after="60"/>
              <w:ind w:right="-29"/>
              <w:jc w:val="center"/>
              <w:rPr>
                <w:rFonts w:eastAsia="Times New Roman"/>
                <w:noProof/>
                <w:sz w:val="18"/>
              </w:rPr>
            </w:pPr>
          </w:p>
        </w:tc>
        <w:tc>
          <w:tcPr>
            <w:tcW w:w="432"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54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900" w:type="dxa"/>
            <w:tcBorders>
              <w:top w:val="nil"/>
              <w:left w:val="nil"/>
              <w:bottom w:val="nil"/>
              <w:right w:val="nil"/>
            </w:tcBorders>
          </w:tcPr>
          <w:p>
            <w:pPr>
              <w:spacing w:before="60" w:after="60"/>
              <w:ind w:right="-29"/>
              <w:jc w:val="center"/>
              <w:rPr>
                <w:rFonts w:eastAsia="Times New Roman"/>
                <w:noProof/>
                <w:sz w:val="18"/>
              </w:rPr>
            </w:pPr>
          </w:p>
        </w:tc>
      </w:tr>
      <w:tr>
        <w:trPr>
          <w:trHeight w:hRule="exact" w:val="369"/>
          <w:jc w:val="center"/>
        </w:trPr>
        <w:tc>
          <w:tcPr>
            <w:tcW w:w="1423" w:type="dxa"/>
          </w:tcPr>
          <w:p>
            <w:pPr>
              <w:ind w:right="-29"/>
              <w:jc w:val="center"/>
              <w:rPr>
                <w:rFonts w:eastAsia="Times New Roman"/>
                <w:noProof/>
                <w:sz w:val="18"/>
              </w:rPr>
            </w:pPr>
            <w:r>
              <w:rPr>
                <w:noProof/>
                <w:sz w:val="18"/>
              </w:rPr>
              <w:t>– realizacija</w:t>
            </w:r>
          </w:p>
        </w:tc>
        <w:tc>
          <w:tcPr>
            <w:tcW w:w="720" w:type="dxa"/>
          </w:tcPr>
          <w:p>
            <w:pPr>
              <w:ind w:right="-29"/>
              <w:jc w:val="center"/>
              <w:rPr>
                <w:rFonts w:eastAsia="Times New Roman"/>
                <w:noProof/>
                <w:sz w:val="18"/>
              </w:rPr>
            </w:pPr>
          </w:p>
        </w:tc>
        <w:tc>
          <w:tcPr>
            <w:tcW w:w="701" w:type="dxa"/>
          </w:tcPr>
          <w:p>
            <w:pPr>
              <w:ind w:right="-29"/>
              <w:jc w:val="center"/>
              <w:rPr>
                <w:rFonts w:eastAsia="Times New Roman"/>
                <w:noProof/>
                <w:sz w:val="18"/>
              </w:rPr>
            </w:pPr>
          </w:p>
        </w:tc>
        <w:tc>
          <w:tcPr>
            <w:tcW w:w="504"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540"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720"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900" w:type="dxa"/>
            <w:tcBorders>
              <w:right w:val="dashSmallGap" w:sz="4" w:space="0" w:color="auto"/>
            </w:tcBorders>
          </w:tcPr>
          <w:p>
            <w:pPr>
              <w:ind w:right="-29"/>
              <w:jc w:val="center"/>
              <w:rPr>
                <w:rFonts w:eastAsia="Times New Roman"/>
                <w:noProof/>
                <w:sz w:val="18"/>
              </w:rPr>
            </w:pPr>
          </w:p>
        </w:tc>
        <w:tc>
          <w:tcPr>
            <w:tcW w:w="720" w:type="dxa"/>
            <w:gridSpan w:val="2"/>
            <w:tcBorders>
              <w:left w:val="dashSmallGap" w:sz="4" w:space="0" w:color="auto"/>
            </w:tcBorders>
          </w:tcPr>
          <w:p>
            <w:pPr>
              <w:ind w:right="-29"/>
              <w:jc w:val="center"/>
              <w:rPr>
                <w:rFonts w:eastAsia="Times New Roman"/>
                <w:noProof/>
                <w:sz w:val="18"/>
              </w:rPr>
            </w:pPr>
          </w:p>
        </w:tc>
        <w:tc>
          <w:tcPr>
            <w:tcW w:w="540" w:type="dxa"/>
            <w:tcBorders>
              <w:right w:val="dashSmallGap" w:sz="4" w:space="0" w:color="auto"/>
            </w:tcBorders>
          </w:tcPr>
          <w:p>
            <w:pPr>
              <w:ind w:right="-29"/>
              <w:jc w:val="center"/>
              <w:rPr>
                <w:rFonts w:eastAsia="Times New Roman"/>
                <w:noProof/>
                <w:sz w:val="18"/>
              </w:rPr>
            </w:pPr>
          </w:p>
        </w:tc>
        <w:tc>
          <w:tcPr>
            <w:tcW w:w="648" w:type="dxa"/>
            <w:tcBorders>
              <w:left w:val="dashSmallGap" w:sz="4" w:space="0" w:color="auto"/>
            </w:tcBorders>
          </w:tcPr>
          <w:p>
            <w:pPr>
              <w:ind w:right="-29"/>
              <w:jc w:val="center"/>
              <w:rPr>
                <w:rFonts w:eastAsia="Times New Roman"/>
                <w:noProof/>
                <w:sz w:val="18"/>
              </w:rPr>
            </w:pPr>
          </w:p>
        </w:tc>
        <w:tc>
          <w:tcPr>
            <w:tcW w:w="432"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540"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p>
        </w:tc>
      </w:tr>
      <w:tr>
        <w:trPr>
          <w:trHeight w:hRule="exact" w:val="369"/>
          <w:jc w:val="center"/>
        </w:trPr>
        <w:tc>
          <w:tcPr>
            <w:tcW w:w="1423" w:type="dxa"/>
          </w:tcPr>
          <w:p>
            <w:pPr>
              <w:ind w:right="-29"/>
              <w:jc w:val="center"/>
              <w:rPr>
                <w:rFonts w:eastAsia="Times New Roman"/>
                <w:noProof/>
                <w:sz w:val="18"/>
              </w:rPr>
            </w:pPr>
            <w:r>
              <w:rPr>
                <w:noProof/>
                <w:sz w:val="18"/>
              </w:rPr>
              <w:t>– realizacija</w:t>
            </w:r>
          </w:p>
        </w:tc>
        <w:tc>
          <w:tcPr>
            <w:tcW w:w="720" w:type="dxa"/>
          </w:tcPr>
          <w:p>
            <w:pPr>
              <w:ind w:right="-29"/>
              <w:jc w:val="center"/>
              <w:rPr>
                <w:rFonts w:eastAsia="Times New Roman"/>
                <w:noProof/>
                <w:sz w:val="18"/>
              </w:rPr>
            </w:pPr>
          </w:p>
        </w:tc>
        <w:tc>
          <w:tcPr>
            <w:tcW w:w="701" w:type="dxa"/>
          </w:tcPr>
          <w:p>
            <w:pPr>
              <w:ind w:right="-29"/>
              <w:jc w:val="center"/>
              <w:rPr>
                <w:rFonts w:eastAsia="Times New Roman"/>
                <w:noProof/>
                <w:sz w:val="18"/>
              </w:rPr>
            </w:pPr>
          </w:p>
        </w:tc>
        <w:tc>
          <w:tcPr>
            <w:tcW w:w="504"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540"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720"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900" w:type="dxa"/>
            <w:tcBorders>
              <w:right w:val="dashSmallGap" w:sz="4" w:space="0" w:color="auto"/>
            </w:tcBorders>
          </w:tcPr>
          <w:p>
            <w:pPr>
              <w:ind w:right="-29"/>
              <w:jc w:val="center"/>
              <w:rPr>
                <w:rFonts w:eastAsia="Times New Roman"/>
                <w:noProof/>
                <w:sz w:val="18"/>
              </w:rPr>
            </w:pPr>
          </w:p>
        </w:tc>
        <w:tc>
          <w:tcPr>
            <w:tcW w:w="720" w:type="dxa"/>
            <w:gridSpan w:val="2"/>
            <w:tcBorders>
              <w:left w:val="dashSmallGap" w:sz="4" w:space="0" w:color="auto"/>
            </w:tcBorders>
          </w:tcPr>
          <w:p>
            <w:pPr>
              <w:ind w:right="-29"/>
              <w:jc w:val="center"/>
              <w:rPr>
                <w:rFonts w:eastAsia="Times New Roman"/>
                <w:noProof/>
                <w:sz w:val="18"/>
              </w:rPr>
            </w:pPr>
          </w:p>
        </w:tc>
        <w:tc>
          <w:tcPr>
            <w:tcW w:w="540" w:type="dxa"/>
            <w:tcBorders>
              <w:right w:val="dashSmallGap" w:sz="4" w:space="0" w:color="auto"/>
            </w:tcBorders>
          </w:tcPr>
          <w:p>
            <w:pPr>
              <w:ind w:right="-29"/>
              <w:jc w:val="center"/>
              <w:rPr>
                <w:rFonts w:eastAsia="Times New Roman"/>
                <w:noProof/>
                <w:sz w:val="18"/>
              </w:rPr>
            </w:pPr>
          </w:p>
        </w:tc>
        <w:tc>
          <w:tcPr>
            <w:tcW w:w="648" w:type="dxa"/>
            <w:tcBorders>
              <w:left w:val="dashSmallGap" w:sz="4" w:space="0" w:color="auto"/>
            </w:tcBorders>
          </w:tcPr>
          <w:p>
            <w:pPr>
              <w:ind w:right="-29"/>
              <w:jc w:val="center"/>
              <w:rPr>
                <w:rFonts w:eastAsia="Times New Roman"/>
                <w:noProof/>
                <w:sz w:val="18"/>
              </w:rPr>
            </w:pPr>
          </w:p>
        </w:tc>
        <w:tc>
          <w:tcPr>
            <w:tcW w:w="432"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540"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p>
        </w:tc>
      </w:tr>
      <w:tr>
        <w:trPr>
          <w:trHeight w:hRule="exact" w:val="369"/>
          <w:jc w:val="center"/>
        </w:trPr>
        <w:tc>
          <w:tcPr>
            <w:tcW w:w="1423" w:type="dxa"/>
          </w:tcPr>
          <w:p>
            <w:pPr>
              <w:ind w:right="-29"/>
              <w:jc w:val="center"/>
              <w:rPr>
                <w:rFonts w:eastAsia="Times New Roman"/>
                <w:noProof/>
                <w:sz w:val="18"/>
              </w:rPr>
            </w:pPr>
            <w:r>
              <w:rPr>
                <w:noProof/>
                <w:sz w:val="18"/>
              </w:rPr>
              <w:t>– realizacija</w:t>
            </w:r>
          </w:p>
        </w:tc>
        <w:tc>
          <w:tcPr>
            <w:tcW w:w="720" w:type="dxa"/>
          </w:tcPr>
          <w:p>
            <w:pPr>
              <w:ind w:right="-29"/>
              <w:jc w:val="center"/>
              <w:rPr>
                <w:rFonts w:eastAsia="Times New Roman"/>
                <w:noProof/>
                <w:sz w:val="18"/>
              </w:rPr>
            </w:pPr>
          </w:p>
        </w:tc>
        <w:tc>
          <w:tcPr>
            <w:tcW w:w="701" w:type="dxa"/>
          </w:tcPr>
          <w:p>
            <w:pPr>
              <w:ind w:right="-29"/>
              <w:jc w:val="center"/>
              <w:rPr>
                <w:rFonts w:eastAsia="Times New Roman"/>
                <w:noProof/>
                <w:sz w:val="18"/>
              </w:rPr>
            </w:pP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p>
        </w:tc>
      </w:tr>
      <w:tr>
        <w:trPr>
          <w:jc w:val="center"/>
        </w:trPr>
        <w:tc>
          <w:tcPr>
            <w:tcW w:w="2844" w:type="dxa"/>
            <w:gridSpan w:val="3"/>
            <w:tcBorders>
              <w:bottom w:val="single" w:sz="12" w:space="0" w:color="auto"/>
            </w:tcBorders>
            <w:vAlign w:val="center"/>
          </w:tcPr>
          <w:p>
            <w:pPr>
              <w:ind w:right="-29"/>
              <w:jc w:val="center"/>
              <w:rPr>
                <w:rFonts w:eastAsia="Times New Roman"/>
                <w:noProof/>
                <w:sz w:val="18"/>
              </w:rPr>
            </w:pPr>
            <w:r>
              <w:rPr>
                <w:noProof/>
                <w:sz w:val="18"/>
              </w:rPr>
              <w:t>Seštevek za posamezni cilj št. 1</w:t>
            </w:r>
          </w:p>
        </w:tc>
        <w:tc>
          <w:tcPr>
            <w:tcW w:w="504"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900" w:type="dxa"/>
            <w:tcBorders>
              <w:bottom w:val="single" w:sz="12" w:space="0" w:color="auto"/>
            </w:tcBorders>
          </w:tcPr>
          <w:p>
            <w:pPr>
              <w:ind w:right="-29"/>
              <w:jc w:val="center"/>
              <w:rPr>
                <w:rFonts w:eastAsia="Times New Roman"/>
                <w:noProof/>
                <w:sz w:val="18"/>
              </w:rPr>
            </w:pPr>
          </w:p>
        </w:tc>
        <w:tc>
          <w:tcPr>
            <w:tcW w:w="720" w:type="dxa"/>
            <w:gridSpan w:val="2"/>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648" w:type="dxa"/>
            <w:tcBorders>
              <w:bottom w:val="single" w:sz="12" w:space="0" w:color="auto"/>
            </w:tcBorders>
          </w:tcPr>
          <w:p>
            <w:pPr>
              <w:ind w:right="-29"/>
              <w:jc w:val="center"/>
              <w:rPr>
                <w:rFonts w:eastAsia="Times New Roman"/>
                <w:noProof/>
                <w:sz w:val="18"/>
              </w:rPr>
            </w:pPr>
          </w:p>
        </w:tc>
        <w:tc>
          <w:tcPr>
            <w:tcW w:w="432"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900" w:type="dxa"/>
            <w:tcBorders>
              <w:bottom w:val="single" w:sz="12" w:space="0" w:color="auto"/>
            </w:tcBorders>
          </w:tcPr>
          <w:p>
            <w:pPr>
              <w:ind w:right="-29"/>
              <w:jc w:val="center"/>
              <w:rPr>
                <w:rFonts w:eastAsia="Times New Roman"/>
                <w:noProof/>
                <w:sz w:val="18"/>
              </w:rPr>
            </w:pP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POSAMEZNI CILJ št. 2 ...</w:t>
            </w:r>
          </w:p>
        </w:tc>
        <w:tc>
          <w:tcPr>
            <w:tcW w:w="504"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54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900" w:type="dxa"/>
            <w:tcBorders>
              <w:top w:val="nil"/>
              <w:left w:val="nil"/>
              <w:bottom w:val="nil"/>
              <w:right w:val="nil"/>
            </w:tcBorders>
          </w:tcPr>
          <w:p>
            <w:pPr>
              <w:spacing w:before="60" w:after="60"/>
              <w:ind w:right="-29"/>
              <w:jc w:val="center"/>
              <w:rPr>
                <w:rFonts w:eastAsia="Times New Roman"/>
                <w:noProof/>
                <w:sz w:val="18"/>
              </w:rPr>
            </w:pPr>
          </w:p>
        </w:tc>
        <w:tc>
          <w:tcPr>
            <w:tcW w:w="720" w:type="dxa"/>
            <w:gridSpan w:val="2"/>
            <w:tcBorders>
              <w:top w:val="nil"/>
              <w:left w:val="nil"/>
              <w:bottom w:val="nil"/>
              <w:right w:val="nil"/>
            </w:tcBorders>
          </w:tcPr>
          <w:p>
            <w:pPr>
              <w:spacing w:before="60" w:after="60"/>
              <w:ind w:right="-29"/>
              <w:jc w:val="center"/>
              <w:rPr>
                <w:rFonts w:eastAsia="Times New Roman"/>
                <w:noProof/>
                <w:sz w:val="18"/>
              </w:rPr>
            </w:pPr>
          </w:p>
        </w:tc>
        <w:tc>
          <w:tcPr>
            <w:tcW w:w="540" w:type="dxa"/>
            <w:tcBorders>
              <w:top w:val="nil"/>
              <w:left w:val="nil"/>
              <w:bottom w:val="nil"/>
              <w:right w:val="nil"/>
            </w:tcBorders>
          </w:tcPr>
          <w:p>
            <w:pPr>
              <w:spacing w:before="60" w:after="60"/>
              <w:ind w:right="-29"/>
              <w:jc w:val="center"/>
              <w:rPr>
                <w:rFonts w:eastAsia="Times New Roman"/>
                <w:noProof/>
                <w:sz w:val="18"/>
              </w:rPr>
            </w:pPr>
          </w:p>
        </w:tc>
        <w:tc>
          <w:tcPr>
            <w:tcW w:w="648" w:type="dxa"/>
            <w:tcBorders>
              <w:top w:val="nil"/>
              <w:left w:val="nil"/>
              <w:bottom w:val="nil"/>
              <w:right w:val="nil"/>
            </w:tcBorders>
          </w:tcPr>
          <w:p>
            <w:pPr>
              <w:spacing w:before="60" w:after="60"/>
              <w:ind w:right="-29"/>
              <w:jc w:val="center"/>
              <w:rPr>
                <w:rFonts w:eastAsia="Times New Roman"/>
                <w:noProof/>
                <w:sz w:val="18"/>
              </w:rPr>
            </w:pPr>
          </w:p>
        </w:tc>
        <w:tc>
          <w:tcPr>
            <w:tcW w:w="432"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54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900" w:type="dxa"/>
            <w:tcBorders>
              <w:top w:val="nil"/>
              <w:left w:val="nil"/>
              <w:bottom w:val="nil"/>
              <w:right w:val="nil"/>
            </w:tcBorders>
          </w:tcPr>
          <w:p>
            <w:pPr>
              <w:spacing w:before="60" w:after="60"/>
              <w:ind w:right="-29"/>
              <w:jc w:val="center"/>
              <w:rPr>
                <w:rFonts w:eastAsia="Times New Roman"/>
                <w:noProof/>
                <w:sz w:val="18"/>
              </w:rPr>
            </w:pPr>
          </w:p>
        </w:tc>
      </w:tr>
      <w:tr>
        <w:trPr>
          <w:trHeight w:hRule="exact" w:val="369"/>
          <w:jc w:val="center"/>
        </w:trPr>
        <w:tc>
          <w:tcPr>
            <w:tcW w:w="1423" w:type="dxa"/>
          </w:tcPr>
          <w:p>
            <w:pPr>
              <w:ind w:right="-29"/>
              <w:jc w:val="center"/>
              <w:rPr>
                <w:rFonts w:eastAsia="Times New Roman"/>
                <w:noProof/>
                <w:sz w:val="18"/>
              </w:rPr>
            </w:pPr>
            <w:r>
              <w:rPr>
                <w:noProof/>
                <w:sz w:val="18"/>
              </w:rPr>
              <w:t>– realizacija</w:t>
            </w:r>
          </w:p>
        </w:tc>
        <w:tc>
          <w:tcPr>
            <w:tcW w:w="720" w:type="dxa"/>
          </w:tcPr>
          <w:p>
            <w:pPr>
              <w:ind w:right="-29"/>
              <w:jc w:val="center"/>
              <w:rPr>
                <w:rFonts w:eastAsia="Times New Roman"/>
                <w:noProof/>
                <w:sz w:val="18"/>
              </w:rPr>
            </w:pPr>
          </w:p>
        </w:tc>
        <w:tc>
          <w:tcPr>
            <w:tcW w:w="701" w:type="dxa"/>
          </w:tcPr>
          <w:p>
            <w:pPr>
              <w:ind w:right="-29"/>
              <w:jc w:val="center"/>
              <w:rPr>
                <w:rFonts w:eastAsia="Times New Roman"/>
                <w:noProof/>
                <w:sz w:val="18"/>
              </w:rPr>
            </w:pP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p>
        </w:tc>
      </w:tr>
      <w:tr>
        <w:trPr>
          <w:jc w:val="center"/>
        </w:trPr>
        <w:tc>
          <w:tcPr>
            <w:tcW w:w="2844" w:type="dxa"/>
            <w:gridSpan w:val="3"/>
            <w:tcBorders>
              <w:bottom w:val="single" w:sz="12" w:space="0" w:color="auto"/>
            </w:tcBorders>
            <w:vAlign w:val="center"/>
          </w:tcPr>
          <w:p>
            <w:pPr>
              <w:jc w:val="center"/>
              <w:rPr>
                <w:rFonts w:eastAsia="Times New Roman"/>
                <w:noProof/>
                <w:sz w:val="18"/>
              </w:rPr>
            </w:pPr>
            <w:r>
              <w:rPr>
                <w:noProof/>
                <w:sz w:val="18"/>
              </w:rPr>
              <w:t>Seštevek za posamezni cilj št. 2</w:t>
            </w:r>
          </w:p>
        </w:tc>
        <w:tc>
          <w:tcPr>
            <w:tcW w:w="504"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951" w:type="dxa"/>
            <w:gridSpan w:val="2"/>
            <w:tcBorders>
              <w:bottom w:val="single" w:sz="12" w:space="0" w:color="auto"/>
            </w:tcBorders>
          </w:tcPr>
          <w:p>
            <w:pPr>
              <w:ind w:right="-29"/>
              <w:jc w:val="center"/>
              <w:rPr>
                <w:rFonts w:eastAsia="Times New Roman"/>
                <w:noProof/>
                <w:sz w:val="18"/>
              </w:rPr>
            </w:pPr>
          </w:p>
        </w:tc>
        <w:tc>
          <w:tcPr>
            <w:tcW w:w="669" w:type="dxa"/>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648" w:type="dxa"/>
            <w:tcBorders>
              <w:bottom w:val="single" w:sz="12" w:space="0" w:color="auto"/>
            </w:tcBorders>
          </w:tcPr>
          <w:p>
            <w:pPr>
              <w:ind w:right="-29"/>
              <w:jc w:val="center"/>
              <w:rPr>
                <w:rFonts w:eastAsia="Times New Roman"/>
                <w:noProof/>
                <w:sz w:val="18"/>
              </w:rPr>
            </w:pPr>
          </w:p>
        </w:tc>
        <w:tc>
          <w:tcPr>
            <w:tcW w:w="432"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900" w:type="dxa"/>
            <w:tcBorders>
              <w:bottom w:val="single" w:sz="12" w:space="0" w:color="auto"/>
            </w:tcBorders>
          </w:tcPr>
          <w:p>
            <w:pPr>
              <w:ind w:right="-29"/>
              <w:jc w:val="center"/>
              <w:rPr>
                <w:rFonts w:eastAsia="Times New Roman"/>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rFonts w:eastAsia="Times New Roman"/>
                <w:noProof/>
                <w:sz w:val="18"/>
              </w:rPr>
            </w:pPr>
            <w:r>
              <w:rPr>
                <w:b/>
                <w:noProof/>
                <w:sz w:val="18"/>
              </w:rPr>
              <w:t>STROŠKI SKUPAJ</w:t>
            </w:r>
          </w:p>
        </w:tc>
        <w:tc>
          <w:tcPr>
            <w:tcW w:w="504"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90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gridSpan w:val="2"/>
            <w:tcBorders>
              <w:top w:val="single" w:sz="12" w:space="0" w:color="auto"/>
              <w:bottom w:val="single" w:sz="12" w:space="0" w:color="auto"/>
            </w:tcBorders>
          </w:tcPr>
          <w:p>
            <w:pPr>
              <w:spacing w:before="180" w:after="180"/>
              <w:ind w:right="-29"/>
              <w:jc w:val="center"/>
              <w:rPr>
                <w:rFonts w:eastAsia="Times New Roman"/>
                <w:noProof/>
                <w:sz w:val="18"/>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648"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432"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rFonts w:eastAsia="Times New Roman"/>
                <w:noProof/>
                <w:sz w:val="18"/>
              </w:rPr>
            </w:pPr>
          </w:p>
        </w:tc>
      </w:tr>
    </w:tbl>
    <w:p>
      <w:pPr>
        <w:rPr>
          <w:rFonts w:eastAsia="Times New Roman"/>
          <w:noProof/>
        </w:rPr>
        <w:sectPr>
          <w:pgSz w:w="15840" w:h="12240" w:orient="landscape"/>
          <w:pgMar w:top="1418" w:right="902" w:bottom="902" w:left="567" w:header="709" w:footer="709" w:gutter="0"/>
          <w:cols w:space="720"/>
          <w:docGrid w:linePitch="326"/>
        </w:sectPr>
      </w:pPr>
    </w:p>
    <w:p>
      <w:pPr>
        <w:pStyle w:val="ManualHeading3"/>
        <w:rPr>
          <w:rFonts w:eastAsia="Times New Roman"/>
          <w:noProof/>
          <w:szCs w:val="24"/>
        </w:rPr>
      </w:pPr>
      <w:r>
        <w:t>3.2.3.</w:t>
      </w:r>
      <w:r>
        <w:tab/>
      </w:r>
      <w:r>
        <w:rPr>
          <w:noProof/>
        </w:rPr>
        <w:t xml:space="preserve">Ocenjene posledice za človeške vire [organa] </w:t>
      </w:r>
    </w:p>
    <w:p>
      <w:pPr>
        <w:pStyle w:val="ManualHeading4"/>
        <w:rPr>
          <w:rFonts w:eastAsia="Times New Roman"/>
          <w:noProof/>
          <w:szCs w:val="24"/>
        </w:rPr>
      </w:pPr>
      <w:r>
        <w:t>3.2.3.1.</w:t>
      </w:r>
      <w:r>
        <w:tab/>
      </w:r>
      <w:r>
        <w:rPr>
          <w:noProof/>
        </w:rPr>
        <w:t xml:space="preserve">Povzetek </w:t>
      </w:r>
    </w:p>
    <w:p>
      <w:pPr>
        <w:pStyle w:val="ListDash1"/>
        <w:rPr>
          <w:noProof/>
        </w:rPr>
      </w:pPr>
      <w:r>
        <w:rPr>
          <w:noProof/>
        </w:rPr>
        <w:sym w:font="Wingdings" w:char="F0A8"/>
      </w:r>
      <w:r>
        <w:rPr>
          <w:noProof/>
        </w:rPr>
        <w:tab/>
        <w:t xml:space="preserve">Za predlog/pobudo niso potrebne odobritve za upravne zadeve. </w:t>
      </w:r>
    </w:p>
    <w:p>
      <w:pPr>
        <w:pStyle w:val="ListDash1"/>
        <w:rPr>
          <w:noProof/>
        </w:rPr>
      </w:pPr>
      <w:r>
        <w:rPr>
          <w:noProof/>
        </w:rPr>
        <w:sym w:font="Wingdings" w:char="F0A8"/>
      </w:r>
      <w:r>
        <w:rPr>
          <w:noProof/>
        </w:rPr>
        <w:tab/>
        <w:t>Za predlog/pobudo so potrebne odobritve za upravne zadeve, kot je pojasnjeno v nadaljevanju:</w:t>
      </w:r>
    </w:p>
    <w:p>
      <w:pPr>
        <w:rPr>
          <w:rFonts w:eastAsia="Times New Roman"/>
          <w:noProof/>
          <w:sz w:val="20"/>
        </w:rPr>
      </w:pPr>
      <w:r>
        <w:rPr>
          <w:noProof/>
          <w:sz w:val="20"/>
        </w:rPr>
        <w:t>v mio. EUR (na tri decimalna mesta natančno)</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vAlign w:val="center"/>
          </w:tcPr>
          <w:p>
            <w:pPr>
              <w:spacing w:before="60" w:after="60"/>
              <w:jc w:val="center"/>
              <w:rPr>
                <w:rFonts w:eastAsia="Times New Roman"/>
                <w:noProof/>
                <w:sz w:val="20"/>
              </w:rPr>
            </w:pPr>
            <w:r>
              <w:rPr>
                <w:noProof/>
                <w:sz w:val="20"/>
              </w:rPr>
              <w:t>ESMA</w:t>
            </w:r>
          </w:p>
        </w:tc>
        <w:tc>
          <w:tcPr>
            <w:tcW w:w="1080" w:type="dxa"/>
            <w:vAlign w:val="center"/>
          </w:tcPr>
          <w:p>
            <w:pPr>
              <w:spacing w:before="60" w:after="60"/>
              <w:jc w:val="center"/>
              <w:rPr>
                <w:rFonts w:eastAsia="Times New Roman"/>
                <w:noProof/>
                <w:sz w:val="20"/>
              </w:rPr>
            </w:pPr>
            <w:r>
              <w:rPr>
                <w:noProof/>
                <w:sz w:val="20"/>
              </w:rPr>
              <w:t>Leto</w:t>
            </w:r>
            <w:r>
              <w:rPr>
                <w:rFonts w:eastAsia="Times New Roman"/>
                <w:noProof/>
                <w:sz w:val="22"/>
              </w:rPr>
              <w:br/>
            </w:r>
            <w:r>
              <w:rPr>
                <w:b/>
                <w:noProof/>
                <w:sz w:val="20"/>
              </w:rPr>
              <w:t>N</w:t>
            </w:r>
            <w:r>
              <w:rPr>
                <w:rStyle w:val="FootnoteReference"/>
                <w:noProof/>
              </w:rPr>
              <w:footnoteReference w:id="40"/>
            </w:r>
            <w:r>
              <w:rPr>
                <w:b/>
                <w:noProof/>
                <w:sz w:val="20"/>
              </w:rPr>
              <w:t>: 2016</w:t>
            </w:r>
          </w:p>
        </w:tc>
        <w:tc>
          <w:tcPr>
            <w:tcW w:w="1080" w:type="dxa"/>
            <w:vAlign w:val="center"/>
          </w:tcPr>
          <w:p>
            <w:pPr>
              <w:spacing w:before="60" w:after="60"/>
              <w:jc w:val="center"/>
              <w:rPr>
                <w:rFonts w:eastAsia="Times New Roman"/>
                <w:noProof/>
                <w:sz w:val="20"/>
              </w:rPr>
            </w:pPr>
            <w:r>
              <w:rPr>
                <w:noProof/>
                <w:sz w:val="20"/>
              </w:rPr>
              <w:t>Leto</w:t>
            </w:r>
            <w:r>
              <w:rPr>
                <w:rFonts w:eastAsia="Times New Roman"/>
                <w:noProof/>
                <w:sz w:val="22"/>
              </w:rPr>
              <w:br/>
            </w:r>
            <w:r>
              <w:rPr>
                <w:b/>
                <w:noProof/>
                <w:sz w:val="20"/>
              </w:rPr>
              <w:t>N+1: 2017</w:t>
            </w:r>
          </w:p>
        </w:tc>
        <w:tc>
          <w:tcPr>
            <w:tcW w:w="1080" w:type="dxa"/>
            <w:vAlign w:val="center"/>
          </w:tcPr>
          <w:p>
            <w:pPr>
              <w:spacing w:before="60" w:after="60"/>
              <w:jc w:val="center"/>
              <w:rPr>
                <w:rFonts w:eastAsia="Times New Roman"/>
                <w:noProof/>
                <w:sz w:val="20"/>
              </w:rPr>
            </w:pPr>
            <w:r>
              <w:rPr>
                <w:noProof/>
                <w:sz w:val="20"/>
              </w:rPr>
              <w:t>Leto</w:t>
            </w:r>
            <w:r>
              <w:rPr>
                <w:rFonts w:eastAsia="Times New Roman"/>
                <w:noProof/>
                <w:sz w:val="22"/>
              </w:rPr>
              <w:br/>
            </w:r>
            <w:r>
              <w:rPr>
                <w:b/>
                <w:noProof/>
                <w:sz w:val="20"/>
              </w:rPr>
              <w:t>N+2: 2018</w:t>
            </w:r>
          </w:p>
        </w:tc>
        <w:tc>
          <w:tcPr>
            <w:tcW w:w="1080" w:type="dxa"/>
            <w:vAlign w:val="center"/>
          </w:tcPr>
          <w:p>
            <w:pPr>
              <w:spacing w:before="60" w:after="60"/>
              <w:jc w:val="center"/>
              <w:rPr>
                <w:rFonts w:eastAsia="Times New Roman"/>
                <w:noProof/>
                <w:sz w:val="20"/>
              </w:rPr>
            </w:pPr>
            <w:r>
              <w:rPr>
                <w:noProof/>
                <w:sz w:val="20"/>
              </w:rPr>
              <w:t>Leto</w:t>
            </w:r>
            <w:r>
              <w:rPr>
                <w:rFonts w:eastAsia="Times New Roman"/>
                <w:noProof/>
                <w:sz w:val="22"/>
              </w:rPr>
              <w:br/>
            </w:r>
            <w:r>
              <w:rPr>
                <w:b/>
                <w:noProof/>
                <w:sz w:val="20"/>
              </w:rPr>
              <w:t>N+3: 2019</w:t>
            </w:r>
          </w:p>
        </w:tc>
        <w:tc>
          <w:tcPr>
            <w:tcW w:w="3240" w:type="dxa"/>
            <w:vAlign w:val="center"/>
          </w:tcPr>
          <w:p>
            <w:pPr>
              <w:jc w:val="center"/>
              <w:rPr>
                <w:rFonts w:eastAsia="Times New Roman"/>
                <w:b/>
                <w:noProof/>
                <w:sz w:val="20"/>
              </w:rPr>
            </w:pPr>
            <w:r>
              <w:rPr>
                <w:noProof/>
                <w:sz w:val="20"/>
              </w:rPr>
              <w:t>Vstavite ustrezno število let glede na trajanje posledic (gl. točko 1.6)</w:t>
            </w:r>
          </w:p>
        </w:tc>
        <w:tc>
          <w:tcPr>
            <w:tcW w:w="1080" w:type="dxa"/>
            <w:vAlign w:val="center"/>
          </w:tcPr>
          <w:p>
            <w:pPr>
              <w:spacing w:before="0" w:after="0"/>
              <w:jc w:val="left"/>
              <w:rPr>
                <w:rFonts w:eastAsia="Times New Roman"/>
                <w:noProof/>
                <w:szCs w:val="24"/>
              </w:rPr>
            </w:pPr>
            <w:r>
              <w:rPr>
                <w:b/>
                <w:noProof/>
                <w:sz w:val="20"/>
              </w:rPr>
              <w:t>SKUPAJ</w:t>
            </w:r>
            <w:r>
              <w:rPr>
                <w:rStyle w:val="FootnoteReference"/>
                <w:noProof/>
              </w:rPr>
              <w:footnoteReference w:id="41"/>
            </w:r>
            <w:r>
              <w:rPr>
                <w:noProof/>
              </w:rPr>
              <w:t xml:space="preserve"> </w:t>
            </w:r>
          </w:p>
        </w:tc>
      </w:tr>
    </w:tbl>
    <w:p>
      <w:pPr>
        <w:rPr>
          <w:rFonts w:eastAsia="Times New Roman"/>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rFonts w:eastAsia="Times New Roman"/>
                <w:noProof/>
              </w:rPr>
            </w:pPr>
            <w:r>
              <w:rPr>
                <w:noProof/>
                <w:sz w:val="18"/>
              </w:rPr>
              <w:t>Uradniki (razredi AD)</w:t>
            </w: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b/>
                <w:noProof/>
                <w:sz w:val="20"/>
              </w:rPr>
            </w:pPr>
          </w:p>
        </w:tc>
        <w:tc>
          <w:tcPr>
            <w:tcW w:w="1080" w:type="dxa"/>
            <w:vAlign w:val="center"/>
          </w:tcPr>
          <w:p>
            <w:pPr>
              <w:spacing w:before="60" w:after="60"/>
              <w:jc w:val="right"/>
              <w:rPr>
                <w:rFonts w:eastAsia="Times New Roman"/>
                <w:b/>
                <w:noProof/>
                <w:sz w:val="20"/>
              </w:rPr>
            </w:pPr>
          </w:p>
        </w:tc>
      </w:tr>
      <w:tr>
        <w:trPr>
          <w:trHeight w:val="585"/>
        </w:trPr>
        <w:tc>
          <w:tcPr>
            <w:tcW w:w="1980" w:type="dxa"/>
            <w:vAlign w:val="center"/>
          </w:tcPr>
          <w:p>
            <w:pPr>
              <w:spacing w:before="60" w:after="60"/>
              <w:ind w:left="72"/>
              <w:rPr>
                <w:rFonts w:eastAsia="Times New Roman"/>
                <w:noProof/>
              </w:rPr>
            </w:pPr>
            <w:r>
              <w:rPr>
                <w:noProof/>
                <w:sz w:val="20"/>
              </w:rPr>
              <w:t>Uradniki (razredi AST)</w:t>
            </w: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b/>
                <w:noProof/>
                <w:sz w:val="20"/>
              </w:rPr>
            </w:pPr>
          </w:p>
        </w:tc>
        <w:tc>
          <w:tcPr>
            <w:tcW w:w="1080" w:type="dxa"/>
            <w:vAlign w:val="center"/>
          </w:tcPr>
          <w:p>
            <w:pPr>
              <w:spacing w:before="60" w:after="60"/>
              <w:jc w:val="right"/>
              <w:rPr>
                <w:rFonts w:eastAsia="Times New Roman"/>
                <w:b/>
                <w:noProof/>
                <w:sz w:val="20"/>
              </w:rPr>
            </w:pPr>
          </w:p>
        </w:tc>
      </w:tr>
      <w:tr>
        <w:trPr>
          <w:trHeight w:val="585"/>
        </w:trPr>
        <w:tc>
          <w:tcPr>
            <w:tcW w:w="1980" w:type="dxa"/>
            <w:vAlign w:val="center"/>
          </w:tcPr>
          <w:p>
            <w:pPr>
              <w:spacing w:before="60" w:after="60"/>
              <w:ind w:left="72"/>
              <w:rPr>
                <w:rFonts w:eastAsia="Times New Roman"/>
                <w:noProof/>
              </w:rPr>
            </w:pPr>
            <w:r>
              <w:rPr>
                <w:noProof/>
                <w:sz w:val="20"/>
              </w:rPr>
              <w:t>Pogodbeni uslužbenci</w:t>
            </w:r>
          </w:p>
        </w:tc>
        <w:tc>
          <w:tcPr>
            <w:tcW w:w="1080" w:type="dxa"/>
            <w:vAlign w:val="center"/>
          </w:tcPr>
          <w:p>
            <w:pPr>
              <w:spacing w:before="60" w:after="60"/>
              <w:jc w:val="right"/>
              <w:rPr>
                <w:rFonts w:eastAsia="Times New Roman"/>
                <w:noProof/>
                <w:sz w:val="20"/>
              </w:rPr>
            </w:pPr>
            <w:r>
              <w:rPr>
                <w:noProof/>
                <w:sz w:val="20"/>
              </w:rPr>
              <w:t>1</w:t>
            </w:r>
          </w:p>
        </w:tc>
        <w:tc>
          <w:tcPr>
            <w:tcW w:w="1080" w:type="dxa"/>
            <w:vAlign w:val="center"/>
          </w:tcPr>
          <w:p>
            <w:pPr>
              <w:spacing w:before="60" w:after="60"/>
              <w:jc w:val="right"/>
              <w:rPr>
                <w:rFonts w:eastAsia="Times New Roman"/>
                <w:noProof/>
                <w:sz w:val="20"/>
              </w:rPr>
            </w:pPr>
            <w:r>
              <w:rPr>
                <w:noProof/>
                <w:sz w:val="20"/>
              </w:rPr>
              <w:t>7</w:t>
            </w:r>
          </w:p>
        </w:tc>
        <w:tc>
          <w:tcPr>
            <w:tcW w:w="1080" w:type="dxa"/>
            <w:vAlign w:val="center"/>
          </w:tcPr>
          <w:p>
            <w:pPr>
              <w:spacing w:before="60" w:after="60"/>
              <w:jc w:val="right"/>
              <w:rPr>
                <w:rFonts w:eastAsia="Times New Roman"/>
                <w:noProof/>
                <w:sz w:val="20"/>
              </w:rPr>
            </w:pPr>
            <w:r>
              <w:rPr>
                <w:noProof/>
                <w:sz w:val="20"/>
              </w:rPr>
              <w:t>6</w:t>
            </w:r>
          </w:p>
        </w:tc>
        <w:tc>
          <w:tcPr>
            <w:tcW w:w="1080" w:type="dxa"/>
            <w:vAlign w:val="center"/>
          </w:tcPr>
          <w:p>
            <w:pPr>
              <w:spacing w:before="60" w:after="60"/>
              <w:jc w:val="right"/>
              <w:rPr>
                <w:rFonts w:eastAsia="Times New Roman"/>
                <w:noProof/>
                <w:sz w:val="20"/>
              </w:rPr>
            </w:pPr>
            <w:r>
              <w:rPr>
                <w:noProof/>
                <w:sz w:val="20"/>
              </w:rPr>
              <w:t>1.3</w:t>
            </w:r>
          </w:p>
        </w:tc>
        <w:tc>
          <w:tcPr>
            <w:tcW w:w="1080" w:type="dxa"/>
            <w:vAlign w:val="center"/>
          </w:tcPr>
          <w:p>
            <w:pPr>
              <w:spacing w:before="60" w:after="60"/>
              <w:jc w:val="center"/>
              <w:rPr>
                <w:rFonts w:eastAsia="Times New Roman"/>
                <w:noProof/>
                <w:sz w:val="20"/>
              </w:rPr>
            </w:pPr>
            <w:r>
              <w:rPr>
                <w:noProof/>
                <w:sz w:val="20"/>
              </w:rPr>
              <w:t>…</w:t>
            </w:r>
          </w:p>
        </w:tc>
        <w:tc>
          <w:tcPr>
            <w:tcW w:w="1080" w:type="dxa"/>
            <w:vAlign w:val="center"/>
          </w:tcPr>
          <w:p>
            <w:pPr>
              <w:spacing w:before="60" w:after="60"/>
              <w:jc w:val="center"/>
              <w:rPr>
                <w:rFonts w:eastAsia="Times New Roman"/>
                <w:noProof/>
                <w:sz w:val="20"/>
              </w:rPr>
            </w:pPr>
            <w:r>
              <w:rPr>
                <w:noProof/>
                <w:sz w:val="20"/>
              </w:rPr>
              <w:t>…</w:t>
            </w:r>
          </w:p>
        </w:tc>
        <w:tc>
          <w:tcPr>
            <w:tcW w:w="1080" w:type="dxa"/>
            <w:vAlign w:val="center"/>
          </w:tcPr>
          <w:p>
            <w:pPr>
              <w:spacing w:before="60" w:after="60"/>
              <w:jc w:val="center"/>
              <w:rPr>
                <w:rFonts w:eastAsia="Times New Roman"/>
                <w:b/>
                <w:noProof/>
                <w:sz w:val="20"/>
              </w:rPr>
            </w:pPr>
            <w:r>
              <w:rPr>
                <w:b/>
                <w:noProof/>
                <w:sz w:val="20"/>
              </w:rPr>
              <w:t>…</w:t>
            </w:r>
          </w:p>
        </w:tc>
        <w:tc>
          <w:tcPr>
            <w:tcW w:w="1080" w:type="dxa"/>
            <w:vAlign w:val="center"/>
          </w:tcPr>
          <w:p>
            <w:pPr>
              <w:spacing w:before="60" w:after="60"/>
              <w:jc w:val="right"/>
              <w:rPr>
                <w:rFonts w:eastAsia="Times New Roman"/>
                <w:b/>
                <w:noProof/>
                <w:sz w:val="20"/>
              </w:rPr>
            </w:pPr>
            <w:r>
              <w:rPr>
                <w:b/>
                <w:noProof/>
                <w:sz w:val="20"/>
              </w:rPr>
              <w:t>15.3</w:t>
            </w:r>
          </w:p>
        </w:tc>
      </w:tr>
      <w:tr>
        <w:trPr>
          <w:trHeight w:val="585"/>
        </w:trPr>
        <w:tc>
          <w:tcPr>
            <w:tcW w:w="1980" w:type="dxa"/>
            <w:shd w:val="clear" w:color="auto" w:fill="CCCCCC"/>
            <w:vAlign w:val="center"/>
          </w:tcPr>
          <w:p>
            <w:pPr>
              <w:spacing w:before="60" w:after="60"/>
              <w:jc w:val="center"/>
              <w:rPr>
                <w:rFonts w:eastAsia="Times New Roman"/>
                <w:noProof/>
              </w:rPr>
            </w:pPr>
            <w:r>
              <w:rPr>
                <w:noProof/>
                <w:sz w:val="18"/>
              </w:rPr>
              <w:t xml:space="preserve">Začasni uslužbenci </w:t>
            </w: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b/>
                <w:noProof/>
                <w:sz w:val="20"/>
              </w:rPr>
            </w:pPr>
          </w:p>
        </w:tc>
        <w:tc>
          <w:tcPr>
            <w:tcW w:w="1080" w:type="dxa"/>
            <w:vAlign w:val="center"/>
          </w:tcPr>
          <w:p>
            <w:pPr>
              <w:spacing w:before="60" w:after="60"/>
              <w:jc w:val="right"/>
              <w:rPr>
                <w:rFonts w:eastAsia="Times New Roman"/>
                <w:b/>
                <w:noProof/>
                <w:sz w:val="20"/>
              </w:rPr>
            </w:pPr>
          </w:p>
        </w:tc>
      </w:tr>
      <w:tr>
        <w:trPr>
          <w:trHeight w:val="585"/>
        </w:trPr>
        <w:tc>
          <w:tcPr>
            <w:tcW w:w="1980" w:type="dxa"/>
            <w:shd w:val="clear" w:color="auto" w:fill="CCCCCC"/>
            <w:vAlign w:val="center"/>
          </w:tcPr>
          <w:p>
            <w:pPr>
              <w:spacing w:before="60" w:after="60"/>
              <w:jc w:val="center"/>
              <w:rPr>
                <w:rFonts w:eastAsia="Times New Roman"/>
                <w:noProof/>
              </w:rPr>
            </w:pPr>
            <w:r>
              <w:rPr>
                <w:noProof/>
                <w:sz w:val="18"/>
              </w:rPr>
              <w:t>Napoteni nacionalni strokovnjaki</w:t>
            </w: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b/>
                <w:noProof/>
                <w:sz w:val="20"/>
              </w:rPr>
            </w:pPr>
          </w:p>
        </w:tc>
        <w:tc>
          <w:tcPr>
            <w:tcW w:w="1080" w:type="dxa"/>
            <w:vAlign w:val="center"/>
          </w:tcPr>
          <w:p>
            <w:pPr>
              <w:spacing w:before="60" w:after="60"/>
              <w:jc w:val="right"/>
              <w:rPr>
                <w:rFonts w:eastAsia="Times New Roman"/>
                <w:b/>
                <w:noProof/>
                <w:sz w:val="20"/>
              </w:rPr>
            </w:pPr>
          </w:p>
        </w:tc>
      </w:tr>
    </w:tbl>
    <w:p>
      <w:pPr>
        <w:rPr>
          <w:rFonts w:eastAsia="Times New Roman"/>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rFonts w:eastAsia="Times New Roman"/>
                <w:noProof/>
                <w:sz w:val="20"/>
              </w:rPr>
            </w:pPr>
            <w:r>
              <w:rPr>
                <w:b/>
                <w:noProof/>
                <w:sz w:val="20"/>
              </w:rPr>
              <w:t>SKUPAJ</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rFonts w:eastAsia="Times New Roman"/>
                <w:noProof/>
                <w:sz w:val="20"/>
              </w:rPr>
            </w:pPr>
            <w:r>
              <w:rPr>
                <w:noProof/>
                <w:sz w:val="20"/>
              </w:rPr>
              <w:t>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rFonts w:eastAsia="Times New Roman"/>
                <w:noProof/>
                <w:sz w:val="20"/>
              </w:rPr>
            </w:pPr>
            <w:r>
              <w:rPr>
                <w:noProof/>
                <w:sz w:val="20"/>
              </w:rPr>
              <w:t>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rFonts w:eastAsia="Times New Roman"/>
                <w:noProof/>
                <w:sz w:val="20"/>
              </w:rPr>
            </w:pPr>
            <w:r>
              <w:rPr>
                <w:noProof/>
                <w:sz w:val="20"/>
              </w:rPr>
              <w:t>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rFonts w:eastAsia="Times New Roman"/>
                <w:noProof/>
                <w:sz w:val="20"/>
              </w:rPr>
            </w:pPr>
            <w:r>
              <w:rPr>
                <w:noProof/>
                <w:sz w:val="20"/>
              </w:rPr>
              <w:t>1.3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eastAsia="Times New Roman"/>
                <w:noProof/>
                <w:sz w:val="20"/>
              </w:rPr>
            </w:pPr>
            <w:r>
              <w:rPr>
                <w:noProof/>
                <w:sz w:val="20"/>
              </w:rPr>
              <w: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eastAsia="Times New Roman"/>
                <w:noProof/>
                <w:sz w:val="20"/>
              </w:rPr>
            </w:pPr>
            <w:r>
              <w:rPr>
                <w:noProof/>
                <w:sz w:val="20"/>
              </w:rPr>
              <w: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eastAsia="Times New Roman"/>
                <w:b/>
                <w:noProof/>
                <w:sz w:val="20"/>
              </w:rPr>
            </w:pPr>
            <w:r>
              <w:rPr>
                <w:b/>
                <w:noProof/>
                <w:sz w:val="20"/>
              </w:rPr>
              <w:t>…</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rFonts w:eastAsia="Times New Roman"/>
                <w:b/>
                <w:noProof/>
                <w:sz w:val="20"/>
              </w:rPr>
            </w:pPr>
            <w:r>
              <w:rPr>
                <w:b/>
                <w:noProof/>
                <w:sz w:val="20"/>
              </w:rPr>
              <w:t>15.3</w:t>
            </w:r>
          </w:p>
        </w:tc>
      </w:tr>
    </w:tbl>
    <w:p>
      <w:pPr>
        <w:rPr>
          <w:rFonts w:eastAsia="Times New Roman"/>
          <w:noProof/>
          <w:u w:val="single"/>
        </w:rPr>
      </w:pPr>
    </w:p>
    <w:p>
      <w:pPr>
        <w:rPr>
          <w:rFonts w:eastAsia="Times New Roman"/>
          <w:noProof/>
        </w:rPr>
      </w:pPr>
      <w:r>
        <w:rPr>
          <w:noProof/>
          <w:u w:val="single"/>
        </w:rPr>
        <w:t xml:space="preserve">Navedite predvideni datum zaposlitve in ustrezno prilagodite znesek (če pride do zaposlitve v juliju, se upošteva samo 50 % povprečnih stroškov) ter navedite dodatna pojasnila v prilogi. </w:t>
      </w:r>
    </w:p>
    <w:p>
      <w:pPr>
        <w:rPr>
          <w:rFonts w:eastAsia="Times New Roman"/>
          <w:noProof/>
        </w:rPr>
        <w:sectPr>
          <w:headerReference w:type="default" r:id="rId18"/>
          <w:footerReference w:type="default" r:id="rId19"/>
          <w:headerReference w:type="first" r:id="rId20"/>
          <w:footerReference w:type="first" r:id="rId21"/>
          <w:pgSz w:w="11907" w:h="16839"/>
          <w:pgMar w:top="1134" w:right="1417" w:bottom="1134" w:left="1417" w:header="709" w:footer="709" w:gutter="0"/>
          <w:cols w:space="720"/>
          <w:docGrid w:linePitch="326"/>
        </w:sectPr>
      </w:pPr>
    </w:p>
    <w:p>
      <w:pPr>
        <w:pStyle w:val="ManualHeading4"/>
        <w:rPr>
          <w:rFonts w:eastAsia="Times New Roman"/>
          <w:noProof/>
          <w:szCs w:val="24"/>
        </w:rPr>
      </w:pPr>
      <w:r>
        <w:t>3.2.3.2.</w:t>
      </w:r>
      <w:r>
        <w:tab/>
      </w:r>
      <w:r>
        <w:rPr>
          <w:noProof/>
        </w:rPr>
        <w:t>Ocenjene potrebe po človeških virih za matični GD</w:t>
      </w:r>
    </w:p>
    <w:p>
      <w:pPr>
        <w:pStyle w:val="ListDash1"/>
        <w:rPr>
          <w:noProof/>
        </w:rPr>
      </w:pPr>
      <w:r>
        <w:rPr>
          <w:noProof/>
        </w:rPr>
        <w:sym w:font="Wingdings" w:char="F0FD"/>
      </w:r>
      <w:r>
        <w:rPr>
          <w:noProof/>
        </w:rPr>
        <w:t xml:space="preserve"> </w:t>
      </w:r>
      <w:r>
        <w:rPr>
          <w:noProof/>
        </w:rPr>
        <w:tab/>
        <w:t xml:space="preserve">Za predlog/pobudo niso potrebni človeški viri. </w:t>
      </w:r>
    </w:p>
    <w:p>
      <w:pPr>
        <w:pStyle w:val="ListDash1"/>
        <w:rPr>
          <w:noProof/>
        </w:rPr>
      </w:pPr>
      <w:r>
        <w:rPr>
          <w:noProof/>
        </w:rPr>
        <w:sym w:font="Wingdings" w:char="F0A8"/>
      </w:r>
      <w:r>
        <w:rPr>
          <w:noProof/>
        </w:rPr>
        <w:tab/>
        <w:t>Za predlog/pobudo so potrebni človeški viri, kot je pojasnjeno v nadaljevanju:</w:t>
      </w:r>
    </w:p>
    <w:p>
      <w:pPr>
        <w:spacing w:after="60"/>
        <w:jc w:val="right"/>
        <w:rPr>
          <w:rFonts w:eastAsia="Times New Roman"/>
          <w:i/>
          <w:noProof/>
          <w:sz w:val="20"/>
        </w:rPr>
      </w:pPr>
      <w:r>
        <w:rPr>
          <w:i/>
          <w:noProof/>
          <w:sz w:val="20"/>
        </w:rPr>
        <w:t>ocena, izražena v celih številih (ali na največ eno decimalno mesto natančno)</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59"/>
        <w:gridCol w:w="757"/>
        <w:gridCol w:w="757"/>
        <w:gridCol w:w="815"/>
        <w:gridCol w:w="998"/>
        <w:gridCol w:w="851"/>
        <w:gridCol w:w="849"/>
        <w:gridCol w:w="897"/>
        <w:gridCol w:w="10"/>
      </w:tblGrid>
      <w:tr>
        <w:trPr>
          <w:gridAfter w:val="1"/>
          <w:wAfter w:w="5" w:type="pct"/>
          <w:trHeight w:val="289"/>
          <w:jc w:val="center"/>
        </w:trPr>
        <w:tc>
          <w:tcPr>
            <w:tcW w:w="2044" w:type="pct"/>
            <w:gridSpan w:val="2"/>
            <w:shd w:val="clear" w:color="auto" w:fill="auto"/>
          </w:tcPr>
          <w:p>
            <w:pPr>
              <w:spacing w:before="40" w:after="40"/>
              <w:jc w:val="center"/>
              <w:rPr>
                <w:rFonts w:eastAsia="Times New Roman"/>
                <w:i/>
                <w:noProof/>
                <w:sz w:val="20"/>
              </w:rPr>
            </w:pPr>
          </w:p>
        </w:tc>
        <w:tc>
          <w:tcPr>
            <w:tcW w:w="377" w:type="pct"/>
            <w:shd w:val="clear" w:color="auto" w:fill="auto"/>
            <w:vAlign w:val="center"/>
          </w:tcPr>
          <w:p>
            <w:pPr>
              <w:spacing w:before="20" w:after="20"/>
              <w:jc w:val="center"/>
              <w:rPr>
                <w:rFonts w:eastAsia="Times New Roman"/>
                <w:noProof/>
                <w:sz w:val="20"/>
              </w:rPr>
            </w:pPr>
            <w:r>
              <w:rPr>
                <w:noProof/>
                <w:sz w:val="20"/>
              </w:rPr>
              <w:t>Leto</w:t>
            </w:r>
            <w:r>
              <w:rPr>
                <w:rFonts w:eastAsia="Times New Roman"/>
                <w:noProof/>
                <w:sz w:val="20"/>
              </w:rPr>
              <w:br/>
            </w:r>
            <w:r>
              <w:rPr>
                <w:b/>
                <w:noProof/>
                <w:sz w:val="20"/>
              </w:rPr>
              <w:t>N</w:t>
            </w:r>
          </w:p>
        </w:tc>
        <w:tc>
          <w:tcPr>
            <w:tcW w:w="377" w:type="pct"/>
            <w:shd w:val="clear" w:color="auto" w:fill="auto"/>
            <w:vAlign w:val="center"/>
          </w:tcPr>
          <w:p>
            <w:pPr>
              <w:spacing w:before="20" w:after="20"/>
              <w:jc w:val="center"/>
              <w:rPr>
                <w:rFonts w:eastAsia="Times New Roman"/>
                <w:noProof/>
                <w:sz w:val="20"/>
              </w:rPr>
            </w:pPr>
            <w:r>
              <w:rPr>
                <w:noProof/>
                <w:sz w:val="20"/>
              </w:rPr>
              <w:t>Leto</w:t>
            </w:r>
            <w:r>
              <w:rPr>
                <w:rFonts w:eastAsia="Times New Roman"/>
                <w:noProof/>
                <w:sz w:val="20"/>
              </w:rPr>
              <w:br/>
            </w:r>
            <w:r>
              <w:rPr>
                <w:b/>
                <w:noProof/>
                <w:sz w:val="20"/>
              </w:rPr>
              <w:t>N+1</w:t>
            </w:r>
          </w:p>
        </w:tc>
        <w:tc>
          <w:tcPr>
            <w:tcW w:w="406" w:type="pct"/>
            <w:shd w:val="clear" w:color="auto" w:fill="auto"/>
            <w:vAlign w:val="center"/>
          </w:tcPr>
          <w:p>
            <w:pPr>
              <w:spacing w:before="20" w:after="20"/>
              <w:jc w:val="center"/>
              <w:rPr>
                <w:rFonts w:eastAsia="Times New Roman"/>
                <w:noProof/>
                <w:sz w:val="20"/>
              </w:rPr>
            </w:pPr>
            <w:r>
              <w:rPr>
                <w:noProof/>
                <w:sz w:val="20"/>
              </w:rPr>
              <w:t xml:space="preserve">Leto </w:t>
            </w:r>
            <w:r>
              <w:rPr>
                <w:b/>
                <w:noProof/>
                <w:sz w:val="20"/>
              </w:rPr>
              <w:t>N+2</w:t>
            </w:r>
          </w:p>
        </w:tc>
        <w:tc>
          <w:tcPr>
            <w:tcW w:w="497" w:type="pct"/>
            <w:shd w:val="clear" w:color="auto" w:fill="auto"/>
            <w:vAlign w:val="center"/>
          </w:tcPr>
          <w:p>
            <w:pPr>
              <w:spacing w:before="20" w:after="20"/>
              <w:jc w:val="center"/>
              <w:rPr>
                <w:rFonts w:eastAsia="Times New Roman"/>
                <w:noProof/>
                <w:sz w:val="20"/>
              </w:rPr>
            </w:pPr>
            <w:r>
              <w:rPr>
                <w:noProof/>
                <w:sz w:val="20"/>
              </w:rPr>
              <w:t xml:space="preserve">Leto </w:t>
            </w:r>
            <w:r>
              <w:rPr>
                <w:b/>
                <w:noProof/>
                <w:sz w:val="20"/>
              </w:rPr>
              <w:t>N+3</w:t>
            </w:r>
          </w:p>
        </w:tc>
        <w:tc>
          <w:tcPr>
            <w:tcW w:w="1294" w:type="pct"/>
            <w:gridSpan w:val="3"/>
            <w:shd w:val="clear" w:color="auto" w:fill="auto"/>
            <w:vAlign w:val="center"/>
          </w:tcPr>
          <w:p>
            <w:pPr>
              <w:tabs>
                <w:tab w:val="left" w:pos="685"/>
              </w:tabs>
              <w:jc w:val="center"/>
              <w:rPr>
                <w:rFonts w:eastAsia="Times New Roman"/>
                <w:b/>
                <w:noProof/>
                <w:sz w:val="20"/>
              </w:rPr>
            </w:pPr>
            <w:r>
              <w:rPr>
                <w:noProof/>
                <w:sz w:val="20"/>
              </w:rPr>
              <w:t>Vstavite ustrezno število let glede na trajanje posledic (gl. točko 1.6)</w:t>
            </w:r>
          </w:p>
        </w:tc>
      </w:tr>
      <w:tr>
        <w:trPr>
          <w:trHeight w:val="289"/>
          <w:jc w:val="center"/>
        </w:trPr>
        <w:tc>
          <w:tcPr>
            <w:tcW w:w="2044" w:type="pct"/>
            <w:gridSpan w:val="2"/>
            <w:shd w:val="clear" w:color="auto" w:fill="auto"/>
            <w:vAlign w:val="center"/>
          </w:tcPr>
          <w:p>
            <w:pPr>
              <w:numPr>
                <w:ilvl w:val="0"/>
                <w:numId w:val="82"/>
              </w:numPr>
              <w:tabs>
                <w:tab w:val="left" w:pos="208"/>
              </w:tabs>
              <w:spacing w:beforeLines="20" w:before="48" w:afterLines="20" w:after="48" w:line="276" w:lineRule="auto"/>
              <w:ind w:left="208" w:hanging="120"/>
              <w:jc w:val="left"/>
              <w:rPr>
                <w:rFonts w:eastAsia="Times New Roman"/>
                <w:b/>
                <w:noProof/>
                <w:sz w:val="20"/>
              </w:rPr>
            </w:pPr>
            <w:r>
              <w:rPr>
                <w:b/>
                <w:noProof/>
                <w:sz w:val="20"/>
              </w:rPr>
              <w:t>Delovna mesta v skladu s kadrovskim načrtom (uradniki in začasni uslužbenci)</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shd w:val="clear" w:color="auto" w:fill="auto"/>
            <w:vAlign w:val="center"/>
          </w:tcPr>
          <w:p>
            <w:pPr>
              <w:spacing w:beforeLines="20" w:before="48" w:afterLines="20" w:after="48"/>
              <w:ind w:left="984"/>
              <w:jc w:val="left"/>
              <w:rPr>
                <w:rFonts w:eastAsia="Times New Roman"/>
                <w:b/>
                <w:noProof/>
                <w:sz w:val="20"/>
              </w:rPr>
            </w:pPr>
            <w:r>
              <w:rPr>
                <w:noProof/>
                <w:sz w:val="20"/>
              </w:rPr>
              <w:t>XX 01 01 01 (sedež in predstavništva Komisije)</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shd w:val="clear" w:color="auto" w:fill="auto"/>
            <w:vAlign w:val="center"/>
          </w:tcPr>
          <w:p>
            <w:pPr>
              <w:spacing w:beforeLines="20" w:before="48" w:afterLines="20" w:after="48"/>
              <w:ind w:left="984"/>
              <w:jc w:val="left"/>
              <w:rPr>
                <w:rFonts w:eastAsia="Times New Roman"/>
                <w:noProof/>
                <w:sz w:val="20"/>
              </w:rPr>
            </w:pPr>
            <w:r>
              <w:rPr>
                <w:noProof/>
                <w:sz w:val="20"/>
              </w:rPr>
              <w:t>XX 01 01 02 (delegacije)</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433"/>
          <w:jc w:val="center"/>
        </w:trPr>
        <w:tc>
          <w:tcPr>
            <w:tcW w:w="2044" w:type="pct"/>
            <w:gridSpan w:val="2"/>
            <w:shd w:val="clear" w:color="auto" w:fill="auto"/>
            <w:vAlign w:val="center"/>
          </w:tcPr>
          <w:p>
            <w:pPr>
              <w:spacing w:beforeLines="20" w:before="48" w:afterLines="20" w:after="48"/>
              <w:ind w:left="984"/>
              <w:jc w:val="left"/>
              <w:rPr>
                <w:rFonts w:eastAsia="Times New Roman"/>
                <w:noProof/>
                <w:sz w:val="20"/>
              </w:rPr>
            </w:pPr>
            <w:r>
              <w:rPr>
                <w:noProof/>
                <w:sz w:val="20"/>
              </w:rPr>
              <w:t>XX 01 05 01 (posredne raziskave)</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shd w:val="clear" w:color="auto" w:fill="auto"/>
            <w:vAlign w:val="center"/>
          </w:tcPr>
          <w:p>
            <w:pPr>
              <w:spacing w:beforeLines="20" w:before="48" w:afterLines="20" w:after="48"/>
              <w:ind w:left="984"/>
              <w:jc w:val="left"/>
              <w:rPr>
                <w:rFonts w:eastAsia="Times New Roman"/>
                <w:noProof/>
                <w:sz w:val="20"/>
              </w:rPr>
            </w:pPr>
            <w:r>
              <w:rPr>
                <w:noProof/>
                <w:sz w:val="20"/>
              </w:rPr>
              <w:t>10 01 05 01 (neposredne raziskave)</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shd w:val="clear" w:color="auto" w:fill="auto"/>
            <w:vAlign w:val="center"/>
          </w:tcPr>
          <w:p>
            <w:pPr>
              <w:spacing w:beforeLines="20" w:before="48" w:afterLines="20" w:after="48"/>
              <w:ind w:left="208" w:hanging="120"/>
              <w:jc w:val="left"/>
              <w:rPr>
                <w:rFonts w:eastAsia="Times New Roman"/>
                <w:noProof/>
                <w:sz w:val="20"/>
              </w:rPr>
            </w:pPr>
            <w:r>
              <w:rPr>
                <w:rFonts w:eastAsia="Times New Roman"/>
                <w:b/>
                <w:noProof/>
                <w:sz w:val="20"/>
              </w:rPr>
              <w:sym w:font="Wingdings" w:char="F09F"/>
            </w:r>
            <w:r>
              <w:rPr>
                <w:b/>
                <w:noProof/>
                <w:sz w:val="20"/>
              </w:rPr>
              <w:t>Zunanji sodelavci (v ekvivalentu polnega delovnega časa: EPDČ)</w:t>
            </w:r>
            <w:r>
              <w:rPr>
                <w:rStyle w:val="FootnoteReference"/>
                <w:noProof/>
              </w:rPr>
              <w:footnoteReference w:id="42"/>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shd w:val="clear" w:color="auto" w:fill="auto"/>
            <w:vAlign w:val="center"/>
          </w:tcPr>
          <w:p>
            <w:pPr>
              <w:spacing w:beforeLines="20" w:before="48" w:afterLines="20" w:after="48"/>
              <w:ind w:left="986"/>
              <w:jc w:val="left"/>
              <w:rPr>
                <w:rFonts w:eastAsia="Times New Roman"/>
                <w:b/>
                <w:noProof/>
                <w:sz w:val="20"/>
              </w:rPr>
            </w:pPr>
            <w:r>
              <w:rPr>
                <w:noProof/>
                <w:sz w:val="20"/>
              </w:rPr>
              <w:t>XX 01 02 01 (PU, NNS, ZU iz splošnih sredstev)</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shd w:val="clear" w:color="auto" w:fill="auto"/>
            <w:vAlign w:val="center"/>
          </w:tcPr>
          <w:p>
            <w:pPr>
              <w:spacing w:beforeLines="20" w:before="48" w:afterLines="20" w:after="48"/>
              <w:ind w:left="986"/>
              <w:jc w:val="left"/>
              <w:rPr>
                <w:rFonts w:eastAsia="Times New Roman"/>
                <w:noProof/>
                <w:sz w:val="20"/>
              </w:rPr>
            </w:pPr>
            <w:r>
              <w:rPr>
                <w:noProof/>
                <w:sz w:val="20"/>
              </w:rPr>
              <w:t>XX 01 02 02 (PU, LU, NNS, ZU in MSD na delegacijah)</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1018" w:type="pct"/>
            <w:vMerge w:val="restart"/>
            <w:shd w:val="clear" w:color="auto" w:fill="auto"/>
            <w:vAlign w:val="center"/>
          </w:tcPr>
          <w:p>
            <w:pPr>
              <w:spacing w:beforeLines="20" w:before="48" w:afterLines="20" w:after="48"/>
              <w:ind w:left="986"/>
              <w:jc w:val="left"/>
              <w:rPr>
                <w:rFonts w:eastAsia="Times New Roman"/>
                <w:b/>
                <w:noProof/>
                <w:sz w:val="20"/>
              </w:rPr>
            </w:pPr>
            <w:r>
              <w:rPr>
                <w:b/>
                <w:noProof/>
                <w:sz w:val="20"/>
              </w:rPr>
              <w:t>XX</w:t>
            </w:r>
            <w:r>
              <w:rPr>
                <w:noProof/>
                <w:sz w:val="20"/>
              </w:rPr>
              <w:t xml:space="preserve"> 01 04 </w:t>
            </w:r>
            <w:r>
              <w:rPr>
                <w:b/>
                <w:i/>
                <w:noProof/>
                <w:sz w:val="20"/>
              </w:rPr>
              <w:t>yy</w:t>
            </w:r>
            <w:r>
              <w:rPr>
                <w:rStyle w:val="FootnoteReference"/>
                <w:noProof/>
              </w:rPr>
              <w:footnoteReference w:id="43"/>
            </w:r>
          </w:p>
        </w:tc>
        <w:tc>
          <w:tcPr>
            <w:tcW w:w="1025" w:type="pct"/>
            <w:shd w:val="clear" w:color="auto" w:fill="auto"/>
            <w:vAlign w:val="center"/>
          </w:tcPr>
          <w:p>
            <w:pPr>
              <w:spacing w:beforeLines="20" w:before="48" w:afterLines="20" w:after="48"/>
              <w:jc w:val="left"/>
              <w:rPr>
                <w:rFonts w:eastAsia="Times New Roman"/>
                <w:b/>
                <w:noProof/>
                <w:sz w:val="20"/>
              </w:rPr>
            </w:pPr>
            <w:r>
              <w:rPr>
                <w:noProof/>
                <w:sz w:val="20"/>
              </w:rPr>
              <w:t>– na sedežu</w:t>
            </w:r>
            <w:r>
              <w:rPr>
                <w:rStyle w:val="FootnoteReference"/>
                <w:noProof/>
              </w:rPr>
              <w:footnoteReference w:id="44"/>
            </w:r>
          </w:p>
        </w:tc>
        <w:tc>
          <w:tcPr>
            <w:tcW w:w="377" w:type="pct"/>
            <w:shd w:val="clear" w:color="auto" w:fill="auto"/>
            <w:vAlign w:val="center"/>
          </w:tcPr>
          <w:p>
            <w:pPr>
              <w:spacing w:beforeLines="20" w:before="48" w:afterLines="20" w:after="48"/>
              <w:ind w:left="850"/>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1018" w:type="pct"/>
            <w:vMerge/>
            <w:shd w:val="clear" w:color="auto" w:fill="auto"/>
            <w:vAlign w:val="center"/>
          </w:tcPr>
          <w:p>
            <w:pPr>
              <w:rPr>
                <w:rFonts w:eastAsia="Times New Roman"/>
                <w:b/>
                <w:noProof/>
                <w:sz w:val="20"/>
              </w:rPr>
            </w:pPr>
          </w:p>
        </w:tc>
        <w:tc>
          <w:tcPr>
            <w:tcW w:w="1025" w:type="pct"/>
            <w:shd w:val="clear" w:color="auto" w:fill="auto"/>
            <w:vAlign w:val="center"/>
          </w:tcPr>
          <w:p>
            <w:pPr>
              <w:spacing w:beforeLines="20" w:before="48" w:afterLines="20" w:after="48"/>
              <w:jc w:val="left"/>
              <w:rPr>
                <w:rFonts w:eastAsia="Times New Roman"/>
                <w:b/>
                <w:noProof/>
                <w:sz w:val="20"/>
              </w:rPr>
            </w:pPr>
            <w:r>
              <w:rPr>
                <w:noProof/>
                <w:sz w:val="20"/>
              </w:rPr>
              <w:t xml:space="preserve">– na delegacijah </w:t>
            </w:r>
          </w:p>
        </w:tc>
        <w:tc>
          <w:tcPr>
            <w:tcW w:w="377" w:type="pct"/>
            <w:shd w:val="clear" w:color="auto" w:fill="auto"/>
            <w:vAlign w:val="center"/>
          </w:tcPr>
          <w:p>
            <w:pPr>
              <w:spacing w:beforeLines="20" w:before="48" w:afterLines="20" w:after="48"/>
              <w:ind w:left="850"/>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shd w:val="clear" w:color="auto" w:fill="auto"/>
            <w:vAlign w:val="center"/>
          </w:tcPr>
          <w:p>
            <w:pPr>
              <w:spacing w:beforeLines="20" w:before="48" w:afterLines="20" w:after="48"/>
              <w:ind w:left="986"/>
              <w:jc w:val="left"/>
              <w:rPr>
                <w:rFonts w:eastAsia="Times New Roman"/>
                <w:noProof/>
                <w:sz w:val="20"/>
              </w:rPr>
            </w:pPr>
            <w:r>
              <w:rPr>
                <w:b/>
                <w:noProof/>
                <w:sz w:val="20"/>
              </w:rPr>
              <w:t>XX</w:t>
            </w:r>
            <w:r>
              <w:rPr>
                <w:noProof/>
                <w:sz w:val="20"/>
              </w:rPr>
              <w:t xml:space="preserve"> 01 05 02 (PU, NNS, ZU za posredne raziskave)</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shd w:val="clear" w:color="auto" w:fill="auto"/>
            <w:vAlign w:val="center"/>
          </w:tcPr>
          <w:p>
            <w:pPr>
              <w:spacing w:beforeLines="20" w:before="48" w:afterLines="20" w:after="48"/>
              <w:ind w:left="986"/>
              <w:jc w:val="left"/>
              <w:rPr>
                <w:rFonts w:eastAsia="Times New Roman"/>
                <w:noProof/>
                <w:sz w:val="20"/>
              </w:rPr>
            </w:pPr>
            <w:r>
              <w:rPr>
                <w:noProof/>
                <w:sz w:val="20"/>
              </w:rPr>
              <w:t>10 01 05 02 (PU, NNS, ZU za neposredne raziskave)</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tcBorders>
              <w:bottom w:val="double" w:sz="4" w:space="0" w:color="auto"/>
            </w:tcBorders>
            <w:shd w:val="clear" w:color="auto" w:fill="auto"/>
            <w:vAlign w:val="center"/>
          </w:tcPr>
          <w:p>
            <w:pPr>
              <w:spacing w:beforeLines="20" w:before="48" w:afterLines="20" w:after="48"/>
              <w:ind w:left="984"/>
              <w:jc w:val="left"/>
              <w:rPr>
                <w:rFonts w:eastAsia="Times New Roman"/>
                <w:noProof/>
                <w:sz w:val="20"/>
              </w:rPr>
            </w:pPr>
            <w:r>
              <w:rPr>
                <w:noProof/>
                <w:sz w:val="20"/>
              </w:rPr>
              <w:t>Druge proračunske vrstice (navedite)</w:t>
            </w:r>
          </w:p>
        </w:tc>
        <w:tc>
          <w:tcPr>
            <w:tcW w:w="377" w:type="pct"/>
            <w:tcBorders>
              <w:bottom w:val="double" w:sz="4" w:space="0" w:color="auto"/>
            </w:tcBorders>
            <w:shd w:val="clear" w:color="auto" w:fill="auto"/>
            <w:vAlign w:val="center"/>
          </w:tcPr>
          <w:p>
            <w:pPr>
              <w:spacing w:beforeLines="20" w:before="48" w:afterLines="20" w:after="48"/>
              <w:jc w:val="center"/>
              <w:rPr>
                <w:rFonts w:eastAsia="Times New Roman"/>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rFonts w:eastAsia="Times New Roman"/>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rFonts w:eastAsia="Times New Roman"/>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rFonts w:eastAsia="Times New Roman"/>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rFonts w:eastAsia="Times New Roman"/>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rFonts w:eastAsia="Times New Roman"/>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tcBorders>
              <w:top w:val="double" w:sz="4" w:space="0" w:color="auto"/>
            </w:tcBorders>
            <w:shd w:val="clear" w:color="auto" w:fill="auto"/>
            <w:vAlign w:val="center"/>
          </w:tcPr>
          <w:p>
            <w:pPr>
              <w:spacing w:beforeLines="20" w:before="48" w:afterLines="20" w:after="48"/>
              <w:ind w:left="986"/>
              <w:jc w:val="left"/>
              <w:rPr>
                <w:rFonts w:eastAsia="Times New Roman"/>
                <w:noProof/>
                <w:sz w:val="20"/>
              </w:rPr>
            </w:pPr>
            <w:r>
              <w:rPr>
                <w:b/>
                <w:noProof/>
                <w:sz w:val="20"/>
              </w:rPr>
              <w:t>SKUPAJ</w:t>
            </w:r>
          </w:p>
        </w:tc>
        <w:tc>
          <w:tcPr>
            <w:tcW w:w="377" w:type="pct"/>
            <w:tcBorders>
              <w:top w:val="double" w:sz="4" w:space="0" w:color="auto"/>
            </w:tcBorders>
            <w:shd w:val="clear" w:color="auto" w:fill="auto"/>
            <w:vAlign w:val="center"/>
          </w:tcPr>
          <w:p>
            <w:pPr>
              <w:spacing w:beforeLines="20" w:before="48" w:afterLines="20" w:after="48"/>
              <w:jc w:val="center"/>
              <w:rPr>
                <w:rFonts w:eastAsia="Times New Roman"/>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rFonts w:eastAsia="Times New Roman"/>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rFonts w:eastAsia="Times New Roman"/>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rFonts w:eastAsia="Times New Roman"/>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rFonts w:eastAsia="Times New Roman"/>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rFonts w:eastAsia="Times New Roman"/>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rFonts w:eastAsia="Times New Roman"/>
                <w:b/>
                <w:noProof/>
                <w:sz w:val="20"/>
              </w:rPr>
            </w:pPr>
          </w:p>
        </w:tc>
      </w:tr>
    </w:tbl>
    <w:p>
      <w:pPr>
        <w:pStyle w:val="Text1"/>
        <w:rPr>
          <w:noProof/>
        </w:rPr>
      </w:pPr>
      <w:r>
        <w:rPr>
          <w:b/>
          <w:noProof/>
        </w:rPr>
        <w:t>XX</w:t>
      </w:r>
      <w:r>
        <w:rPr>
          <w:noProof/>
        </w:rPr>
        <w:t xml:space="preserve"> je zadevno področje ali naslov.</w:t>
      </w:r>
    </w:p>
    <w:p>
      <w:pPr>
        <w:pStyle w:val="Text1"/>
        <w:rPr>
          <w:noProof/>
          <w:sz w:val="22"/>
        </w:rPr>
      </w:pPr>
      <w:r>
        <w:rPr>
          <w:noProof/>
          <w:sz w:val="22"/>
        </w:rPr>
        <w:t>Potrebe po človeških virih se krijejo z osebjem GD, ki je že dodeljeno za upravljanje ukrepa in/ali je bilo prerazporejeno znotraj GD, po potrebi skupaj z dodatnimi viri, ki se lahko pristojnemu GD dodelijo v okviru postopka letne dodelitve virov glede na proračunske omejitve.</w:t>
      </w:r>
    </w:p>
    <w:p>
      <w:pPr>
        <w:rPr>
          <w:rFonts w:eastAsia="Times New Roman"/>
          <w:noProof/>
          <w:sz w:val="20"/>
        </w:rPr>
      </w:pPr>
      <w:r>
        <w:rPr>
          <w:noProof/>
          <w:sz w:val="20"/>
        </w:rPr>
        <w:t>Opis nalog:</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spacing w:before="0" w:after="0"/>
              <w:rPr>
                <w:rFonts w:eastAsia="Times New Roman"/>
                <w:noProof/>
                <w:sz w:val="20"/>
              </w:rPr>
            </w:pPr>
            <w:r>
              <w:rPr>
                <w:noProof/>
                <w:sz w:val="20"/>
              </w:rPr>
              <w:t>Uradniki in začasni uslužbenci</w:t>
            </w:r>
          </w:p>
        </w:tc>
        <w:tc>
          <w:tcPr>
            <w:tcW w:w="7200" w:type="dxa"/>
          </w:tcPr>
          <w:p>
            <w:pPr>
              <w:spacing w:before="0" w:after="0"/>
              <w:rPr>
                <w:rFonts w:eastAsia="Times New Roman"/>
                <w:noProof/>
                <w:sz w:val="20"/>
              </w:rPr>
            </w:pPr>
          </w:p>
        </w:tc>
      </w:tr>
      <w:tr>
        <w:tc>
          <w:tcPr>
            <w:tcW w:w="3240" w:type="dxa"/>
          </w:tcPr>
          <w:p>
            <w:pPr>
              <w:spacing w:before="0" w:after="0"/>
              <w:rPr>
                <w:rFonts w:eastAsia="Times New Roman"/>
                <w:noProof/>
                <w:sz w:val="20"/>
              </w:rPr>
            </w:pPr>
            <w:r>
              <w:rPr>
                <w:noProof/>
                <w:sz w:val="20"/>
              </w:rPr>
              <w:t>Zunanje osebje</w:t>
            </w:r>
          </w:p>
        </w:tc>
        <w:tc>
          <w:tcPr>
            <w:tcW w:w="7200" w:type="dxa"/>
          </w:tcPr>
          <w:p>
            <w:pPr>
              <w:spacing w:before="0" w:after="0"/>
              <w:rPr>
                <w:rFonts w:eastAsia="Times New Roman"/>
                <w:noProof/>
                <w:sz w:val="20"/>
              </w:rPr>
            </w:pPr>
          </w:p>
        </w:tc>
      </w:tr>
    </w:tbl>
    <w:p>
      <w:pPr>
        <w:rPr>
          <w:rFonts w:eastAsia="Times New Roman"/>
          <w:noProof/>
        </w:rPr>
      </w:pPr>
      <w:r>
        <w:rPr>
          <w:noProof/>
        </w:rPr>
        <w:t xml:space="preserve">Opis izračuna stroškov za EPDČ bi moral biti vključen v oddelek 3 Priloge V. </w:t>
      </w:r>
    </w:p>
    <w:p>
      <w:pPr>
        <w:rPr>
          <w:rFonts w:eastAsia="Times New Roman"/>
          <w:noProof/>
        </w:rPr>
        <w:sectPr>
          <w:pgSz w:w="11907" w:h="16839"/>
          <w:pgMar w:top="1134" w:right="1417" w:bottom="1134" w:left="1417" w:header="709" w:footer="709" w:gutter="0"/>
          <w:cols w:space="720"/>
          <w:docGrid w:linePitch="326"/>
        </w:sectPr>
      </w:pPr>
    </w:p>
    <w:p>
      <w:pPr>
        <w:pStyle w:val="ManualHeading3"/>
        <w:rPr>
          <w:rFonts w:eastAsia="Times New Roman"/>
          <w:noProof/>
          <w:szCs w:val="24"/>
        </w:rPr>
      </w:pPr>
      <w:r>
        <w:t>3.2.4.</w:t>
      </w:r>
      <w:r>
        <w:tab/>
      </w:r>
      <w:r>
        <w:rPr>
          <w:noProof/>
        </w:rPr>
        <w:t xml:space="preserve">Skladnost z veljavnim večletnim finančnim okvirom </w:t>
      </w:r>
    </w:p>
    <w:p>
      <w:pPr>
        <w:pStyle w:val="ListDash1"/>
        <w:rPr>
          <w:noProof/>
        </w:rPr>
      </w:pPr>
      <w:r>
        <w:rPr>
          <w:noProof/>
        </w:rPr>
        <w:sym w:font="Wingdings" w:char="F0A8"/>
      </w:r>
      <w:r>
        <w:rPr>
          <w:noProof/>
        </w:rPr>
        <w:tab/>
        <w:t>Predlog/pobuda je v skladu z veljavnim večletnim finančnim okvirom.</w:t>
      </w:r>
    </w:p>
    <w:p>
      <w:pPr>
        <w:pStyle w:val="ListDash1"/>
        <w:rPr>
          <w:noProof/>
        </w:rPr>
      </w:pPr>
      <w:r>
        <w:rPr>
          <w:noProof/>
        </w:rPr>
        <w:sym w:font="Wingdings" w:char="F0A8"/>
      </w:r>
      <w:r>
        <w:rPr>
          <w:noProof/>
        </w:rPr>
        <w:tab/>
        <w:t>Za predlog/pobudo je potrebna sprememba zadevnega razdelka večletnega finančnega okvira.</w:t>
      </w:r>
    </w:p>
    <w:p>
      <w:pPr>
        <w:pBdr>
          <w:top w:val="single" w:sz="4" w:space="1" w:color="auto"/>
          <w:left w:val="single" w:sz="4" w:space="4" w:color="auto"/>
          <w:bottom w:val="single" w:sz="4" w:space="1" w:color="auto"/>
          <w:right w:val="single" w:sz="4" w:space="4" w:color="auto"/>
        </w:pBdr>
        <w:rPr>
          <w:rFonts w:eastAsia="Times New Roman"/>
          <w:noProof/>
          <w:sz w:val="20"/>
        </w:rPr>
      </w:pPr>
      <w:r>
        <w:rPr>
          <w:noProof/>
          <w:sz w:val="20"/>
        </w:rPr>
        <w:t>Pojasnite zahtevano spremembo ter navedite zadevne proračunske vrstice in ustrezne zneske.</w:t>
      </w:r>
    </w:p>
    <w:p>
      <w:pPr>
        <w:pBdr>
          <w:top w:val="single" w:sz="4" w:space="1" w:color="auto"/>
          <w:left w:val="single" w:sz="4" w:space="4" w:color="auto"/>
          <w:bottom w:val="single" w:sz="4" w:space="1" w:color="auto"/>
          <w:right w:val="single" w:sz="4" w:space="4" w:color="auto"/>
        </w:pBdr>
        <w:rPr>
          <w:rFonts w:eastAsia="Times New Roman"/>
          <w:noProof/>
          <w:sz w:val="20"/>
        </w:rPr>
      </w:pPr>
      <w:r>
        <w:rPr>
          <w:noProof/>
        </w:rPr>
        <w:t>[…]</w:t>
      </w:r>
    </w:p>
    <w:p>
      <w:pPr>
        <w:pStyle w:val="ListDash1"/>
        <w:rPr>
          <w:noProof/>
        </w:rPr>
      </w:pPr>
      <w:r>
        <w:rPr>
          <w:noProof/>
        </w:rPr>
        <w:sym w:font="Wingdings" w:char="F0FD"/>
      </w:r>
      <w:r>
        <w:rPr>
          <w:noProof/>
        </w:rPr>
        <w:tab/>
        <w:t>Za predlog/pobudo je potrebna uporaba instrumenta prilagodljivosti ali sprememba večletnega finančnega okvira</w:t>
      </w:r>
      <w:r>
        <w:rPr>
          <w:rStyle w:val="FootnoteReference"/>
          <w:noProof/>
        </w:rPr>
        <w:footnoteReference w:id="45"/>
      </w:r>
      <w:r>
        <w:rPr>
          <w:noProof/>
        </w:rPr>
        <w:t>.</w:t>
      </w:r>
    </w:p>
    <w:p>
      <w:pPr>
        <w:pBdr>
          <w:top w:val="single" w:sz="4" w:space="1" w:color="auto"/>
          <w:left w:val="single" w:sz="4" w:space="4" w:color="auto"/>
          <w:bottom w:val="single" w:sz="4" w:space="1" w:color="auto"/>
          <w:right w:val="single" w:sz="4" w:space="4" w:color="auto"/>
        </w:pBdr>
        <w:rPr>
          <w:rFonts w:eastAsia="Times New Roman"/>
          <w:noProof/>
          <w:sz w:val="20"/>
        </w:rPr>
      </w:pPr>
      <w:r>
        <w:rPr>
          <w:noProof/>
          <w:sz w:val="20"/>
        </w:rPr>
        <w:t>Pojasnite te zahteve ter navedite zadevne razdelke in proračunske vrstice ter ustrezne zneske.</w:t>
      </w:r>
    </w:p>
    <w:p>
      <w:pPr>
        <w:pBdr>
          <w:top w:val="single" w:sz="4" w:space="1" w:color="auto"/>
          <w:left w:val="single" w:sz="4" w:space="4" w:color="auto"/>
          <w:bottom w:val="single" w:sz="4" w:space="1" w:color="auto"/>
          <w:right w:val="single" w:sz="4" w:space="4" w:color="auto"/>
        </w:pBdr>
        <w:rPr>
          <w:rFonts w:eastAsia="Times New Roman"/>
          <w:noProof/>
        </w:rPr>
      </w:pPr>
      <w:r>
        <w:rPr>
          <w:noProof/>
        </w:rPr>
        <w:t xml:space="preserve">Stroški, povezani z nalogami, ki jih bo izvajal organ ESMA, so za izdatke za zaposlene ocenjeni v skladu s klasifikacijo stroškov v osnutku proračuna ESA za leto 2015. </w:t>
      </w:r>
    </w:p>
    <w:p>
      <w:pPr>
        <w:pBdr>
          <w:top w:val="single" w:sz="4" w:space="1" w:color="auto"/>
          <w:left w:val="single" w:sz="4" w:space="4" w:color="auto"/>
          <w:bottom w:val="single" w:sz="4" w:space="1" w:color="auto"/>
          <w:right w:val="single" w:sz="4" w:space="4" w:color="auto"/>
        </w:pBdr>
        <w:rPr>
          <w:rFonts w:eastAsia="Times New Roman"/>
          <w:noProof/>
        </w:rPr>
      </w:pPr>
      <w:r>
        <w:rPr>
          <w:noProof/>
        </w:rPr>
        <w:t>Za izvajanje ukrepa bo moral organ ESMA razviti in vzdrževati rešitev IT za shranjevanje prospektov in z njimi povezanih dokumentov v obliki, ki uporabnikom zagotavlja lahek dostop in iskalna orodja. Razvoj rešitve IT naj bi se po pričakovanjih začel leta 2017, zaključil pa leta 2018.</w:t>
      </w:r>
    </w:p>
    <w:p>
      <w:pPr>
        <w:pBdr>
          <w:top w:val="single" w:sz="4" w:space="1" w:color="auto"/>
          <w:left w:val="single" w:sz="4" w:space="4" w:color="auto"/>
          <w:bottom w:val="single" w:sz="4" w:space="1" w:color="auto"/>
          <w:right w:val="single" w:sz="4" w:space="4" w:color="auto"/>
        </w:pBdr>
        <w:rPr>
          <w:rFonts w:eastAsia="Times New Roman"/>
          <w:noProof/>
        </w:rPr>
      </w:pPr>
      <w:r>
        <w:rPr>
          <w:noProof/>
        </w:rPr>
        <w:t xml:space="preserve">Poleg tega bo moral organ ESMA vsako leto objaviti poročilo s statističnimi podatki o odobrenih in priglašenih prospektih v Uniji ter analizo trendov, pri čemer se upoštevajo vrste izdajateljev in izdaj. </w:t>
      </w:r>
    </w:p>
    <w:p>
      <w:pPr>
        <w:pBdr>
          <w:top w:val="single" w:sz="4" w:space="1" w:color="auto"/>
          <w:left w:val="single" w:sz="4" w:space="4" w:color="auto"/>
          <w:bottom w:val="single" w:sz="4" w:space="1" w:color="auto"/>
          <w:right w:val="single" w:sz="4" w:space="4" w:color="auto"/>
        </w:pBdr>
        <w:rPr>
          <w:rFonts w:eastAsia="Times New Roman"/>
          <w:noProof/>
        </w:rPr>
      </w:pPr>
      <w:r>
        <w:rPr>
          <w:noProof/>
        </w:rPr>
        <w:t>Predlog Komisije vključuje tudi določbe o tem, da organ ESMA pripravi številne regulativne tehnične standarde (RTS).</w:t>
      </w:r>
    </w:p>
    <w:p>
      <w:pPr>
        <w:pBdr>
          <w:top w:val="single" w:sz="4" w:space="1" w:color="auto"/>
          <w:left w:val="single" w:sz="4" w:space="4" w:color="auto"/>
          <w:bottom w:val="single" w:sz="4" w:space="1" w:color="auto"/>
          <w:right w:val="single" w:sz="4" w:space="4" w:color="auto"/>
        </w:pBdr>
        <w:rPr>
          <w:rFonts w:eastAsia="Times New Roman"/>
          <w:noProof/>
        </w:rPr>
      </w:pPr>
      <w:r>
        <w:rPr>
          <w:noProof/>
        </w:rPr>
        <w:t xml:space="preserve">Če bosta sozakonodajalca sprejela predlog uredbe do konca leta 2016, se bo delo organa ESMA na regulativnih tehničnih standardih začelo leta 2017. </w:t>
      </w:r>
    </w:p>
    <w:p>
      <w:pPr>
        <w:pBdr>
          <w:top w:val="single" w:sz="4" w:space="1" w:color="auto"/>
          <w:left w:val="single" w:sz="4" w:space="4" w:color="auto"/>
          <w:bottom w:val="single" w:sz="4" w:space="1" w:color="auto"/>
          <w:right w:val="single" w:sz="4" w:space="4" w:color="auto"/>
        </w:pBdr>
        <w:rPr>
          <w:rFonts w:eastAsia="Times New Roman"/>
          <w:noProof/>
        </w:rPr>
      </w:pPr>
      <w:r>
        <w:rPr>
          <w:noProof/>
        </w:rPr>
        <w:t xml:space="preserve">Organu ESMA ne bodo dodeljene nove nadzorne pristojnosti, vendar bo pozvan k spodbujanju sodelovanja pri nadzornem delovanju in konvergence pri razlagi in uporabi direktive/uredbe o prospektu. </w:t>
      </w:r>
    </w:p>
    <w:p>
      <w:pPr>
        <w:pStyle w:val="ManualHeading3"/>
        <w:rPr>
          <w:rFonts w:eastAsia="Times New Roman"/>
          <w:noProof/>
          <w:szCs w:val="24"/>
        </w:rPr>
      </w:pPr>
      <w:r>
        <w:t>3.2.5.</w:t>
      </w:r>
      <w:r>
        <w:tab/>
      </w:r>
      <w:r>
        <w:rPr>
          <w:noProof/>
        </w:rPr>
        <w:t xml:space="preserve">Udeležba tretjih oseb pri financiranju </w:t>
      </w:r>
    </w:p>
    <w:p>
      <w:pPr>
        <w:pStyle w:val="ListDash1"/>
        <w:rPr>
          <w:noProof/>
        </w:rPr>
      </w:pPr>
      <w:r>
        <w:rPr>
          <w:noProof/>
        </w:rPr>
        <w:t xml:space="preserve">V predlogu/pobudi ni načrtovano sofinanciranje tretjih oseb. </w:t>
      </w:r>
    </w:p>
    <w:p>
      <w:pPr>
        <w:pStyle w:val="ListDash1"/>
        <w:rPr>
          <w:noProof/>
        </w:rPr>
      </w:pPr>
      <w:r>
        <w:rPr>
          <w:noProof/>
        </w:rPr>
        <w:t>V predlogu/pobudi je načrtovano sofinanciranje, kot je ocenjeno v nadaljevanju:</w:t>
      </w:r>
    </w:p>
    <w:p>
      <w:pPr>
        <w:jc w:val="right"/>
        <w:rPr>
          <w:rFonts w:eastAsia="Times New Roman"/>
          <w:noProof/>
          <w:sz w:val="20"/>
        </w:rPr>
      </w:pPr>
      <w:r>
        <w:rPr>
          <w:noProof/>
          <w:sz w:val="20"/>
        </w:rPr>
        <w:t>v mio. EUR (na tri decimalna mesta natančno)</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rFonts w:eastAsia="Times New Roman"/>
                <w:noProof/>
                <w:sz w:val="20"/>
              </w:rPr>
            </w:pPr>
          </w:p>
        </w:tc>
        <w:tc>
          <w:tcPr>
            <w:tcW w:w="964"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w:t>
            </w:r>
          </w:p>
        </w:tc>
        <w:tc>
          <w:tcPr>
            <w:tcW w:w="964"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N+1</w:t>
            </w:r>
          </w:p>
        </w:tc>
        <w:tc>
          <w:tcPr>
            <w:tcW w:w="964"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N+2</w:t>
            </w:r>
          </w:p>
        </w:tc>
        <w:tc>
          <w:tcPr>
            <w:tcW w:w="964"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N+3</w:t>
            </w:r>
          </w:p>
        </w:tc>
        <w:tc>
          <w:tcPr>
            <w:tcW w:w="2892" w:type="dxa"/>
            <w:gridSpan w:val="3"/>
            <w:vAlign w:val="center"/>
          </w:tcPr>
          <w:p>
            <w:pPr>
              <w:jc w:val="center"/>
              <w:rPr>
                <w:rFonts w:eastAsia="Times New Roman"/>
                <w:b/>
                <w:noProof/>
                <w:sz w:val="20"/>
              </w:rPr>
            </w:pPr>
            <w:r>
              <w:rPr>
                <w:noProof/>
                <w:sz w:val="20"/>
              </w:rPr>
              <w:t>Vstavite ustrezno število let glede na trajanje posledic (gl. točko 1.6)</w:t>
            </w:r>
          </w:p>
        </w:tc>
        <w:tc>
          <w:tcPr>
            <w:tcW w:w="1158" w:type="dxa"/>
            <w:vAlign w:val="center"/>
          </w:tcPr>
          <w:p>
            <w:pPr>
              <w:spacing w:before="60" w:after="60"/>
              <w:jc w:val="center"/>
              <w:rPr>
                <w:rFonts w:eastAsia="Times New Roman"/>
                <w:noProof/>
                <w:sz w:val="20"/>
              </w:rPr>
            </w:pPr>
            <w:r>
              <w:rPr>
                <w:noProof/>
                <w:sz w:val="20"/>
              </w:rPr>
              <w:t>Skupaj</w:t>
            </w:r>
          </w:p>
        </w:tc>
      </w:tr>
      <w:tr>
        <w:trPr>
          <w:cantSplit/>
        </w:trPr>
        <w:tc>
          <w:tcPr>
            <w:tcW w:w="2340" w:type="dxa"/>
          </w:tcPr>
          <w:p>
            <w:pPr>
              <w:rPr>
                <w:rFonts w:eastAsia="Times New Roman"/>
                <w:noProof/>
              </w:rPr>
            </w:pPr>
            <w:r>
              <w:rPr>
                <w:noProof/>
                <w:sz w:val="20"/>
              </w:rPr>
              <w:t>Navedite organ, ki bo sofinanciral predlog/pobudo</w:t>
            </w:r>
            <w:r>
              <w:rPr>
                <w:i/>
                <w:noProof/>
                <w:sz w:val="20"/>
              </w:rPr>
              <w:t xml:space="preserve"> </w:t>
            </w: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1158" w:type="dxa"/>
            <w:vAlign w:val="center"/>
          </w:tcPr>
          <w:p>
            <w:pPr>
              <w:spacing w:before="60" w:after="60"/>
              <w:jc w:val="center"/>
              <w:rPr>
                <w:rFonts w:eastAsia="Times New Roman"/>
                <w:noProof/>
                <w:sz w:val="20"/>
              </w:rPr>
            </w:pPr>
          </w:p>
        </w:tc>
      </w:tr>
      <w:tr>
        <w:trPr>
          <w:cantSplit/>
        </w:trPr>
        <w:tc>
          <w:tcPr>
            <w:tcW w:w="2340" w:type="dxa"/>
          </w:tcPr>
          <w:p>
            <w:pPr>
              <w:spacing w:before="60" w:after="60"/>
              <w:rPr>
                <w:rFonts w:eastAsia="Times New Roman"/>
                <w:noProof/>
                <w:sz w:val="20"/>
              </w:rPr>
            </w:pPr>
            <w:r>
              <w:rPr>
                <w:noProof/>
                <w:sz w:val="20"/>
              </w:rPr>
              <w:t xml:space="preserve">Sofinancirane odobritve SKUPAJ </w:t>
            </w: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1158" w:type="dxa"/>
            <w:vAlign w:val="center"/>
          </w:tcPr>
          <w:p>
            <w:pPr>
              <w:spacing w:before="60" w:after="60"/>
              <w:jc w:val="center"/>
              <w:rPr>
                <w:rFonts w:eastAsia="Times New Roman"/>
                <w:noProof/>
                <w:sz w:val="20"/>
              </w:rPr>
            </w:pPr>
          </w:p>
        </w:tc>
      </w:tr>
    </w:tbl>
    <w:p>
      <w:pPr>
        <w:pStyle w:val="ManualHeading2"/>
        <w:rPr>
          <w:rFonts w:eastAsia="Times New Roman"/>
          <w:noProof/>
          <w:szCs w:val="24"/>
        </w:rPr>
      </w:pPr>
      <w:r>
        <w:rPr>
          <w:noProof/>
        </w:rPr>
        <w:br w:type="page"/>
      </w:r>
      <w:r>
        <w:t>3.3.</w:t>
      </w:r>
      <w:r>
        <w:tab/>
      </w:r>
      <w:r>
        <w:rPr>
          <w:noProof/>
        </w:rPr>
        <w:t xml:space="preserve">Ocenjene posledice za prihodke </w:t>
      </w:r>
    </w:p>
    <w:p>
      <w:pPr>
        <w:pStyle w:val="ListDash1"/>
        <w:rPr>
          <w:noProof/>
        </w:rPr>
      </w:pPr>
      <w:r>
        <w:rPr>
          <w:noProof/>
        </w:rPr>
        <w:sym w:font="Wingdings" w:char="F0FD"/>
      </w:r>
      <w:r>
        <w:rPr>
          <w:noProof/>
        </w:rPr>
        <w:tab/>
        <w:t>Predlog/pobuda nima finančnih posledic za prihodke.</w:t>
      </w:r>
    </w:p>
    <w:p>
      <w:pPr>
        <w:pStyle w:val="ListDash1"/>
        <w:rPr>
          <w:noProof/>
        </w:rPr>
      </w:pPr>
      <w:r>
        <w:rPr>
          <w:noProof/>
        </w:rPr>
        <w:sym w:font="Wingdings" w:char="F0A8"/>
      </w:r>
      <w:r>
        <w:rPr>
          <w:noProof/>
        </w:rPr>
        <w:tab/>
        <w:t>Predlog/pobuda ima finančne posledice, kot je pojasnjeno v nadaljevanju:</w:t>
      </w:r>
    </w:p>
    <w:p>
      <w:pPr>
        <w:pStyle w:val="ListNumberLevel3"/>
        <w:rPr>
          <w:noProof/>
        </w:rPr>
      </w:pPr>
      <w:r>
        <w:rPr>
          <w:noProof/>
        </w:rPr>
        <w:sym w:font="Wingdings" w:char="F0A8"/>
      </w:r>
      <w:r>
        <w:rPr>
          <w:noProof/>
        </w:rPr>
        <w:tab/>
        <w:t xml:space="preserve">za lastna sredstva, </w:t>
      </w:r>
    </w:p>
    <w:p>
      <w:pPr>
        <w:pStyle w:val="ListNumberLevel3"/>
        <w:rPr>
          <w:noProof/>
        </w:rPr>
      </w:pPr>
      <w:r>
        <w:rPr>
          <w:noProof/>
        </w:rPr>
        <w:sym w:font="Wingdings" w:char="F0A8"/>
      </w:r>
      <w:r>
        <w:rPr>
          <w:noProof/>
        </w:rPr>
        <w:tab/>
        <w:t xml:space="preserve">za razne prihodke. </w:t>
      </w:r>
    </w:p>
    <w:p>
      <w:pPr>
        <w:jc w:val="center"/>
        <w:rPr>
          <w:rFonts w:eastAsia="Times New Roman"/>
          <w:i/>
          <w:noProof/>
          <w:sz w:val="20"/>
        </w:rPr>
      </w:pPr>
      <w:r>
        <w:rPr>
          <w:noProof/>
          <w:sz w:val="20"/>
        </w:rPr>
        <w:t>v mio. EUR (na tri decimalna mesta natančno)</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rFonts w:eastAsia="Times New Roman"/>
                <w:noProof/>
                <w:sz w:val="18"/>
              </w:rPr>
            </w:pPr>
            <w:r>
              <w:rPr>
                <w:noProof/>
                <w:sz w:val="18"/>
              </w:rPr>
              <w:t>Proračunska vrstica prihodkov</w:t>
            </w:r>
          </w:p>
        </w:tc>
        <w:tc>
          <w:tcPr>
            <w:tcW w:w="1276" w:type="dxa"/>
            <w:vMerge w:val="restart"/>
            <w:vAlign w:val="center"/>
          </w:tcPr>
          <w:p>
            <w:pPr>
              <w:jc w:val="center"/>
              <w:rPr>
                <w:rFonts w:eastAsia="Times New Roman"/>
                <w:noProof/>
                <w:sz w:val="18"/>
              </w:rPr>
            </w:pPr>
            <w:r>
              <w:rPr>
                <w:noProof/>
                <w:sz w:val="18"/>
              </w:rPr>
              <w:t>Odobritve na voljo za tekoče proračunsko leto</w:t>
            </w:r>
          </w:p>
        </w:tc>
        <w:tc>
          <w:tcPr>
            <w:tcW w:w="7200" w:type="dxa"/>
            <w:gridSpan w:val="7"/>
            <w:vAlign w:val="center"/>
          </w:tcPr>
          <w:p>
            <w:pPr>
              <w:jc w:val="center"/>
              <w:rPr>
                <w:rFonts w:eastAsia="Times New Roman"/>
                <w:noProof/>
                <w:sz w:val="18"/>
              </w:rPr>
            </w:pPr>
            <w:r>
              <w:rPr>
                <w:noProof/>
                <w:sz w:val="18"/>
              </w:rPr>
              <w:t>Posledice predloga/pobude</w:t>
            </w:r>
            <w:r>
              <w:rPr>
                <w:rStyle w:val="FootnoteReference"/>
                <w:noProof/>
              </w:rPr>
              <w:footnoteReference w:id="46"/>
            </w:r>
          </w:p>
        </w:tc>
      </w:tr>
      <w:tr>
        <w:trPr>
          <w:trHeight w:val="388"/>
        </w:trPr>
        <w:tc>
          <w:tcPr>
            <w:tcW w:w="2144" w:type="dxa"/>
            <w:vMerge/>
            <w:vAlign w:val="center"/>
          </w:tcPr>
          <w:p>
            <w:pPr>
              <w:rPr>
                <w:rFonts w:eastAsia="Times New Roman"/>
                <w:noProof/>
                <w:sz w:val="18"/>
              </w:rPr>
            </w:pPr>
          </w:p>
        </w:tc>
        <w:tc>
          <w:tcPr>
            <w:tcW w:w="1276" w:type="dxa"/>
            <w:vMerge/>
            <w:vAlign w:val="center"/>
          </w:tcPr>
          <w:p>
            <w:pPr>
              <w:rPr>
                <w:rFonts w:eastAsia="Times New Roman"/>
                <w:noProof/>
                <w:sz w:val="18"/>
              </w:rPr>
            </w:pPr>
          </w:p>
        </w:tc>
        <w:tc>
          <w:tcPr>
            <w:tcW w:w="1080" w:type="dxa"/>
            <w:vAlign w:val="center"/>
          </w:tcPr>
          <w:p>
            <w:pPr>
              <w:jc w:val="center"/>
              <w:rPr>
                <w:rFonts w:eastAsia="Times New Roman"/>
                <w:noProof/>
                <w:sz w:val="18"/>
              </w:rPr>
            </w:pPr>
            <w:r>
              <w:rPr>
                <w:noProof/>
                <w:sz w:val="18"/>
              </w:rPr>
              <w:t>Leto</w:t>
            </w:r>
            <w:r>
              <w:rPr>
                <w:rFonts w:eastAsia="Times New Roman"/>
                <w:noProof/>
                <w:sz w:val="22"/>
              </w:rPr>
              <w:br/>
            </w:r>
            <w:r>
              <w:rPr>
                <w:b/>
                <w:noProof/>
                <w:sz w:val="18"/>
              </w:rPr>
              <w:t>N</w:t>
            </w:r>
          </w:p>
        </w:tc>
        <w:tc>
          <w:tcPr>
            <w:tcW w:w="900" w:type="dxa"/>
            <w:vAlign w:val="center"/>
          </w:tcPr>
          <w:p>
            <w:pPr>
              <w:jc w:val="center"/>
              <w:rPr>
                <w:rFonts w:eastAsia="Times New Roman"/>
                <w:noProof/>
                <w:sz w:val="18"/>
              </w:rPr>
            </w:pPr>
            <w:r>
              <w:rPr>
                <w:noProof/>
                <w:sz w:val="18"/>
              </w:rPr>
              <w:t>Leto</w:t>
            </w:r>
            <w:r>
              <w:rPr>
                <w:rFonts w:eastAsia="Times New Roman"/>
                <w:noProof/>
                <w:sz w:val="22"/>
              </w:rPr>
              <w:br/>
            </w:r>
            <w:r>
              <w:rPr>
                <w:b/>
                <w:noProof/>
                <w:sz w:val="18"/>
              </w:rPr>
              <w:t>N+1</w:t>
            </w:r>
          </w:p>
        </w:tc>
        <w:tc>
          <w:tcPr>
            <w:tcW w:w="900" w:type="dxa"/>
            <w:vAlign w:val="center"/>
          </w:tcPr>
          <w:p>
            <w:pPr>
              <w:jc w:val="center"/>
              <w:rPr>
                <w:rFonts w:eastAsia="Times New Roman"/>
                <w:noProof/>
                <w:sz w:val="18"/>
              </w:rPr>
            </w:pPr>
            <w:r>
              <w:rPr>
                <w:noProof/>
                <w:sz w:val="18"/>
              </w:rPr>
              <w:t>Leto</w:t>
            </w:r>
            <w:r>
              <w:rPr>
                <w:rFonts w:eastAsia="Times New Roman"/>
                <w:noProof/>
                <w:sz w:val="22"/>
              </w:rPr>
              <w:br/>
            </w:r>
            <w:r>
              <w:rPr>
                <w:b/>
                <w:noProof/>
                <w:sz w:val="18"/>
              </w:rPr>
              <w:t>N+2</w:t>
            </w:r>
          </w:p>
        </w:tc>
        <w:tc>
          <w:tcPr>
            <w:tcW w:w="1080" w:type="dxa"/>
            <w:vAlign w:val="center"/>
          </w:tcPr>
          <w:p>
            <w:pPr>
              <w:jc w:val="center"/>
              <w:rPr>
                <w:rFonts w:eastAsia="Times New Roman"/>
                <w:noProof/>
                <w:sz w:val="18"/>
              </w:rPr>
            </w:pPr>
            <w:r>
              <w:rPr>
                <w:noProof/>
                <w:sz w:val="18"/>
              </w:rPr>
              <w:t>Leto</w:t>
            </w:r>
            <w:r>
              <w:rPr>
                <w:rFonts w:eastAsia="Times New Roman"/>
                <w:noProof/>
                <w:sz w:val="22"/>
              </w:rPr>
              <w:br/>
            </w:r>
            <w:r>
              <w:rPr>
                <w:b/>
                <w:noProof/>
                <w:sz w:val="18"/>
              </w:rPr>
              <w:t>N+3</w:t>
            </w:r>
          </w:p>
        </w:tc>
        <w:tc>
          <w:tcPr>
            <w:tcW w:w="3240" w:type="dxa"/>
            <w:gridSpan w:val="3"/>
            <w:vAlign w:val="center"/>
          </w:tcPr>
          <w:p>
            <w:pPr>
              <w:jc w:val="center"/>
              <w:rPr>
                <w:rFonts w:eastAsia="Times New Roman"/>
                <w:b/>
                <w:noProof/>
                <w:sz w:val="18"/>
              </w:rPr>
            </w:pPr>
            <w:r>
              <w:rPr>
                <w:noProof/>
                <w:sz w:val="18"/>
              </w:rPr>
              <w:t>Vstavite ustrezno število let glede na trajanje posledic (gl. točko 1.6)</w:t>
            </w:r>
          </w:p>
        </w:tc>
      </w:tr>
      <w:tr>
        <w:trPr>
          <w:trHeight w:val="388"/>
        </w:trPr>
        <w:tc>
          <w:tcPr>
            <w:tcW w:w="2144" w:type="dxa"/>
            <w:vAlign w:val="center"/>
          </w:tcPr>
          <w:p>
            <w:pPr>
              <w:spacing w:before="40" w:after="40"/>
              <w:rPr>
                <w:rFonts w:eastAsia="Times New Roman"/>
                <w:noProof/>
                <w:sz w:val="18"/>
              </w:rPr>
            </w:pPr>
            <w:r>
              <w:rPr>
                <w:noProof/>
                <w:sz w:val="18"/>
              </w:rPr>
              <w:t>Člen ………….</w:t>
            </w:r>
          </w:p>
        </w:tc>
        <w:tc>
          <w:tcPr>
            <w:tcW w:w="1276" w:type="dxa"/>
          </w:tcPr>
          <w:p>
            <w:pPr>
              <w:spacing w:beforeLines="40" w:before="96" w:afterLines="40" w:after="96"/>
              <w:jc w:val="center"/>
              <w:rPr>
                <w:rFonts w:eastAsia="Times New Roman"/>
                <w:i/>
                <w:noProof/>
                <w:sz w:val="18"/>
              </w:rPr>
            </w:pPr>
          </w:p>
        </w:tc>
        <w:tc>
          <w:tcPr>
            <w:tcW w:w="1080" w:type="dxa"/>
          </w:tcPr>
          <w:p>
            <w:pPr>
              <w:spacing w:beforeLines="40" w:before="96" w:afterLines="40" w:after="96"/>
              <w:jc w:val="center"/>
              <w:rPr>
                <w:rFonts w:eastAsia="Times New Roman"/>
                <w:noProof/>
                <w:sz w:val="18"/>
              </w:rPr>
            </w:pPr>
          </w:p>
        </w:tc>
        <w:tc>
          <w:tcPr>
            <w:tcW w:w="900" w:type="dxa"/>
          </w:tcPr>
          <w:p>
            <w:pPr>
              <w:spacing w:beforeLines="40" w:before="96" w:afterLines="40" w:after="96"/>
              <w:jc w:val="center"/>
              <w:rPr>
                <w:rFonts w:eastAsia="Times New Roman"/>
                <w:noProof/>
                <w:sz w:val="18"/>
              </w:rPr>
            </w:pPr>
          </w:p>
        </w:tc>
        <w:tc>
          <w:tcPr>
            <w:tcW w:w="90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r>
    </w:tbl>
    <w:p>
      <w:pPr>
        <w:pStyle w:val="Text1"/>
        <w:rPr>
          <w:noProof/>
        </w:rPr>
      </w:pPr>
      <w:r>
        <w:rPr>
          <w:noProof/>
        </w:rPr>
        <w:t>Za razne namenske prejemke navedite zadevne odhodkovne proračunske vrstice.</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p>
    <w:p>
      <w:pPr>
        <w:pStyle w:val="Text1"/>
        <w:rPr>
          <w:noProof/>
        </w:rPr>
      </w:pPr>
      <w:r>
        <w:rPr>
          <w:noProof/>
        </w:rPr>
        <w:t>Navedite metodo za izračun posledic za prihodke.</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p>
    <w:p>
      <w:pPr>
        <w:rPr>
          <w:rFonts w:eastAsia="Times New Roman"/>
          <w:b/>
          <w:noProof/>
          <w:szCs w:val="24"/>
        </w:rPr>
      </w:pPr>
      <w:r>
        <w:rPr>
          <w:noProof/>
        </w:rPr>
        <w:br w:type="page"/>
      </w:r>
      <w:r>
        <w:rPr>
          <w:b/>
          <w:noProof/>
        </w:rPr>
        <w:t>Priloga k oceni finančnih posledic zakonodajnega predloga za predlog Uredbe Evropskega parlamenta in Sveta o prospektu, ki se objavi ob javni ponudbi ali sprejemu vrednostnih papirjev v trgovanje</w:t>
      </w:r>
    </w:p>
    <w:p>
      <w:pPr>
        <w:numPr>
          <w:ilvl w:val="2"/>
          <w:numId w:val="0"/>
        </w:numPr>
        <w:tabs>
          <w:tab w:val="num" w:pos="2126"/>
        </w:tabs>
        <w:rPr>
          <w:rFonts w:eastAsia="Times New Roman"/>
          <w:noProof/>
        </w:rPr>
      </w:pPr>
    </w:p>
    <w:p>
      <w:pPr>
        <w:numPr>
          <w:ilvl w:val="2"/>
          <w:numId w:val="0"/>
        </w:numPr>
        <w:tabs>
          <w:tab w:val="num" w:pos="2126"/>
        </w:tabs>
        <w:rPr>
          <w:rFonts w:eastAsia="Times New Roman"/>
          <w:noProof/>
        </w:rPr>
      </w:pPr>
      <w:r>
        <w:rPr>
          <w:noProof/>
        </w:rPr>
        <w:t xml:space="preserve">Stroški, povezani z nalogami, ki jih bo izvajal organ ESMA, so za izdatke za zaposlene ocenjeni v skladu s klasifikacijo stroškov v osnutku proračuna ESA za leto 2015. Predlog Komisije vključuje tudi določbe o tem, da organ ESMA </w:t>
      </w:r>
      <w:r>
        <w:rPr>
          <w:b/>
          <w:noProof/>
        </w:rPr>
        <w:t>pripravi številne regulativne in izvedbene tehnične standarde</w:t>
      </w:r>
      <w:r>
        <w:rPr>
          <w:noProof/>
        </w:rPr>
        <w:t>.</w:t>
      </w:r>
    </w:p>
    <w:p>
      <w:pPr>
        <w:numPr>
          <w:ilvl w:val="2"/>
          <w:numId w:val="0"/>
        </w:numPr>
        <w:tabs>
          <w:tab w:val="num" w:pos="2126"/>
        </w:tabs>
        <w:rPr>
          <w:rFonts w:eastAsia="Times New Roman"/>
          <w:noProof/>
        </w:rPr>
      </w:pP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6"/>
        <w:gridCol w:w="1257"/>
        <w:gridCol w:w="1200"/>
        <w:gridCol w:w="5918"/>
      </w:tblGrid>
      <w:tr>
        <w:tc>
          <w:tcPr>
            <w:tcW w:w="756" w:type="dxa"/>
            <w:shd w:val="clear" w:color="auto" w:fill="auto"/>
          </w:tcPr>
          <w:p>
            <w:pPr>
              <w:spacing w:before="0" w:after="0"/>
              <w:jc w:val="center"/>
              <w:rPr>
                <w:rFonts w:eastAsia="Times New Roman"/>
                <w:b/>
                <w:noProof/>
              </w:rPr>
            </w:pPr>
            <w:r>
              <w:rPr>
                <w:b/>
                <w:noProof/>
                <w:sz w:val="22"/>
              </w:rPr>
              <w:t>Člen</w:t>
            </w:r>
          </w:p>
        </w:tc>
        <w:tc>
          <w:tcPr>
            <w:tcW w:w="1257" w:type="dxa"/>
            <w:shd w:val="clear" w:color="auto" w:fill="auto"/>
          </w:tcPr>
          <w:p>
            <w:pPr>
              <w:spacing w:before="0" w:after="0"/>
              <w:jc w:val="center"/>
              <w:rPr>
                <w:rFonts w:eastAsia="Times New Roman"/>
                <w:b/>
                <w:noProof/>
              </w:rPr>
            </w:pPr>
            <w:r>
              <w:rPr>
                <w:b/>
                <w:noProof/>
                <w:sz w:val="22"/>
              </w:rPr>
              <w:t>Vrsta pooblastila</w:t>
            </w:r>
          </w:p>
        </w:tc>
        <w:tc>
          <w:tcPr>
            <w:tcW w:w="1200" w:type="dxa"/>
            <w:shd w:val="clear" w:color="auto" w:fill="auto"/>
          </w:tcPr>
          <w:p>
            <w:pPr>
              <w:spacing w:before="0" w:after="0"/>
              <w:jc w:val="center"/>
              <w:rPr>
                <w:rFonts w:eastAsia="Times New Roman"/>
                <w:b/>
                <w:noProof/>
              </w:rPr>
            </w:pPr>
            <w:r>
              <w:rPr>
                <w:b/>
                <w:noProof/>
                <w:sz w:val="22"/>
              </w:rPr>
              <w:t>Oblika pooblastila</w:t>
            </w:r>
          </w:p>
        </w:tc>
        <w:tc>
          <w:tcPr>
            <w:tcW w:w="5918" w:type="dxa"/>
            <w:shd w:val="clear" w:color="auto" w:fill="auto"/>
            <w:vAlign w:val="center"/>
          </w:tcPr>
          <w:p>
            <w:pPr>
              <w:spacing w:before="0" w:after="0"/>
              <w:jc w:val="center"/>
              <w:rPr>
                <w:rFonts w:eastAsia="Times New Roman"/>
                <w:noProof/>
              </w:rPr>
            </w:pPr>
            <w:r>
              <w:rPr>
                <w:b/>
                <w:noProof/>
                <w:sz w:val="22"/>
              </w:rPr>
              <w:t>Področje uporabe pooblastila</w:t>
            </w:r>
          </w:p>
        </w:tc>
      </w:tr>
      <w:tr>
        <w:tc>
          <w:tcPr>
            <w:tcW w:w="756" w:type="dxa"/>
            <w:shd w:val="clear" w:color="auto" w:fill="auto"/>
            <w:vAlign w:val="center"/>
          </w:tcPr>
          <w:p>
            <w:pPr>
              <w:spacing w:before="0" w:after="0"/>
              <w:jc w:val="center"/>
              <w:rPr>
                <w:rFonts w:eastAsia="Calibri"/>
                <w:b/>
                <w:noProof/>
                <w:sz w:val="20"/>
                <w:szCs w:val="20"/>
              </w:rPr>
            </w:pPr>
            <w:r>
              <w:rPr>
                <w:b/>
                <w:noProof/>
                <w:sz w:val="20"/>
              </w:rPr>
              <w:t>7(11)</w:t>
            </w:r>
          </w:p>
        </w:tc>
        <w:tc>
          <w:tcPr>
            <w:tcW w:w="1257" w:type="dxa"/>
            <w:shd w:val="clear" w:color="auto" w:fill="auto"/>
            <w:vAlign w:val="center"/>
          </w:tcPr>
          <w:p>
            <w:pPr>
              <w:spacing w:before="0" w:after="0"/>
              <w:jc w:val="center"/>
              <w:rPr>
                <w:rFonts w:eastAsia="Calibri"/>
                <w:b/>
                <w:noProof/>
                <w:sz w:val="20"/>
                <w:szCs w:val="20"/>
              </w:rPr>
            </w:pPr>
            <w:r>
              <w:rPr>
                <w:b/>
                <w:noProof/>
                <w:sz w:val="20"/>
              </w:rPr>
              <w:t>RTS</w:t>
            </w:r>
          </w:p>
        </w:tc>
        <w:tc>
          <w:tcPr>
            <w:tcW w:w="1200" w:type="dxa"/>
            <w:shd w:val="clear" w:color="auto" w:fill="auto"/>
            <w:vAlign w:val="center"/>
          </w:tcPr>
          <w:p>
            <w:pPr>
              <w:spacing w:before="0" w:after="0"/>
              <w:jc w:val="center"/>
              <w:rPr>
                <w:rFonts w:eastAsia="Calibri"/>
                <w:noProof/>
                <w:sz w:val="20"/>
                <w:szCs w:val="20"/>
              </w:rPr>
            </w:pPr>
            <w:r>
              <w:rPr>
                <w:noProof/>
                <w:sz w:val="20"/>
              </w:rPr>
              <w:t>obvezno</w:t>
            </w:r>
          </w:p>
        </w:tc>
        <w:tc>
          <w:tcPr>
            <w:tcW w:w="5918" w:type="dxa"/>
            <w:shd w:val="clear" w:color="auto" w:fill="auto"/>
            <w:vAlign w:val="center"/>
          </w:tcPr>
          <w:p>
            <w:pPr>
              <w:spacing w:before="0" w:after="0"/>
              <w:rPr>
                <w:rFonts w:eastAsia="Calibri"/>
                <w:noProof/>
                <w:sz w:val="20"/>
                <w:szCs w:val="20"/>
              </w:rPr>
            </w:pPr>
            <w:r>
              <w:rPr>
                <w:noProof/>
                <w:sz w:val="20"/>
              </w:rPr>
              <w:t>Vsebina in oblika predstavitve preteklih ključnih finančnih podatkov v izvlečku, ki upošteva različne vrste vrednostnih papirjev in izdajateljev.</w:t>
            </w:r>
          </w:p>
        </w:tc>
      </w:tr>
      <w:tr>
        <w:tc>
          <w:tcPr>
            <w:tcW w:w="756" w:type="dxa"/>
            <w:shd w:val="clear" w:color="auto" w:fill="auto"/>
            <w:vAlign w:val="center"/>
          </w:tcPr>
          <w:p>
            <w:pPr>
              <w:spacing w:before="0" w:after="0"/>
              <w:jc w:val="center"/>
              <w:rPr>
                <w:rFonts w:eastAsia="Calibri"/>
                <w:b/>
                <w:noProof/>
                <w:sz w:val="20"/>
                <w:szCs w:val="20"/>
              </w:rPr>
            </w:pPr>
            <w:r>
              <w:rPr>
                <w:b/>
                <w:noProof/>
                <w:sz w:val="20"/>
              </w:rPr>
              <w:t>18(4)</w:t>
            </w:r>
          </w:p>
        </w:tc>
        <w:tc>
          <w:tcPr>
            <w:tcW w:w="1257" w:type="dxa"/>
            <w:shd w:val="clear" w:color="auto" w:fill="auto"/>
            <w:vAlign w:val="center"/>
          </w:tcPr>
          <w:p>
            <w:pPr>
              <w:spacing w:before="0" w:after="0"/>
              <w:jc w:val="center"/>
              <w:rPr>
                <w:rFonts w:eastAsia="Calibri"/>
                <w:b/>
                <w:noProof/>
                <w:sz w:val="20"/>
                <w:szCs w:val="20"/>
              </w:rPr>
            </w:pPr>
            <w:r>
              <w:rPr>
                <w:b/>
                <w:noProof/>
                <w:sz w:val="20"/>
              </w:rPr>
              <w:t>RTS</w:t>
            </w:r>
          </w:p>
        </w:tc>
        <w:tc>
          <w:tcPr>
            <w:tcW w:w="1200" w:type="dxa"/>
            <w:shd w:val="clear" w:color="auto" w:fill="auto"/>
            <w:vAlign w:val="center"/>
          </w:tcPr>
          <w:p>
            <w:pPr>
              <w:spacing w:before="0" w:after="0"/>
              <w:jc w:val="center"/>
              <w:rPr>
                <w:rFonts w:eastAsia="Calibri"/>
                <w:noProof/>
                <w:sz w:val="20"/>
                <w:szCs w:val="20"/>
              </w:rPr>
            </w:pPr>
            <w:r>
              <w:rPr>
                <w:noProof/>
                <w:sz w:val="20"/>
              </w:rPr>
              <w:t>neobvezno</w:t>
            </w:r>
          </w:p>
        </w:tc>
        <w:tc>
          <w:tcPr>
            <w:tcW w:w="5918" w:type="dxa"/>
            <w:shd w:val="clear" w:color="auto" w:fill="auto"/>
            <w:vAlign w:val="center"/>
          </w:tcPr>
          <w:p>
            <w:pPr>
              <w:spacing w:before="0" w:after="0"/>
              <w:rPr>
                <w:rFonts w:eastAsia="Calibri"/>
                <w:noProof/>
                <w:sz w:val="20"/>
                <w:szCs w:val="20"/>
              </w:rPr>
            </w:pPr>
            <w:r>
              <w:rPr>
                <w:noProof/>
                <w:sz w:val="20"/>
              </w:rPr>
              <w:t>Posodobitev seznama iz člena 18(1) z vključitvijo dodatnih vrst dokumentov, ki jih je treba v skladu s pravom Unije vložiti pri javnemu organu ali jih mora javni organ odobriti.</w:t>
            </w:r>
          </w:p>
        </w:tc>
      </w:tr>
      <w:tr>
        <w:tc>
          <w:tcPr>
            <w:tcW w:w="756" w:type="dxa"/>
            <w:shd w:val="clear" w:color="auto" w:fill="auto"/>
            <w:vAlign w:val="center"/>
          </w:tcPr>
          <w:p>
            <w:pPr>
              <w:spacing w:before="0" w:after="0"/>
              <w:jc w:val="center"/>
              <w:rPr>
                <w:rFonts w:eastAsia="Calibri"/>
                <w:b/>
                <w:noProof/>
                <w:sz w:val="20"/>
                <w:szCs w:val="20"/>
              </w:rPr>
            </w:pPr>
            <w:r>
              <w:rPr>
                <w:b/>
                <w:noProof/>
                <w:sz w:val="20"/>
              </w:rPr>
              <w:t>20(11)</w:t>
            </w:r>
          </w:p>
        </w:tc>
        <w:tc>
          <w:tcPr>
            <w:tcW w:w="1257" w:type="dxa"/>
            <w:shd w:val="clear" w:color="auto" w:fill="auto"/>
            <w:vAlign w:val="center"/>
          </w:tcPr>
          <w:p>
            <w:pPr>
              <w:spacing w:before="0" w:after="0"/>
              <w:jc w:val="center"/>
              <w:rPr>
                <w:rFonts w:eastAsia="Calibri"/>
                <w:b/>
                <w:noProof/>
                <w:sz w:val="20"/>
                <w:szCs w:val="20"/>
              </w:rPr>
            </w:pPr>
            <w:r>
              <w:rPr>
                <w:b/>
                <w:noProof/>
                <w:sz w:val="20"/>
              </w:rPr>
              <w:t>RTS</w:t>
            </w:r>
          </w:p>
        </w:tc>
        <w:tc>
          <w:tcPr>
            <w:tcW w:w="1200" w:type="dxa"/>
            <w:shd w:val="clear" w:color="auto" w:fill="auto"/>
            <w:vAlign w:val="center"/>
          </w:tcPr>
          <w:p>
            <w:pPr>
              <w:spacing w:before="0" w:after="0"/>
              <w:jc w:val="center"/>
              <w:rPr>
                <w:rFonts w:eastAsia="Calibri"/>
                <w:noProof/>
                <w:sz w:val="20"/>
                <w:szCs w:val="20"/>
              </w:rPr>
            </w:pPr>
            <w:r>
              <w:rPr>
                <w:noProof/>
                <w:sz w:val="20"/>
              </w:rPr>
              <w:t>neobvezno</w:t>
            </w:r>
          </w:p>
        </w:tc>
        <w:tc>
          <w:tcPr>
            <w:tcW w:w="5918" w:type="dxa"/>
            <w:shd w:val="clear" w:color="auto" w:fill="auto"/>
            <w:vAlign w:val="center"/>
          </w:tcPr>
          <w:p>
            <w:pPr>
              <w:spacing w:before="0" w:after="0"/>
              <w:rPr>
                <w:rFonts w:eastAsia="Calibri"/>
                <w:noProof/>
                <w:sz w:val="20"/>
                <w:szCs w:val="20"/>
              </w:rPr>
            </w:pPr>
            <w:r>
              <w:rPr>
                <w:noProof/>
                <w:sz w:val="20"/>
              </w:rPr>
              <w:t>Opredelitev določb glede objave prospekta.</w:t>
            </w:r>
          </w:p>
        </w:tc>
      </w:tr>
      <w:tr>
        <w:tc>
          <w:tcPr>
            <w:tcW w:w="756" w:type="dxa"/>
            <w:shd w:val="clear" w:color="auto" w:fill="auto"/>
            <w:vAlign w:val="center"/>
          </w:tcPr>
          <w:p>
            <w:pPr>
              <w:spacing w:before="0" w:after="0"/>
              <w:jc w:val="center"/>
              <w:rPr>
                <w:rFonts w:eastAsia="Calibri"/>
                <w:b/>
                <w:noProof/>
                <w:sz w:val="20"/>
                <w:szCs w:val="20"/>
              </w:rPr>
            </w:pPr>
            <w:r>
              <w:rPr>
                <w:b/>
                <w:noProof/>
                <w:sz w:val="20"/>
              </w:rPr>
              <w:t>20(12)</w:t>
            </w:r>
          </w:p>
        </w:tc>
        <w:tc>
          <w:tcPr>
            <w:tcW w:w="1257" w:type="dxa"/>
            <w:shd w:val="clear" w:color="auto" w:fill="auto"/>
            <w:vAlign w:val="center"/>
          </w:tcPr>
          <w:p>
            <w:pPr>
              <w:spacing w:before="0" w:after="0"/>
              <w:jc w:val="center"/>
              <w:rPr>
                <w:rFonts w:eastAsia="Calibri"/>
                <w:b/>
                <w:noProof/>
                <w:sz w:val="20"/>
                <w:szCs w:val="20"/>
              </w:rPr>
            </w:pPr>
            <w:r>
              <w:rPr>
                <w:b/>
                <w:noProof/>
                <w:sz w:val="20"/>
              </w:rPr>
              <w:t>RTS</w:t>
            </w:r>
          </w:p>
        </w:tc>
        <w:tc>
          <w:tcPr>
            <w:tcW w:w="1200" w:type="dxa"/>
            <w:shd w:val="clear" w:color="auto" w:fill="auto"/>
            <w:vAlign w:val="center"/>
          </w:tcPr>
          <w:p>
            <w:pPr>
              <w:spacing w:before="0" w:after="0"/>
              <w:jc w:val="center"/>
              <w:rPr>
                <w:rFonts w:eastAsia="Calibri"/>
                <w:noProof/>
                <w:sz w:val="20"/>
                <w:szCs w:val="20"/>
              </w:rPr>
            </w:pPr>
            <w:r>
              <w:rPr>
                <w:noProof/>
                <w:sz w:val="20"/>
              </w:rPr>
              <w:t>obvezno</w:t>
            </w:r>
          </w:p>
        </w:tc>
        <w:tc>
          <w:tcPr>
            <w:tcW w:w="5918" w:type="dxa"/>
            <w:shd w:val="clear" w:color="auto" w:fill="auto"/>
            <w:vAlign w:val="center"/>
          </w:tcPr>
          <w:p>
            <w:pPr>
              <w:spacing w:before="0" w:after="0"/>
              <w:rPr>
                <w:rFonts w:eastAsia="Calibri"/>
                <w:noProof/>
                <w:sz w:val="20"/>
                <w:szCs w:val="20"/>
              </w:rPr>
            </w:pPr>
            <w:r>
              <w:rPr>
                <w:noProof/>
                <w:sz w:val="20"/>
              </w:rPr>
              <w:t>Opredelitev podatkov, potrebnih za razvrstitev prospektov iz člena 20(5).</w:t>
            </w:r>
          </w:p>
        </w:tc>
      </w:tr>
      <w:tr>
        <w:tc>
          <w:tcPr>
            <w:tcW w:w="756" w:type="dxa"/>
            <w:shd w:val="clear" w:color="auto" w:fill="auto"/>
            <w:vAlign w:val="center"/>
          </w:tcPr>
          <w:p>
            <w:pPr>
              <w:spacing w:before="0" w:after="0"/>
              <w:jc w:val="center"/>
              <w:rPr>
                <w:rFonts w:eastAsia="Calibri"/>
                <w:b/>
                <w:noProof/>
                <w:sz w:val="20"/>
                <w:szCs w:val="20"/>
              </w:rPr>
            </w:pPr>
            <w:r>
              <w:rPr>
                <w:b/>
                <w:noProof/>
                <w:sz w:val="20"/>
              </w:rPr>
              <w:t>22(6)</w:t>
            </w:r>
          </w:p>
        </w:tc>
        <w:tc>
          <w:tcPr>
            <w:tcW w:w="1257" w:type="dxa"/>
            <w:shd w:val="clear" w:color="auto" w:fill="auto"/>
            <w:vAlign w:val="center"/>
          </w:tcPr>
          <w:p>
            <w:pPr>
              <w:spacing w:before="0" w:after="0"/>
              <w:jc w:val="center"/>
              <w:rPr>
                <w:rFonts w:eastAsia="Calibri"/>
                <w:b/>
                <w:noProof/>
                <w:sz w:val="20"/>
                <w:szCs w:val="20"/>
              </w:rPr>
            </w:pPr>
            <w:r>
              <w:rPr>
                <w:b/>
                <w:noProof/>
                <w:sz w:val="20"/>
              </w:rPr>
              <w:t>RTS</w:t>
            </w:r>
          </w:p>
        </w:tc>
        <w:tc>
          <w:tcPr>
            <w:tcW w:w="1200" w:type="dxa"/>
            <w:shd w:val="clear" w:color="auto" w:fill="auto"/>
            <w:vAlign w:val="center"/>
          </w:tcPr>
          <w:p>
            <w:pPr>
              <w:spacing w:before="0" w:after="0"/>
              <w:jc w:val="center"/>
              <w:rPr>
                <w:rFonts w:eastAsia="Calibri"/>
                <w:noProof/>
                <w:sz w:val="20"/>
                <w:szCs w:val="20"/>
              </w:rPr>
            </w:pPr>
            <w:r>
              <w:rPr>
                <w:noProof/>
                <w:sz w:val="20"/>
              </w:rPr>
              <w:t>obvezno</w:t>
            </w:r>
          </w:p>
        </w:tc>
        <w:tc>
          <w:tcPr>
            <w:tcW w:w="5918" w:type="dxa"/>
            <w:shd w:val="clear" w:color="auto" w:fill="auto"/>
            <w:vAlign w:val="center"/>
          </w:tcPr>
          <w:p>
            <w:pPr>
              <w:spacing w:before="0" w:after="0"/>
              <w:rPr>
                <w:rFonts w:eastAsia="Calibri"/>
                <w:noProof/>
                <w:sz w:val="20"/>
                <w:szCs w:val="20"/>
              </w:rPr>
            </w:pPr>
            <w:r>
              <w:rPr>
                <w:noProof/>
                <w:sz w:val="20"/>
              </w:rPr>
              <w:t>Opredelitev primerov, ko je treba zaradi pomembnega novega dejavnika, pomembne napake ali netočnosti, povezane z informacijami iz prospekta, objaviti dodatek k prospektu.</w:t>
            </w:r>
          </w:p>
        </w:tc>
      </w:tr>
      <w:tr>
        <w:tc>
          <w:tcPr>
            <w:tcW w:w="756" w:type="dxa"/>
            <w:shd w:val="clear" w:color="auto" w:fill="auto"/>
          </w:tcPr>
          <w:p>
            <w:pPr>
              <w:spacing w:before="0" w:after="0"/>
              <w:jc w:val="center"/>
              <w:rPr>
                <w:rFonts w:eastAsia="Calibri"/>
                <w:b/>
                <w:noProof/>
                <w:sz w:val="20"/>
                <w:szCs w:val="20"/>
              </w:rPr>
            </w:pPr>
            <w:r>
              <w:rPr>
                <w:b/>
                <w:noProof/>
                <w:sz w:val="20"/>
              </w:rPr>
              <w:t>24(6)</w:t>
            </w:r>
          </w:p>
        </w:tc>
        <w:tc>
          <w:tcPr>
            <w:tcW w:w="1257" w:type="dxa"/>
            <w:shd w:val="clear" w:color="auto" w:fill="auto"/>
          </w:tcPr>
          <w:p>
            <w:pPr>
              <w:spacing w:before="0" w:after="0"/>
              <w:jc w:val="center"/>
              <w:rPr>
                <w:rFonts w:eastAsia="Calibri"/>
                <w:b/>
                <w:noProof/>
                <w:sz w:val="20"/>
                <w:szCs w:val="20"/>
              </w:rPr>
            </w:pPr>
            <w:r>
              <w:rPr>
                <w:b/>
                <w:noProof/>
                <w:sz w:val="20"/>
              </w:rPr>
              <w:t>ITS</w:t>
            </w:r>
          </w:p>
        </w:tc>
        <w:tc>
          <w:tcPr>
            <w:tcW w:w="1200" w:type="dxa"/>
            <w:shd w:val="clear" w:color="auto" w:fill="auto"/>
          </w:tcPr>
          <w:p>
            <w:pPr>
              <w:spacing w:before="0" w:after="0"/>
              <w:jc w:val="center"/>
              <w:rPr>
                <w:rFonts w:eastAsia="Calibri"/>
                <w:noProof/>
                <w:sz w:val="20"/>
                <w:szCs w:val="20"/>
              </w:rPr>
            </w:pPr>
            <w:r>
              <w:rPr>
                <w:noProof/>
                <w:sz w:val="20"/>
              </w:rPr>
              <w:t>neobvezno</w:t>
            </w:r>
          </w:p>
        </w:tc>
        <w:tc>
          <w:tcPr>
            <w:tcW w:w="5918" w:type="dxa"/>
            <w:shd w:val="clear" w:color="auto" w:fill="auto"/>
          </w:tcPr>
          <w:p>
            <w:pPr>
              <w:spacing w:before="0" w:after="0"/>
              <w:rPr>
                <w:rFonts w:eastAsia="Calibri"/>
                <w:noProof/>
                <w:sz w:val="20"/>
                <w:szCs w:val="20"/>
              </w:rPr>
            </w:pPr>
            <w:r>
              <w:rPr>
                <w:noProof/>
                <w:sz w:val="20"/>
              </w:rPr>
              <w:t>Določitev standardnih oblik, predlog in postopkov za uradno obveščanje o potrdilu o odobritvi, prospektu, dodatku k prospektu ter prevodu prospekta in/ali izvlečka.</w:t>
            </w:r>
          </w:p>
        </w:tc>
      </w:tr>
      <w:tr>
        <w:tc>
          <w:tcPr>
            <w:tcW w:w="756" w:type="dxa"/>
            <w:shd w:val="clear" w:color="auto" w:fill="auto"/>
            <w:vAlign w:val="center"/>
          </w:tcPr>
          <w:p>
            <w:pPr>
              <w:spacing w:before="0" w:after="0"/>
              <w:jc w:val="center"/>
              <w:rPr>
                <w:rFonts w:eastAsia="Calibri"/>
                <w:b/>
                <w:noProof/>
                <w:sz w:val="20"/>
                <w:szCs w:val="20"/>
              </w:rPr>
            </w:pPr>
            <w:r>
              <w:rPr>
                <w:b/>
                <w:noProof/>
                <w:sz w:val="20"/>
              </w:rPr>
              <w:t>28(2)</w:t>
            </w:r>
          </w:p>
        </w:tc>
        <w:tc>
          <w:tcPr>
            <w:tcW w:w="1257" w:type="dxa"/>
            <w:shd w:val="clear" w:color="auto" w:fill="auto"/>
            <w:vAlign w:val="center"/>
          </w:tcPr>
          <w:p>
            <w:pPr>
              <w:spacing w:before="0" w:after="0"/>
              <w:jc w:val="center"/>
              <w:rPr>
                <w:rFonts w:eastAsia="Calibri"/>
                <w:b/>
                <w:noProof/>
                <w:sz w:val="20"/>
                <w:szCs w:val="20"/>
              </w:rPr>
            </w:pPr>
            <w:r>
              <w:rPr>
                <w:b/>
                <w:noProof/>
                <w:sz w:val="20"/>
              </w:rPr>
              <w:t>RTS</w:t>
            </w:r>
          </w:p>
        </w:tc>
        <w:tc>
          <w:tcPr>
            <w:tcW w:w="1200" w:type="dxa"/>
            <w:shd w:val="clear" w:color="auto" w:fill="auto"/>
            <w:vAlign w:val="center"/>
          </w:tcPr>
          <w:p>
            <w:pPr>
              <w:spacing w:before="0" w:after="0"/>
              <w:jc w:val="center"/>
              <w:rPr>
                <w:rFonts w:eastAsia="Calibri"/>
                <w:noProof/>
                <w:sz w:val="20"/>
                <w:szCs w:val="20"/>
              </w:rPr>
            </w:pPr>
            <w:r>
              <w:rPr>
                <w:noProof/>
                <w:sz w:val="20"/>
              </w:rPr>
              <w:t>neobvezno</w:t>
            </w:r>
          </w:p>
        </w:tc>
        <w:tc>
          <w:tcPr>
            <w:tcW w:w="5918" w:type="dxa"/>
            <w:shd w:val="clear" w:color="auto" w:fill="auto"/>
            <w:vAlign w:val="center"/>
          </w:tcPr>
          <w:p>
            <w:pPr>
              <w:spacing w:before="0" w:after="0"/>
              <w:rPr>
                <w:rFonts w:eastAsia="Calibri"/>
                <w:noProof/>
                <w:sz w:val="20"/>
                <w:szCs w:val="20"/>
              </w:rPr>
            </w:pPr>
            <w:r>
              <w:rPr>
                <w:noProof/>
                <w:sz w:val="20"/>
              </w:rPr>
              <w:t>Opredelitev predloge dokumenta za dogovore o sodelovanju, ki jih pristojni organi držav članic uporabljajo, če je to mogoče.</w:t>
            </w:r>
          </w:p>
        </w:tc>
      </w:tr>
      <w:tr>
        <w:tc>
          <w:tcPr>
            <w:tcW w:w="756" w:type="dxa"/>
            <w:shd w:val="clear" w:color="auto" w:fill="auto"/>
            <w:vAlign w:val="center"/>
          </w:tcPr>
          <w:p>
            <w:pPr>
              <w:spacing w:before="0" w:after="0"/>
              <w:jc w:val="center"/>
              <w:rPr>
                <w:rFonts w:eastAsia="Calibri"/>
                <w:b/>
                <w:noProof/>
                <w:sz w:val="20"/>
                <w:szCs w:val="20"/>
              </w:rPr>
            </w:pPr>
            <w:r>
              <w:rPr>
                <w:b/>
                <w:noProof/>
                <w:sz w:val="20"/>
              </w:rPr>
              <w:t>29(6)</w:t>
            </w:r>
          </w:p>
        </w:tc>
        <w:tc>
          <w:tcPr>
            <w:tcW w:w="1257" w:type="dxa"/>
            <w:shd w:val="clear" w:color="auto" w:fill="auto"/>
            <w:vAlign w:val="center"/>
          </w:tcPr>
          <w:p>
            <w:pPr>
              <w:spacing w:before="0" w:after="0"/>
              <w:jc w:val="center"/>
              <w:rPr>
                <w:rFonts w:eastAsia="Calibri"/>
                <w:b/>
                <w:noProof/>
                <w:sz w:val="20"/>
                <w:szCs w:val="20"/>
              </w:rPr>
            </w:pPr>
            <w:r>
              <w:rPr>
                <w:b/>
                <w:noProof/>
                <w:sz w:val="20"/>
              </w:rPr>
              <w:t>RTS</w:t>
            </w:r>
          </w:p>
        </w:tc>
        <w:tc>
          <w:tcPr>
            <w:tcW w:w="1200" w:type="dxa"/>
            <w:shd w:val="clear" w:color="auto" w:fill="auto"/>
            <w:vAlign w:val="center"/>
          </w:tcPr>
          <w:p>
            <w:pPr>
              <w:spacing w:before="0" w:after="0"/>
              <w:jc w:val="center"/>
              <w:rPr>
                <w:rFonts w:eastAsia="Calibri"/>
                <w:noProof/>
                <w:sz w:val="20"/>
                <w:szCs w:val="20"/>
              </w:rPr>
            </w:pPr>
            <w:r>
              <w:rPr>
                <w:noProof/>
                <w:sz w:val="20"/>
              </w:rPr>
              <w:t>neobvezno</w:t>
            </w:r>
          </w:p>
        </w:tc>
        <w:tc>
          <w:tcPr>
            <w:tcW w:w="5918" w:type="dxa"/>
            <w:shd w:val="clear" w:color="auto" w:fill="auto"/>
            <w:vAlign w:val="center"/>
          </w:tcPr>
          <w:p>
            <w:pPr>
              <w:spacing w:before="0" w:after="0"/>
              <w:rPr>
                <w:rFonts w:eastAsia="Calibri"/>
                <w:noProof/>
                <w:sz w:val="20"/>
                <w:szCs w:val="20"/>
              </w:rPr>
            </w:pPr>
            <w:r>
              <w:rPr>
                <w:noProof/>
                <w:sz w:val="20"/>
              </w:rPr>
              <w:t>Opredelitev informacij iz člena 29(1) (obveznost sodelovanja).</w:t>
            </w:r>
          </w:p>
        </w:tc>
      </w:tr>
      <w:tr>
        <w:tc>
          <w:tcPr>
            <w:tcW w:w="756" w:type="dxa"/>
            <w:shd w:val="clear" w:color="auto" w:fill="auto"/>
          </w:tcPr>
          <w:p>
            <w:pPr>
              <w:spacing w:before="0" w:after="0"/>
              <w:jc w:val="center"/>
              <w:rPr>
                <w:rFonts w:eastAsia="Calibri"/>
                <w:b/>
                <w:noProof/>
                <w:sz w:val="20"/>
                <w:szCs w:val="20"/>
              </w:rPr>
            </w:pPr>
            <w:r>
              <w:rPr>
                <w:b/>
                <w:noProof/>
                <w:sz w:val="20"/>
              </w:rPr>
              <w:t>31(6)</w:t>
            </w:r>
          </w:p>
        </w:tc>
        <w:tc>
          <w:tcPr>
            <w:tcW w:w="1257" w:type="dxa"/>
            <w:shd w:val="clear" w:color="auto" w:fill="auto"/>
          </w:tcPr>
          <w:p>
            <w:pPr>
              <w:spacing w:before="0" w:after="0"/>
              <w:jc w:val="center"/>
              <w:rPr>
                <w:rFonts w:eastAsia="Calibri"/>
                <w:b/>
                <w:noProof/>
                <w:sz w:val="20"/>
                <w:szCs w:val="20"/>
              </w:rPr>
            </w:pPr>
            <w:r>
              <w:rPr>
                <w:b/>
                <w:noProof/>
                <w:sz w:val="20"/>
              </w:rPr>
              <w:t>RTS</w:t>
            </w:r>
          </w:p>
        </w:tc>
        <w:tc>
          <w:tcPr>
            <w:tcW w:w="1200" w:type="dxa"/>
            <w:shd w:val="clear" w:color="auto" w:fill="auto"/>
          </w:tcPr>
          <w:p>
            <w:pPr>
              <w:spacing w:before="0" w:after="0"/>
              <w:jc w:val="center"/>
              <w:rPr>
                <w:rFonts w:eastAsia="Calibri"/>
                <w:noProof/>
                <w:sz w:val="20"/>
                <w:szCs w:val="20"/>
              </w:rPr>
            </w:pPr>
            <w:r>
              <w:rPr>
                <w:noProof/>
                <w:sz w:val="20"/>
              </w:rPr>
              <w:t>neobvezno</w:t>
            </w:r>
          </w:p>
        </w:tc>
        <w:tc>
          <w:tcPr>
            <w:tcW w:w="5918" w:type="dxa"/>
            <w:shd w:val="clear" w:color="auto" w:fill="auto"/>
          </w:tcPr>
          <w:p>
            <w:pPr>
              <w:spacing w:before="0" w:after="0"/>
              <w:rPr>
                <w:rFonts w:eastAsia="Calibri"/>
                <w:noProof/>
                <w:sz w:val="20"/>
                <w:szCs w:val="20"/>
              </w:rPr>
            </w:pPr>
            <w:r>
              <w:rPr>
                <w:noProof/>
                <w:sz w:val="20"/>
              </w:rPr>
              <w:t>Opredelitev informacij, ki si jih pristojni organi izmenjajo v skladu s členom 31(1).</w:t>
            </w:r>
          </w:p>
        </w:tc>
      </w:tr>
      <w:tr>
        <w:tc>
          <w:tcPr>
            <w:tcW w:w="756" w:type="dxa"/>
            <w:shd w:val="clear" w:color="auto" w:fill="auto"/>
          </w:tcPr>
          <w:p>
            <w:pPr>
              <w:spacing w:before="0" w:after="0"/>
              <w:jc w:val="center"/>
              <w:rPr>
                <w:rFonts w:eastAsia="Calibri"/>
                <w:b/>
                <w:noProof/>
                <w:sz w:val="20"/>
                <w:szCs w:val="20"/>
              </w:rPr>
            </w:pPr>
            <w:r>
              <w:rPr>
                <w:b/>
                <w:noProof/>
                <w:sz w:val="20"/>
              </w:rPr>
              <w:t>31(7)</w:t>
            </w:r>
          </w:p>
        </w:tc>
        <w:tc>
          <w:tcPr>
            <w:tcW w:w="1257" w:type="dxa"/>
            <w:shd w:val="clear" w:color="auto" w:fill="auto"/>
          </w:tcPr>
          <w:p>
            <w:pPr>
              <w:spacing w:before="0" w:after="0"/>
              <w:jc w:val="center"/>
              <w:rPr>
                <w:rFonts w:eastAsia="Calibri"/>
                <w:b/>
                <w:noProof/>
                <w:sz w:val="20"/>
                <w:szCs w:val="20"/>
              </w:rPr>
            </w:pPr>
            <w:r>
              <w:rPr>
                <w:b/>
                <w:noProof/>
                <w:sz w:val="20"/>
              </w:rPr>
              <w:t>ITS</w:t>
            </w:r>
          </w:p>
        </w:tc>
        <w:tc>
          <w:tcPr>
            <w:tcW w:w="1200" w:type="dxa"/>
            <w:shd w:val="clear" w:color="auto" w:fill="auto"/>
          </w:tcPr>
          <w:p>
            <w:pPr>
              <w:spacing w:before="0" w:after="0"/>
              <w:jc w:val="center"/>
              <w:rPr>
                <w:rFonts w:eastAsia="Calibri"/>
                <w:noProof/>
                <w:sz w:val="20"/>
                <w:szCs w:val="20"/>
              </w:rPr>
            </w:pPr>
            <w:r>
              <w:rPr>
                <w:noProof/>
                <w:sz w:val="20"/>
              </w:rPr>
              <w:t>neobvezno</w:t>
            </w:r>
          </w:p>
        </w:tc>
        <w:tc>
          <w:tcPr>
            <w:tcW w:w="5918" w:type="dxa"/>
            <w:shd w:val="clear" w:color="auto" w:fill="auto"/>
          </w:tcPr>
          <w:p>
            <w:pPr>
              <w:spacing w:before="0" w:after="0"/>
              <w:rPr>
                <w:rFonts w:eastAsia="Calibri"/>
                <w:noProof/>
                <w:sz w:val="20"/>
                <w:szCs w:val="20"/>
              </w:rPr>
            </w:pPr>
            <w:r>
              <w:rPr>
                <w:noProof/>
                <w:sz w:val="20"/>
              </w:rPr>
              <w:t>Določitev standardnih obrazcev, predlog in postopkov za sodelovanje in izmenjavo informacij med pristojnimi organi.</w:t>
            </w:r>
          </w:p>
        </w:tc>
      </w:tr>
      <w:tr>
        <w:tc>
          <w:tcPr>
            <w:tcW w:w="756" w:type="dxa"/>
            <w:shd w:val="clear" w:color="auto" w:fill="auto"/>
          </w:tcPr>
          <w:p>
            <w:pPr>
              <w:spacing w:before="0" w:after="0"/>
              <w:jc w:val="center"/>
              <w:rPr>
                <w:rFonts w:eastAsia="Calibri"/>
                <w:b/>
                <w:noProof/>
                <w:sz w:val="20"/>
                <w:szCs w:val="20"/>
              </w:rPr>
            </w:pPr>
            <w:r>
              <w:rPr>
                <w:b/>
                <w:noProof/>
                <w:sz w:val="20"/>
              </w:rPr>
              <w:t>32(3)</w:t>
            </w:r>
          </w:p>
        </w:tc>
        <w:tc>
          <w:tcPr>
            <w:tcW w:w="1257" w:type="dxa"/>
            <w:shd w:val="clear" w:color="auto" w:fill="auto"/>
          </w:tcPr>
          <w:p>
            <w:pPr>
              <w:spacing w:before="0" w:after="0"/>
              <w:jc w:val="center"/>
              <w:rPr>
                <w:rFonts w:eastAsia="Calibri"/>
                <w:b/>
                <w:noProof/>
                <w:sz w:val="20"/>
                <w:szCs w:val="20"/>
              </w:rPr>
            </w:pPr>
            <w:r>
              <w:rPr>
                <w:b/>
                <w:noProof/>
                <w:sz w:val="20"/>
              </w:rPr>
              <w:t>ITS</w:t>
            </w:r>
          </w:p>
        </w:tc>
        <w:tc>
          <w:tcPr>
            <w:tcW w:w="1200" w:type="dxa"/>
            <w:shd w:val="clear" w:color="auto" w:fill="auto"/>
          </w:tcPr>
          <w:p>
            <w:pPr>
              <w:spacing w:before="0" w:after="0"/>
              <w:jc w:val="center"/>
              <w:rPr>
                <w:rFonts w:eastAsia="Calibri"/>
                <w:noProof/>
                <w:sz w:val="20"/>
                <w:szCs w:val="20"/>
              </w:rPr>
            </w:pPr>
            <w:r>
              <w:rPr>
                <w:noProof/>
                <w:sz w:val="20"/>
              </w:rPr>
              <w:t>neobvezno</w:t>
            </w:r>
          </w:p>
        </w:tc>
        <w:tc>
          <w:tcPr>
            <w:tcW w:w="5918" w:type="dxa"/>
            <w:shd w:val="clear" w:color="auto" w:fill="auto"/>
          </w:tcPr>
          <w:p>
            <w:pPr>
              <w:spacing w:before="0" w:after="0"/>
              <w:rPr>
                <w:rFonts w:eastAsia="Calibri"/>
                <w:noProof/>
                <w:sz w:val="20"/>
                <w:szCs w:val="20"/>
              </w:rPr>
            </w:pPr>
            <w:r>
              <w:rPr>
                <w:noProof/>
                <w:sz w:val="20"/>
              </w:rPr>
              <w:t>Določitev postopkov in obrazcev za izmenjavo informacij iz odstavka 2 (sodelovanje z ESMA).</w:t>
            </w:r>
          </w:p>
        </w:tc>
      </w:tr>
    </w:tbl>
    <w:p>
      <w:pPr>
        <w:spacing w:before="0" w:after="200" w:line="276" w:lineRule="auto"/>
        <w:jc w:val="left"/>
        <w:rPr>
          <w:rFonts w:eastAsia="Times New Roman"/>
          <w:noProof/>
        </w:rPr>
      </w:pPr>
    </w:p>
    <w:p>
      <w:pPr>
        <w:spacing w:before="0" w:after="200" w:line="276" w:lineRule="auto"/>
        <w:jc w:val="left"/>
        <w:rPr>
          <w:rFonts w:eastAsia="Times New Roman"/>
          <w:noProof/>
        </w:rPr>
      </w:pPr>
      <w:r>
        <w:rPr>
          <w:noProof/>
        </w:rPr>
        <w:t xml:space="preserve">Poleg tega bo morala ESMA posodobiti obstoječi register prospektov in ga spremeniti v </w:t>
      </w:r>
      <w:r>
        <w:rPr>
          <w:b/>
          <w:noProof/>
        </w:rPr>
        <w:t>spletni mehanizem za shranjevanje z iskalnim orodjem</w:t>
      </w:r>
      <w:r>
        <w:rPr>
          <w:noProof/>
        </w:rPr>
        <w:t xml:space="preserve">, ki ga bodo lahko vlagatelji brezplačno uporabljali. Tako bodo lahko vlagatelji dostopali do prospektov EU in jih primerjali z enega mesta. Poleg tega bo lahko ESMA na podlagi podatkov, zbranih v mehanizmu za shranjevanje, vzpostavila </w:t>
      </w:r>
      <w:r>
        <w:rPr>
          <w:b/>
          <w:noProof/>
        </w:rPr>
        <w:t>podrobne statistične podatke</w:t>
      </w:r>
      <w:r>
        <w:rPr>
          <w:noProof/>
        </w:rPr>
        <w:t xml:space="preserve"> o prospektih, odobrenih v EU, in pripravila letno poročilo. Poleg elektronske različice odobrenih prospektov bodo pristojni organi ESMA poslali tudi vrsto metapodatkov, ki bo omogočila indeksiranje prospektov na spletnem mestu ESMA. </w:t>
      </w:r>
    </w:p>
    <w:p>
      <w:pPr>
        <w:rPr>
          <w:rFonts w:eastAsia="Times New Roman"/>
          <w:noProof/>
        </w:rPr>
      </w:pPr>
      <w:r>
        <w:rPr>
          <w:noProof/>
        </w:rPr>
        <w:t xml:space="preserve">ESMA ne bodo dodeljene nove nadzorne pristojnosti, vendar bo pozvana k </w:t>
      </w:r>
      <w:r>
        <w:rPr>
          <w:b/>
          <w:noProof/>
        </w:rPr>
        <w:t>spodbujanju sodelovanja pri nadzornem delovanju in konvergence pri razlagi in uporabi meril za enostavno, pregledno in standardizirano listinjenje</w:t>
      </w:r>
      <w:r>
        <w:rPr>
          <w:noProof/>
        </w:rPr>
        <w:t xml:space="preserve"> (glej poglavje 3). Ta cilj je ključen, saj bo preprečil razdrobljenost trga listinjenja v EU. </w:t>
      </w:r>
    </w:p>
    <w:p>
      <w:pPr>
        <w:rPr>
          <w:rFonts w:eastAsia="Times New Roman"/>
          <w:noProof/>
        </w:rPr>
      </w:pPr>
      <w:r>
        <w:rPr>
          <w:b/>
          <w:noProof/>
        </w:rPr>
        <w:t>V zvezi s časovnim načrtom</w:t>
      </w:r>
      <w:r>
        <w:rPr>
          <w:noProof/>
        </w:rPr>
        <w:t xml:space="preserve"> se pričakuje, da bo uredba začela veljati v sredini leta 2016. Zato bodo od leta 2016 potrebni dodatni viri ESMA, da se začneta pripravljalno delo in neovirano izvajanje uredbe. Kar zadeva naravo delovnih mest, bodo za uspešno in pravočasno pripravo novih tehničnih standardov potrebni zlasti dodatni viri, ki se dodelijo za naloge v zvezi s politiko, pripravo zakonodajnih predpisov in ocenami učinka. </w:t>
      </w:r>
    </w:p>
    <w:p>
      <w:pPr>
        <w:rPr>
          <w:rFonts w:eastAsia="Times New Roman"/>
          <w:noProof/>
        </w:rPr>
      </w:pPr>
      <w:r>
        <w:rPr>
          <w:noProof/>
        </w:rPr>
        <w:t xml:space="preserve">Za delo so potrebni dvostranski in večstranski sestanki z deležniki, analiza in ocena možnosti ter priprava posvetovalnih dokumentov, javno posvetovanje z deležniki, vzpostavitev in upravljanje stalnih strokovnih skupin, ki jih sestavljajo nadzorniki iz držav članic, vzpostavitev in upravljanje </w:t>
      </w:r>
      <w:r>
        <w:rPr>
          <w:i/>
          <w:noProof/>
        </w:rPr>
        <w:t>ad hoc</w:t>
      </w:r>
      <w:r>
        <w:rPr>
          <w:noProof/>
        </w:rPr>
        <w:t xml:space="preserve"> strokovnih skupin, ki jih sestavljajo udeleženci na trgu in predstavniki vlagateljev, analiza odzivov na posvetovanja, priprava analize stroškov in koristi ter priprava zakonodajnega besedila.</w:t>
      </w:r>
    </w:p>
    <w:p>
      <w:pPr>
        <w:rPr>
          <w:rFonts w:eastAsia="Times New Roman"/>
          <w:noProof/>
        </w:rPr>
      </w:pPr>
      <w:r>
        <w:rPr>
          <w:noProof/>
        </w:rPr>
        <w:t>To pomeni, da bo od začetka leta 2016 potreben dodaten začasni uslužbenec. Po predvidevanjih se bo povečanje potreb nadaljevalo v letih 2017 in 2018, ker bo moral organ ESMA opravljati nove naloge. Te nove naloge so določene v predlagani uredbi in dodatno opredeljene v obrazložitvenem memorandumu.</w:t>
      </w:r>
    </w:p>
    <w:p>
      <w:pPr>
        <w:rPr>
          <w:rFonts w:eastAsia="Times New Roman"/>
          <w:b/>
          <w:noProof/>
          <w:szCs w:val="24"/>
        </w:rPr>
      </w:pPr>
      <w:r>
        <w:rPr>
          <w:b/>
          <w:noProof/>
        </w:rPr>
        <w:t>Predpostavka o dodatnih virih:</w:t>
      </w:r>
    </w:p>
    <w:p>
      <w:pPr>
        <w:spacing w:before="0" w:after="200" w:line="276" w:lineRule="auto"/>
        <w:rPr>
          <w:rFonts w:eastAsia="Times New Roman"/>
          <w:noProof/>
          <w:szCs w:val="24"/>
        </w:rPr>
      </w:pPr>
      <w:r>
        <w:rPr>
          <w:noProof/>
        </w:rPr>
        <w:t>Po predvidevanjih bodo dodatna delovna mesta namenjene začasnim uslužbencem funkcionalne skupine in razreda AD7.</w:t>
      </w:r>
    </w:p>
    <w:p>
      <w:pPr>
        <w:pStyle w:val="Bullet0"/>
        <w:numPr>
          <w:ilvl w:val="0"/>
          <w:numId w:val="85"/>
        </w:numPr>
        <w:rPr>
          <w:noProof/>
        </w:rPr>
      </w:pPr>
      <w:r>
        <w:rPr>
          <w:noProof/>
        </w:rPr>
        <w:t>Povprečni stroški plač za različne kategorije osebja temeljijo na smernicah GD za proračun o uredbi o listinjenju, ki jih je kolegij sprejel 30. septembra 2015;</w:t>
      </w:r>
    </w:p>
    <w:p>
      <w:pPr>
        <w:pStyle w:val="Bullet0"/>
        <w:rPr>
          <w:noProof/>
        </w:rPr>
      </w:pPr>
      <w:r>
        <w:rPr>
          <w:noProof/>
        </w:rPr>
        <w:t xml:space="preserve">koeficient za prilagoditev plače za Pariz je 1,168; </w:t>
      </w:r>
    </w:p>
    <w:p>
      <w:pPr>
        <w:pStyle w:val="Bullet0"/>
        <w:rPr>
          <w:noProof/>
        </w:rPr>
      </w:pPr>
      <w:r>
        <w:rPr>
          <w:noProof/>
        </w:rPr>
        <w:t>stroški, povezani z zaposlovanjem (potovanje, hotel, zdravstveni pregledi, namestitev in druga nadomestila, stroški selitve itd.), so ocenjeni na 12 700 EUR.</w:t>
      </w:r>
    </w:p>
    <w:tbl>
      <w:tblPr>
        <w:tblW w:w="9127" w:type="dxa"/>
        <w:tblInd w:w="93" w:type="dxa"/>
        <w:tblLook w:val="04A0" w:firstRow="1" w:lastRow="0" w:firstColumn="1" w:lastColumn="0" w:noHBand="0" w:noVBand="1"/>
      </w:tblPr>
      <w:tblGrid>
        <w:gridCol w:w="1840"/>
        <w:gridCol w:w="1260"/>
        <w:gridCol w:w="997"/>
        <w:gridCol w:w="69"/>
        <w:gridCol w:w="894"/>
        <w:gridCol w:w="240"/>
        <w:gridCol w:w="720"/>
        <w:gridCol w:w="556"/>
        <w:gridCol w:w="404"/>
        <w:gridCol w:w="1013"/>
        <w:gridCol w:w="1134"/>
      </w:tblGrid>
      <w:tr>
        <w:trPr>
          <w:trHeight w:val="270"/>
        </w:trPr>
        <w:tc>
          <w:tcPr>
            <w:tcW w:w="184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r>
              <w:rPr>
                <w:rFonts w:ascii="Calibri" w:hAnsi="Calibri"/>
                <w:b/>
                <w:noProof/>
                <w:sz w:val="20"/>
              </w:rPr>
              <w:t>Osebje</w:t>
            </w:r>
          </w:p>
        </w:tc>
        <w:tc>
          <w:tcPr>
            <w:tcW w:w="126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997"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963"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960"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960"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2147"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r>
      <w:tr>
        <w:trPr>
          <w:trHeight w:val="270"/>
        </w:trPr>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Vrsta stroškov</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Izračun</w:t>
            </w:r>
          </w:p>
        </w:tc>
        <w:tc>
          <w:tcPr>
            <w:tcW w:w="6027" w:type="dxa"/>
            <w:gridSpan w:val="9"/>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rFonts w:eastAsia="Times New Roman"/>
                <w:b/>
                <w:bCs/>
                <w:noProof/>
                <w:sz w:val="20"/>
                <w:szCs w:val="20"/>
              </w:rPr>
            </w:pPr>
            <w:r>
              <w:rPr>
                <w:b/>
                <w:noProof/>
                <w:sz w:val="20"/>
              </w:rPr>
              <w:t>Znesek (v tisočih)</w:t>
            </w:r>
          </w:p>
        </w:tc>
      </w:tr>
      <w:tr>
        <w:trPr>
          <w:trHeight w:val="525"/>
        </w:trPr>
        <w:tc>
          <w:tcPr>
            <w:tcW w:w="184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rFonts w:eastAsia="Times New Roman"/>
                <w:b/>
                <w:bCs/>
                <w:noProof/>
                <w:sz w:val="2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rFonts w:eastAsia="Times New Roman"/>
                <w:b/>
                <w:bCs/>
                <w:noProof/>
                <w:sz w:val="20"/>
                <w:szCs w:val="20"/>
              </w:rPr>
            </w:pPr>
          </w:p>
        </w:tc>
        <w:tc>
          <w:tcPr>
            <w:tcW w:w="106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2016</w:t>
            </w:r>
          </w:p>
        </w:tc>
        <w:tc>
          <w:tcPr>
            <w:tcW w:w="1134"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2017</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2018</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od 2019 naprej</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Skupaj</w:t>
            </w:r>
          </w:p>
        </w:tc>
      </w:tr>
      <w:tr>
        <w:trPr>
          <w:trHeight w:val="525"/>
        </w:trPr>
        <w:tc>
          <w:tcPr>
            <w:tcW w:w="184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eastAsia="Times New Roman"/>
                <w:noProof/>
                <w:sz w:val="20"/>
                <w:szCs w:val="20"/>
              </w:rPr>
            </w:pPr>
            <w:r>
              <w:rPr>
                <w:noProof/>
                <w:sz w:val="20"/>
              </w:rPr>
              <w:t>Odhodki za zaposlene</w:t>
            </w:r>
          </w:p>
        </w:tc>
        <w:tc>
          <w:tcPr>
            <w:tcW w:w="1260" w:type="dxa"/>
            <w:tcBorders>
              <w:top w:val="nil"/>
              <w:left w:val="nil"/>
              <w:bottom w:val="single" w:sz="8" w:space="0" w:color="auto"/>
              <w:right w:val="single" w:sz="8" w:space="0" w:color="auto"/>
            </w:tcBorders>
            <w:shd w:val="clear" w:color="auto" w:fill="auto"/>
            <w:vAlign w:val="center"/>
            <w:hideMark/>
          </w:tcPr>
          <w:p>
            <w:pPr>
              <w:spacing w:before="0" w:after="0"/>
              <w:rPr>
                <w:rFonts w:eastAsia="Times New Roman"/>
                <w:noProof/>
                <w:sz w:val="20"/>
                <w:szCs w:val="20"/>
              </w:rPr>
            </w:pPr>
            <w:r>
              <w:rPr>
                <w:noProof/>
                <w:sz w:val="20"/>
              </w:rPr>
              <w:t> </w:t>
            </w:r>
          </w:p>
        </w:tc>
        <w:tc>
          <w:tcPr>
            <w:tcW w:w="106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20"/>
                <w:szCs w:val="20"/>
              </w:rPr>
            </w:pPr>
            <w:r>
              <w:rPr>
                <w:b/>
                <w:noProof/>
                <w:sz w:val="20"/>
              </w:rPr>
              <w:t>1</w:t>
            </w:r>
            <w:r>
              <w:rPr>
                <w:noProof/>
                <w:sz w:val="20"/>
              </w:rPr>
              <w:t>x</w:t>
            </w:r>
            <w:r>
              <w:rPr>
                <w:rFonts w:eastAsia="Times New Roman"/>
                <w:noProof/>
                <w:sz w:val="20"/>
              </w:rPr>
              <w:br/>
            </w:r>
            <w:r>
              <w:rPr>
                <w:noProof/>
                <w:sz w:val="20"/>
              </w:rPr>
              <w:t>132 x 1,168</w:t>
            </w:r>
          </w:p>
        </w:tc>
        <w:tc>
          <w:tcPr>
            <w:tcW w:w="1134"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20"/>
                <w:szCs w:val="20"/>
              </w:rPr>
            </w:pPr>
            <w:r>
              <w:rPr>
                <w:b/>
                <w:noProof/>
                <w:sz w:val="20"/>
              </w:rPr>
              <w:t>7</w:t>
            </w:r>
            <w:r>
              <w:rPr>
                <w:noProof/>
                <w:sz w:val="20"/>
              </w:rPr>
              <w:t>x</w:t>
            </w:r>
            <w:r>
              <w:rPr>
                <w:rFonts w:eastAsia="Times New Roman"/>
                <w:noProof/>
                <w:sz w:val="20"/>
              </w:rPr>
              <w:br/>
            </w:r>
            <w:r>
              <w:rPr>
                <w:noProof/>
                <w:sz w:val="20"/>
              </w:rPr>
              <w:t>132 x 1,168</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20"/>
                <w:szCs w:val="20"/>
              </w:rPr>
            </w:pPr>
            <w:r>
              <w:rPr>
                <w:b/>
                <w:noProof/>
                <w:sz w:val="20"/>
              </w:rPr>
              <w:t>6</w:t>
            </w:r>
            <w:r>
              <w:rPr>
                <w:noProof/>
                <w:sz w:val="20"/>
              </w:rPr>
              <w:t>x</w:t>
            </w:r>
            <w:r>
              <w:rPr>
                <w:rFonts w:eastAsia="Times New Roman"/>
                <w:noProof/>
                <w:sz w:val="20"/>
              </w:rPr>
              <w:br/>
            </w:r>
            <w:r>
              <w:rPr>
                <w:noProof/>
                <w:sz w:val="20"/>
              </w:rPr>
              <w:t>132 x 1,168</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20"/>
                <w:szCs w:val="20"/>
              </w:rPr>
            </w:pPr>
            <w:r>
              <w:rPr>
                <w:b/>
                <w:noProof/>
                <w:sz w:val="20"/>
              </w:rPr>
              <w:t>1,3</w:t>
            </w:r>
            <w:r>
              <w:rPr>
                <w:noProof/>
                <w:sz w:val="20"/>
              </w:rPr>
              <w:t>x</w:t>
            </w:r>
            <w:r>
              <w:rPr>
                <w:rFonts w:eastAsia="Times New Roman"/>
                <w:noProof/>
                <w:sz w:val="20"/>
              </w:rPr>
              <w:br/>
            </w:r>
            <w:r>
              <w:rPr>
                <w:noProof/>
                <w:sz w:val="20"/>
              </w:rPr>
              <w:t>132 x 1,168</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rPr>
                <w:rFonts w:eastAsia="Times New Roman"/>
                <w:noProof/>
                <w:sz w:val="20"/>
                <w:szCs w:val="20"/>
              </w:rPr>
            </w:pPr>
            <w:r>
              <w:rPr>
                <w:noProof/>
                <w:sz w:val="20"/>
              </w:rPr>
              <w:t> </w:t>
            </w:r>
          </w:p>
        </w:tc>
      </w:tr>
      <w:tr>
        <w:trPr>
          <w:trHeight w:val="525"/>
        </w:trPr>
        <w:tc>
          <w:tcPr>
            <w:tcW w:w="184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eastAsia="Times New Roman"/>
                <w:noProof/>
                <w:sz w:val="20"/>
                <w:szCs w:val="20"/>
              </w:rPr>
            </w:pPr>
            <w:r>
              <w:rPr>
                <w:noProof/>
                <w:sz w:val="20"/>
              </w:rPr>
              <w:t>Plače in dodatki</w:t>
            </w:r>
          </w:p>
        </w:tc>
        <w:tc>
          <w:tcPr>
            <w:tcW w:w="126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20"/>
                <w:szCs w:val="20"/>
              </w:rPr>
            </w:pPr>
            <w:r>
              <w:rPr>
                <w:b/>
                <w:noProof/>
                <w:sz w:val="20"/>
              </w:rPr>
              <w:t xml:space="preserve">X </w:t>
            </w:r>
            <w:r>
              <w:rPr>
                <w:noProof/>
                <w:sz w:val="20"/>
              </w:rPr>
              <w:t>x 132 x 1,168</w:t>
            </w:r>
          </w:p>
        </w:tc>
        <w:tc>
          <w:tcPr>
            <w:tcW w:w="106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154</w:t>
            </w:r>
          </w:p>
        </w:tc>
        <w:tc>
          <w:tcPr>
            <w:tcW w:w="1134"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1 078</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924</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200</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2 356</w:t>
            </w:r>
          </w:p>
        </w:tc>
      </w:tr>
      <w:tr>
        <w:trPr>
          <w:trHeight w:val="525"/>
        </w:trPr>
        <w:tc>
          <w:tcPr>
            <w:tcW w:w="184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eastAsia="Times New Roman"/>
                <w:noProof/>
                <w:sz w:val="20"/>
                <w:szCs w:val="20"/>
              </w:rPr>
            </w:pPr>
            <w:r>
              <w:rPr>
                <w:noProof/>
                <w:sz w:val="20"/>
              </w:rPr>
              <w:t>Odhodki, povezani z zaposlovanjem</w:t>
            </w:r>
          </w:p>
        </w:tc>
        <w:tc>
          <w:tcPr>
            <w:tcW w:w="1260" w:type="dxa"/>
            <w:tcBorders>
              <w:top w:val="nil"/>
              <w:left w:val="nil"/>
              <w:bottom w:val="single" w:sz="8" w:space="0" w:color="auto"/>
              <w:right w:val="single" w:sz="8" w:space="0" w:color="auto"/>
            </w:tcBorders>
            <w:shd w:val="clear" w:color="auto" w:fill="auto"/>
            <w:vAlign w:val="center"/>
            <w:hideMark/>
          </w:tcPr>
          <w:p>
            <w:pPr>
              <w:spacing w:before="0" w:after="0"/>
              <w:rPr>
                <w:rFonts w:eastAsia="Times New Roman"/>
                <w:noProof/>
                <w:sz w:val="20"/>
                <w:szCs w:val="20"/>
              </w:rPr>
            </w:pPr>
            <w:r>
              <w:rPr>
                <w:noProof/>
                <w:sz w:val="20"/>
              </w:rPr>
              <w:t>16 x 13</w:t>
            </w:r>
          </w:p>
        </w:tc>
        <w:tc>
          <w:tcPr>
            <w:tcW w:w="106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208</w:t>
            </w:r>
          </w:p>
        </w:tc>
        <w:tc>
          <w:tcPr>
            <w:tcW w:w="1134"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 </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 </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 </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208</w:t>
            </w:r>
          </w:p>
        </w:tc>
      </w:tr>
      <w:tr>
        <w:trPr>
          <w:trHeight w:val="270"/>
        </w:trPr>
        <w:tc>
          <w:tcPr>
            <w:tcW w:w="184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eastAsia="Times New Roman"/>
                <w:noProof/>
                <w:sz w:val="20"/>
                <w:szCs w:val="20"/>
              </w:rPr>
            </w:pPr>
            <w:r>
              <w:rPr>
                <w:noProof/>
                <w:sz w:val="20"/>
              </w:rPr>
              <w:t>Skupaj</w:t>
            </w:r>
          </w:p>
        </w:tc>
        <w:tc>
          <w:tcPr>
            <w:tcW w:w="1260" w:type="dxa"/>
            <w:tcBorders>
              <w:top w:val="nil"/>
              <w:left w:val="nil"/>
              <w:bottom w:val="single" w:sz="8" w:space="0" w:color="auto"/>
              <w:right w:val="single" w:sz="8" w:space="0" w:color="auto"/>
            </w:tcBorders>
            <w:shd w:val="clear" w:color="auto" w:fill="auto"/>
            <w:vAlign w:val="center"/>
            <w:hideMark/>
          </w:tcPr>
          <w:p>
            <w:pPr>
              <w:spacing w:before="0" w:after="0"/>
              <w:rPr>
                <w:rFonts w:eastAsia="Times New Roman"/>
                <w:noProof/>
                <w:sz w:val="20"/>
                <w:szCs w:val="20"/>
              </w:rPr>
            </w:pPr>
            <w:r>
              <w:rPr>
                <w:noProof/>
                <w:sz w:val="20"/>
              </w:rPr>
              <w:t> </w:t>
            </w:r>
          </w:p>
        </w:tc>
        <w:tc>
          <w:tcPr>
            <w:tcW w:w="106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362</w:t>
            </w:r>
          </w:p>
        </w:tc>
        <w:tc>
          <w:tcPr>
            <w:tcW w:w="1134"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1 078</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924</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200</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2 564</w:t>
            </w:r>
          </w:p>
        </w:tc>
      </w:tr>
      <w:tr>
        <w:trPr>
          <w:trHeight w:val="255"/>
        </w:trPr>
        <w:tc>
          <w:tcPr>
            <w:tcW w:w="184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26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066"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134"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276"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417"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134"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r>
      <w:tr>
        <w:trPr>
          <w:trHeight w:val="270"/>
        </w:trPr>
        <w:tc>
          <w:tcPr>
            <w:tcW w:w="1840" w:type="dxa"/>
            <w:tcBorders>
              <w:top w:val="nil"/>
              <w:left w:val="nil"/>
              <w:bottom w:val="nil"/>
              <w:right w:val="nil"/>
            </w:tcBorders>
            <w:shd w:val="clear" w:color="auto" w:fill="auto"/>
            <w:vAlign w:val="center"/>
            <w:hideMark/>
          </w:tcPr>
          <w:p>
            <w:pPr>
              <w:spacing w:before="0" w:after="0"/>
              <w:jc w:val="left"/>
              <w:rPr>
                <w:rFonts w:ascii="Calibri" w:eastAsia="Times New Roman" w:hAnsi="Calibri"/>
                <w:b/>
                <w:noProof/>
                <w:sz w:val="20"/>
                <w:szCs w:val="20"/>
              </w:rPr>
            </w:pPr>
            <w:r>
              <w:rPr>
                <w:rFonts w:ascii="Calibri" w:hAnsi="Calibri"/>
                <w:b/>
                <w:noProof/>
                <w:sz w:val="20"/>
              </w:rPr>
              <w:t>Tehnični stroški (IT)</w:t>
            </w:r>
          </w:p>
        </w:tc>
        <w:tc>
          <w:tcPr>
            <w:tcW w:w="126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1066"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1134"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1276"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1417"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1134"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r>
      <w:tr>
        <w:trPr>
          <w:trHeight w:val="270"/>
        </w:trPr>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Vrsta stroškov</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Izračun</w:t>
            </w:r>
          </w:p>
        </w:tc>
        <w:tc>
          <w:tcPr>
            <w:tcW w:w="6027" w:type="dxa"/>
            <w:gridSpan w:val="9"/>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rFonts w:eastAsia="Times New Roman"/>
                <w:b/>
                <w:bCs/>
                <w:noProof/>
                <w:sz w:val="20"/>
                <w:szCs w:val="20"/>
              </w:rPr>
            </w:pPr>
            <w:r>
              <w:rPr>
                <w:b/>
                <w:noProof/>
                <w:sz w:val="20"/>
              </w:rPr>
              <w:t>Znesek (v tisočih)</w:t>
            </w:r>
          </w:p>
        </w:tc>
      </w:tr>
      <w:tr>
        <w:trPr>
          <w:trHeight w:val="525"/>
        </w:trPr>
        <w:tc>
          <w:tcPr>
            <w:tcW w:w="184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rFonts w:eastAsia="Times New Roman"/>
                <w:b/>
                <w:bCs/>
                <w:noProof/>
                <w:sz w:val="2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rFonts w:eastAsia="Times New Roman"/>
                <w:b/>
                <w:bCs/>
                <w:noProof/>
                <w:sz w:val="20"/>
                <w:szCs w:val="20"/>
              </w:rPr>
            </w:pPr>
          </w:p>
        </w:tc>
        <w:tc>
          <w:tcPr>
            <w:tcW w:w="99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2016</w:t>
            </w:r>
          </w:p>
        </w:tc>
        <w:tc>
          <w:tcPr>
            <w:tcW w:w="1203" w:type="dxa"/>
            <w:gridSpan w:val="3"/>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2017</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2018</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od 2019 naprej</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Skupaj</w:t>
            </w:r>
          </w:p>
        </w:tc>
      </w:tr>
      <w:tr>
        <w:trPr>
          <w:trHeight w:val="270"/>
        </w:trPr>
        <w:tc>
          <w:tcPr>
            <w:tcW w:w="184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eastAsia="Times New Roman"/>
                <w:noProof/>
                <w:sz w:val="20"/>
                <w:szCs w:val="20"/>
              </w:rPr>
            </w:pPr>
            <w:r>
              <w:rPr>
                <w:noProof/>
                <w:sz w:val="20"/>
              </w:rPr>
              <w:t>Skupaj</w:t>
            </w:r>
          </w:p>
        </w:tc>
        <w:tc>
          <w:tcPr>
            <w:tcW w:w="1260" w:type="dxa"/>
            <w:tcBorders>
              <w:top w:val="nil"/>
              <w:left w:val="nil"/>
              <w:bottom w:val="single" w:sz="8" w:space="0" w:color="auto"/>
              <w:right w:val="single" w:sz="8" w:space="0" w:color="auto"/>
            </w:tcBorders>
            <w:shd w:val="clear" w:color="auto" w:fill="auto"/>
            <w:vAlign w:val="center"/>
            <w:hideMark/>
          </w:tcPr>
          <w:p>
            <w:pPr>
              <w:spacing w:before="0" w:after="0"/>
              <w:rPr>
                <w:rFonts w:eastAsia="Times New Roman"/>
                <w:noProof/>
                <w:sz w:val="20"/>
                <w:szCs w:val="20"/>
              </w:rPr>
            </w:pPr>
            <w:r>
              <w:rPr>
                <w:noProof/>
                <w:sz w:val="20"/>
              </w:rPr>
              <w:t> </w:t>
            </w:r>
          </w:p>
        </w:tc>
        <w:tc>
          <w:tcPr>
            <w:tcW w:w="997"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 –</w:t>
            </w:r>
          </w:p>
        </w:tc>
        <w:tc>
          <w:tcPr>
            <w:tcW w:w="1203" w:type="dxa"/>
            <w:gridSpan w:val="3"/>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600</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600</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120</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1 320</w:t>
            </w:r>
          </w:p>
        </w:tc>
      </w:tr>
      <w:tr>
        <w:trPr>
          <w:trHeight w:val="255"/>
        </w:trPr>
        <w:tc>
          <w:tcPr>
            <w:tcW w:w="184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26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997"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203" w:type="dxa"/>
            <w:gridSpan w:val="3"/>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276"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417"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134"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r>
    </w:tbl>
    <w:p>
      <w:pPr>
        <w:rPr>
          <w:rFonts w:eastAsia="Times New Roman"/>
          <w:noProof/>
          <w:sz w:val="20"/>
        </w:rPr>
      </w:pPr>
    </w:p>
    <w:p>
      <w:pPr>
        <w:rPr>
          <w:rFonts w:eastAsia="Times New Roman"/>
          <w:noProof/>
        </w:rPr>
        <w:sectPr>
          <w:headerReference w:type="default" r:id="rId22"/>
          <w:footerReference w:type="default" r:id="rId23"/>
          <w:headerReference w:type="first" r:id="rId24"/>
          <w:footerReference w:type="first" r:id="rId25"/>
          <w:pgSz w:w="16840" w:h="11907" w:orient="landscape" w:code="9"/>
          <w:pgMar w:top="1134" w:right="1418" w:bottom="1134" w:left="1418" w:header="709" w:footer="709" w:gutter="0"/>
          <w:cols w:space="708"/>
          <w:docGrid w:linePitch="360"/>
        </w:sectPr>
      </w:pPr>
    </w:p>
    <w:p>
      <w:pPr>
        <w:rPr>
          <w:noProof/>
        </w:rPr>
      </w:pPr>
    </w:p>
    <w:sectPr>
      <w:pgSz w:w="16840" w:h="11907" w:orient="landscape"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75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87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90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97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Direktiva 2003/71/ES Evropskega parlamenta in Sveta z dne 4. novembra 2003 o prospektu, ki se objavi ob javni ponudbi ali sprejemu vrednostnih papirjev v trgovanje in o spremembi Direktive 2001/34/ES (UL L 345, 31.12.2003, str. 64).</w:t>
      </w:r>
    </w:p>
  </w:footnote>
  <w:footnote w:id="2">
    <w:p>
      <w:pPr>
        <w:pStyle w:val="FootnoteText"/>
      </w:pPr>
      <w:r>
        <w:rPr>
          <w:rStyle w:val="FootnoteReference"/>
        </w:rPr>
        <w:footnoteRef/>
      </w:r>
      <w:r>
        <w:tab/>
        <w:t>COM(2014) 903 final.</w:t>
      </w:r>
    </w:p>
  </w:footnote>
  <w:footnote w:id="3">
    <w:p>
      <w:pPr>
        <w:pStyle w:val="FootnoteText"/>
      </w:pPr>
      <w:r>
        <w:rPr>
          <w:rStyle w:val="FootnoteReference"/>
        </w:rPr>
        <w:footnoteRef/>
      </w:r>
      <w:r>
        <w:tab/>
        <w:t>COM(2015) 468 final.</w:t>
      </w:r>
    </w:p>
  </w:footnote>
  <w:footnote w:id="4">
    <w:p>
      <w:pPr>
        <w:pStyle w:val="FootnoteText"/>
      </w:pPr>
      <w:r>
        <w:rPr>
          <w:rStyle w:val="FootnoteReference"/>
        </w:rPr>
        <w:footnoteRef/>
      </w:r>
      <w:r>
        <w:tab/>
        <w:t>Direktiva 2004/109/ES Evropskega parlamenta in Sveta z dne 15. decembra 2004 o uskladitvi zahtev v zvezi s preglednostjo informacij o izdajateljih, katerih vrednostni papirji so sprejeti v trgovanje na organiziranem trgu, in o spremembah Direktive 2001/34/ES (UL L 390, 31.12.2004, str. 38).</w:t>
      </w:r>
    </w:p>
  </w:footnote>
  <w:footnote w:id="5">
    <w:p>
      <w:pPr>
        <w:pStyle w:val="FootnoteText"/>
      </w:pPr>
      <w:r>
        <w:rPr>
          <w:rStyle w:val="FootnoteReference"/>
        </w:rPr>
        <w:footnoteRef/>
      </w:r>
      <w:r>
        <w:tab/>
        <w:t>Uredba (EU) št. 1286/2014 Evropskega parlamenta in Sveta z dne 26. novembra 2014 o dokumentih s ključnimi informacijami o paketnih naložbenih produktih za male vlagatelje in zavarovalnih naložbenih produktih (PRIIP) (UL L 352, 9.12.2014, str. 1).</w:t>
      </w:r>
    </w:p>
  </w:footnote>
  <w:footnote w:id="6">
    <w:p>
      <w:pPr>
        <w:pStyle w:val="FootnoteText"/>
      </w:pPr>
      <w:r>
        <w:rPr>
          <w:rStyle w:val="FootnoteReference"/>
        </w:rPr>
        <w:footnoteRef/>
      </w:r>
      <w:r>
        <w:tab/>
        <w:t>Uredba (EU) št. 596/2014 Evropskega parlamenta in Sveta z dne 16. aprila 2014 o zlorabi trga (uredba o zlorabi trga) ter razveljavitvi Direktive 2003/6/ES Evropskega parlamenta in Sveta ter direktiv Komisije 2003/124/ES, 2003/125/ES in 2004/72/ES (UL L 173, 12.6.2014, str. 1).</w:t>
      </w:r>
    </w:p>
  </w:footnote>
  <w:footnote w:id="7">
    <w:p>
      <w:pPr>
        <w:pStyle w:val="FootnoteText"/>
      </w:pPr>
      <w:r>
        <w:rPr>
          <w:rStyle w:val="FootnoteReference"/>
        </w:rPr>
        <w:footnoteRef/>
      </w:r>
      <w:r>
        <w:tab/>
        <w:t>Sporočilo Komisije Evropskemu parlamentu, Svetu, Evropskemu ekonomsko-socialnemu odboru in Odboru regij „Krepitev sistemov sankcij v sektorju finančnih storitev“ z dne 8. decembra 2010 (COM(2010) 716 final).</w:t>
      </w:r>
    </w:p>
  </w:footnote>
  <w:footnote w:id="8">
    <w:p>
      <w:pPr>
        <w:pStyle w:val="FootnoteText"/>
      </w:pPr>
      <w:r>
        <w:rPr>
          <w:rStyle w:val="FootnoteReference"/>
        </w:rPr>
        <w:footnoteRef/>
      </w:r>
      <w:r>
        <w:tab/>
        <w:t>[UL C , , str. ].</w:t>
      </w:r>
    </w:p>
  </w:footnote>
  <w:footnote w:id="9">
    <w:p>
      <w:pPr>
        <w:pStyle w:val="FootnoteText"/>
      </w:pPr>
      <w:r>
        <w:rPr>
          <w:rStyle w:val="FootnoteReference"/>
        </w:rPr>
        <w:footnoteRef/>
      </w:r>
      <w:r>
        <w:tab/>
        <w:t>[UL C , , str. ].</w:t>
      </w:r>
    </w:p>
  </w:footnote>
  <w:footnote w:id="10">
    <w:p>
      <w:pPr>
        <w:pStyle w:val="FootnoteText"/>
      </w:pPr>
      <w:r>
        <w:rPr>
          <w:rStyle w:val="FootnoteReference"/>
        </w:rPr>
        <w:footnoteRef/>
      </w:r>
      <w:r>
        <w:tab/>
        <w:t>Uredba (EU) št. 1286/2014 Evropskega parlamenta in Sveta z dne 26. novembra 2014 o dokumentih s ključnimi informacijami o paketnih naložbenih produktih za male vlagatelje in zavarovalnih naložbenih produktih (PRIIP) (UL L 352, 9.12.2014, str. 1).</w:t>
      </w:r>
    </w:p>
  </w:footnote>
  <w:footnote w:id="11">
    <w:p>
      <w:pPr>
        <w:pStyle w:val="FootnoteText"/>
      </w:pPr>
      <w:r>
        <w:rPr>
          <w:rStyle w:val="FootnoteReference"/>
        </w:rPr>
        <w:footnoteRef/>
      </w:r>
      <w:r>
        <w:tab/>
        <w:t>Direktiva 2004/109/ES Evropskega parlamenta in Sveta z dne 15. decembra 2004 o uskladitvi zahtev v zvezi s preglednostjo informacij o izdajateljih, katerih vrednostni papirji so sprejeti v trgovanje na reguliranem trgu, in o spremembah Direktive 2001/34/ES (UL L 390, 31.12.2004, str. 38).</w:t>
      </w:r>
    </w:p>
  </w:footnote>
  <w:footnote w:id="12">
    <w:p>
      <w:pPr>
        <w:pStyle w:val="FootnoteText"/>
      </w:pPr>
      <w:r>
        <w:rPr>
          <w:rStyle w:val="FootnoteReference"/>
        </w:rPr>
        <w:footnoteRef/>
      </w:r>
      <w:r>
        <w:tab/>
        <w:t>Uredba (EU) št. 596/2014 Evropskega parlamenta in Sveta z dne 16. aprila 2014 o zlorabi trga (uredba o zlorabi trga) ter razveljavitvi Direktive 2003/6/ES Evropskega parlamenta in Sveta ter direktiv Komisije 2003/124/ES, 2003/125/ES in 2004/72/ES (UL L 173, 12.6.2014, str. 1).</w:t>
      </w:r>
    </w:p>
  </w:footnote>
  <w:footnote w:id="13">
    <w:p>
      <w:pPr>
        <w:pStyle w:val="FootnoteText"/>
      </w:pPr>
      <w:r>
        <w:rPr>
          <w:rStyle w:val="FootnoteReference"/>
        </w:rPr>
        <w:footnoteRef/>
      </w:r>
      <w:r>
        <w:tab/>
        <w:t>Uredba (EU) št. 1095/2010 Evropskega parlamenta in Sveta z dne 24. novembra 2010 o ustanovitvi Evropskega nadzornega organa (Evropski organ za vrednostne papirje in trge) in o spremembi Sklepa št. 716/2009/ES ter razveljavitvi Sklepa Komisije 2009/77/ES (UL L 331, 15.12.2010, str. 84).</w:t>
      </w:r>
    </w:p>
  </w:footnote>
  <w:footnote w:id="14">
    <w:p>
      <w:pPr>
        <w:pStyle w:val="FootnoteText"/>
      </w:pPr>
      <w:r>
        <w:rPr>
          <w:rStyle w:val="FootnoteReference"/>
        </w:rPr>
        <w:footnoteRef/>
      </w:r>
      <w:r>
        <w:tab/>
        <w:t>Uredba (EU) št. 182/2011 Evropskega parlamenta in Sveta z dne 16. februarja 2011 o določitvi splošnih pravil in načel, na podlagi katerih države članice nadzirajo izvajanje izvedbenih pooblastil Komisije (UL L 55, 28.2.2011, str. 13).</w:t>
      </w:r>
    </w:p>
  </w:footnote>
  <w:footnote w:id="15">
    <w:p>
      <w:pPr>
        <w:pStyle w:val="FootnoteText"/>
      </w:pPr>
      <w:r>
        <w:rPr>
          <w:rStyle w:val="FootnoteReference"/>
        </w:rPr>
        <w:footnoteRef/>
      </w:r>
      <w:r>
        <w:tab/>
        <w:t>Direktiva 95/46/ES Evropskega parlamenta in Sveta z dne 24. oktobra 1995 o varstvu posameznikov pri obdelavi osebnih podatkov in o prostem pretoku takih podatkov (UL L 281, 23.11.1995, str. 31).</w:t>
      </w:r>
    </w:p>
  </w:footnote>
  <w:footnote w:id="16">
    <w:p>
      <w:pPr>
        <w:pStyle w:val="FootnoteText"/>
      </w:pPr>
      <w:r>
        <w:rPr>
          <w:rStyle w:val="FootnoteReference"/>
        </w:rPr>
        <w:footnoteRef/>
      </w:r>
      <w:r>
        <w:tab/>
        <w:t>Uredba (ES) št. 45/2001 Evropskega parlamenta in Sveta z dne 18. decembra 2000 o varstvu posameznikov pri obdelavi osebnih podatkov v institucijah in organih Skupnosti in o prostem pretoku takih podatkov (UL L 8, 12.1.2001, str. 1).</w:t>
      </w:r>
    </w:p>
  </w:footnote>
  <w:footnote w:id="17">
    <w:p>
      <w:pPr>
        <w:pStyle w:val="FootnoteText"/>
      </w:pPr>
      <w:r>
        <w:rPr>
          <w:rStyle w:val="FootnoteReference"/>
        </w:rPr>
        <w:footnoteRef/>
      </w:r>
      <w:r>
        <w:tab/>
        <w:t>Direktiva 2014/49/EU Evropskega parlamenta in Sveta z dne 16. aprila 2014 o sistemih jamstva za vloge (UL L 173, 12.6.2014, str. 149).</w:t>
      </w:r>
    </w:p>
  </w:footnote>
  <w:footnote w:id="18">
    <w:p>
      <w:pPr>
        <w:pStyle w:val="FootnoteText"/>
      </w:pPr>
      <w:r>
        <w:rPr>
          <w:rStyle w:val="FootnoteReference"/>
        </w:rPr>
        <w:footnoteRef/>
      </w:r>
      <w:r>
        <w:tab/>
        <w:t>Direktiva Sveta 80/390/EGS z dne 17. marca 1980 o uskladitvi zahtev za pripravo, pregled in razdeljevanje prospektov za sprejem vrednostnih papirjev v uradno kotacijo na borzi (UL L 100, 17.4.1980, str. 1).</w:t>
      </w:r>
    </w:p>
  </w:footnote>
  <w:footnote w:id="19">
    <w:p>
      <w:pPr>
        <w:pStyle w:val="FootnoteText"/>
      </w:pPr>
      <w:r>
        <w:rPr>
          <w:rStyle w:val="FootnoteReference"/>
        </w:rPr>
        <w:footnoteRef/>
      </w:r>
      <w:r>
        <w:tab/>
        <w:t>Direktiva 2001/34/ES Evropskega parlamenta in Sveta z dne 28. maja 2001 o sprejemu vrednostnih papirjev v uradno kotacijo na borzi in o informacijah, ki jih je treba objaviti v zvezi s temi vrednostnimi papirji (UL L 184, 6.7.2001, str. 1).</w:t>
      </w:r>
    </w:p>
  </w:footnote>
  <w:footnote w:id="20">
    <w:p>
      <w:pPr>
        <w:pStyle w:val="FootnoteText"/>
      </w:pPr>
      <w:r>
        <w:rPr>
          <w:rStyle w:val="FootnoteReference"/>
        </w:rPr>
        <w:footnoteRef/>
      </w:r>
      <w:r>
        <w:tab/>
        <w:t>Uredba (EU) št. 575/2013 Evropskega parlamenta in Sveta z dne 26. junija 2013 o bonitetnih zahtevah za kreditne institucije in investicijska podjetja ter o spremembi Uredbe (EU) št. 648/2012 (UL L 176, 27.6.2013, str. 1).</w:t>
      </w:r>
    </w:p>
  </w:footnote>
  <w:footnote w:id="21">
    <w:p>
      <w:pPr>
        <w:pStyle w:val="FootnoteText"/>
      </w:pPr>
      <w:r>
        <w:rPr>
          <w:rStyle w:val="FootnoteReference"/>
        </w:rPr>
        <w:footnoteRef/>
      </w:r>
      <w:r>
        <w:tab/>
        <w:t>Uredba (EU) št. 1286/2014 Evropskega parlamenta in Sveta z dne 26. novembra 2014 o dokumentih s ključnimi informacijami o paketnih naložbenih produktih za male vlagatelje in zavarovalnih naložbenih produktih (PRIIP) (UL L 352, 9.12.2014, str. 1).</w:t>
      </w:r>
    </w:p>
  </w:footnote>
  <w:footnote w:id="22">
    <w:p>
      <w:pPr>
        <w:pStyle w:val="FootnoteText"/>
      </w:pPr>
      <w:r>
        <w:rPr>
          <w:rStyle w:val="FootnoteReference"/>
        </w:rPr>
        <w:footnoteRef/>
      </w:r>
      <w:r>
        <w:tab/>
        <w:t xml:space="preserve">Uredba Komisije (ES) št. 809/2004 z dne 29. aprila 2004 o izvajanju Direktive 2003/71/ES Evropskega parlamenta in Sveta o informacijah, ki jih vsebujejo prospekti, in o obliki prospektov, vključitvi informacij s sklicevanjem in objavi teh prospektov in razširjanju oglaševanj (UL L 149, 30.4.2004, str. 3). </w:t>
      </w:r>
    </w:p>
  </w:footnote>
  <w:footnote w:id="23">
    <w:p>
      <w:pPr>
        <w:pStyle w:val="FootnoteText"/>
      </w:pPr>
      <w:r>
        <w:rPr>
          <w:rStyle w:val="FootnoteReference"/>
        </w:rPr>
        <w:footnoteRef/>
      </w:r>
      <w:r>
        <w:tab/>
        <w:t>Direktiva 2004/109/ES Evropskega parlamenta in Sveta z dne 15. decembra 2004 o uskladitvi zahtev v zvezi s preglednostjo informacij o izdajateljih, katerih vrednostni papirji so sprejeti v trgovanje na reguliranem trgu, in o spremembah Direktive 2001/34/ES (UL L 390, 31.12.2004, str. 38).</w:t>
      </w:r>
    </w:p>
  </w:footnote>
  <w:footnote w:id="24">
    <w:p>
      <w:pPr>
        <w:pStyle w:val="FootnoteText"/>
      </w:pPr>
      <w:r>
        <w:rPr>
          <w:rStyle w:val="FootnoteReference"/>
        </w:rPr>
        <w:footnoteRef/>
      </w:r>
      <w:r>
        <w:tab/>
        <w:t>Direktiva 2013/34/EU 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 (UL L 182, 29.6.2013, str. 19).</w:t>
      </w:r>
    </w:p>
  </w:footnote>
  <w:footnote w:id="25">
    <w:p>
      <w:pPr>
        <w:pStyle w:val="FootnoteText"/>
      </w:pPr>
      <w:r>
        <w:rPr>
          <w:rStyle w:val="FootnoteReference"/>
        </w:rPr>
        <w:footnoteRef/>
      </w:r>
      <w:r>
        <w:tab/>
        <w:t>[UL C , , str. ].</w:t>
      </w:r>
    </w:p>
  </w:footnote>
  <w:footnote w:id="26">
    <w:p>
      <w:pPr>
        <w:pStyle w:val="FootnoteText"/>
      </w:pPr>
      <w:r>
        <w:rPr>
          <w:rStyle w:val="FootnoteReference"/>
        </w:rPr>
        <w:footnoteRef/>
      </w:r>
      <w:r>
        <w:tab/>
        <w:t>Uredba (EU) št. 600/2014 Evropskega parlamenta in Sveta z dne 15. maja 2014 o trgih finančnih instrumentov in spremembi Uredbe (EU) št. 648/2012 (UL L 173, 12.6.2014, str. 84).</w:t>
      </w:r>
    </w:p>
  </w:footnote>
  <w:footnote w:id="27">
    <w:p>
      <w:pPr>
        <w:pStyle w:val="FootnoteText"/>
      </w:pPr>
      <w:r>
        <w:rPr>
          <w:rStyle w:val="FootnoteReference"/>
        </w:rPr>
        <w:footnoteRef/>
      </w:r>
      <w:r>
        <w:tab/>
        <w:t>Sklep Komisije 2001/528/ES z dne 6. junija 2001 o ustanovitvi Evropskega odbora za vrednostne papirje (UL L 191, 13.7.2001, str. 45).</w:t>
      </w:r>
    </w:p>
  </w:footnote>
  <w:footnote w:id="28">
    <w:p>
      <w:pPr>
        <w:pStyle w:val="FootnoteText"/>
        <w:rPr>
          <w:szCs w:val="24"/>
        </w:rPr>
      </w:pPr>
      <w:r>
        <w:rPr>
          <w:rStyle w:val="FootnoteReference"/>
        </w:rPr>
        <w:footnoteRef/>
      </w:r>
      <w:r>
        <w:tab/>
        <w:t>ABM: upravljanje po dejavnostih; ABB: oblikovanje proračuna po dejavnostih.</w:t>
      </w:r>
    </w:p>
  </w:footnote>
  <w:footnote w:id="29">
    <w:p>
      <w:pPr>
        <w:pStyle w:val="FootnoteText"/>
        <w:rPr>
          <w:szCs w:val="24"/>
        </w:rPr>
      </w:pPr>
      <w:r>
        <w:rPr>
          <w:rStyle w:val="FootnoteReference"/>
        </w:rPr>
        <w:footnoteRef/>
      </w:r>
      <w:r>
        <w:tab/>
        <w:t>Po členu 54(2)(a) oz. (b) finančne uredbe.</w:t>
      </w:r>
    </w:p>
  </w:footnote>
  <w:footnote w:id="30">
    <w:p>
      <w:pPr>
        <w:pStyle w:val="FootnoteText"/>
        <w:rPr>
          <w:szCs w:val="24"/>
        </w:rPr>
      </w:pPr>
      <w:r>
        <w:rPr>
          <w:rStyle w:val="FootnoteReference"/>
        </w:rPr>
        <w:footnoteRef/>
      </w:r>
      <w:r>
        <w:tab/>
        <w:t xml:space="preserve">Pojasnila o načinih upravljanja in sklici na finančno uredbo so na voljo na spletišču BudgWeb: </w:t>
      </w:r>
      <w:hyperlink r:id="rId1">
        <w:r>
          <w:rPr>
            <w:rStyle w:val="Hyperlink"/>
            <w:sz w:val="18"/>
          </w:rPr>
          <w:t>http://www.cc.cec/budg/man/budgmanag/budgmanag_en.html</w:t>
        </w:r>
      </w:hyperlink>
    </w:p>
  </w:footnote>
  <w:footnote w:id="31">
    <w:p>
      <w:pPr>
        <w:pStyle w:val="FootnoteText"/>
        <w:rPr>
          <w:szCs w:val="24"/>
        </w:rPr>
      </w:pPr>
      <w:r>
        <w:rPr>
          <w:rStyle w:val="FootnoteReference"/>
        </w:rPr>
        <w:footnoteRef/>
      </w:r>
      <w:r>
        <w:tab/>
        <w:t>dif. = diferencirana sredstva / nedif. = nediferencirana sredstva.</w:t>
      </w:r>
    </w:p>
  </w:footnote>
  <w:footnote w:id="32">
    <w:p>
      <w:pPr>
        <w:pStyle w:val="FootnoteText"/>
        <w:rPr>
          <w:szCs w:val="24"/>
        </w:rPr>
      </w:pPr>
      <w:r>
        <w:rPr>
          <w:rStyle w:val="FootnoteReference"/>
        </w:rPr>
        <w:footnoteRef/>
      </w:r>
      <w:r>
        <w:tab/>
        <w:t xml:space="preserve">Efta: Evropsko združenje za prosto trgovino. </w:t>
      </w:r>
    </w:p>
  </w:footnote>
  <w:footnote w:id="33">
    <w:p>
      <w:pPr>
        <w:pStyle w:val="FootnoteText"/>
        <w:rPr>
          <w:szCs w:val="24"/>
        </w:rPr>
      </w:pPr>
      <w:r>
        <w:rPr>
          <w:rStyle w:val="FootnoteReference"/>
        </w:rPr>
        <w:footnoteRef/>
      </w:r>
      <w:r>
        <w:tab/>
        <w:t>Države kandidatke in po potrebi potencialne države kandidatke z Zahodnega Balkana.</w:t>
      </w:r>
    </w:p>
  </w:footnote>
  <w:footnote w:id="34">
    <w:p>
      <w:pPr>
        <w:pStyle w:val="FootnoteText"/>
        <w:rPr>
          <w:szCs w:val="24"/>
        </w:rPr>
      </w:pPr>
      <w:r>
        <w:rPr>
          <w:rStyle w:val="FootnoteReference"/>
        </w:rPr>
        <w:footnoteRef/>
      </w:r>
      <w:r>
        <w:tab/>
        <w:t>Leto N je leto začetka izvajanja predloga/pobude.</w:t>
      </w:r>
    </w:p>
  </w:footnote>
  <w:footnote w:id="35">
    <w:p>
      <w:pPr>
        <w:pStyle w:val="FootnoteText"/>
      </w:pPr>
      <w:r>
        <w:rPr>
          <w:rStyle w:val="FootnoteReference"/>
        </w:rPr>
        <w:footnoteRef/>
      </w:r>
      <w:r>
        <w:tab/>
        <w:t>Znesek SKUPAJ zajema fazo izvajanja in prvo leto po njej. Ne zajema naslednjih let, v katerih bi bile odobritve enake kot za leto 2019, saj to obdobje ni omejeno in ga zato ni mogoče prišteti.</w:t>
      </w:r>
    </w:p>
  </w:footnote>
  <w:footnote w:id="36">
    <w:p>
      <w:pPr>
        <w:pStyle w:val="FootnoteText"/>
        <w:rPr>
          <w:szCs w:val="24"/>
        </w:rPr>
      </w:pPr>
      <w:r>
        <w:rPr>
          <w:rStyle w:val="FootnoteReference"/>
        </w:rPr>
        <w:footnoteRef/>
      </w:r>
      <w:r>
        <w:tab/>
        <w:t>Leto N je leto začetka izvajanja predloga/pobude.</w:t>
      </w:r>
    </w:p>
  </w:footnote>
  <w:footnote w:id="37">
    <w:p>
      <w:pPr>
        <w:pStyle w:val="FootnoteText"/>
      </w:pPr>
      <w:r>
        <w:rPr>
          <w:rStyle w:val="FootnoteReference"/>
        </w:rPr>
        <w:footnoteRef/>
      </w:r>
      <w:r>
        <w:tab/>
        <w:t>Znesek SKUPAJ zajema fazo izvajanja in prvo leto po njej. Ne zajema naslednjih let, v katerih bi bile odobritve enake kot za leto 2019, saj to obdobje ni omejeno in ga zato ni mogoče prišteti.</w:t>
      </w:r>
    </w:p>
  </w:footnote>
  <w:footnote w:id="38">
    <w:p>
      <w:pPr>
        <w:pStyle w:val="FootnoteText"/>
        <w:rPr>
          <w:szCs w:val="24"/>
        </w:rPr>
      </w:pPr>
      <w:r>
        <w:rPr>
          <w:rStyle w:val="FootnoteReference"/>
        </w:rPr>
        <w:footnoteRef/>
      </w:r>
      <w:r>
        <w:tab/>
        <w:t>Realizacije so dobavljeni proizvodi in opravljene storitve (npr. število financiranih izmenjav študentov, število kilometrov novozgrajenih cest …).</w:t>
      </w:r>
    </w:p>
  </w:footnote>
  <w:footnote w:id="39">
    <w:p>
      <w:pPr>
        <w:pStyle w:val="FootnoteText"/>
        <w:rPr>
          <w:szCs w:val="24"/>
        </w:rPr>
      </w:pPr>
      <w:r>
        <w:rPr>
          <w:rStyle w:val="FootnoteReference"/>
        </w:rPr>
        <w:footnoteRef/>
      </w:r>
      <w:r>
        <w:tab/>
        <w:t>Kakor je opisan v točki 1.4.2. „Posamezni cilji …“.</w:t>
      </w:r>
    </w:p>
  </w:footnote>
  <w:footnote w:id="40">
    <w:p>
      <w:pPr>
        <w:pStyle w:val="FootnoteText"/>
        <w:rPr>
          <w:szCs w:val="24"/>
        </w:rPr>
      </w:pPr>
      <w:r>
        <w:rPr>
          <w:rStyle w:val="FootnoteReference"/>
        </w:rPr>
        <w:footnoteRef/>
      </w:r>
      <w:r>
        <w:tab/>
        <w:t>Leto N je leto začetka izvajanja predloga/pobude.</w:t>
      </w:r>
    </w:p>
  </w:footnote>
  <w:footnote w:id="41">
    <w:p>
      <w:pPr>
        <w:pStyle w:val="FootnoteText"/>
      </w:pPr>
      <w:r>
        <w:rPr>
          <w:rStyle w:val="FootnoteReference"/>
        </w:rPr>
        <w:footnoteRef/>
      </w:r>
      <w:r>
        <w:tab/>
        <w:t>Znesek SKUPAJ zajema fazo izvajanja in prvo leto po njej. Ne zajema naslednjih let, v katerih bi bile odobritve enake kot za leto 2019, saj to obdobje ni omejeno in ga zato ni mogoče prišteti.</w:t>
      </w:r>
    </w:p>
  </w:footnote>
  <w:footnote w:id="42">
    <w:p>
      <w:pPr>
        <w:pStyle w:val="FootnoteText"/>
        <w:rPr>
          <w:szCs w:val="24"/>
        </w:rPr>
      </w:pPr>
      <w:r>
        <w:rPr>
          <w:rStyle w:val="FootnoteReference"/>
        </w:rPr>
        <w:footnoteRef/>
      </w:r>
      <w:r>
        <w:tab/>
        <w:t xml:space="preserve">PU = pogodbeni uslužbenec; LU = lokalni uslužbenec; NNS = napoteni nacionalni strokovnjak; ZU = začasni uslužbenec; MSD = mladi strokovnjak na delegaciji. </w:t>
      </w:r>
    </w:p>
  </w:footnote>
  <w:footnote w:id="43">
    <w:p>
      <w:pPr>
        <w:pStyle w:val="FootnoteText"/>
        <w:rPr>
          <w:szCs w:val="24"/>
        </w:rPr>
      </w:pPr>
      <w:r>
        <w:rPr>
          <w:rStyle w:val="FootnoteReference"/>
        </w:rPr>
        <w:footnoteRef/>
      </w:r>
      <w:r>
        <w:tab/>
        <w:t>Dodatna zgornja meja za zunanje sodelavce v okviru odobritev za poslovanje (prej vrstice BA).</w:t>
      </w:r>
    </w:p>
  </w:footnote>
  <w:footnote w:id="44">
    <w:p>
      <w:pPr>
        <w:pStyle w:val="FootnoteText"/>
        <w:rPr>
          <w:szCs w:val="24"/>
        </w:rPr>
      </w:pPr>
      <w:r>
        <w:rPr>
          <w:rStyle w:val="FootnoteReference"/>
        </w:rPr>
        <w:footnoteRef/>
      </w:r>
      <w:r>
        <w:tab/>
        <w:t>Zlasti za strukturna sklada, Evropski kmetijski sklad za razvoj podeželja (EKSRP) in Evropski sklad za ribištvo (ESR).</w:t>
      </w:r>
    </w:p>
  </w:footnote>
  <w:footnote w:id="45">
    <w:p>
      <w:pPr>
        <w:pStyle w:val="FootnoteText"/>
        <w:rPr>
          <w:szCs w:val="24"/>
        </w:rPr>
      </w:pPr>
      <w:r>
        <w:rPr>
          <w:rStyle w:val="FootnoteReference"/>
        </w:rPr>
        <w:footnoteRef/>
      </w:r>
      <w:r>
        <w:tab/>
        <w:t>Glej člena 11 in 17 Uredbe Sveta (EU, Euratom) št. 1311/2013 o večletnem finančnem okviru za obdobje 2014–2020.</w:t>
      </w:r>
    </w:p>
  </w:footnote>
  <w:footnote w:id="46">
    <w:p>
      <w:pPr>
        <w:pStyle w:val="FootnoteText"/>
        <w:rPr>
          <w:szCs w:val="24"/>
        </w:rPr>
      </w:pPr>
      <w:r>
        <w:rPr>
          <w:rStyle w:val="FootnoteReference"/>
        </w:rPr>
        <w:footnoteRef/>
      </w:r>
      <w:r>
        <w:tab/>
        <w:t>Pri tradicionalnih lastnih sredstvih (carine, prelevmani na sladkor) se navedejo neto zneski, tj. bruto zneski po odbitku 25 % stroškov pobiranja.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num>
  <w:num w:numId="51">
    <w:abstractNumId w:val="21"/>
    <w:lvlOverride w:ilvl="0">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num>
  <w:num w:numId="83">
    <w:abstractNumId w:val="27"/>
    <w:lvlOverride w:ilvl="0">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lvlOverride w:ilvl="0">
      <w:startOverride w:val="1"/>
    </w:lvlOverride>
  </w:num>
  <w:num w:numId="86">
    <w:abstractNumId w:val="17"/>
  </w:num>
  <w:num w:numId="87">
    <w:abstractNumId w:val="9"/>
  </w:num>
  <w:num w:numId="88">
    <w:abstractNumId w:val="6"/>
  </w:num>
  <w:num w:numId="89">
    <w:abstractNumId w:val="2"/>
  </w:num>
  <w:num w:numId="90">
    <w:abstractNumId w:val="1"/>
  </w:num>
  <w:num w:numId="91">
    <w:abstractNumId w:val="24"/>
  </w:num>
  <w:num w:numId="92">
    <w:abstractNumId w:val="26"/>
  </w:num>
  <w:num w:numId="93">
    <w:abstractNumId w:val="25"/>
  </w:num>
  <w:num w:numId="94">
    <w:abstractNumId w:val="28"/>
  </w:num>
  <w:num w:numId="95">
    <w:abstractNumId w:val="5"/>
  </w:num>
  <w:num w:numId="96">
    <w:abstractNumId w:val="11"/>
  </w:num>
  <w:num w:numId="97">
    <w:abstractNumId w:val="15"/>
  </w:num>
  <w:num w:numId="98">
    <w:abstractNumId w:val="13"/>
  </w:num>
  <w:num w:numId="99">
    <w:abstractNumId w:val="0"/>
  </w:num>
  <w:num w:numId="100">
    <w:abstractNumId w:val="16"/>
  </w:num>
  <w:num w:numId="101">
    <w:abstractNumId w:val="21"/>
  </w:num>
  <w:num w:numId="102">
    <w:abstractNumId w:val="10"/>
  </w:num>
  <w:num w:numId="103">
    <w:abstractNumId w:val="27"/>
  </w:num>
  <w:num w:numId="104">
    <w:abstractNumId w:val="8"/>
  </w:num>
  <w:num w:numId="105">
    <w:abstractNumId w:val="12"/>
  </w:num>
  <w:num w:numId="106">
    <w:abstractNumId w:val="4"/>
  </w:num>
  <w:num w:numId="107">
    <w:abstractNumId w:val="23"/>
  </w:num>
  <w:num w:numId="108">
    <w:abstractNumId w:val="3"/>
  </w:num>
  <w:num w:numId="109">
    <w:abstractNumId w:val="14"/>
  </w:num>
  <w:num w:numId="110">
    <w:abstractNumId w:val="19"/>
  </w:num>
  <w:num w:numId="111">
    <w:abstractNumId w:val="20"/>
  </w:num>
  <w:num w:numId="112">
    <w:abstractNumId w:val="7"/>
  </w:num>
  <w:num w:numId="113">
    <w:abstractNumId w:val="18"/>
  </w:num>
  <w:num w:numId="114">
    <w:abstractNumId w:val="29"/>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21 10:26:1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F81D1260A89C42E5A3D54AB880550112"/>
    <w:docVar w:name="LW_CROSSREFERENCE" w:val="{SWD(2015) 255 final}_x000b_{SWD(2015) 256 final}"/>
    <w:docVar w:name="LW_DocType" w:val="COM"/>
    <w:docVar w:name="LW_EMISSION" w:val="30.11.2015"/>
    <w:docVar w:name="LW_EMISSION_ISODATE" w:val="2015-11-30"/>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STATUT" w:val="SJ-023"/>
    <w:docVar w:name="LW_INTERETEEE.CP" w:val="(Besedilo velja za EGP)"/>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268"/>
    <w:docVar w:name="LW_REF.II.NEW.CP_YEAR" w:val="2015"/>
    <w:docVar w:name="LW_REF.INST.NEW" w:val="COM"/>
    <w:docVar w:name="LW_REF.INST.NEW_ADOPTED" w:val="final"/>
    <w:docVar w:name="LW_REF.INST.NEW_TEXT" w:val="(2015) 583"/>
    <w:docVar w:name="LW_REF.INTERNE" w:val="&lt;UNUSED&gt;"/>
    <w:docVar w:name="LW_SOUS.TITRE.OBJ.CP" w:val="&lt;UNUSED&gt;"/>
    <w:docVar w:name="LW_STATUT.CP" w:val="Predlog"/>
    <w:docVar w:name="LW_SUPERTITRE" w:val="&lt;UNUSED&gt;"/>
    <w:docVar w:name="LW_TITRE.OBJ.CP" w:val="o prospektu, ki se objavi ob javni ponudbi ali sprejemu vrednostnih papirjev v trgovanje "/>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0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0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0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0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96"/>
      </w:numPr>
      <w:spacing w:before="0" w:after="240"/>
    </w:pPr>
    <w:rPr>
      <w:rFonts w:eastAsia="Times New Roman"/>
      <w:szCs w:val="20"/>
    </w:rPr>
  </w:style>
  <w:style w:type="paragraph" w:customStyle="1" w:styleId="ListBullet1">
    <w:name w:val="List Bullet 1"/>
    <w:basedOn w:val="Text1"/>
    <w:pPr>
      <w:numPr>
        <w:numId w:val="87"/>
      </w:numPr>
      <w:spacing w:before="0" w:after="240"/>
    </w:pPr>
    <w:rPr>
      <w:rFonts w:eastAsia="Times New Roman"/>
      <w:szCs w:val="20"/>
    </w:rPr>
  </w:style>
  <w:style w:type="paragraph" w:customStyle="1" w:styleId="ListDash1">
    <w:name w:val="List Dash 1"/>
    <w:basedOn w:val="Text1"/>
    <w:pPr>
      <w:numPr>
        <w:numId w:val="92"/>
      </w:numPr>
      <w:spacing w:before="0" w:after="240"/>
    </w:pPr>
    <w:rPr>
      <w:rFonts w:eastAsia="Times New Roman"/>
      <w:szCs w:val="20"/>
    </w:rPr>
  </w:style>
  <w:style w:type="paragraph" w:customStyle="1" w:styleId="ListDash2">
    <w:name w:val="List Dash 2"/>
    <w:basedOn w:val="Text2"/>
    <w:pPr>
      <w:numPr>
        <w:numId w:val="93"/>
      </w:numPr>
      <w:spacing w:before="0" w:after="240"/>
    </w:pPr>
    <w:rPr>
      <w:rFonts w:eastAsia="Times New Roman"/>
      <w:szCs w:val="20"/>
    </w:rPr>
  </w:style>
  <w:style w:type="paragraph" w:customStyle="1" w:styleId="ListNumberLevel2">
    <w:name w:val="List Number (Level 2)"/>
    <w:basedOn w:val="Normal"/>
    <w:pPr>
      <w:numPr>
        <w:ilvl w:val="1"/>
        <w:numId w:val="96"/>
      </w:numPr>
      <w:spacing w:before="0" w:after="240"/>
    </w:pPr>
    <w:rPr>
      <w:rFonts w:eastAsia="Times New Roman"/>
      <w:szCs w:val="20"/>
    </w:rPr>
  </w:style>
  <w:style w:type="paragraph" w:customStyle="1" w:styleId="ListNumberLevel3">
    <w:name w:val="List Number (Level 3)"/>
    <w:basedOn w:val="Normal"/>
    <w:pPr>
      <w:numPr>
        <w:ilvl w:val="2"/>
        <w:numId w:val="96"/>
      </w:numPr>
      <w:spacing w:before="0" w:after="240"/>
    </w:pPr>
    <w:rPr>
      <w:rFonts w:eastAsia="Times New Roman"/>
      <w:szCs w:val="20"/>
    </w:rPr>
  </w:style>
  <w:style w:type="paragraph" w:customStyle="1" w:styleId="ListNumberLevel4">
    <w:name w:val="List Number (Level 4)"/>
    <w:basedOn w:val="Normal"/>
    <w:pPr>
      <w:numPr>
        <w:ilvl w:val="3"/>
        <w:numId w:val="96"/>
      </w:numPr>
      <w:spacing w:before="0" w:after="240"/>
    </w:pPr>
    <w:rPr>
      <w:rFonts w:eastAsia="Times New Roman"/>
      <w:szCs w:val="20"/>
    </w:rPr>
  </w:style>
  <w:style w:type="character" w:styleId="Hyperlink">
    <w:name w:val="Hyperlink"/>
    <w:rPr>
      <w:color w:val="0000FF"/>
      <w:u w:val="single"/>
    </w:rPr>
  </w:style>
  <w:style w:type="paragraph" w:styleId="ListBullet">
    <w:name w:val="List Bullet"/>
    <w:basedOn w:val="Normal"/>
    <w:pPr>
      <w:numPr>
        <w:numId w:val="86"/>
      </w:numPr>
      <w:spacing w:before="0" w:after="240"/>
    </w:pPr>
    <w:rPr>
      <w:rFonts w:eastAsia="Times New Roman"/>
      <w:szCs w:val="20"/>
    </w:rPr>
  </w:style>
  <w:style w:type="paragraph" w:styleId="ListBullet2">
    <w:name w:val="List Bullet 2"/>
    <w:basedOn w:val="Text2"/>
    <w:pPr>
      <w:numPr>
        <w:numId w:val="88"/>
      </w:numPr>
      <w:spacing w:before="0" w:after="240"/>
    </w:pPr>
    <w:rPr>
      <w:rFonts w:eastAsia="Times New Roman"/>
      <w:szCs w:val="20"/>
    </w:rPr>
  </w:style>
  <w:style w:type="paragraph" w:styleId="ListBullet3">
    <w:name w:val="List Bullet 3"/>
    <w:basedOn w:val="Text3"/>
    <w:pPr>
      <w:numPr>
        <w:numId w:val="89"/>
      </w:numPr>
      <w:spacing w:before="0" w:after="240"/>
    </w:pPr>
    <w:rPr>
      <w:rFonts w:eastAsia="Times New Roman"/>
      <w:szCs w:val="20"/>
    </w:rPr>
  </w:style>
  <w:style w:type="paragraph" w:styleId="ListBullet4">
    <w:name w:val="List Bullet 4"/>
    <w:basedOn w:val="Text4"/>
    <w:pPr>
      <w:numPr>
        <w:numId w:val="90"/>
      </w:numPr>
      <w:spacing w:before="0" w:after="240"/>
    </w:pPr>
    <w:rPr>
      <w:rFonts w:eastAsia="Times New Roman"/>
      <w:szCs w:val="20"/>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Text2"/>
    <w:pPr>
      <w:numPr>
        <w:numId w:val="98"/>
      </w:numPr>
      <w:spacing w:before="0" w:after="240"/>
    </w:pPr>
    <w:rPr>
      <w:rFonts w:eastAsia="Times New Roman"/>
      <w:szCs w:val="20"/>
    </w:rPr>
  </w:style>
  <w:style w:type="paragraph" w:styleId="ListNumber3">
    <w:name w:val="List Number 3"/>
    <w:basedOn w:val="Text3"/>
    <w:pPr>
      <w:numPr>
        <w:numId w:val="99"/>
      </w:numPr>
      <w:spacing w:before="0" w:after="240"/>
    </w:pPr>
    <w:rPr>
      <w:rFonts w:eastAsia="Times New Roman"/>
      <w:szCs w:val="20"/>
    </w:rPr>
  </w:style>
  <w:style w:type="paragraph" w:styleId="ListNumber4">
    <w:name w:val="List Number 4"/>
    <w:basedOn w:val="Text4"/>
    <w:pPr>
      <w:numPr>
        <w:numId w:val="100"/>
      </w:numPr>
      <w:spacing w:before="0" w:after="240"/>
    </w:pPr>
    <w:rPr>
      <w:rFonts w:eastAsia="Times New Roman"/>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l-SI"/>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l-SI"/>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rPr>
      <w:rFonts w:ascii="Times New Roman" w:eastAsia="Calibri" w:hAnsi="Times New Roman" w:cs="Times New Roman"/>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11">
    <w:name w:val="Point 11"/>
    <w:basedOn w:val="Normal"/>
    <w:pPr>
      <w:ind w:left="1417" w:hanging="567"/>
    </w:p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Dash">
    <w:name w:val="List Dash"/>
    <w:basedOn w:val="Normal"/>
    <w:pPr>
      <w:numPr>
        <w:numId w:val="91"/>
      </w:numPr>
      <w:spacing w:before="0" w:after="240"/>
    </w:pPr>
    <w:rPr>
      <w:rFonts w:eastAsia="Times New Roman"/>
      <w:szCs w:val="20"/>
    </w:rPr>
  </w:style>
  <w:style w:type="paragraph" w:customStyle="1" w:styleId="ListDash3">
    <w:name w:val="List Dash 3"/>
    <w:basedOn w:val="Text3"/>
    <w:pPr>
      <w:numPr>
        <w:numId w:val="94"/>
      </w:numPr>
      <w:spacing w:before="0" w:after="240"/>
    </w:pPr>
    <w:rPr>
      <w:rFonts w:eastAsia="Times New Roman"/>
      <w:szCs w:val="20"/>
    </w:rPr>
  </w:style>
  <w:style w:type="paragraph" w:customStyle="1" w:styleId="ListDash4">
    <w:name w:val="List Dash 4"/>
    <w:basedOn w:val="Text4"/>
    <w:pPr>
      <w:numPr>
        <w:numId w:val="95"/>
      </w:numPr>
      <w:spacing w:before="0" w:after="240"/>
    </w:pPr>
    <w:rPr>
      <w:rFonts w:eastAsia="Times New Roman"/>
      <w:szCs w:val="20"/>
    </w:rPr>
  </w:style>
  <w:style w:type="paragraph" w:customStyle="1" w:styleId="ListNumber1">
    <w:name w:val="List Number 1"/>
    <w:basedOn w:val="Text1"/>
    <w:pPr>
      <w:numPr>
        <w:numId w:val="97"/>
      </w:numPr>
      <w:spacing w:before="0" w:after="240"/>
    </w:pPr>
    <w:rPr>
      <w:rFonts w:eastAsia="Times New Roman"/>
      <w:szCs w:val="20"/>
    </w:rPr>
  </w:style>
  <w:style w:type="paragraph" w:customStyle="1" w:styleId="ListNumber1Level2">
    <w:name w:val="List Number 1 (Level 2)"/>
    <w:basedOn w:val="Text1"/>
    <w:pPr>
      <w:numPr>
        <w:ilvl w:val="1"/>
        <w:numId w:val="97"/>
      </w:numPr>
      <w:spacing w:before="0" w:after="240"/>
    </w:pPr>
    <w:rPr>
      <w:rFonts w:eastAsia="Times New Roman"/>
      <w:szCs w:val="20"/>
    </w:rPr>
  </w:style>
  <w:style w:type="paragraph" w:customStyle="1" w:styleId="ListNumber2Level2">
    <w:name w:val="List Number 2 (Level 2)"/>
    <w:basedOn w:val="Text2"/>
    <w:pPr>
      <w:numPr>
        <w:ilvl w:val="1"/>
        <w:numId w:val="98"/>
      </w:numPr>
      <w:spacing w:before="0" w:after="240"/>
    </w:pPr>
    <w:rPr>
      <w:rFonts w:eastAsia="Times New Roman"/>
      <w:szCs w:val="20"/>
    </w:rPr>
  </w:style>
  <w:style w:type="paragraph" w:customStyle="1" w:styleId="ListNumber3Level2">
    <w:name w:val="List Number 3 (Level 2)"/>
    <w:basedOn w:val="Text3"/>
    <w:pPr>
      <w:numPr>
        <w:ilvl w:val="1"/>
        <w:numId w:val="99"/>
      </w:numPr>
      <w:spacing w:before="0" w:after="240"/>
    </w:pPr>
    <w:rPr>
      <w:rFonts w:eastAsia="Times New Roman"/>
      <w:szCs w:val="20"/>
    </w:rPr>
  </w:style>
  <w:style w:type="paragraph" w:customStyle="1" w:styleId="ListNumber4Level2">
    <w:name w:val="List Number 4 (Level 2)"/>
    <w:basedOn w:val="Text4"/>
    <w:pPr>
      <w:numPr>
        <w:ilvl w:val="1"/>
        <w:numId w:val="100"/>
      </w:numPr>
      <w:spacing w:before="0" w:after="240"/>
    </w:pPr>
    <w:rPr>
      <w:rFonts w:eastAsia="Times New Roman"/>
      <w:szCs w:val="20"/>
    </w:rPr>
  </w:style>
  <w:style w:type="paragraph" w:customStyle="1" w:styleId="ListNumber1Level3">
    <w:name w:val="List Number 1 (Level 3)"/>
    <w:basedOn w:val="Text1"/>
    <w:pPr>
      <w:numPr>
        <w:ilvl w:val="2"/>
        <w:numId w:val="97"/>
      </w:numPr>
      <w:spacing w:before="0" w:after="240"/>
    </w:pPr>
    <w:rPr>
      <w:rFonts w:eastAsia="Times New Roman"/>
      <w:szCs w:val="20"/>
    </w:rPr>
  </w:style>
  <w:style w:type="paragraph" w:customStyle="1" w:styleId="ListNumber2Level3">
    <w:name w:val="List Number 2 (Level 3)"/>
    <w:basedOn w:val="Text2"/>
    <w:pPr>
      <w:numPr>
        <w:ilvl w:val="2"/>
        <w:numId w:val="98"/>
      </w:numPr>
      <w:spacing w:before="0" w:after="240"/>
    </w:pPr>
    <w:rPr>
      <w:rFonts w:eastAsia="Times New Roman"/>
      <w:szCs w:val="20"/>
    </w:rPr>
  </w:style>
  <w:style w:type="paragraph" w:customStyle="1" w:styleId="ListNumber3Level3">
    <w:name w:val="List Number 3 (Level 3)"/>
    <w:basedOn w:val="Text3"/>
    <w:pPr>
      <w:numPr>
        <w:ilvl w:val="2"/>
        <w:numId w:val="99"/>
      </w:numPr>
      <w:spacing w:before="0" w:after="240"/>
    </w:pPr>
    <w:rPr>
      <w:rFonts w:eastAsia="Times New Roman"/>
      <w:szCs w:val="20"/>
    </w:rPr>
  </w:style>
  <w:style w:type="paragraph" w:customStyle="1" w:styleId="ListNumber4Level3">
    <w:name w:val="List Number 4 (Level 3)"/>
    <w:basedOn w:val="Text4"/>
    <w:pPr>
      <w:numPr>
        <w:ilvl w:val="2"/>
        <w:numId w:val="100"/>
      </w:numPr>
      <w:spacing w:before="0" w:after="240"/>
    </w:pPr>
    <w:rPr>
      <w:rFonts w:eastAsia="Times New Roman"/>
      <w:szCs w:val="20"/>
    </w:rPr>
  </w:style>
  <w:style w:type="paragraph" w:customStyle="1" w:styleId="ListNumber1Level4">
    <w:name w:val="List Number 1 (Level 4)"/>
    <w:basedOn w:val="Text1"/>
    <w:pPr>
      <w:numPr>
        <w:ilvl w:val="3"/>
        <w:numId w:val="97"/>
      </w:numPr>
      <w:spacing w:before="0" w:after="240"/>
    </w:pPr>
    <w:rPr>
      <w:rFonts w:eastAsia="Times New Roman"/>
      <w:szCs w:val="20"/>
    </w:rPr>
  </w:style>
  <w:style w:type="paragraph" w:customStyle="1" w:styleId="ListNumber2Level4">
    <w:name w:val="List Number 2 (Level 4)"/>
    <w:basedOn w:val="Text2"/>
    <w:pPr>
      <w:numPr>
        <w:ilvl w:val="3"/>
        <w:numId w:val="98"/>
      </w:numPr>
      <w:spacing w:before="0" w:after="240"/>
    </w:pPr>
    <w:rPr>
      <w:rFonts w:eastAsia="Times New Roman"/>
      <w:szCs w:val="20"/>
    </w:rPr>
  </w:style>
  <w:style w:type="paragraph" w:customStyle="1" w:styleId="ListNumber3Level4">
    <w:name w:val="List Number 3 (Level 4)"/>
    <w:basedOn w:val="Text3"/>
    <w:pPr>
      <w:numPr>
        <w:ilvl w:val="3"/>
        <w:numId w:val="99"/>
      </w:numPr>
      <w:spacing w:before="0" w:after="240"/>
    </w:pPr>
    <w:rPr>
      <w:rFonts w:eastAsia="Times New Roman"/>
      <w:szCs w:val="20"/>
    </w:rPr>
  </w:style>
  <w:style w:type="paragraph" w:customStyle="1" w:styleId="ListNumber4Level4">
    <w:name w:val="List Number 4 (Level 4)"/>
    <w:basedOn w:val="Text4"/>
    <w:pPr>
      <w:numPr>
        <w:ilvl w:val="3"/>
        <w:numId w:val="100"/>
      </w:numPr>
      <w:spacing w:before="0" w:after="240"/>
    </w:pPr>
    <w:rPr>
      <w:rFonts w:eastAsia="Times New Roman"/>
      <w:szCs w:val="20"/>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customStyle="1" w:styleId="Fichefinancirestandardtitre">
    <w:name w:val="Fiche financière (standard) titre"/>
    <w:basedOn w:val="Normal"/>
    <w:next w:val="Normal"/>
    <w:pPr>
      <w:jc w:val="center"/>
    </w:pPr>
    <w:rPr>
      <w:rFonts w:eastAsia="Times New Roman"/>
      <w:b/>
      <w:u w:val="single"/>
    </w:r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1"/>
      </w:numPr>
    </w:pPr>
  </w:style>
  <w:style w:type="paragraph" w:customStyle="1" w:styleId="Tiret1">
    <w:name w:val="Tiret 1"/>
    <w:basedOn w:val="Point1"/>
    <w:pPr>
      <w:numPr>
        <w:numId w:val="102"/>
      </w:numPr>
    </w:pPr>
  </w:style>
  <w:style w:type="paragraph" w:customStyle="1" w:styleId="Tiret2">
    <w:name w:val="Tiret 2"/>
    <w:basedOn w:val="Point2"/>
    <w:pPr>
      <w:numPr>
        <w:numId w:val="103"/>
      </w:numPr>
    </w:pPr>
  </w:style>
  <w:style w:type="paragraph" w:customStyle="1" w:styleId="Tiret3">
    <w:name w:val="Tiret 3"/>
    <w:basedOn w:val="Point3"/>
    <w:pPr>
      <w:numPr>
        <w:numId w:val="104"/>
      </w:numPr>
    </w:pPr>
  </w:style>
  <w:style w:type="paragraph" w:customStyle="1" w:styleId="Tiret4">
    <w:name w:val="Tiret 4"/>
    <w:basedOn w:val="Point4"/>
    <w:pPr>
      <w:numPr>
        <w:numId w:val="10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06"/>
      </w:numPr>
    </w:pPr>
  </w:style>
  <w:style w:type="paragraph" w:customStyle="1" w:styleId="NumPar2">
    <w:name w:val="NumPar 2"/>
    <w:basedOn w:val="Normal"/>
    <w:next w:val="Text1"/>
    <w:pPr>
      <w:numPr>
        <w:ilvl w:val="1"/>
        <w:numId w:val="106"/>
      </w:numPr>
    </w:pPr>
  </w:style>
  <w:style w:type="paragraph" w:customStyle="1" w:styleId="NumPar3">
    <w:name w:val="NumPar 3"/>
    <w:basedOn w:val="Normal"/>
    <w:next w:val="Text1"/>
    <w:pPr>
      <w:numPr>
        <w:ilvl w:val="2"/>
        <w:numId w:val="106"/>
      </w:numPr>
    </w:pPr>
  </w:style>
  <w:style w:type="paragraph" w:customStyle="1" w:styleId="NumPar4">
    <w:name w:val="NumPar 4"/>
    <w:basedOn w:val="Normal"/>
    <w:next w:val="Text1"/>
    <w:pPr>
      <w:numPr>
        <w:ilvl w:val="3"/>
        <w:numId w:val="10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08"/>
      </w:numPr>
    </w:pPr>
  </w:style>
  <w:style w:type="paragraph" w:customStyle="1" w:styleId="Point1number">
    <w:name w:val="Point 1 (number)"/>
    <w:basedOn w:val="Normal"/>
    <w:pPr>
      <w:numPr>
        <w:ilvl w:val="2"/>
        <w:numId w:val="108"/>
      </w:numPr>
    </w:pPr>
  </w:style>
  <w:style w:type="paragraph" w:customStyle="1" w:styleId="Point2number">
    <w:name w:val="Point 2 (number)"/>
    <w:basedOn w:val="Normal"/>
    <w:pPr>
      <w:numPr>
        <w:ilvl w:val="4"/>
        <w:numId w:val="108"/>
      </w:numPr>
    </w:pPr>
  </w:style>
  <w:style w:type="paragraph" w:customStyle="1" w:styleId="Point3number">
    <w:name w:val="Point 3 (number)"/>
    <w:basedOn w:val="Normal"/>
    <w:pPr>
      <w:numPr>
        <w:ilvl w:val="6"/>
        <w:numId w:val="108"/>
      </w:numPr>
    </w:pPr>
  </w:style>
  <w:style w:type="paragraph" w:customStyle="1" w:styleId="Point0letter">
    <w:name w:val="Point 0 (letter)"/>
    <w:basedOn w:val="Normal"/>
    <w:pPr>
      <w:numPr>
        <w:ilvl w:val="1"/>
        <w:numId w:val="108"/>
      </w:numPr>
    </w:pPr>
  </w:style>
  <w:style w:type="paragraph" w:customStyle="1" w:styleId="Point1letter">
    <w:name w:val="Point 1 (letter)"/>
    <w:basedOn w:val="Normal"/>
    <w:pPr>
      <w:numPr>
        <w:ilvl w:val="3"/>
        <w:numId w:val="108"/>
      </w:numPr>
    </w:pPr>
  </w:style>
  <w:style w:type="paragraph" w:customStyle="1" w:styleId="Point2letter">
    <w:name w:val="Point 2 (letter)"/>
    <w:basedOn w:val="Normal"/>
    <w:pPr>
      <w:numPr>
        <w:ilvl w:val="5"/>
        <w:numId w:val="108"/>
      </w:numPr>
    </w:pPr>
  </w:style>
  <w:style w:type="paragraph" w:customStyle="1" w:styleId="Point3letter">
    <w:name w:val="Point 3 (letter)"/>
    <w:basedOn w:val="Normal"/>
    <w:pPr>
      <w:numPr>
        <w:ilvl w:val="7"/>
        <w:numId w:val="108"/>
      </w:numPr>
    </w:pPr>
  </w:style>
  <w:style w:type="paragraph" w:customStyle="1" w:styleId="Point4letter">
    <w:name w:val="Point 4 (letter)"/>
    <w:basedOn w:val="Normal"/>
    <w:pPr>
      <w:numPr>
        <w:ilvl w:val="8"/>
        <w:numId w:val="108"/>
      </w:numPr>
    </w:pPr>
  </w:style>
  <w:style w:type="paragraph" w:customStyle="1" w:styleId="Bullet0">
    <w:name w:val="Bullet 0"/>
    <w:basedOn w:val="Normal"/>
    <w:pPr>
      <w:numPr>
        <w:numId w:val="109"/>
      </w:numPr>
    </w:pPr>
  </w:style>
  <w:style w:type="paragraph" w:customStyle="1" w:styleId="Bullet1">
    <w:name w:val="Bullet 1"/>
    <w:basedOn w:val="Normal"/>
    <w:pPr>
      <w:numPr>
        <w:numId w:val="110"/>
      </w:numPr>
    </w:pPr>
  </w:style>
  <w:style w:type="paragraph" w:customStyle="1" w:styleId="Bullet2">
    <w:name w:val="Bullet 2"/>
    <w:basedOn w:val="Normal"/>
    <w:pPr>
      <w:numPr>
        <w:numId w:val="111"/>
      </w:numPr>
    </w:pPr>
  </w:style>
  <w:style w:type="paragraph" w:customStyle="1" w:styleId="Bullet3">
    <w:name w:val="Bullet 3"/>
    <w:basedOn w:val="Normal"/>
    <w:pPr>
      <w:numPr>
        <w:numId w:val="112"/>
      </w:numPr>
    </w:pPr>
  </w:style>
  <w:style w:type="paragraph" w:customStyle="1" w:styleId="Bullet4">
    <w:name w:val="Bullet 4"/>
    <w:basedOn w:val="Normal"/>
    <w:pPr>
      <w:numPr>
        <w:numId w:val="11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1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0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0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0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0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96"/>
      </w:numPr>
      <w:spacing w:before="0" w:after="240"/>
    </w:pPr>
    <w:rPr>
      <w:rFonts w:eastAsia="Times New Roman"/>
      <w:szCs w:val="20"/>
    </w:rPr>
  </w:style>
  <w:style w:type="paragraph" w:customStyle="1" w:styleId="ListBullet1">
    <w:name w:val="List Bullet 1"/>
    <w:basedOn w:val="Text1"/>
    <w:pPr>
      <w:numPr>
        <w:numId w:val="87"/>
      </w:numPr>
      <w:spacing w:before="0" w:after="240"/>
    </w:pPr>
    <w:rPr>
      <w:rFonts w:eastAsia="Times New Roman"/>
      <w:szCs w:val="20"/>
    </w:rPr>
  </w:style>
  <w:style w:type="paragraph" w:customStyle="1" w:styleId="ListDash1">
    <w:name w:val="List Dash 1"/>
    <w:basedOn w:val="Text1"/>
    <w:pPr>
      <w:numPr>
        <w:numId w:val="92"/>
      </w:numPr>
      <w:spacing w:before="0" w:after="240"/>
    </w:pPr>
    <w:rPr>
      <w:rFonts w:eastAsia="Times New Roman"/>
      <w:szCs w:val="20"/>
    </w:rPr>
  </w:style>
  <w:style w:type="paragraph" w:customStyle="1" w:styleId="ListDash2">
    <w:name w:val="List Dash 2"/>
    <w:basedOn w:val="Text2"/>
    <w:pPr>
      <w:numPr>
        <w:numId w:val="93"/>
      </w:numPr>
      <w:spacing w:before="0" w:after="240"/>
    </w:pPr>
    <w:rPr>
      <w:rFonts w:eastAsia="Times New Roman"/>
      <w:szCs w:val="20"/>
    </w:rPr>
  </w:style>
  <w:style w:type="paragraph" w:customStyle="1" w:styleId="ListNumberLevel2">
    <w:name w:val="List Number (Level 2)"/>
    <w:basedOn w:val="Normal"/>
    <w:pPr>
      <w:numPr>
        <w:ilvl w:val="1"/>
        <w:numId w:val="96"/>
      </w:numPr>
      <w:spacing w:before="0" w:after="240"/>
    </w:pPr>
    <w:rPr>
      <w:rFonts w:eastAsia="Times New Roman"/>
      <w:szCs w:val="20"/>
    </w:rPr>
  </w:style>
  <w:style w:type="paragraph" w:customStyle="1" w:styleId="ListNumberLevel3">
    <w:name w:val="List Number (Level 3)"/>
    <w:basedOn w:val="Normal"/>
    <w:pPr>
      <w:numPr>
        <w:ilvl w:val="2"/>
        <w:numId w:val="96"/>
      </w:numPr>
      <w:spacing w:before="0" w:after="240"/>
    </w:pPr>
    <w:rPr>
      <w:rFonts w:eastAsia="Times New Roman"/>
      <w:szCs w:val="20"/>
    </w:rPr>
  </w:style>
  <w:style w:type="paragraph" w:customStyle="1" w:styleId="ListNumberLevel4">
    <w:name w:val="List Number (Level 4)"/>
    <w:basedOn w:val="Normal"/>
    <w:pPr>
      <w:numPr>
        <w:ilvl w:val="3"/>
        <w:numId w:val="96"/>
      </w:numPr>
      <w:spacing w:before="0" w:after="240"/>
    </w:pPr>
    <w:rPr>
      <w:rFonts w:eastAsia="Times New Roman"/>
      <w:szCs w:val="20"/>
    </w:rPr>
  </w:style>
  <w:style w:type="character" w:styleId="Hyperlink">
    <w:name w:val="Hyperlink"/>
    <w:rPr>
      <w:color w:val="0000FF"/>
      <w:u w:val="single"/>
    </w:rPr>
  </w:style>
  <w:style w:type="paragraph" w:styleId="ListBullet">
    <w:name w:val="List Bullet"/>
    <w:basedOn w:val="Normal"/>
    <w:pPr>
      <w:numPr>
        <w:numId w:val="86"/>
      </w:numPr>
      <w:spacing w:before="0" w:after="240"/>
    </w:pPr>
    <w:rPr>
      <w:rFonts w:eastAsia="Times New Roman"/>
      <w:szCs w:val="20"/>
    </w:rPr>
  </w:style>
  <w:style w:type="paragraph" w:styleId="ListBullet2">
    <w:name w:val="List Bullet 2"/>
    <w:basedOn w:val="Text2"/>
    <w:pPr>
      <w:numPr>
        <w:numId w:val="88"/>
      </w:numPr>
      <w:spacing w:before="0" w:after="240"/>
    </w:pPr>
    <w:rPr>
      <w:rFonts w:eastAsia="Times New Roman"/>
      <w:szCs w:val="20"/>
    </w:rPr>
  </w:style>
  <w:style w:type="paragraph" w:styleId="ListBullet3">
    <w:name w:val="List Bullet 3"/>
    <w:basedOn w:val="Text3"/>
    <w:pPr>
      <w:numPr>
        <w:numId w:val="89"/>
      </w:numPr>
      <w:spacing w:before="0" w:after="240"/>
    </w:pPr>
    <w:rPr>
      <w:rFonts w:eastAsia="Times New Roman"/>
      <w:szCs w:val="20"/>
    </w:rPr>
  </w:style>
  <w:style w:type="paragraph" w:styleId="ListBullet4">
    <w:name w:val="List Bullet 4"/>
    <w:basedOn w:val="Text4"/>
    <w:pPr>
      <w:numPr>
        <w:numId w:val="90"/>
      </w:numPr>
      <w:spacing w:before="0" w:after="240"/>
    </w:pPr>
    <w:rPr>
      <w:rFonts w:eastAsia="Times New Roman"/>
      <w:szCs w:val="20"/>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Text2"/>
    <w:pPr>
      <w:numPr>
        <w:numId w:val="98"/>
      </w:numPr>
      <w:spacing w:before="0" w:after="240"/>
    </w:pPr>
    <w:rPr>
      <w:rFonts w:eastAsia="Times New Roman"/>
      <w:szCs w:val="20"/>
    </w:rPr>
  </w:style>
  <w:style w:type="paragraph" w:styleId="ListNumber3">
    <w:name w:val="List Number 3"/>
    <w:basedOn w:val="Text3"/>
    <w:pPr>
      <w:numPr>
        <w:numId w:val="99"/>
      </w:numPr>
      <w:spacing w:before="0" w:after="240"/>
    </w:pPr>
    <w:rPr>
      <w:rFonts w:eastAsia="Times New Roman"/>
      <w:szCs w:val="20"/>
    </w:rPr>
  </w:style>
  <w:style w:type="paragraph" w:styleId="ListNumber4">
    <w:name w:val="List Number 4"/>
    <w:basedOn w:val="Text4"/>
    <w:pPr>
      <w:numPr>
        <w:numId w:val="100"/>
      </w:numPr>
      <w:spacing w:before="0" w:after="240"/>
    </w:pPr>
    <w:rPr>
      <w:rFonts w:eastAsia="Times New Roman"/>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l-SI"/>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l-SI"/>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rPr>
      <w:rFonts w:ascii="Times New Roman" w:eastAsia="Calibri" w:hAnsi="Times New Roman" w:cs="Times New Roman"/>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11">
    <w:name w:val="Point 11"/>
    <w:basedOn w:val="Normal"/>
    <w:pPr>
      <w:ind w:left="1417" w:hanging="567"/>
    </w:p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Dash">
    <w:name w:val="List Dash"/>
    <w:basedOn w:val="Normal"/>
    <w:pPr>
      <w:numPr>
        <w:numId w:val="91"/>
      </w:numPr>
      <w:spacing w:before="0" w:after="240"/>
    </w:pPr>
    <w:rPr>
      <w:rFonts w:eastAsia="Times New Roman"/>
      <w:szCs w:val="20"/>
    </w:rPr>
  </w:style>
  <w:style w:type="paragraph" w:customStyle="1" w:styleId="ListDash3">
    <w:name w:val="List Dash 3"/>
    <w:basedOn w:val="Text3"/>
    <w:pPr>
      <w:numPr>
        <w:numId w:val="94"/>
      </w:numPr>
      <w:spacing w:before="0" w:after="240"/>
    </w:pPr>
    <w:rPr>
      <w:rFonts w:eastAsia="Times New Roman"/>
      <w:szCs w:val="20"/>
    </w:rPr>
  </w:style>
  <w:style w:type="paragraph" w:customStyle="1" w:styleId="ListDash4">
    <w:name w:val="List Dash 4"/>
    <w:basedOn w:val="Text4"/>
    <w:pPr>
      <w:numPr>
        <w:numId w:val="95"/>
      </w:numPr>
      <w:spacing w:before="0" w:after="240"/>
    </w:pPr>
    <w:rPr>
      <w:rFonts w:eastAsia="Times New Roman"/>
      <w:szCs w:val="20"/>
    </w:rPr>
  </w:style>
  <w:style w:type="paragraph" w:customStyle="1" w:styleId="ListNumber1">
    <w:name w:val="List Number 1"/>
    <w:basedOn w:val="Text1"/>
    <w:pPr>
      <w:numPr>
        <w:numId w:val="97"/>
      </w:numPr>
      <w:spacing w:before="0" w:after="240"/>
    </w:pPr>
    <w:rPr>
      <w:rFonts w:eastAsia="Times New Roman"/>
      <w:szCs w:val="20"/>
    </w:rPr>
  </w:style>
  <w:style w:type="paragraph" w:customStyle="1" w:styleId="ListNumber1Level2">
    <w:name w:val="List Number 1 (Level 2)"/>
    <w:basedOn w:val="Text1"/>
    <w:pPr>
      <w:numPr>
        <w:ilvl w:val="1"/>
        <w:numId w:val="97"/>
      </w:numPr>
      <w:spacing w:before="0" w:after="240"/>
    </w:pPr>
    <w:rPr>
      <w:rFonts w:eastAsia="Times New Roman"/>
      <w:szCs w:val="20"/>
    </w:rPr>
  </w:style>
  <w:style w:type="paragraph" w:customStyle="1" w:styleId="ListNumber2Level2">
    <w:name w:val="List Number 2 (Level 2)"/>
    <w:basedOn w:val="Text2"/>
    <w:pPr>
      <w:numPr>
        <w:ilvl w:val="1"/>
        <w:numId w:val="98"/>
      </w:numPr>
      <w:spacing w:before="0" w:after="240"/>
    </w:pPr>
    <w:rPr>
      <w:rFonts w:eastAsia="Times New Roman"/>
      <w:szCs w:val="20"/>
    </w:rPr>
  </w:style>
  <w:style w:type="paragraph" w:customStyle="1" w:styleId="ListNumber3Level2">
    <w:name w:val="List Number 3 (Level 2)"/>
    <w:basedOn w:val="Text3"/>
    <w:pPr>
      <w:numPr>
        <w:ilvl w:val="1"/>
        <w:numId w:val="99"/>
      </w:numPr>
      <w:spacing w:before="0" w:after="240"/>
    </w:pPr>
    <w:rPr>
      <w:rFonts w:eastAsia="Times New Roman"/>
      <w:szCs w:val="20"/>
    </w:rPr>
  </w:style>
  <w:style w:type="paragraph" w:customStyle="1" w:styleId="ListNumber4Level2">
    <w:name w:val="List Number 4 (Level 2)"/>
    <w:basedOn w:val="Text4"/>
    <w:pPr>
      <w:numPr>
        <w:ilvl w:val="1"/>
        <w:numId w:val="100"/>
      </w:numPr>
      <w:spacing w:before="0" w:after="240"/>
    </w:pPr>
    <w:rPr>
      <w:rFonts w:eastAsia="Times New Roman"/>
      <w:szCs w:val="20"/>
    </w:rPr>
  </w:style>
  <w:style w:type="paragraph" w:customStyle="1" w:styleId="ListNumber1Level3">
    <w:name w:val="List Number 1 (Level 3)"/>
    <w:basedOn w:val="Text1"/>
    <w:pPr>
      <w:numPr>
        <w:ilvl w:val="2"/>
        <w:numId w:val="97"/>
      </w:numPr>
      <w:spacing w:before="0" w:after="240"/>
    </w:pPr>
    <w:rPr>
      <w:rFonts w:eastAsia="Times New Roman"/>
      <w:szCs w:val="20"/>
    </w:rPr>
  </w:style>
  <w:style w:type="paragraph" w:customStyle="1" w:styleId="ListNumber2Level3">
    <w:name w:val="List Number 2 (Level 3)"/>
    <w:basedOn w:val="Text2"/>
    <w:pPr>
      <w:numPr>
        <w:ilvl w:val="2"/>
        <w:numId w:val="98"/>
      </w:numPr>
      <w:spacing w:before="0" w:after="240"/>
    </w:pPr>
    <w:rPr>
      <w:rFonts w:eastAsia="Times New Roman"/>
      <w:szCs w:val="20"/>
    </w:rPr>
  </w:style>
  <w:style w:type="paragraph" w:customStyle="1" w:styleId="ListNumber3Level3">
    <w:name w:val="List Number 3 (Level 3)"/>
    <w:basedOn w:val="Text3"/>
    <w:pPr>
      <w:numPr>
        <w:ilvl w:val="2"/>
        <w:numId w:val="99"/>
      </w:numPr>
      <w:spacing w:before="0" w:after="240"/>
    </w:pPr>
    <w:rPr>
      <w:rFonts w:eastAsia="Times New Roman"/>
      <w:szCs w:val="20"/>
    </w:rPr>
  </w:style>
  <w:style w:type="paragraph" w:customStyle="1" w:styleId="ListNumber4Level3">
    <w:name w:val="List Number 4 (Level 3)"/>
    <w:basedOn w:val="Text4"/>
    <w:pPr>
      <w:numPr>
        <w:ilvl w:val="2"/>
        <w:numId w:val="100"/>
      </w:numPr>
      <w:spacing w:before="0" w:after="240"/>
    </w:pPr>
    <w:rPr>
      <w:rFonts w:eastAsia="Times New Roman"/>
      <w:szCs w:val="20"/>
    </w:rPr>
  </w:style>
  <w:style w:type="paragraph" w:customStyle="1" w:styleId="ListNumber1Level4">
    <w:name w:val="List Number 1 (Level 4)"/>
    <w:basedOn w:val="Text1"/>
    <w:pPr>
      <w:numPr>
        <w:ilvl w:val="3"/>
        <w:numId w:val="97"/>
      </w:numPr>
      <w:spacing w:before="0" w:after="240"/>
    </w:pPr>
    <w:rPr>
      <w:rFonts w:eastAsia="Times New Roman"/>
      <w:szCs w:val="20"/>
    </w:rPr>
  </w:style>
  <w:style w:type="paragraph" w:customStyle="1" w:styleId="ListNumber2Level4">
    <w:name w:val="List Number 2 (Level 4)"/>
    <w:basedOn w:val="Text2"/>
    <w:pPr>
      <w:numPr>
        <w:ilvl w:val="3"/>
        <w:numId w:val="98"/>
      </w:numPr>
      <w:spacing w:before="0" w:after="240"/>
    </w:pPr>
    <w:rPr>
      <w:rFonts w:eastAsia="Times New Roman"/>
      <w:szCs w:val="20"/>
    </w:rPr>
  </w:style>
  <w:style w:type="paragraph" w:customStyle="1" w:styleId="ListNumber3Level4">
    <w:name w:val="List Number 3 (Level 4)"/>
    <w:basedOn w:val="Text3"/>
    <w:pPr>
      <w:numPr>
        <w:ilvl w:val="3"/>
        <w:numId w:val="99"/>
      </w:numPr>
      <w:spacing w:before="0" w:after="240"/>
    </w:pPr>
    <w:rPr>
      <w:rFonts w:eastAsia="Times New Roman"/>
      <w:szCs w:val="20"/>
    </w:rPr>
  </w:style>
  <w:style w:type="paragraph" w:customStyle="1" w:styleId="ListNumber4Level4">
    <w:name w:val="List Number 4 (Level 4)"/>
    <w:basedOn w:val="Text4"/>
    <w:pPr>
      <w:numPr>
        <w:ilvl w:val="3"/>
        <w:numId w:val="100"/>
      </w:numPr>
      <w:spacing w:before="0" w:after="240"/>
    </w:pPr>
    <w:rPr>
      <w:rFonts w:eastAsia="Times New Roman"/>
      <w:szCs w:val="20"/>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customStyle="1" w:styleId="Fichefinancirestandardtitre">
    <w:name w:val="Fiche financière (standard) titre"/>
    <w:basedOn w:val="Normal"/>
    <w:next w:val="Normal"/>
    <w:pPr>
      <w:jc w:val="center"/>
    </w:pPr>
    <w:rPr>
      <w:rFonts w:eastAsia="Times New Roman"/>
      <w:b/>
      <w:u w:val="single"/>
    </w:r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1"/>
      </w:numPr>
    </w:pPr>
  </w:style>
  <w:style w:type="paragraph" w:customStyle="1" w:styleId="Tiret1">
    <w:name w:val="Tiret 1"/>
    <w:basedOn w:val="Point1"/>
    <w:pPr>
      <w:numPr>
        <w:numId w:val="102"/>
      </w:numPr>
    </w:pPr>
  </w:style>
  <w:style w:type="paragraph" w:customStyle="1" w:styleId="Tiret2">
    <w:name w:val="Tiret 2"/>
    <w:basedOn w:val="Point2"/>
    <w:pPr>
      <w:numPr>
        <w:numId w:val="103"/>
      </w:numPr>
    </w:pPr>
  </w:style>
  <w:style w:type="paragraph" w:customStyle="1" w:styleId="Tiret3">
    <w:name w:val="Tiret 3"/>
    <w:basedOn w:val="Point3"/>
    <w:pPr>
      <w:numPr>
        <w:numId w:val="104"/>
      </w:numPr>
    </w:pPr>
  </w:style>
  <w:style w:type="paragraph" w:customStyle="1" w:styleId="Tiret4">
    <w:name w:val="Tiret 4"/>
    <w:basedOn w:val="Point4"/>
    <w:pPr>
      <w:numPr>
        <w:numId w:val="10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06"/>
      </w:numPr>
    </w:pPr>
  </w:style>
  <w:style w:type="paragraph" w:customStyle="1" w:styleId="NumPar2">
    <w:name w:val="NumPar 2"/>
    <w:basedOn w:val="Normal"/>
    <w:next w:val="Text1"/>
    <w:pPr>
      <w:numPr>
        <w:ilvl w:val="1"/>
        <w:numId w:val="106"/>
      </w:numPr>
    </w:pPr>
  </w:style>
  <w:style w:type="paragraph" w:customStyle="1" w:styleId="NumPar3">
    <w:name w:val="NumPar 3"/>
    <w:basedOn w:val="Normal"/>
    <w:next w:val="Text1"/>
    <w:pPr>
      <w:numPr>
        <w:ilvl w:val="2"/>
        <w:numId w:val="106"/>
      </w:numPr>
    </w:pPr>
  </w:style>
  <w:style w:type="paragraph" w:customStyle="1" w:styleId="NumPar4">
    <w:name w:val="NumPar 4"/>
    <w:basedOn w:val="Normal"/>
    <w:next w:val="Text1"/>
    <w:pPr>
      <w:numPr>
        <w:ilvl w:val="3"/>
        <w:numId w:val="10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08"/>
      </w:numPr>
    </w:pPr>
  </w:style>
  <w:style w:type="paragraph" w:customStyle="1" w:styleId="Point1number">
    <w:name w:val="Point 1 (number)"/>
    <w:basedOn w:val="Normal"/>
    <w:pPr>
      <w:numPr>
        <w:ilvl w:val="2"/>
        <w:numId w:val="108"/>
      </w:numPr>
    </w:pPr>
  </w:style>
  <w:style w:type="paragraph" w:customStyle="1" w:styleId="Point2number">
    <w:name w:val="Point 2 (number)"/>
    <w:basedOn w:val="Normal"/>
    <w:pPr>
      <w:numPr>
        <w:ilvl w:val="4"/>
        <w:numId w:val="108"/>
      </w:numPr>
    </w:pPr>
  </w:style>
  <w:style w:type="paragraph" w:customStyle="1" w:styleId="Point3number">
    <w:name w:val="Point 3 (number)"/>
    <w:basedOn w:val="Normal"/>
    <w:pPr>
      <w:numPr>
        <w:ilvl w:val="6"/>
        <w:numId w:val="108"/>
      </w:numPr>
    </w:pPr>
  </w:style>
  <w:style w:type="paragraph" w:customStyle="1" w:styleId="Point0letter">
    <w:name w:val="Point 0 (letter)"/>
    <w:basedOn w:val="Normal"/>
    <w:pPr>
      <w:numPr>
        <w:ilvl w:val="1"/>
        <w:numId w:val="108"/>
      </w:numPr>
    </w:pPr>
  </w:style>
  <w:style w:type="paragraph" w:customStyle="1" w:styleId="Point1letter">
    <w:name w:val="Point 1 (letter)"/>
    <w:basedOn w:val="Normal"/>
    <w:pPr>
      <w:numPr>
        <w:ilvl w:val="3"/>
        <w:numId w:val="108"/>
      </w:numPr>
    </w:pPr>
  </w:style>
  <w:style w:type="paragraph" w:customStyle="1" w:styleId="Point2letter">
    <w:name w:val="Point 2 (letter)"/>
    <w:basedOn w:val="Normal"/>
    <w:pPr>
      <w:numPr>
        <w:ilvl w:val="5"/>
        <w:numId w:val="108"/>
      </w:numPr>
    </w:pPr>
  </w:style>
  <w:style w:type="paragraph" w:customStyle="1" w:styleId="Point3letter">
    <w:name w:val="Point 3 (letter)"/>
    <w:basedOn w:val="Normal"/>
    <w:pPr>
      <w:numPr>
        <w:ilvl w:val="7"/>
        <w:numId w:val="108"/>
      </w:numPr>
    </w:pPr>
  </w:style>
  <w:style w:type="paragraph" w:customStyle="1" w:styleId="Point4letter">
    <w:name w:val="Point 4 (letter)"/>
    <w:basedOn w:val="Normal"/>
    <w:pPr>
      <w:numPr>
        <w:ilvl w:val="8"/>
        <w:numId w:val="108"/>
      </w:numPr>
    </w:pPr>
  </w:style>
  <w:style w:type="paragraph" w:customStyle="1" w:styleId="Bullet0">
    <w:name w:val="Bullet 0"/>
    <w:basedOn w:val="Normal"/>
    <w:pPr>
      <w:numPr>
        <w:numId w:val="109"/>
      </w:numPr>
    </w:pPr>
  </w:style>
  <w:style w:type="paragraph" w:customStyle="1" w:styleId="Bullet1">
    <w:name w:val="Bullet 1"/>
    <w:basedOn w:val="Normal"/>
    <w:pPr>
      <w:numPr>
        <w:numId w:val="110"/>
      </w:numPr>
    </w:pPr>
  </w:style>
  <w:style w:type="paragraph" w:customStyle="1" w:styleId="Bullet2">
    <w:name w:val="Bullet 2"/>
    <w:basedOn w:val="Normal"/>
    <w:pPr>
      <w:numPr>
        <w:numId w:val="111"/>
      </w:numPr>
    </w:pPr>
  </w:style>
  <w:style w:type="paragraph" w:customStyle="1" w:styleId="Bullet3">
    <w:name w:val="Bullet 3"/>
    <w:basedOn w:val="Normal"/>
    <w:pPr>
      <w:numPr>
        <w:numId w:val="112"/>
      </w:numPr>
    </w:pPr>
  </w:style>
  <w:style w:type="paragraph" w:customStyle="1" w:styleId="Bullet4">
    <w:name w:val="Bullet 4"/>
    <w:basedOn w:val="Normal"/>
    <w:pPr>
      <w:numPr>
        <w:numId w:val="11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1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97236-1056-4BF1-A486-00A28DC8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97</Pages>
  <Words>34617</Words>
  <Characters>204592</Characters>
  <Application>Microsoft Office Word</Application>
  <DocSecurity>0</DocSecurity>
  <Lines>4447</Lines>
  <Paragraphs>1573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2015-12-18T11:53:00Z</dcterms:created>
  <dcterms:modified xsi:type="dcterms:W3CDTF">2015-12-21T09:26:00Z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