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CC8AF6B2BB4A1EBF69D53B987D3014"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Heading1"/>
        <w:ind w:left="482" w:hanging="482"/>
        <w:rPr>
          <w:noProof/>
        </w:rPr>
      </w:pPr>
      <w:bookmarkStart w:id="1" w:name="_GoBack"/>
      <w:bookmarkEnd w:id="1"/>
      <w:r>
        <w:rPr>
          <w:noProof/>
        </w:rPr>
        <w:lastRenderedPageBreak/>
        <w:t xml:space="preserve">INDLEDNING </w:t>
      </w:r>
    </w:p>
    <w:p>
      <w:pPr>
        <w:spacing w:before="240"/>
        <w:jc w:val="both"/>
        <w:rPr>
          <w:noProof/>
        </w:rPr>
      </w:pPr>
      <w:r>
        <w:rPr>
          <w:noProof/>
        </w:rPr>
        <w:t>I den europæiske dagsorden om sikkerhed, der blev vedtaget af Kommissionen den 28. april 2015</w:t>
      </w:r>
      <w:r>
        <w:rPr>
          <w:rStyle w:val="FootnoteReference"/>
          <w:noProof/>
        </w:rPr>
        <w:footnoteReference w:id="1"/>
      </w:r>
      <w:r>
        <w:rPr>
          <w:noProof/>
        </w:rPr>
        <w:t>, påpeges det, at der er behov for at styrke de retlige rammer for skydevåben og bekæmpelsen af ulovlig handel. Dagsordenen understreger også behovet for at begrænse terrornetværks adgang til og anvendelse af farlige stoffer, herunder eksplosivstoffer.</w:t>
      </w:r>
    </w:p>
    <w:p>
      <w:pPr>
        <w:spacing w:before="240"/>
        <w:jc w:val="both"/>
        <w:rPr>
          <w:noProof/>
        </w:rPr>
      </w:pPr>
      <w:r>
        <w:rPr>
          <w:noProof/>
        </w:rPr>
        <w:t>På grundlag af den europæiske dagsorden om sikkerhed opfordrede Rådet den 8. oktober 2015 medlemsstaterne, Kommissionen, Europol og Interpol til at styrke brugen af midler til bekæmpelse af ulovlig handel med skydevåben</w:t>
      </w:r>
      <w:r>
        <w:rPr>
          <w:rStyle w:val="FootnoteReference"/>
          <w:noProof/>
        </w:rPr>
        <w:footnoteReference w:id="2"/>
      </w:r>
      <w:r>
        <w:rPr>
          <w:noProof/>
        </w:rPr>
        <w:t>.</w:t>
      </w:r>
    </w:p>
    <w:p>
      <w:pPr>
        <w:spacing w:before="240"/>
        <w:jc w:val="both"/>
        <w:rPr>
          <w:noProof/>
        </w:rPr>
      </w:pPr>
      <w:r>
        <w:rPr>
          <w:noProof/>
        </w:rPr>
        <w:t xml:space="preserve">Ulovlig handel med skydevåben udgør en af de organiserede kriminelle gruppers hovedaktiviteter. Sammen med andre former for ulovlig handel, f.eks. handel med narkotika, er den ulovlige handel med skydevåben en vigtig indtægtskilde. Skydevåben virker befordrende på andre former for kriminalitet og anvendes hyppigt i forbindelse med intimidering, tvang og bandevold. Ud over den organiserede kriminalitet har også de afskyelige terrorangreb i de seneste år vist, at det er bydende nødvendigt at forhindre adgangen til våben og eksplosivstoffer. Angrebene i Paris og København og forsøget på at angribe et Thalys-tog har understreget den kendsgerning, at terrornetværk har adgang til våben og eksplosivstoffer gennem organiserede kriminelle netværk og det sorte marked. </w:t>
      </w:r>
    </w:p>
    <w:p>
      <w:pPr>
        <w:spacing w:before="240"/>
        <w:jc w:val="both"/>
        <w:rPr>
          <w:noProof/>
        </w:rPr>
      </w:pPr>
      <w:r>
        <w:rPr>
          <w:noProof/>
        </w:rPr>
        <w:t xml:space="preserve">I denne forbindelse er det afgørende, at EU, og særligt medlemsstaterne, øger deres bestræbelser på at håndtere den alvorlige trussel, som den ulovlige handel med skydevåben og brug af eksplosivstoffer udgør for Unionens indre sikkerhed. </w:t>
      </w:r>
    </w:p>
    <w:p>
      <w:pPr>
        <w:spacing w:before="240"/>
        <w:jc w:val="both"/>
        <w:rPr>
          <w:noProof/>
        </w:rPr>
      </w:pPr>
      <w:r>
        <w:rPr>
          <w:noProof/>
        </w:rPr>
        <w:t xml:space="preserve">Kommissionen vedtog den 18. november 2015 en pakke </w:t>
      </w:r>
      <w:r>
        <w:rPr>
          <w:b/>
          <w:noProof/>
        </w:rPr>
        <w:t>lovgivningsmæssige foranstaltninger</w:t>
      </w:r>
      <w:r>
        <w:rPr>
          <w:noProof/>
        </w:rPr>
        <w:t xml:space="preserve"> med henblik på at styrke kontrollen med skydevåben i Den Europæiske Union</w:t>
      </w:r>
      <w:r>
        <w:rPr>
          <w:rStyle w:val="FootnoteReference"/>
          <w:noProof/>
        </w:rPr>
        <w:footnoteReference w:id="3"/>
      </w:r>
      <w:r>
        <w:rPr>
          <w:noProof/>
        </w:rPr>
        <w:t xml:space="preserve">. Det næste skridt er at forbedre </w:t>
      </w:r>
      <w:r>
        <w:rPr>
          <w:b/>
          <w:noProof/>
        </w:rPr>
        <w:t>det operationelle samarbejde</w:t>
      </w:r>
      <w:r>
        <w:rPr>
          <w:noProof/>
        </w:rPr>
        <w:t xml:space="preserve"> på EU-plan mellem medlemsstaterne og med tredjelande. </w:t>
      </w:r>
    </w:p>
    <w:p>
      <w:pPr>
        <w:spacing w:before="240"/>
        <w:jc w:val="both"/>
        <w:rPr>
          <w:noProof/>
        </w:rPr>
      </w:pPr>
      <w:r>
        <w:rPr>
          <w:noProof/>
        </w:rPr>
        <w:t>Denne meddelelse beskriver specifikke foranstaltninger, der er nødvendige for at gennemføre den europæiske dagsorden om sikkerhed på området for ulovlig handel med skydevåben og eksplosivstoffer, også med udgangspunkt i den operationelle handlingsplan for 2016</w:t>
      </w:r>
      <w:r>
        <w:rPr>
          <w:rStyle w:val="FootnoteReference"/>
          <w:noProof/>
        </w:rPr>
        <w:footnoteReference w:id="4"/>
      </w:r>
      <w:r>
        <w:rPr>
          <w:noProof/>
        </w:rPr>
        <w:t xml:space="preserve"> i forbindelse med EU's politikcyklus</w:t>
      </w:r>
      <w:r>
        <w:rPr>
          <w:rStyle w:val="FootnoteReference"/>
          <w:noProof/>
        </w:rPr>
        <w:footnoteReference w:id="5"/>
      </w:r>
      <w:r>
        <w:rPr>
          <w:noProof/>
        </w:rPr>
        <w:t>.</w:t>
      </w:r>
    </w:p>
    <w:p>
      <w:pPr>
        <w:pStyle w:val="Heading1"/>
        <w:ind w:left="482" w:hanging="482"/>
        <w:rPr>
          <w:b w:val="0"/>
          <w:bCs/>
          <w:caps/>
          <w:noProof/>
        </w:rPr>
      </w:pPr>
      <w:r>
        <w:rPr>
          <w:caps/>
          <w:noProof/>
        </w:rPr>
        <w:t>BEGRÆNSNING AF ADGANGEN TIL ULOVLIGE SKYDEVÅBEN OG EKSPLOSIVSTOFFER</w:t>
      </w:r>
    </w:p>
    <w:p>
      <w:pPr>
        <w:spacing w:before="240"/>
        <w:jc w:val="both"/>
        <w:rPr>
          <w:noProof/>
        </w:rPr>
      </w:pPr>
      <w:r>
        <w:rPr>
          <w:noProof/>
        </w:rPr>
        <w:t>Til trods for den eksisterende EU-lovgivning er skydevåben, eksplosivstoffer og udgangsstoffer til eksplosivstoffer</w:t>
      </w:r>
      <w:r>
        <w:rPr>
          <w:rStyle w:val="FootnoteReference"/>
          <w:noProof/>
        </w:rPr>
        <w:footnoteReference w:id="6"/>
      </w:r>
      <w:r>
        <w:rPr>
          <w:noProof/>
        </w:rPr>
        <w:t xml:space="preserve"> stadig alt for let tilgængelige. Adgangen via ulovlige kanaler er blevet kompliceret af tilgængeligheden af våben på internettet. Der er behov for en samlet tilgang med henblik på at slå hårdt ned på ulovlig handel med og brug af skydevåben og eksplosivstoffer, samtidig med at den lovlige handel med skydevåben og den legitime brug af kemiske stoffer beskyttes.</w:t>
      </w:r>
    </w:p>
    <w:p>
      <w:pPr>
        <w:spacing w:before="240"/>
        <w:jc w:val="both"/>
        <w:rPr>
          <w:b/>
          <w:i/>
          <w:noProof/>
        </w:rPr>
      </w:pPr>
      <w:r>
        <w:rPr>
          <w:b/>
          <w:i/>
          <w:noProof/>
        </w:rPr>
        <w:t>Et bedre efterretningsbillede</w:t>
      </w:r>
    </w:p>
    <w:p>
      <w:pPr>
        <w:spacing w:before="240"/>
        <w:jc w:val="both"/>
        <w:rPr>
          <w:noProof/>
        </w:rPr>
      </w:pPr>
      <w:r>
        <w:rPr>
          <w:noProof/>
        </w:rPr>
        <w:t xml:space="preserve">For at forbedre og fremskynde en effektiv retshåndhævelse som reaktion på disse trusler er det afgørende at skabe et bedre efterretningsbillede af den ulovlige handel med våben, brugen af eksplosivstoffer og omledningen af lovlig handel, og at forbedre eksisterende statistiske og analytiske redskaber </w:t>
      </w:r>
      <w:r>
        <w:rPr>
          <w:b/>
          <w:noProof/>
        </w:rPr>
        <w:t>på EU-plan og nationalt plan</w:t>
      </w:r>
      <w:r>
        <w:rPr>
          <w:noProof/>
        </w:rPr>
        <w:t>.</w:t>
      </w:r>
    </w:p>
    <w:p>
      <w:pPr>
        <w:spacing w:before="240"/>
        <w:jc w:val="both"/>
        <w:rPr>
          <w:noProof/>
        </w:rPr>
      </w:pPr>
      <w:r>
        <w:rPr>
          <w:noProof/>
        </w:rPr>
        <w:t>I dette øjemed bør alle relevante interessenter tage følgende skridt:</w:t>
      </w:r>
    </w:p>
    <w:p>
      <w:pPr>
        <w:pStyle w:val="ListParagraph"/>
        <w:tabs>
          <w:tab w:val="left" w:pos="709"/>
        </w:tabs>
        <w:spacing w:before="120"/>
        <w:ind w:left="721" w:hanging="437"/>
        <w:contextualSpacing w:val="0"/>
        <w:jc w:val="both"/>
        <w:rPr>
          <w:noProof/>
        </w:rPr>
      </w:pPr>
      <w:r>
        <w:rPr>
          <w:noProof/>
        </w:rPr>
        <w:t>1</w:t>
      </w:r>
      <w:r>
        <w:rPr>
          <w:noProof/>
        </w:rPr>
        <w:tab/>
        <w:t xml:space="preserve">Kommissionen opfordrer alle medlemsstater til at oprette sammenkoblede </w:t>
      </w:r>
      <w:r>
        <w:rPr>
          <w:b/>
          <w:noProof/>
        </w:rPr>
        <w:t>nationale kontaktpunkter</w:t>
      </w:r>
      <w:r>
        <w:rPr>
          <w:noProof/>
        </w:rPr>
        <w:t xml:space="preserve"> for skydevåben med henblik på at udvikle ekspertise og forbedre analysen og den strategiske rapportering af den ulovlige handel med skydevåben, navnlig gennem den kombinerede brug af både ballistiske efterretninger og kriminalefterretninger</w:t>
      </w:r>
      <w:r>
        <w:rPr>
          <w:noProof/>
          <w:vertAlign w:val="superscript"/>
        </w:rPr>
        <w:footnoteReference w:id="7"/>
      </w:r>
      <w:r>
        <w:rPr>
          <w:noProof/>
        </w:rPr>
        <w:t>.</w:t>
      </w:r>
    </w:p>
    <w:p>
      <w:pPr>
        <w:pStyle w:val="ListParagraph"/>
        <w:tabs>
          <w:tab w:val="left" w:pos="709"/>
        </w:tabs>
        <w:spacing w:before="120"/>
        <w:ind w:left="721" w:hanging="437"/>
        <w:contextualSpacing w:val="0"/>
        <w:jc w:val="both"/>
        <w:rPr>
          <w:noProof/>
        </w:rPr>
      </w:pPr>
      <w:r>
        <w:rPr>
          <w:noProof/>
        </w:rPr>
        <w:t>2.</w:t>
      </w:r>
      <w:r>
        <w:rPr>
          <w:noProof/>
        </w:rPr>
        <w:tab/>
        <w:t xml:space="preserve">Da netværkene for ulovlig handel strækker sig ud over Europas grænser, vil Kommissionen samarbejde med De Forenede Nationers Kontor for Narkotikakontrol og Kriminalitetsbekæmpelse (UNODC) og medvirke til udvikling af internationalt harmoniseret dataindsamling med henblik på regelmæssigt at </w:t>
      </w:r>
      <w:r>
        <w:rPr>
          <w:b/>
          <w:noProof/>
        </w:rPr>
        <w:t>kortlægge de globale</w:t>
      </w:r>
      <w:r>
        <w:rPr>
          <w:noProof/>
        </w:rPr>
        <w:t xml:space="preserve"> </w:t>
      </w:r>
      <w:r>
        <w:rPr>
          <w:b/>
          <w:noProof/>
        </w:rPr>
        <w:t>handelsruter for skydevåben</w:t>
      </w:r>
      <w:r>
        <w:rPr>
          <w:noProof/>
        </w:rPr>
        <w:t xml:space="preserve"> til EU og stille disse data til rådighed for alle medlemsstaternes retshåndhævende myndigheder.</w:t>
      </w:r>
    </w:p>
    <w:p>
      <w:pPr>
        <w:pStyle w:val="ListParagraph"/>
        <w:tabs>
          <w:tab w:val="left" w:pos="709"/>
        </w:tabs>
        <w:spacing w:before="120"/>
        <w:ind w:left="721" w:hanging="437"/>
        <w:contextualSpacing w:val="0"/>
        <w:jc w:val="both"/>
        <w:rPr>
          <w:noProof/>
        </w:rPr>
      </w:pPr>
      <w:r>
        <w:rPr>
          <w:noProof/>
        </w:rPr>
        <w:t>3</w:t>
      </w:r>
      <w:r>
        <w:rPr>
          <w:noProof/>
        </w:rPr>
        <w:tab/>
        <w:t xml:space="preserve">I overensstemmelse med den operationelle handlingsplan for 2016 bør </w:t>
      </w:r>
      <w:r>
        <w:rPr>
          <w:b/>
          <w:noProof/>
        </w:rPr>
        <w:t>Europol</w:t>
      </w:r>
      <w:r>
        <w:rPr>
          <w:noProof/>
        </w:rPr>
        <w:t xml:space="preserve"> styrke sin indsats over for </w:t>
      </w:r>
      <w:r>
        <w:rPr>
          <w:b/>
          <w:noProof/>
        </w:rPr>
        <w:t>ulovlig onlinehandel</w:t>
      </w:r>
      <w:r>
        <w:rPr>
          <w:rStyle w:val="FootnoteReference"/>
          <w:noProof/>
        </w:rPr>
        <w:footnoteReference w:id="8"/>
      </w:r>
      <w:r>
        <w:rPr>
          <w:noProof/>
        </w:rPr>
        <w:t xml:space="preserve"> og omledning af lovlig handel og desuden gøre brug af sin enhed for internetindberetning</w:t>
      </w:r>
      <w:r>
        <w:rPr>
          <w:rStyle w:val="FootnoteReference"/>
          <w:noProof/>
        </w:rPr>
        <w:footnoteReference w:id="9"/>
      </w:r>
      <w:r>
        <w:rPr>
          <w:noProof/>
        </w:rPr>
        <w:t xml:space="preserve"> med henblik på eventuelt at overvåge ulovlige kilder for skydevåben, eksplosivstoffer og udgangsstoffer til eksplosivstoffer.</w:t>
      </w:r>
    </w:p>
    <w:p>
      <w:pPr>
        <w:pStyle w:val="ListParagraph"/>
        <w:tabs>
          <w:tab w:val="left" w:pos="709"/>
        </w:tabs>
        <w:spacing w:before="120"/>
        <w:ind w:left="721" w:hanging="437"/>
        <w:contextualSpacing w:val="0"/>
        <w:jc w:val="both"/>
        <w:rPr>
          <w:noProof/>
        </w:rPr>
      </w:pPr>
      <w:r>
        <w:rPr>
          <w:noProof/>
        </w:rPr>
        <w:t>4.</w:t>
      </w:r>
      <w:r>
        <w:rPr>
          <w:noProof/>
        </w:rPr>
        <w:tab/>
        <w:t>På baggrund af vurderinger fra interessenter</w:t>
      </w:r>
      <w:r>
        <w:rPr>
          <w:rStyle w:val="FootnoteReference"/>
          <w:noProof/>
        </w:rPr>
        <w:footnoteReference w:id="10"/>
      </w:r>
      <w:r>
        <w:rPr>
          <w:noProof/>
        </w:rPr>
        <w:t xml:space="preserve"> vil Europol fortsætte med at forbedre indsamlingen af data og efterretninger i tilknytning til skydevåben, herunder ulovlig handel, beslaglagte og stjålne skydevåben og mønstre for kriminel fremgangsmåde med henblik på at tilvejebringe </w:t>
      </w:r>
      <w:r>
        <w:rPr>
          <w:b/>
          <w:noProof/>
        </w:rPr>
        <w:t>timely knowledge-</w:t>
      </w:r>
      <w:r>
        <w:rPr>
          <w:noProof/>
        </w:rPr>
        <w:t>produkter/</w:t>
      </w:r>
      <w:r>
        <w:rPr>
          <w:b/>
          <w:noProof/>
        </w:rPr>
        <w:t>early warning</w:t>
      </w:r>
      <w:r>
        <w:rPr>
          <w:noProof/>
        </w:rPr>
        <w:t xml:space="preserve">-underretninger og opdaterede </w:t>
      </w:r>
      <w:r>
        <w:rPr>
          <w:b/>
          <w:noProof/>
        </w:rPr>
        <w:t>trusselsvurderinger</w:t>
      </w:r>
      <w:r>
        <w:rPr>
          <w:noProof/>
        </w:rPr>
        <w:t>, der bl.a. dækker skydevåbenmesser</w:t>
      </w:r>
      <w:r>
        <w:rPr>
          <w:rStyle w:val="FootnoteReference"/>
          <w:noProof/>
        </w:rPr>
        <w:footnoteReference w:id="11"/>
      </w:r>
      <w:r>
        <w:rPr>
          <w:noProof/>
        </w:rPr>
        <w:t xml:space="preserve"> og -kurertjenester i EU. Europol vil gøre disse dokumenter tilgængelige for alle medlemsstaters nationale retshåndhævende myndigheder.</w:t>
      </w:r>
    </w:p>
    <w:p>
      <w:pPr>
        <w:pStyle w:val="ListParagraph"/>
        <w:tabs>
          <w:tab w:val="left" w:pos="709"/>
        </w:tabs>
        <w:spacing w:before="120"/>
        <w:ind w:left="721" w:hanging="437"/>
        <w:contextualSpacing w:val="0"/>
        <w:jc w:val="both"/>
        <w:rPr>
          <w:noProof/>
        </w:rPr>
      </w:pPr>
      <w:r>
        <w:rPr>
          <w:noProof/>
        </w:rPr>
        <w:t>5.</w:t>
      </w:r>
      <w:r>
        <w:rPr>
          <w:noProof/>
        </w:rPr>
        <w:tab/>
        <w:t xml:space="preserve">Kommissionen vil fortsat yde </w:t>
      </w:r>
      <w:r>
        <w:rPr>
          <w:b/>
          <w:noProof/>
        </w:rPr>
        <w:t>finansiel støtte</w:t>
      </w:r>
      <w:r>
        <w:rPr>
          <w:noProof/>
        </w:rPr>
        <w:t xml:space="preserve"> med fokus på projekter med et bredt anvendelsesområde og til fordel for en styrket dataindsamling</w:t>
      </w:r>
      <w:r>
        <w:rPr>
          <w:rStyle w:val="FootnoteReference"/>
          <w:noProof/>
        </w:rPr>
        <w:footnoteReference w:id="12"/>
      </w:r>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rPr>
          <w:b/>
          <w:bCs/>
          <w:i/>
          <w:noProof/>
        </w:rPr>
      </w:pPr>
      <w:r>
        <w:rPr>
          <w:b/>
          <w:i/>
          <w:noProof/>
        </w:rPr>
        <w:br w:type="page"/>
        <w:t>Forberedelse på nye trusler og risici</w:t>
      </w:r>
    </w:p>
    <w:p>
      <w:pPr>
        <w:spacing w:before="240"/>
        <w:jc w:val="both"/>
        <w:rPr>
          <w:noProof/>
        </w:rPr>
      </w:pPr>
      <w:r>
        <w:rPr>
          <w:noProof/>
        </w:rPr>
        <w:t>Det vides om netværk for organiseret kriminalitet og terrornetværk, at de udvikler sig hurtigt og udnytter den teknologiske innovation så godt som muligt</w:t>
      </w:r>
      <w:r>
        <w:rPr>
          <w:rStyle w:val="FootnoteReference"/>
          <w:noProof/>
        </w:rPr>
        <w:footnoteReference w:id="13"/>
      </w:r>
      <w:r>
        <w:rPr>
          <w:noProof/>
        </w:rPr>
        <w:t xml:space="preserve">. Kommissionen vil derfor samarbejde med skydevåbenindustrien og den kemiske industri, relevante nationale retshåndhævende myndigheder og Europol med henblik på at evaluere </w:t>
      </w:r>
      <w:r>
        <w:rPr>
          <w:b/>
          <w:noProof/>
        </w:rPr>
        <w:t>de teknologiske fremskridts konsekvenser</w:t>
      </w:r>
      <w:r>
        <w:rPr>
          <w:noProof/>
        </w:rPr>
        <w:t xml:space="preserve"> for den potentielle tilgængelighed af skydevåben og eksplosivstoffer og at vurdere eventuelle huller i sikkerheden.</w:t>
      </w:r>
    </w:p>
    <w:p>
      <w:pPr>
        <w:spacing w:before="240"/>
        <w:jc w:val="both"/>
        <w:rPr>
          <w:rFonts w:eastAsia="Times New Roman"/>
          <w:noProof/>
        </w:rPr>
      </w:pPr>
      <w:r>
        <w:rPr>
          <w:noProof/>
        </w:rPr>
        <w:t xml:space="preserve">Samtidig bør kapaciteten til hurtigt at kunne reagere på nye trusler (f.eks. 3D-printning) styrkes. Ved EU's ydre grænser vil toldmyndighederne — i samarbejde med andre retshåndhævende myndigheder og på grundlag af oplysninger, der er indsamlet fra Europol og andre dataanalysesystemer — forbedre de nuværende fælles toldrisikokriterier med henblik på en mere målrettet indsats over for ulovlig handel med våben og skydevåben.  </w:t>
      </w:r>
    </w:p>
    <w:p>
      <w:pPr>
        <w:spacing w:before="240"/>
        <w:jc w:val="both"/>
        <w:rPr>
          <w:rFonts w:eastAsia="Times New Roman"/>
          <w:b/>
          <w:i/>
          <w:noProof/>
        </w:rPr>
      </w:pPr>
      <w:r>
        <w:rPr>
          <w:b/>
          <w:i/>
          <w:noProof/>
        </w:rPr>
        <w:t>Øget sikkerhed i forbindelse med eksplosivstoffer</w:t>
      </w:r>
    </w:p>
    <w:p>
      <w:pPr>
        <w:spacing w:before="240"/>
        <w:jc w:val="both"/>
        <w:rPr>
          <w:iCs/>
          <w:noProof/>
          <w:bdr w:val="none" w:sz="0" w:space="0" w:color="auto"/>
        </w:rPr>
      </w:pPr>
      <w:r>
        <w:rPr>
          <w:noProof/>
        </w:rPr>
        <w:t>EU's nuværende handlingsplan for øget sprængstofsikkerhed</w:t>
      </w:r>
      <w:r>
        <w:rPr>
          <w:rStyle w:val="FootnoteReference"/>
          <w:noProof/>
        </w:rPr>
        <w:footnoteReference w:id="14"/>
      </w:r>
      <w:r>
        <w:rPr>
          <w:noProof/>
        </w:rPr>
        <w:t xml:space="preserve"> blev vedtaget af EU i 2008</w:t>
      </w:r>
      <w:r>
        <w:rPr>
          <w:rStyle w:val="FootnoteReference"/>
          <w:noProof/>
        </w:rPr>
        <w:footnoteReference w:id="15"/>
      </w:r>
      <w:r>
        <w:rPr>
          <w:noProof/>
        </w:rPr>
        <w:t>. De fleste aktioner er nu gennemført gennem en fælles indsats fra Kommissionen, EU-medlemsstaterne, Europol, forskningsinstitutioner og den private sektor. Der er gjort betydelige fremskridt, og medlemsstaterne har især fremhævet merværdien af foranstaltninger til forbedring af udvekslingen af information og eksempler på god praksis, foranstaltninger til udvikling af harmoniserede standarder og procedurer og foranstaltninger til støtte for eksplosivstofrelateret forskning og uddannelse.</w:t>
      </w:r>
    </w:p>
    <w:p>
      <w:pPr>
        <w:spacing w:before="240"/>
        <w:jc w:val="both"/>
        <w:rPr>
          <w:noProof/>
        </w:rPr>
      </w:pPr>
      <w:r>
        <w:rPr>
          <w:noProof/>
        </w:rPr>
        <w:t>Et væsentligt resultat af handlingsplanen var vedtagelsen af forordning (EU) nr. 98/2013 om markedsføring og brug af udgangsstoffer til eksplosivstoffer</w:t>
      </w:r>
      <w:r>
        <w:rPr>
          <w:rStyle w:val="FootnoteReference"/>
          <w:noProof/>
        </w:rPr>
        <w:footnoteReference w:id="16"/>
      </w:r>
      <w:r>
        <w:rPr>
          <w:noProof/>
        </w:rPr>
        <w:t xml:space="preserve">. Forordningen, der trådte i kraft den 2. september 2014, kan forhindre </w:t>
      </w:r>
      <w:r>
        <w:rPr>
          <w:b/>
          <w:noProof/>
        </w:rPr>
        <w:t>terrorhandlinger</w:t>
      </w:r>
      <w:r>
        <w:rPr>
          <w:noProof/>
        </w:rPr>
        <w:t xml:space="preserve"> ved at begrænse adgangen til de ingredienser, som er nødvendige til fremstilling af bomber, og ved at gøre det muligt for politiet på et tidligt tidspunkt at foretage efterforskning af mistænkelige transaktioner og andre hændelser. Det er derfor en </w:t>
      </w:r>
      <w:r>
        <w:rPr>
          <w:b/>
          <w:noProof/>
        </w:rPr>
        <w:t>hasteprioritet at sikre fuld gennemførelse fra medlemsstaternes side</w:t>
      </w:r>
      <w:r>
        <w:rPr>
          <w:noProof/>
        </w:rPr>
        <w:t xml:space="preserve"> og at styrke kontrollen omkring udgangsstoffer, i takt med at truslerne udvikler sig. Dette vil ske ved hjælp af følgende centrale foranstaltninger:</w:t>
      </w:r>
    </w:p>
    <w:p>
      <w:pPr>
        <w:pStyle w:val="ListParagraph"/>
        <w:numPr>
          <w:ilvl w:val="0"/>
          <w:numId w:val="40"/>
        </w:numPr>
        <w:tabs>
          <w:tab w:val="left" w:pos="709"/>
        </w:tabs>
        <w:spacing w:before="240"/>
        <w:ind w:left="1003" w:hanging="357"/>
        <w:contextualSpacing w:val="0"/>
        <w:jc w:val="both"/>
        <w:rPr>
          <w:noProof/>
        </w:rPr>
      </w:pPr>
      <w:r>
        <w:rPr>
          <w:noProof/>
        </w:rPr>
        <w:t xml:space="preserve">Kommissionen vil fremme harmoniserede foranstaltninger i hele EU, og praksis som f.eks.: a) grænseoverskridende udveksling af oplysninger mellem nationale kontaktpunkter for at sikre, at de retshåndhævende myndigheder i alle berørte medlemsstater er opmærksomme på mistænkelige forhold, ved anvendelse af en eksisterende Europol-platform såsom EBDS (European Bomb Data System) </w:t>
      </w:r>
      <w:r>
        <w:rPr>
          <w:noProof/>
        </w:rPr>
        <w:br/>
        <w:t xml:space="preserve">og b) bred og systematisk overvågning af retshåndhævelsen i forbindelse med salget af udgangsstoffer på internettet, samt skridt til yderligere at begrænse adgangen til disse. </w:t>
      </w:r>
    </w:p>
    <w:p>
      <w:pPr>
        <w:pStyle w:val="ListParagraph"/>
        <w:numPr>
          <w:ilvl w:val="0"/>
          <w:numId w:val="40"/>
        </w:numPr>
        <w:tabs>
          <w:tab w:val="left" w:pos="709"/>
        </w:tabs>
        <w:spacing w:before="240"/>
        <w:ind w:left="1003" w:hanging="357"/>
        <w:contextualSpacing w:val="0"/>
        <w:jc w:val="both"/>
        <w:rPr>
          <w:noProof/>
        </w:rPr>
      </w:pPr>
      <w:r>
        <w:rPr>
          <w:noProof/>
        </w:rPr>
        <w:t>Kommissionen vil også udbygge arbejdet med forsyningskæden for udgangsstoffer</w:t>
      </w:r>
      <w:r>
        <w:rPr>
          <w:rStyle w:val="FootnoteReference"/>
          <w:noProof/>
        </w:rPr>
        <w:footnoteReference w:id="17"/>
      </w:r>
      <w:r>
        <w:rPr>
          <w:noProof/>
        </w:rPr>
        <w:t xml:space="preserve"> ved udarbejdelse og fremme af vejledende materiale, der tilbyder rådgivning om god praksis til den kemiske industri, detailsektoren og andre relevante sektorer. </w:t>
      </w:r>
    </w:p>
    <w:p>
      <w:pPr>
        <w:pStyle w:val="ListParagraph"/>
        <w:numPr>
          <w:ilvl w:val="0"/>
          <w:numId w:val="40"/>
        </w:numPr>
        <w:tabs>
          <w:tab w:val="left" w:pos="709"/>
        </w:tabs>
        <w:spacing w:before="240"/>
        <w:ind w:left="1003" w:hanging="357"/>
        <w:contextualSpacing w:val="0"/>
        <w:jc w:val="both"/>
        <w:rPr>
          <w:rFonts w:eastAsia="Times New Roman"/>
          <w:noProof/>
        </w:rPr>
      </w:pPr>
      <w:r>
        <w:rPr>
          <w:noProof/>
        </w:rPr>
        <w:t>Kommissionen vil fremskynde arbejdet for at kunne fremlægge revisionen af forordningen i 2016 og overveje, om der er behov for skærpede foranstaltninger, herunder inddragelse af nye farlige stoffer, udvidelse af anvendelsesområdet til at omfatte professionelle brugere, krav om slutbrugererklæringer i forbindelse med transaktioner og registrering af fabrikanter, forhandlere og importører, restriktioner for og kontrol af eksporten, øgede restriktioner for onlinesalg og selvbetjeningskasser (self-checkout tills) og fastlæggelse af en rolle for toldmyndighederne</w:t>
      </w:r>
      <w:r>
        <w:rPr>
          <w:rStyle w:val="FootnoteReference"/>
          <w:noProof/>
        </w:rPr>
        <w:footnoteReference w:id="18"/>
      </w:r>
      <w:r>
        <w:rPr>
          <w:noProof/>
        </w:rPr>
        <w:t xml:space="preserve">. </w:t>
      </w:r>
    </w:p>
    <w:p>
      <w:pPr>
        <w:spacing w:before="240"/>
        <w:jc w:val="both"/>
        <w:rPr>
          <w:noProof/>
        </w:rPr>
      </w:pPr>
      <w:r>
        <w:rPr>
          <w:noProof/>
        </w:rPr>
        <w:t>En korrekt sikkerhedsgodkendelse af personale er vigtig for at forebygge omledning, misbrug og ulovlig adgang til farlige kemikalier</w:t>
      </w:r>
      <w:r>
        <w:rPr>
          <w:rStyle w:val="FootnoteReference"/>
          <w:noProof/>
        </w:rPr>
        <w:footnoteReference w:id="19"/>
      </w:r>
      <w:r>
        <w:rPr>
          <w:noProof/>
        </w:rPr>
        <w:t>. I EU's medlemsstater findes der ingen fælles mindstekrav til standarder og procedurer for sikkerhedsgodkendelse i forbindelse med ansættelse og uddannelse af personale, der arbejder i forsyningskæden for eksplosivstoffer og andre sikkerhedsfølsomme sektorer</w:t>
      </w:r>
      <w:r>
        <w:rPr>
          <w:rStyle w:val="FootnoteReference"/>
          <w:noProof/>
        </w:rPr>
        <w:footnoteReference w:id="20"/>
      </w:r>
      <w:r>
        <w:rPr>
          <w:noProof/>
        </w:rPr>
        <w:t>, og Kommissionen vil nu overveje, om der er behov for en EU-indsats på området.</w:t>
      </w:r>
    </w:p>
    <w:tbl>
      <w:tblPr>
        <w:tblStyle w:val="TableGrid"/>
        <w:tblpPr w:leftFromText="180" w:rightFromText="180" w:vertAnchor="text" w:horzAnchor="margin" w:tblpY="201"/>
        <w:tblW w:w="0" w:type="auto"/>
        <w:tblLook w:val="04A0" w:firstRow="1" w:lastRow="0" w:firstColumn="1" w:lastColumn="0" w:noHBand="0" w:noVBand="1"/>
      </w:tblPr>
      <w:tblGrid>
        <w:gridCol w:w="9286"/>
      </w:tblGrid>
      <w:tr>
        <w:trPr>
          <w:trHeight w:val="4676"/>
        </w:trPr>
        <w:tc>
          <w:tcPr>
            <w:tcW w:w="9286" w:type="dxa"/>
            <w:vAlign w:val="center"/>
          </w:tcPr>
          <w:p>
            <w:pPr>
              <w:keepNext/>
              <w:keepLines/>
              <w:pBdr>
                <w:top w:val="none" w:sz="0" w:space="0" w:color="auto"/>
                <w:left w:val="none" w:sz="0" w:space="0" w:color="auto"/>
                <w:bottom w:val="none" w:sz="0" w:space="0" w:color="auto"/>
                <w:right w:val="none" w:sz="0" w:space="0" w:color="auto"/>
                <w:between w:val="none" w:sz="0" w:space="0" w:color="auto"/>
                <w:bar w:val="none" w:sz="0" w:color="auto"/>
              </w:pBdr>
              <w:rPr>
                <w:b/>
                <w:bCs/>
                <w:noProof/>
              </w:rPr>
            </w:pPr>
            <w:r>
              <w:rPr>
                <w:b/>
                <w:noProof/>
              </w:rPr>
              <w:t>Specifikke foranstaltninger:</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i/>
                <w:iCs/>
                <w:noProof/>
              </w:rPr>
            </w:pPr>
            <w:r>
              <w:rPr>
                <w:rFonts w:ascii="Times New Roman" w:hAnsi="Times New Roman"/>
                <w:i/>
                <w:noProof/>
                <w:sz w:val="24"/>
              </w:rPr>
              <w:t>De eksisterende statistiske og analytiske redskaber skal forbedres, og der skal udvikles vurderinger på nationalt plan vedrørende skydevåbens bevægelser og deres tilgængelighed, og udveksling på EU-plan skal prioriteres.</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Times New Roman" w:hAnsi="Times New Roman" w:cs="Times New Roman"/>
                <w:bCs/>
                <w:i/>
                <w:iCs/>
                <w:noProof/>
              </w:rPr>
            </w:pPr>
            <w:r>
              <w:rPr>
                <w:rFonts w:ascii="Times New Roman" w:hAnsi="Times New Roman"/>
                <w:i/>
                <w:noProof/>
                <w:sz w:val="24"/>
              </w:rPr>
              <w:t>Europol skal udarbejde EU-dækkende analytiske produkter, og den overvågningsrolle, EU's enhed for internetindberetning varetager, skal styrkes i betragtning af det stærke terrorelement.</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i/>
                <w:iCs/>
                <w:noProof/>
              </w:rPr>
            </w:pPr>
            <w:r>
              <w:rPr>
                <w:rFonts w:ascii="Times New Roman" w:hAnsi="Times New Roman"/>
                <w:i/>
                <w:noProof/>
                <w:sz w:val="24"/>
              </w:rPr>
              <w:t>De Forenede Nationers Kontor for Narkotikakontrol og Kriminalitetsbekæmpelse (UNODC) skal kortlægge indfaldsvejene til EU for den globale handel med skydevåben.</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Times New Roman" w:hAnsi="Times New Roman"/>
                <w:i/>
                <w:noProof/>
                <w:sz w:val="24"/>
              </w:rPr>
            </w:pPr>
            <w:r>
              <w:rPr>
                <w:rFonts w:ascii="Times New Roman" w:hAnsi="Times New Roman"/>
                <w:i/>
                <w:noProof/>
                <w:sz w:val="24"/>
              </w:rPr>
              <w:t>Der skal indgås samarbejde med partnere for at forbedre viden om den ulovlige handel med skydevåben, der bl.a. omfatter ulovlig onlinehandel og omledning af den lovlige handel.</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Times New Roman" w:hAnsi="Times New Roman"/>
                <w:i/>
                <w:noProof/>
                <w:sz w:val="24"/>
              </w:rPr>
            </w:pPr>
            <w:r>
              <w:rPr>
                <w:rFonts w:ascii="Times New Roman" w:hAnsi="Times New Roman"/>
                <w:i/>
                <w:noProof/>
                <w:sz w:val="24"/>
              </w:rPr>
              <w:t>Adgangen til alle EU-dækkende og nationale analytiske produkter skal forbedres for retshåndhævende myndigheder.</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Times New Roman" w:hAnsi="Times New Roman" w:cs="Times New Roman"/>
                <w:bCs/>
                <w:i/>
                <w:iCs/>
                <w:noProof/>
              </w:rPr>
            </w:pPr>
            <w:r>
              <w:rPr>
                <w:rFonts w:ascii="Times New Roman" w:hAnsi="Times New Roman"/>
                <w:i/>
                <w:noProof/>
                <w:sz w:val="24"/>
              </w:rPr>
              <w:t>Der skal fortsat ydes finansiel støtte med fokus på projekter med et bredt anvendelsesområde og til fordel for en styrket dataindsamling.</w:t>
            </w:r>
          </w:p>
          <w:p>
            <w:pPr>
              <w:pStyle w:val="Body"/>
              <w:keepNext/>
              <w:keepLine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Times New Roman" w:hAnsi="Times New Roman" w:cs="Times New Roman"/>
                <w:bCs/>
                <w:i/>
                <w:iCs/>
                <w:noProof/>
              </w:rPr>
            </w:pPr>
            <w:r>
              <w:rPr>
                <w:rFonts w:ascii="Times New Roman" w:hAnsi="Times New Roman"/>
                <w:i/>
                <w:noProof/>
                <w:sz w:val="24"/>
              </w:rPr>
              <w:t>Risiciene som følge af teknologisk innovation, f.eks. 3D-printning, skal vurderes.</w:t>
            </w:r>
          </w:p>
          <w:p>
            <w:pPr>
              <w:pStyle w:val="ListParagraph"/>
              <w:keepNext/>
              <w:keepLines/>
              <w:numPr>
                <w:ilvl w:val="0"/>
                <w:numId w:val="24"/>
              </w:numPr>
              <w:ind w:left="714" w:hanging="357"/>
              <w:jc w:val="both"/>
              <w:rPr>
                <w:i/>
                <w:noProof/>
              </w:rPr>
            </w:pPr>
            <w:r>
              <w:rPr>
                <w:i/>
                <w:noProof/>
              </w:rPr>
              <w:t>Sikkerheden omkring eksplosivstoffer skal øges gennem en fuldstændig gennemførelse af forordningen om udgangsstoffer til eksplosivstoffer og fremrykning til 2016 af revisionen af nævnte forordning.</w:t>
            </w:r>
          </w:p>
          <w:p>
            <w:pPr>
              <w:pStyle w:val="Body"/>
              <w:keepLine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noProof/>
              </w:rPr>
            </w:pPr>
            <w:r>
              <w:rPr>
                <w:rFonts w:ascii="Times New Roman" w:hAnsi="Times New Roman"/>
                <w:i/>
                <w:noProof/>
                <w:sz w:val="24"/>
              </w:rPr>
              <w:t>Behovet for harmonisering på EU-plan af standarder og procedurer for sikkerhedsgodkendelse skal vurderes.</w:t>
            </w:r>
          </w:p>
        </w:tc>
      </w:tr>
    </w:tbl>
    <w:p>
      <w:pPr>
        <w:pStyle w:val="Heading1"/>
        <w:ind w:left="482" w:hanging="482"/>
        <w:rPr>
          <w:noProof/>
        </w:rPr>
      </w:pPr>
      <w:r>
        <w:rPr>
          <w:noProof/>
        </w:rPr>
        <w:t xml:space="preserve">STYRKELSE AF DET OPERATIVE SAMARBEJDE </w:t>
      </w:r>
    </w:p>
    <w:p>
      <w:pPr>
        <w:pStyle w:val="Body"/>
        <w:spacing w:before="240" w:after="0" w:line="240" w:lineRule="auto"/>
        <w:jc w:val="both"/>
        <w:rPr>
          <w:rFonts w:ascii="Times New Roman" w:hAnsi="Times New Roman"/>
          <w:b/>
          <w:noProof/>
          <w:sz w:val="24"/>
          <w:szCs w:val="24"/>
        </w:rPr>
      </w:pPr>
      <w:r>
        <w:rPr>
          <w:rFonts w:ascii="Times New Roman" w:hAnsi="Times New Roman"/>
          <w:noProof/>
          <w:sz w:val="24"/>
        </w:rPr>
        <w:t xml:space="preserve">Den europæiske dagsorden om sikkerhed understregede det presserende behov for at </w:t>
      </w:r>
      <w:r>
        <w:rPr>
          <w:rFonts w:ascii="Times New Roman" w:hAnsi="Times New Roman"/>
          <w:b/>
          <w:noProof/>
          <w:sz w:val="24"/>
        </w:rPr>
        <w:t>styrke det operationelle samarbejde</w:t>
      </w:r>
      <w:r>
        <w:rPr>
          <w:rFonts w:ascii="Times New Roman" w:hAnsi="Times New Roman"/>
          <w:noProof/>
          <w:sz w:val="24"/>
        </w:rPr>
        <w:t xml:space="preserve"> mellem de relevante myndigheder i medlemsstaterne. Det er vigtigt at gøre brug af den ekspertise, der er til rådighed, og af, at der tilbydes passende uddannelse af retshåndhævende myndigheder og andre relevante organer og eksperter i medlemsstaterne. I denne sammenhæng bør retshåndhævelse og ekspertnetværk udnyttes </w:t>
      </w:r>
      <w:r>
        <w:rPr>
          <w:rFonts w:ascii="Times New Roman" w:hAnsi="Times New Roman"/>
          <w:b/>
          <w:noProof/>
          <w:sz w:val="24"/>
        </w:rPr>
        <w:t>fuldt ud</w:t>
      </w:r>
      <w:r>
        <w:rPr>
          <w:rFonts w:ascii="Times New Roman" w:hAnsi="Times New Roman"/>
          <w:noProof/>
          <w:color w:val="auto"/>
          <w:sz w:val="24"/>
          <w:vertAlign w:val="superscript"/>
        </w:rPr>
        <w:footnoteReference w:id="21"/>
      </w:r>
      <w:r>
        <w:rPr>
          <w:rFonts w:ascii="Times New Roman" w:hAnsi="Times New Roman"/>
          <w:noProof/>
          <w:sz w:val="24"/>
        </w:rPr>
        <w:t>.</w:t>
      </w:r>
    </w:p>
    <w:p>
      <w:pPr>
        <w:pStyle w:val="Body"/>
        <w:keepNext/>
        <w:spacing w:before="240" w:after="0" w:line="240" w:lineRule="auto"/>
        <w:jc w:val="both"/>
        <w:rPr>
          <w:rFonts w:ascii="Times New Roman" w:hAnsi="Times New Roman"/>
          <w:b/>
          <w:bCs/>
          <w:i/>
          <w:noProof/>
          <w:sz w:val="24"/>
          <w:szCs w:val="24"/>
        </w:rPr>
      </w:pPr>
      <w:r>
        <w:rPr>
          <w:rFonts w:ascii="Times New Roman" w:hAnsi="Times New Roman"/>
          <w:b/>
          <w:i/>
          <w:noProof/>
          <w:sz w:val="24"/>
        </w:rPr>
        <w:t>Forøgelse af det grænseoverskridende operationelle samarbejde</w:t>
      </w:r>
    </w:p>
    <w:p>
      <w:pPr>
        <w:spacing w:before="240"/>
        <w:jc w:val="both"/>
        <w:rPr>
          <w:noProof/>
        </w:rPr>
      </w:pPr>
      <w:r>
        <w:rPr>
          <w:noProof/>
        </w:rPr>
        <w:t>Den operationelle handlingsplan om skydevåben</w:t>
      </w:r>
      <w:r>
        <w:rPr>
          <w:rStyle w:val="FootnoteReference"/>
          <w:noProof/>
        </w:rPr>
        <w:footnoteReference w:id="22"/>
      </w:r>
      <w:r>
        <w:rPr>
          <w:noProof/>
        </w:rPr>
        <w:t xml:space="preserve"> (OAP) omfatter allerede de fleste af disse foranstaltninger. De omfatter bl.a. fælles aktionsdage og efterretningsstyrede aktioner mod ulovlig handel og vigtige formidlere (f.eks. inden for lovlige erhverv og kurertjenester). Det retlige samarbejde mellem nationale myndigheder er også nyttigt, når det gælder om at bekæmpe den ulovlige handel med skydevåben. Eurojust har været involveret i flere vigtige sager i de senere år, især i forbindelse med andre strafbare handlinger som f.eks. narkotikahandel.</w:t>
      </w:r>
    </w:p>
    <w:p>
      <w:pPr>
        <w:pStyle w:val="Body"/>
        <w:spacing w:before="240" w:after="0" w:line="240" w:lineRule="auto"/>
        <w:jc w:val="both"/>
        <w:rPr>
          <w:rFonts w:ascii="Times New Roman" w:eastAsia="Times New Roman" w:hAnsi="Times New Roman" w:cs="Times New Roman"/>
          <w:b/>
          <w:i/>
          <w:iCs/>
          <w:noProof/>
          <w:sz w:val="24"/>
          <w:szCs w:val="24"/>
        </w:rPr>
      </w:pPr>
      <w:r>
        <w:rPr>
          <w:rFonts w:ascii="Times New Roman" w:hAnsi="Times New Roman"/>
          <w:b/>
          <w:i/>
          <w:noProof/>
          <w:sz w:val="24"/>
        </w:rPr>
        <w:t xml:space="preserve">Afbrydelse af adgangen til ulovlige skydevåben på internettet (både det åbne net og mørkenettet)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Muligheden for, at netværk af organiserede kriminelle og terrorister kan skaffe sig skydevåben eller dele eller komponenter hertil på internettet, såvel på det "åbne" net som på "mørkenettet", er en sårbarhed, der snarest muligt må gøres noget ved. Følgende foranstaltninger bør gennemføres: </w:t>
      </w:r>
    </w:p>
    <w:p>
      <w:pPr>
        <w:pStyle w:val="ListParagraph"/>
        <w:numPr>
          <w:ilvl w:val="0"/>
          <w:numId w:val="41"/>
        </w:numPr>
        <w:tabs>
          <w:tab w:val="left" w:pos="709"/>
        </w:tabs>
        <w:spacing w:before="240"/>
        <w:contextualSpacing w:val="0"/>
        <w:jc w:val="both"/>
        <w:rPr>
          <w:rFonts w:eastAsia="Times New Roman"/>
          <w:noProof/>
        </w:rPr>
      </w:pPr>
      <w:r>
        <w:rPr>
          <w:noProof/>
        </w:rPr>
        <w:t xml:space="preserve">Ud over den fulde gennemførelse af den operationelle handlingsplan om skydevåben opfordrer Kommissionen medlemsstaterne til at oprette </w:t>
      </w:r>
      <w:r>
        <w:rPr>
          <w:b/>
          <w:noProof/>
        </w:rPr>
        <w:t>cyberpatruljehold</w:t>
      </w:r>
      <w:r>
        <w:rPr>
          <w:noProof/>
        </w:rPr>
        <w:t xml:space="preserve"> eller til at fokusere aktiviteterne i allerede eksisterende cyberpatruljehold på at afsløre ulovlig handel med skydevåben og dele eller komponenter hertil og eksplosivstoffer på internettet.</w:t>
      </w:r>
    </w:p>
    <w:p>
      <w:pPr>
        <w:pStyle w:val="ListParagraph"/>
        <w:numPr>
          <w:ilvl w:val="0"/>
          <w:numId w:val="41"/>
        </w:numPr>
        <w:tabs>
          <w:tab w:val="left" w:pos="709"/>
        </w:tabs>
        <w:spacing w:before="240"/>
        <w:ind w:left="1003" w:hanging="357"/>
        <w:contextualSpacing w:val="0"/>
        <w:jc w:val="both"/>
        <w:rPr>
          <w:rFonts w:eastAsia="Times New Roman"/>
          <w:noProof/>
        </w:rPr>
      </w:pPr>
      <w:r>
        <w:rPr>
          <w:noProof/>
        </w:rPr>
        <w:t>På basis af erfaringerne fra Operation Onymous</w:t>
      </w:r>
      <w:r>
        <w:rPr>
          <w:noProof/>
          <w:vertAlign w:val="superscript"/>
        </w:rPr>
        <w:footnoteReference w:id="23"/>
      </w:r>
      <w:r>
        <w:rPr>
          <w:noProof/>
        </w:rPr>
        <w:t xml:space="preserve"> og Darkode</w:t>
      </w:r>
      <w:r>
        <w:rPr>
          <w:noProof/>
          <w:vertAlign w:val="superscript"/>
        </w:rPr>
        <w:footnoteReference w:id="24"/>
      </w:r>
      <w:r>
        <w:rPr>
          <w:noProof/>
        </w:rPr>
        <w:t xml:space="preserve"> vil Europol støtte medlemsstaternes operationer og efterforskninger ved levering af operationel analyse, koordinering og ekspertise, herunder især højt specialiserede tekniske og digitale </w:t>
      </w:r>
      <w:r>
        <w:rPr>
          <w:b/>
          <w:noProof/>
        </w:rPr>
        <w:t>kriminaltekniske</w:t>
      </w:r>
      <w:r>
        <w:rPr>
          <w:noProof/>
        </w:rPr>
        <w:t xml:space="preserve"> faciliteter og fuld anvendelse af </w:t>
      </w:r>
      <w:r>
        <w:rPr>
          <w:b/>
          <w:noProof/>
        </w:rPr>
        <w:t>Cybercrime Action Taskforce</w:t>
      </w:r>
      <w:r>
        <w:rPr>
          <w:noProof/>
        </w:rPr>
        <w:t xml:space="preserve"> (J-CAT)</w:t>
      </w:r>
      <w:r>
        <w:rPr>
          <w:noProof/>
          <w:sz w:val="20"/>
          <w:vertAlign w:val="superscript"/>
        </w:rPr>
        <w:footnoteReference w:id="25"/>
      </w:r>
      <w:r>
        <w:rPr>
          <w:noProof/>
        </w:rPr>
        <w:t>.</w:t>
      </w:r>
    </w:p>
    <w:p>
      <w:pPr>
        <w:pStyle w:val="ListParagraph"/>
        <w:numPr>
          <w:ilvl w:val="0"/>
          <w:numId w:val="41"/>
        </w:numPr>
        <w:tabs>
          <w:tab w:val="left" w:pos="709"/>
        </w:tabs>
        <w:spacing w:before="240"/>
        <w:ind w:left="1003" w:hanging="357"/>
        <w:contextualSpacing w:val="0"/>
        <w:jc w:val="both"/>
        <w:rPr>
          <w:rFonts w:eastAsia="Times New Roman"/>
          <w:noProof/>
        </w:rPr>
      </w:pPr>
      <w:r>
        <w:rPr>
          <w:noProof/>
        </w:rPr>
        <w:t xml:space="preserve">Europol vil også udvikle </w:t>
      </w:r>
      <w:r>
        <w:rPr>
          <w:b/>
          <w:noProof/>
        </w:rPr>
        <w:t>redskaber til efterforskning på nettet</w:t>
      </w:r>
      <w:r>
        <w:rPr>
          <w:noProof/>
        </w:rPr>
        <w:t>, navnlig i samarbejde med det amerikanske Bureau of Alcohol, Tobacco, Firearms and Explosives.</w:t>
      </w:r>
    </w:p>
    <w:p>
      <w:pPr>
        <w:pStyle w:val="ListParagraph"/>
        <w:numPr>
          <w:ilvl w:val="0"/>
          <w:numId w:val="41"/>
        </w:numPr>
        <w:tabs>
          <w:tab w:val="left" w:pos="709"/>
        </w:tabs>
        <w:spacing w:before="240"/>
        <w:ind w:left="1003" w:hanging="357"/>
        <w:contextualSpacing w:val="0"/>
        <w:jc w:val="both"/>
        <w:rPr>
          <w:rFonts w:eastAsia="Times New Roman"/>
          <w:noProof/>
        </w:rPr>
      </w:pPr>
      <w:r>
        <w:rPr>
          <w:noProof/>
        </w:rPr>
        <w:t xml:space="preserve">Da størstedelen af internettets infrastruktur ejes og drives af den private sektor, vil Kommissionen medtage forebyggelse og detektion af ulovlig handel med skydevåben og dele og komponenter hertil samt eksplosivstoffer i sine eksisterende </w:t>
      </w:r>
      <w:r>
        <w:rPr>
          <w:b/>
          <w:noProof/>
        </w:rPr>
        <w:t>partnerskaber med den private sektor</w:t>
      </w:r>
      <w:r>
        <w:rPr>
          <w:noProof/>
          <w:vertAlign w:val="superscript"/>
        </w:rPr>
        <w:footnoteReference w:id="26"/>
      </w:r>
      <w:r>
        <w:rPr>
          <w:noProof/>
        </w:rPr>
        <w:t>.</w:t>
      </w:r>
    </w:p>
    <w:p>
      <w:pPr>
        <w:pStyle w:val="Body"/>
        <w:spacing w:before="240" w:after="0" w:line="240" w:lineRule="auto"/>
        <w:jc w:val="both"/>
        <w:rPr>
          <w:rFonts w:ascii="Times New Roman" w:eastAsia="Times New Roman" w:hAnsi="Times New Roman" w:cs="Times New Roman"/>
          <w:b/>
          <w:i/>
          <w:iCs/>
          <w:noProof/>
          <w:sz w:val="24"/>
          <w:szCs w:val="24"/>
        </w:rPr>
      </w:pPr>
      <w:r>
        <w:rPr>
          <w:rFonts w:ascii="Times New Roman" w:hAnsi="Times New Roman"/>
          <w:b/>
          <w:i/>
          <w:noProof/>
          <w:sz w:val="24"/>
        </w:rPr>
        <w:t>Bedre kontrol med bevægelser inden for EU</w:t>
      </w:r>
    </w:p>
    <w:p>
      <w:pPr>
        <w:pStyle w:val="Body"/>
        <w:spacing w:before="240" w:after="0" w:line="240" w:lineRule="auto"/>
        <w:jc w:val="both"/>
        <w:rPr>
          <w:rFonts w:ascii="Times New Roman" w:hAnsi="Times New Roman"/>
          <w:noProof/>
          <w:sz w:val="24"/>
          <w:szCs w:val="24"/>
        </w:rPr>
      </w:pPr>
      <w:r>
        <w:rPr>
          <w:rFonts w:ascii="Times New Roman" w:hAnsi="Times New Roman"/>
          <w:b/>
          <w:noProof/>
          <w:sz w:val="24"/>
        </w:rPr>
        <w:t>Systemet til kontrol med og beskyttelse af eksplosivstoffer</w:t>
      </w:r>
      <w:r>
        <w:rPr>
          <w:rFonts w:ascii="Times New Roman" w:hAnsi="Times New Roman"/>
          <w:noProof/>
          <w:sz w:val="24"/>
        </w:rPr>
        <w:t xml:space="preserve"> (SCEPYLT)</w:t>
      </w:r>
      <w:r>
        <w:rPr>
          <w:rStyle w:val="FootnoteReference"/>
          <w:rFonts w:ascii="Times New Roman" w:hAnsi="Times New Roman"/>
          <w:noProof/>
          <w:sz w:val="24"/>
        </w:rPr>
        <w:footnoteReference w:id="27"/>
      </w:r>
      <w:r>
        <w:rPr>
          <w:rFonts w:ascii="Times New Roman" w:hAnsi="Times New Roman"/>
          <w:noProof/>
          <w:sz w:val="24"/>
        </w:rPr>
        <w:t xml:space="preserve"> muliggør elektronisk godkendelse af overførsler af eksplosivstoffer inden for EU, hvilket gør det lettere og hurtigere at kontrollere eksplosivstoffers bevægelser i Europa. I fremtiden vil det også kunne bruges som sporingsværktøj til støtte for identifikations- og sporingsoperationer.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Med henblik på at forbedre kontrollen med eksplosivstoffer vil Kommissionen opfordre alle medlemsstater til fuldt ud at tilkoble sig og anvende dette system.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I overensstemmelse med forslaget til revision af direktivet om skydevåben, der blev vedtaget den 18. november 2015</w:t>
      </w:r>
      <w:r>
        <w:rPr>
          <w:rStyle w:val="FootnoteReference"/>
          <w:rFonts w:ascii="Times New Roman" w:hAnsi="Times New Roman"/>
          <w:noProof/>
          <w:sz w:val="24"/>
        </w:rPr>
        <w:footnoteReference w:id="28"/>
      </w:r>
      <w:r>
        <w:rPr>
          <w:rFonts w:ascii="Times New Roman" w:hAnsi="Times New Roman"/>
          <w:noProof/>
          <w:sz w:val="24"/>
        </w:rPr>
        <w:t>, vil Kommissionen vurdere de nærmere bestemmelser for et system til udveksling af oplysninger om skydevåbens bevægelser inden for EU under hensyntagen til relevante eksisterende EU-informationssystemer og -instrumenter. Dette system bør sikre en forbindelse mellem de medlemsstater, der registrerer oplysninger, og de modtagende medlemsstater, hvilket vil gøre interne overførsler mere sikre og forbedre sporingen af våben og ammunition.</w:t>
      </w:r>
    </w:p>
    <w:p>
      <w:pPr>
        <w:pStyle w:val="Body"/>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at styrke sporbarheden af lovlige skydevåbens bevægelser inden for en medlemsstat og på tværs af medlemsstaterne vil Kommissionen undersøge muligheden for at forbyde kontant betaling i forbindelse med enkeltpersoners salg eller erhvervelse af skydevåben og ammunition.</w:t>
      </w:r>
    </w:p>
    <w:p>
      <w:pPr>
        <w:pStyle w:val="Body"/>
        <w:spacing w:before="240"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Styrket kontrol ved de ydre grænser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Selv om kilderne til ulovlige skydevåben og eksplosivstoffer er forskelligartede, er kontrollen ved de ydre grænser og politiets og toldmyndighedernes samarbejde fortsat af afgørende betydning. </w:t>
      </w:r>
    </w:p>
    <w:p>
      <w:pPr>
        <w:pStyle w:val="Body"/>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Kommissionen opfordrer medlemsstaterne til at foretage </w:t>
      </w:r>
      <w:r>
        <w:rPr>
          <w:rFonts w:ascii="Times New Roman" w:hAnsi="Times New Roman"/>
          <w:b/>
          <w:noProof/>
          <w:sz w:val="24"/>
        </w:rPr>
        <w:t>risikoorienteret kontrol af varer ved de ydre grænser</w:t>
      </w:r>
      <w:r>
        <w:rPr>
          <w:rFonts w:ascii="Times New Roman" w:hAnsi="Times New Roman"/>
          <w:noProof/>
          <w:sz w:val="24"/>
        </w:rPr>
        <w:t xml:space="preserve">, uanset om disse ankommer i forbindelse med den erhvervsmæssige trafik (f.eks. i containere), personbefordring (f.eks. i biler) eller i passagerers baggage.  Med henblik herpå foreslår Kommissionen, at der etableres </w:t>
      </w:r>
      <w:r>
        <w:rPr>
          <w:rFonts w:ascii="Times New Roman" w:hAnsi="Times New Roman"/>
          <w:b/>
          <w:noProof/>
          <w:sz w:val="24"/>
        </w:rPr>
        <w:t>en prioriteret toldkontrol</w:t>
      </w:r>
      <w:r>
        <w:rPr>
          <w:rFonts w:ascii="Times New Roman" w:hAnsi="Times New Roman"/>
          <w:noProof/>
          <w:sz w:val="24"/>
        </w:rPr>
        <w:t xml:space="preserve"> med medlemsstaterne til bekæmpelse af ulovlig handel med skydevåben og — så vidt muligt — eksplosivstoffer, ved de ydre grænser. Gennemførelsen af alle sikkerhedsrelaterede foranstaltninger, der er planlagt inden for strategi- og handlingsplanen for toldrisikostyring, vil blive fremskyndet af Kommissionen, og medlemsstaterne bør fremskynde deres arbejde i overensstemmelse hermed</w:t>
      </w:r>
      <w:r>
        <w:rPr>
          <w:rFonts w:ascii="Times New Roman" w:hAnsi="Times New Roman"/>
          <w:noProof/>
          <w:sz w:val="20"/>
          <w:vertAlign w:val="superscript"/>
        </w:rPr>
        <w:footnoteReference w:id="29"/>
      </w:r>
      <w:r>
        <w:rPr>
          <w:noProof/>
        </w:rPr>
        <w:t>.</w:t>
      </w:r>
    </w:p>
    <w:p>
      <w:pPr>
        <w:pStyle w:val="Body"/>
        <w:spacing w:before="240" w:after="0" w:line="240" w:lineRule="auto"/>
        <w:jc w:val="both"/>
        <w:rPr>
          <w:rFonts w:ascii="Times New Roman" w:eastAsia="Times New Roman" w:hAnsi="Times New Roman" w:cs="Times New Roman"/>
          <w:b/>
          <w:i/>
          <w:iCs/>
          <w:noProof/>
          <w:sz w:val="24"/>
          <w:szCs w:val="24"/>
        </w:rPr>
      </w:pPr>
      <w:r>
        <w:rPr>
          <w:rFonts w:ascii="Times New Roman" w:hAnsi="Times New Roman"/>
          <w:b/>
          <w:i/>
          <w:noProof/>
          <w:sz w:val="24"/>
        </w:rPr>
        <w:t>Sporing af skydevåben, der anvendes af kriminelle og terrorister</w:t>
      </w:r>
    </w:p>
    <w:p>
      <w:pPr>
        <w:pStyle w:val="Body"/>
        <w:spacing w:before="240" w:after="0" w:line="240" w:lineRule="auto"/>
        <w:jc w:val="both"/>
        <w:rPr>
          <w:rFonts w:ascii="Times New Roman" w:eastAsia="Times New Roman" w:hAnsi="Times New Roman" w:cs="Times New Roman"/>
          <w:bCs/>
          <w:noProof/>
          <w:sz w:val="24"/>
          <w:szCs w:val="24"/>
        </w:rPr>
      </w:pPr>
      <w:r>
        <w:rPr>
          <w:rFonts w:ascii="Times New Roman" w:hAnsi="Times New Roman"/>
          <w:noProof/>
          <w:sz w:val="24"/>
        </w:rPr>
        <w:t>Sporing af skydevåben er en væsentlig del af efterforskningen af våbenrelaterede forbrydelser og indhentningen af yderligere viden om kanalerne for ulovlig våbenhandel. Sporing er også af afgørende betydning for en vellykket lukning af adgangen til eksplosivstoffer og udgangsstoffer til eksplosivstoffer. Muligheden for at spore ammunition, der for øjeblikket er begrænset, vil også kunne være til hjælp i forbindelse med efterforskning.</w:t>
      </w:r>
    </w:p>
    <w:p>
      <w:pPr>
        <w:pStyle w:val="Body"/>
        <w:spacing w:before="240" w:after="0" w:line="240" w:lineRule="auto"/>
        <w:jc w:val="both"/>
        <w:rPr>
          <w:rFonts w:ascii="Times New Roman" w:eastAsia="Times New Roman" w:hAnsi="Times New Roman" w:cs="Times New Roman"/>
          <w:bCs/>
          <w:noProof/>
          <w:color w:val="auto"/>
          <w:sz w:val="24"/>
        </w:rPr>
      </w:pPr>
      <w:r>
        <w:rPr>
          <w:rFonts w:ascii="Times New Roman" w:hAnsi="Times New Roman"/>
          <w:noProof/>
          <w:color w:val="auto"/>
          <w:sz w:val="24"/>
        </w:rPr>
        <w:t>Den revision af direktivet om skydevåben, som Kommissionen har foreslået, fastsætter fælles regler om mærkning af skydevåben med henblik på at forbedre sporbarheden af skydevåben, der er i lovlig besiddelse eller er lovligt indført.</w:t>
      </w:r>
    </w:p>
    <w:p>
      <w:pPr>
        <w:pStyle w:val="Body"/>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Kommissionen vil desuden fortsat fuldt ud støtte bestræbelserne i </w:t>
      </w:r>
      <w:r>
        <w:rPr>
          <w:rFonts w:ascii="Times New Roman" w:hAnsi="Times New Roman"/>
          <w:b/>
          <w:noProof/>
          <w:sz w:val="24"/>
        </w:rPr>
        <w:t>Arbejdsgruppen af Europæiske Våbeneksperter (European Firearms Experts Group)</w:t>
      </w:r>
      <w:r>
        <w:rPr>
          <w:rFonts w:ascii="Times New Roman" w:hAnsi="Times New Roman"/>
          <w:noProof/>
          <w:sz w:val="24"/>
          <w:vertAlign w:val="superscript"/>
        </w:rPr>
        <w:footnoteReference w:id="30"/>
      </w:r>
      <w:r>
        <w:rPr>
          <w:rFonts w:ascii="Times New Roman" w:hAnsi="Times New Roman"/>
          <w:noProof/>
          <w:sz w:val="24"/>
        </w:rPr>
        <w:t xml:space="preserve"> på at udarbejde en håndbog om at </w:t>
      </w:r>
      <w:r>
        <w:rPr>
          <w:rFonts w:ascii="Times New Roman" w:hAnsi="Times New Roman"/>
          <w:b/>
          <w:noProof/>
          <w:sz w:val="24"/>
        </w:rPr>
        <w:t>følge og spore (tracking and tracing) af ulovlige skydevåben</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Denne håndbog, der bygger på det internationale sporingsinstrument (International Tracing Instrument) og international bedste praksis udviklet på grundlag af FN's internationale standarder for kontrol med håndvåben (United Nations International Small Arms Control Standards (ISACS)</w:t>
      </w:r>
      <w:r>
        <w:rPr>
          <w:rFonts w:ascii="Times New Roman" w:hAnsi="Times New Roman"/>
          <w:noProof/>
          <w:sz w:val="24"/>
          <w:vertAlign w:val="superscript"/>
        </w:rPr>
        <w:footnoteReference w:id="31"/>
      </w:r>
      <w:r>
        <w:rPr>
          <w:rFonts w:ascii="Times New Roman" w:hAnsi="Times New Roman"/>
          <w:noProof/>
          <w:sz w:val="24"/>
        </w:rPr>
        <w:t>, vil blive formidlet til alle medlemsstaternes retshåndhævende myndigheder. Retningslinjer og regler for sporing vil kunne omfatte et krav om at udarbejde rapporter til Europol for at lette internationale anmodninger om sporing.</w:t>
      </w:r>
    </w:p>
    <w:p>
      <w:pPr>
        <w:pStyle w:val="Body"/>
        <w:keepNext/>
        <w:spacing w:before="240" w:after="0" w:line="240" w:lineRule="auto"/>
        <w:jc w:val="both"/>
        <w:rPr>
          <w:rFonts w:ascii="Times New Roman" w:eastAsia="Times New Roman" w:hAnsi="Times New Roman" w:cs="Times New Roman"/>
          <w:b/>
          <w:i/>
          <w:iCs/>
          <w:noProof/>
          <w:sz w:val="24"/>
          <w:szCs w:val="24"/>
        </w:rPr>
      </w:pPr>
      <w:r>
        <w:rPr>
          <w:rFonts w:ascii="Times New Roman" w:hAnsi="Times New Roman"/>
          <w:b/>
          <w:i/>
          <w:noProof/>
          <w:sz w:val="24"/>
        </w:rPr>
        <w:t xml:space="preserve">Bedre uddannelse </w:t>
      </w:r>
    </w:p>
    <w:p>
      <w:pPr>
        <w:pStyle w:val="Body"/>
        <w:spacing w:before="240" w:after="0" w:line="240" w:lineRule="auto"/>
        <w:jc w:val="both"/>
        <w:rPr>
          <w:rFonts w:ascii="Times New Roman" w:hAnsi="Times New Roman"/>
          <w:noProof/>
          <w:sz w:val="24"/>
          <w:szCs w:val="24"/>
          <w:highlight w:val="yellow"/>
        </w:rPr>
      </w:pPr>
      <w:r>
        <w:rPr>
          <w:rFonts w:ascii="Times New Roman" w:hAnsi="Times New Roman"/>
          <w:noProof/>
          <w:sz w:val="24"/>
        </w:rPr>
        <w:t>Uddannelse er afgørende for at øge niveauet af ekspertise og dermed forbedre EU-samarbejdet. Effektiv og konsekvent kontrol ved de ydre grænser kræver også på rent konkret plan udveksling af bedste praksis, ekspertise og information. Cepol</w:t>
      </w:r>
      <w:r>
        <w:rPr>
          <w:rStyle w:val="FootnoteReference"/>
          <w:rFonts w:ascii="Times New Roman" w:hAnsi="Times New Roman"/>
          <w:noProof/>
          <w:sz w:val="24"/>
        </w:rPr>
        <w:footnoteReference w:id="32"/>
      </w:r>
      <w:r>
        <w:rPr>
          <w:rFonts w:ascii="Times New Roman" w:hAnsi="Times New Roman"/>
          <w:noProof/>
          <w:sz w:val="24"/>
        </w:rPr>
        <w:t xml:space="preserve"> vil fortsætte sine aktiviteter på dette område og gennemføre en "mangelanalyse" for at få identificeret de aktuelle uddannelsesbehov. Dette vil kunne føre til udvikling af </w:t>
      </w:r>
      <w:r>
        <w:rPr>
          <w:rFonts w:ascii="Times New Roman" w:hAnsi="Times New Roman"/>
          <w:b/>
          <w:noProof/>
          <w:sz w:val="24"/>
        </w:rPr>
        <w:t>fælles curricula om skydevåben og eksplosivstoffer</w:t>
      </w:r>
      <w:r>
        <w:rPr>
          <w:rFonts w:ascii="Times New Roman" w:hAnsi="Times New Roman"/>
          <w:noProof/>
          <w:sz w:val="24"/>
        </w:rPr>
        <w:t xml:space="preserve"> for alle medlemsstaters eksperter i samarbejde med det europæiske ammunitionsrydningsnetværk (EEODN)</w:t>
      </w:r>
      <w:r>
        <w:rPr>
          <w:rStyle w:val="FootnoteReference"/>
          <w:rFonts w:ascii="Times New Roman" w:hAnsi="Times New Roman"/>
          <w:noProof/>
          <w:sz w:val="24"/>
        </w:rPr>
        <w:footnoteReference w:id="33"/>
      </w:r>
      <w:r>
        <w:rPr>
          <w:rFonts w:ascii="Times New Roman" w:hAnsi="Times New Roman"/>
          <w:noProof/>
          <w:sz w:val="24"/>
        </w:rPr>
        <w:t>. Cepol vil også overveje at udvikle uddannelsesprogrammer i skydevåben med skydevåbeneksperter fra tredjelande.</w:t>
      </w:r>
      <w:r>
        <w:rPr>
          <w:rFonts w:ascii="Times New Roman" w:hAnsi="Times New Roman"/>
          <w:noProof/>
          <w:sz w:val="24"/>
          <w:highlight w:val="yellow"/>
        </w:rPr>
        <w:t xml:space="preserve"> </w:t>
      </w:r>
    </w:p>
    <w:p>
      <w:pPr>
        <w:pStyle w:val="Body"/>
        <w:spacing w:before="240" w:after="0" w:line="240" w:lineRule="auto"/>
        <w:jc w:val="both"/>
        <w:rPr>
          <w:rFonts w:ascii="Times New Roman" w:hAnsi="Times New Roman"/>
          <w:b/>
          <w:i/>
          <w:noProof/>
          <w:sz w:val="24"/>
          <w:szCs w:val="24"/>
        </w:rPr>
      </w:pPr>
      <w:r>
        <w:rPr>
          <w:rFonts w:ascii="Times New Roman" w:hAnsi="Times New Roman"/>
          <w:b/>
          <w:i/>
          <w:noProof/>
          <w:sz w:val="24"/>
        </w:rPr>
        <w:t>Udvikle innovative detektionsredskaber</w:t>
      </w:r>
    </w:p>
    <w:p>
      <w:pPr>
        <w:pStyle w:val="Body"/>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rPr>
        <w:t>Kommissionens meddelelse fra 2014 om sporing</w:t>
      </w:r>
      <w:r>
        <w:rPr>
          <w:rStyle w:val="FootnoteReference"/>
          <w:rFonts w:ascii="Times New Roman" w:hAnsi="Times New Roman"/>
          <w:noProof/>
          <w:sz w:val="24"/>
        </w:rPr>
        <w:footnoteReference w:id="34"/>
      </w:r>
      <w:r>
        <w:rPr>
          <w:rFonts w:ascii="Times New Roman" w:hAnsi="Times New Roman"/>
          <w:noProof/>
          <w:sz w:val="24"/>
        </w:rPr>
        <w:t xml:space="preserve"> understregede, at en effektiv strategi til detektion af trusler kun kan tilvejebringes, hvis de farlige stoffer og miljøet (luftfart, offentlige områder, sportsbegivenheder, bytransport osv.) tages behørigt i betragtning. Den civile luftfart har særlige standarder for detektionsteknologier og -procedurer, men dette er ikke tilfældet med hensyn til andre offentlige områder (sportsbegivenheder, andre transportformer og kritisk infrastruktur). Der er behov for yderligere bestræbelser både med hensyn til brugen af detektionsteknologier og med hensyn til standardisering af deres anvendelse. I 2012 iværksatte Kommissionen et program med detektionsforsøg i forskellige operationelle miljøer (lufthavne, kritiske infrastrukturer, offentlige bygninger og arrangementer – f.eks. Euro 2012 i Polen)</w:t>
      </w:r>
      <w:r>
        <w:rPr>
          <w:rStyle w:val="FootnoteReference"/>
          <w:rFonts w:ascii="Times New Roman" w:hAnsi="Times New Roman"/>
          <w:noProof/>
          <w:sz w:val="24"/>
        </w:rPr>
        <w:footnoteReference w:id="35"/>
      </w:r>
      <w:r>
        <w:rPr>
          <w:rFonts w:ascii="Times New Roman" w:hAnsi="Times New Roman"/>
          <w:noProof/>
          <w:sz w:val="24"/>
        </w:rPr>
        <w:t>.</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På grundlag af ovenstående vil Kommissionen vurdere, om det er muligt at oprette en </w:t>
      </w:r>
      <w:r>
        <w:rPr>
          <w:rFonts w:ascii="Times New Roman" w:hAnsi="Times New Roman"/>
          <w:b/>
          <w:noProof/>
          <w:sz w:val="24"/>
        </w:rPr>
        <w:t>EU-detektionspulje</w:t>
      </w:r>
      <w:r>
        <w:rPr>
          <w:rFonts w:ascii="Times New Roman" w:hAnsi="Times New Roman"/>
          <w:noProof/>
          <w:sz w:val="24"/>
        </w:rPr>
        <w:t xml:space="preserve"> bestående af eksperter fra Kommissionen og medlemsstaterne, som kan etablere et program for kapacitetsopbygning og støtte til detektion af eksplosivstoffer og skydevåben. En sådan pulje kunne i første omgang være rettet mod at </w:t>
      </w:r>
      <w:r>
        <w:rPr>
          <w:rFonts w:ascii="Times New Roman" w:hAnsi="Times New Roman"/>
          <w:b/>
          <w:noProof/>
          <w:sz w:val="24"/>
        </w:rPr>
        <w:t>tilbyde støtte</w:t>
      </w:r>
      <w:r>
        <w:rPr>
          <w:rFonts w:ascii="Times New Roman" w:hAnsi="Times New Roman"/>
          <w:noProof/>
          <w:sz w:val="24"/>
        </w:rPr>
        <w:t xml:space="preserve"> til retshåndhævelse og relevante tjenester i medlemsstaterne og derefter udvides efter behov.</w:t>
      </w:r>
    </w:p>
    <w:p>
      <w:pPr>
        <w:pStyle w:val="Body"/>
        <w:spacing w:after="0" w:line="240" w:lineRule="auto"/>
        <w:jc w:val="both"/>
        <w:rPr>
          <w:rFonts w:ascii="Times New Roman" w:hAnsi="Times New Roman"/>
          <w:noProof/>
          <w:sz w:val="24"/>
          <w:szCs w:val="24"/>
        </w:rPr>
      </w:pPr>
    </w:p>
    <w:tbl>
      <w:tblPr>
        <w:tblW w:w="933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6"/>
      </w:tblGrid>
      <w:tr>
        <w:trPr>
          <w:trHeight w:val="348"/>
        </w:trPr>
        <w:tc>
          <w:tcPr>
            <w:tcW w:w="9336" w:type="dxa"/>
          </w:tcPr>
          <w:p>
            <w:pPr>
              <w:pStyle w:val="Body"/>
              <w:pBdr>
                <w:top w:val="none" w:sz="0" w:space="0" w:color="auto"/>
                <w:left w:val="none" w:sz="0" w:space="0" w:color="auto"/>
                <w:bottom w:val="none" w:sz="0" w:space="0" w:color="auto"/>
                <w:right w:val="none" w:sz="0" w:space="0" w:color="auto"/>
                <w:between w:val="none" w:sz="0" w:space="0" w:color="auto"/>
              </w:pBdr>
              <w:spacing w:before="120" w:after="0" w:line="240" w:lineRule="auto"/>
              <w:ind w:left="130"/>
              <w:rPr>
                <w:rFonts w:ascii="Times New Roman" w:hAnsi="Times New Roman"/>
                <w:b/>
                <w:bCs/>
                <w:noProof/>
                <w:sz w:val="24"/>
                <w:szCs w:val="24"/>
              </w:rPr>
            </w:pPr>
            <w:r>
              <w:rPr>
                <w:rFonts w:ascii="Times New Roman" w:hAnsi="Times New Roman"/>
                <w:b/>
                <w:noProof/>
                <w:sz w:val="24"/>
              </w:rPr>
              <w:t>Specifikke foranstaltninger:</w:t>
            </w:r>
          </w:p>
          <w:p>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3"/>
              <w:jc w:val="both"/>
              <w:rPr>
                <w:rFonts w:ascii="Times New Roman" w:hAnsi="Times New Roman"/>
                <w:i/>
                <w:iCs/>
                <w:noProof/>
                <w:sz w:val="24"/>
                <w:szCs w:val="24"/>
              </w:rPr>
            </w:pPr>
            <w:r>
              <w:rPr>
                <w:rFonts w:ascii="Times New Roman" w:hAnsi="Times New Roman"/>
                <w:i/>
                <w:noProof/>
                <w:sz w:val="24"/>
              </w:rPr>
              <w:t>Udbygning af det grænseoverskridende samarbejde ved at:</w:t>
            </w:r>
          </w:p>
          <w:p>
            <w:pPr>
              <w:pStyle w:val="Body"/>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73"/>
              <w:jc w:val="both"/>
              <w:rPr>
                <w:rFonts w:ascii="Times New Roman" w:eastAsia="Times New Roman" w:hAnsi="Times New Roman" w:cs="Times New Roman"/>
                <w:i/>
                <w:iCs/>
                <w:noProof/>
                <w:sz w:val="24"/>
                <w:szCs w:val="24"/>
              </w:rPr>
            </w:pPr>
            <w:r>
              <w:rPr>
                <w:rFonts w:ascii="Times New Roman" w:hAnsi="Times New Roman"/>
                <w:i/>
                <w:noProof/>
                <w:sz w:val="24"/>
              </w:rPr>
              <w:t>gennemføre den operationelle handlingsplan om skydevåben fuldt ud</w:t>
            </w:r>
          </w:p>
          <w:p>
            <w:pPr>
              <w:pStyle w:val="Body"/>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73"/>
              <w:jc w:val="both"/>
              <w:rPr>
                <w:rFonts w:ascii="Times New Roman" w:eastAsia="Times New Roman" w:hAnsi="Times New Roman" w:cs="Times New Roman"/>
                <w:i/>
                <w:iCs/>
                <w:noProof/>
                <w:sz w:val="24"/>
                <w:szCs w:val="24"/>
              </w:rPr>
            </w:pPr>
            <w:r>
              <w:rPr>
                <w:rFonts w:ascii="Times New Roman" w:hAnsi="Times New Roman"/>
                <w:i/>
                <w:noProof/>
                <w:sz w:val="24"/>
              </w:rPr>
              <w:t>samarbejde mere om begrænsning af onlineadgangen til ulovlige skydevåben (både det åbne net og mørkenettet)</w:t>
            </w:r>
          </w:p>
          <w:p>
            <w:pPr>
              <w:pStyle w:val="Body"/>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73"/>
              <w:jc w:val="both"/>
              <w:rPr>
                <w:rFonts w:ascii="Times New Roman" w:hAnsi="Times New Roman"/>
                <w:i/>
                <w:iCs/>
                <w:noProof/>
                <w:sz w:val="24"/>
                <w:szCs w:val="24"/>
              </w:rPr>
            </w:pPr>
            <w:r>
              <w:rPr>
                <w:rFonts w:ascii="Times New Roman" w:hAnsi="Times New Roman"/>
                <w:i/>
                <w:noProof/>
                <w:sz w:val="24"/>
              </w:rPr>
              <w:t>evaluere de nærmere bestemmelser for et system til udveksling af oplysninger om skydevåbens bevægelser inden for EU under hensyntagen til relevante eksisterende informationssystemer og instrumenter</w:t>
            </w:r>
          </w:p>
          <w:p>
            <w:pPr>
              <w:pStyle w:val="Body"/>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73"/>
              <w:jc w:val="both"/>
              <w:rPr>
                <w:rFonts w:ascii="Times New Roman" w:hAnsi="Times New Roman"/>
                <w:i/>
                <w:iCs/>
                <w:noProof/>
                <w:sz w:val="24"/>
                <w:szCs w:val="24"/>
              </w:rPr>
            </w:pPr>
            <w:r>
              <w:rPr>
                <w:rFonts w:ascii="Times New Roman" w:hAnsi="Times New Roman"/>
                <w:i/>
                <w:noProof/>
                <w:sz w:val="24"/>
              </w:rPr>
              <w:t>undersøge muligheden for at forbyde kontant betaling i forbindelse med enkeltpersoners salg eller erhvervelse af skydevåben og ammunition.</w:t>
            </w:r>
          </w:p>
          <w:p>
            <w:pPr>
              <w:pStyle w:val="Body"/>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73"/>
              <w:jc w:val="both"/>
              <w:rPr>
                <w:rFonts w:ascii="Times New Roman" w:hAnsi="Times New Roman"/>
                <w:i/>
                <w:iCs/>
                <w:noProof/>
                <w:sz w:val="24"/>
                <w:szCs w:val="24"/>
              </w:rPr>
            </w:pPr>
            <w:r>
              <w:rPr>
                <w:rFonts w:ascii="Times New Roman" w:hAnsi="Times New Roman"/>
                <w:i/>
                <w:noProof/>
                <w:sz w:val="24"/>
              </w:rPr>
              <w:t>styrke kontrollen ved de ydre grænser gennem risikoorienteret kontrol af varer og etablering af prioriteret toldkontrol</w:t>
            </w:r>
          </w:p>
          <w:p>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3"/>
              <w:jc w:val="both"/>
              <w:rPr>
                <w:rFonts w:ascii="Times New Roman" w:hAnsi="Times New Roman"/>
                <w:i/>
                <w:noProof/>
                <w:sz w:val="24"/>
                <w:szCs w:val="24"/>
              </w:rPr>
            </w:pPr>
            <w:r>
              <w:rPr>
                <w:rFonts w:ascii="Times New Roman" w:hAnsi="Times New Roman"/>
                <w:i/>
                <w:noProof/>
                <w:sz w:val="24"/>
              </w:rPr>
              <w:t>forbedre sporingen af skydevåben gennem udvikling af en håndbog om at følge og spore ulovlige skydevåben inden for rammerne af Arbejdsgruppen af Europæiske Våbeneksperter</w:t>
            </w:r>
          </w:p>
          <w:p>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3"/>
              <w:jc w:val="both"/>
              <w:rPr>
                <w:rFonts w:ascii="Times New Roman" w:hAnsi="Times New Roman"/>
                <w:i/>
                <w:noProof/>
                <w:sz w:val="24"/>
                <w:szCs w:val="24"/>
              </w:rPr>
            </w:pPr>
            <w:r>
              <w:rPr>
                <w:rFonts w:ascii="Times New Roman" w:hAnsi="Times New Roman"/>
                <w:i/>
                <w:noProof/>
                <w:sz w:val="24"/>
              </w:rPr>
              <w:t xml:space="preserve">udvikle fælles uddannelsescurricula vedrørende skydevåben og eksplosivstoffer </w:t>
            </w:r>
          </w:p>
          <w:p>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3"/>
              <w:jc w:val="both"/>
              <w:rPr>
                <w:noProof/>
              </w:rPr>
            </w:pPr>
            <w:r>
              <w:rPr>
                <w:rFonts w:ascii="Times New Roman" w:hAnsi="Times New Roman"/>
                <w:i/>
                <w:noProof/>
                <w:sz w:val="24"/>
              </w:rPr>
              <w:t>udvikle innovative detektionsredskaber</w:t>
            </w:r>
          </w:p>
          <w:p>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850" w:hanging="357"/>
              <w:jc w:val="both"/>
              <w:rPr>
                <w:noProof/>
              </w:rPr>
            </w:pPr>
            <w:r>
              <w:rPr>
                <w:rFonts w:ascii="Times New Roman" w:hAnsi="Times New Roman"/>
                <w:i/>
                <w:noProof/>
                <w:sz w:val="24"/>
              </w:rPr>
              <w:t>gennemføre fælles operationelle aktioner, der involverer alle relevante retshåndhævende myndigheder.</w:t>
            </w:r>
          </w:p>
        </w:tc>
      </w:tr>
    </w:tbl>
    <w:p>
      <w:pPr>
        <w:pStyle w:val="Heading1"/>
        <w:jc w:val="both"/>
        <w:rPr>
          <w:caps/>
          <w:smallCaps w:val="0"/>
          <w:noProof/>
        </w:rPr>
      </w:pPr>
      <w:r>
        <w:rPr>
          <w:caps/>
          <w:smallCaps w:val="0"/>
          <w:noProof/>
        </w:rPr>
        <w:t>FORBEDRET INDSAMLING OG UDVEKSLING AF OPERATIONELLE OPLYSNINGER VED OPTIMAL UDNYTTELSE AF EKSISTERENDE REDSKABER</w:t>
      </w:r>
    </w:p>
    <w:p>
      <w:pPr>
        <w:pStyle w:val="Body"/>
        <w:spacing w:before="240" w:after="0" w:line="240" w:lineRule="auto"/>
        <w:jc w:val="both"/>
        <w:rPr>
          <w:rFonts w:ascii="Times New Roman" w:hAnsi="Times New Roman"/>
          <w:noProof/>
          <w:sz w:val="24"/>
          <w:szCs w:val="24"/>
        </w:rPr>
      </w:pPr>
      <w:r>
        <w:rPr>
          <w:rFonts w:ascii="Times New Roman" w:hAnsi="Times New Roman"/>
          <w:b/>
          <w:noProof/>
          <w:sz w:val="24"/>
        </w:rPr>
        <w:t>Den europæiske dagsorden om sikkerhed</w:t>
      </w:r>
      <w:r>
        <w:rPr>
          <w:rFonts w:ascii="Times New Roman" w:hAnsi="Times New Roman"/>
          <w:noProof/>
          <w:sz w:val="24"/>
        </w:rPr>
        <w:t xml:space="preserve"> understregede det presserende behov for at </w:t>
      </w:r>
      <w:r>
        <w:rPr>
          <w:rFonts w:ascii="Times New Roman" w:hAnsi="Times New Roman"/>
          <w:b/>
          <w:noProof/>
          <w:sz w:val="24"/>
        </w:rPr>
        <w:t>gøre fuld brug af de eksisterende redskaber</w:t>
      </w:r>
      <w:r>
        <w:rPr>
          <w:rFonts w:ascii="Times New Roman" w:hAnsi="Times New Roman"/>
          <w:noProof/>
          <w:sz w:val="24"/>
        </w:rPr>
        <w:t xml:space="preserve">, som EU stiller til rådighed for medlemsstaterne med henblik på at fremme </w:t>
      </w:r>
      <w:r>
        <w:rPr>
          <w:rFonts w:ascii="Times New Roman" w:hAnsi="Times New Roman"/>
          <w:b/>
          <w:noProof/>
          <w:sz w:val="24"/>
        </w:rPr>
        <w:t>udvekslingen af oplysninger</w:t>
      </w:r>
      <w:r>
        <w:rPr>
          <w:rFonts w:ascii="Times New Roman" w:hAnsi="Times New Roman"/>
          <w:noProof/>
          <w:sz w:val="24"/>
        </w:rPr>
        <w:t xml:space="preserve"> mellem de nationale retshåndhævende myndigheder. De resterende kritiske mangler kan kræve yderligere EU-redskaber, </w:t>
      </w:r>
      <w:r>
        <w:rPr>
          <w:rFonts w:ascii="Times New Roman" w:hAnsi="Times New Roman"/>
          <w:b/>
          <w:noProof/>
          <w:sz w:val="24"/>
        </w:rPr>
        <w:t>samtidig med at der sikres en effektiv interoperabilitet mellem eksisterende systemer</w:t>
      </w:r>
      <w:r>
        <w:rPr>
          <w:rFonts w:ascii="Times New Roman" w:hAnsi="Times New Roman"/>
          <w:noProof/>
          <w:sz w:val="24"/>
        </w:rPr>
        <w:t>.</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Den omstændighed, at der findes forskellige systemer til udveksling af oplysninger, som anvendes af forskellige retshåndhævende myndigheder til forskellige formål, men som alle er relevante for bekæmpelsen af ulovlig handel med skydevåben og eksplosivstoffer, understreger, at der er behov for en stærkere teknisk sammenkobling. Kommissionen vil vurdere, hvordan disse systemers kompatibilitet bedst kan sikres i praksis.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Kommissionen vil i den forbindelse være særligt opmærksom på nødvendigheden af at forbedre samarbejdet mellem politi og toldvæsen under hensyntagen til den ordning for udveksling af oplysninger om skydevåbens bevægelser inden for EU, der skal udvikles i henhold til udkastet til det reviderede direktiv om skydevåben, som blev fremlagt den 18. november 2015.</w:t>
      </w:r>
    </w:p>
    <w:p>
      <w:pPr>
        <w:pStyle w:val="Body"/>
        <w:spacing w:before="240" w:after="0" w:line="240" w:lineRule="auto"/>
        <w:jc w:val="both"/>
        <w:rPr>
          <w:rFonts w:ascii="Times New Roman" w:eastAsia="Times New Roman" w:hAnsi="Times New Roman" w:cs="Times New Roman"/>
          <w:i/>
          <w:noProof/>
          <w:color w:val="auto"/>
          <w:sz w:val="24"/>
          <w:szCs w:val="24"/>
        </w:rPr>
      </w:pPr>
      <w:r>
        <w:rPr>
          <w:rFonts w:ascii="Times New Roman" w:hAnsi="Times New Roman"/>
          <w:b/>
          <w:i/>
          <w:noProof/>
          <w:color w:val="auto"/>
          <w:sz w:val="24"/>
        </w:rPr>
        <w:t>Sikre interoperabilitet mellem iARMS, SIS II og UMF</w:t>
      </w:r>
      <w:r>
        <w:rPr>
          <w:rFonts w:ascii="Times New Roman" w:hAnsi="Times New Roman"/>
          <w:i/>
          <w:noProof/>
          <w:color w:val="auto"/>
          <w:sz w:val="24"/>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noProof/>
          <w:bdr w:val="none" w:sz="0" w:space="0" w:color="auto"/>
        </w:rPr>
      </w:pP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cs="Calibri"/>
          <w:noProof/>
        </w:rPr>
      </w:pPr>
      <w:r>
        <w:rPr>
          <w:noProof/>
        </w:rPr>
        <w:t>I overensstemmelse med Rådets konklusioner af 8. oktober 2015 opfordrer Kommissionen medlemsstaterne til systematisk at indsætte oplysninger om eftersøgte skydevåben i Schengen-informationssystemet (SIS) og øge anvendelsen af oplysninger om skydevåben i Europols informationssystem (EIS) og Interpols iARMS i tilfælde, hvor det er muligt</w:t>
      </w:r>
      <w:r>
        <w:rPr>
          <w:noProof/>
          <w:color w:val="000000"/>
          <w:u w:color="000000"/>
        </w:rPr>
        <w:t>.</w:t>
      </w:r>
    </w:p>
    <w:p>
      <w:pPr>
        <w:pStyle w:val="Body"/>
        <w:spacing w:before="240" w:after="0" w:line="240" w:lineRule="auto"/>
        <w:jc w:val="both"/>
        <w:rPr>
          <w:rFonts w:ascii="Times New Roman" w:eastAsia="Times New Roman" w:hAnsi="Times New Roman" w:cs="Times New Roman"/>
          <w:noProof/>
          <w:sz w:val="20"/>
          <w:szCs w:val="24"/>
          <w:vertAlign w:val="superscript"/>
        </w:rPr>
      </w:pPr>
      <w:r>
        <w:rPr>
          <w:rFonts w:ascii="Times New Roman" w:hAnsi="Times New Roman"/>
          <w:noProof/>
          <w:sz w:val="24"/>
        </w:rPr>
        <w:t xml:space="preserve">Interoperabilitet mellem </w:t>
      </w:r>
      <w:r>
        <w:rPr>
          <w:rFonts w:ascii="Times New Roman" w:hAnsi="Times New Roman"/>
          <w:b/>
          <w:noProof/>
          <w:sz w:val="24"/>
        </w:rPr>
        <w:t>Schengen-informationssystemet</w:t>
      </w:r>
      <w:r>
        <w:rPr>
          <w:rFonts w:ascii="Times New Roman" w:hAnsi="Times New Roman"/>
          <w:noProof/>
          <w:sz w:val="24"/>
        </w:rPr>
        <w:t xml:space="preserve"> (SIS)</w:t>
      </w:r>
      <w:r>
        <w:rPr>
          <w:rStyle w:val="FootnoteReference"/>
          <w:rFonts w:ascii="Times New Roman" w:hAnsi="Times New Roman"/>
          <w:noProof/>
          <w:sz w:val="24"/>
        </w:rPr>
        <w:footnoteReference w:id="36"/>
      </w:r>
      <w:r>
        <w:rPr>
          <w:rFonts w:ascii="Times New Roman" w:hAnsi="Times New Roman"/>
          <w:noProof/>
          <w:sz w:val="24"/>
        </w:rPr>
        <w:t xml:space="preserve"> og Interpols iARMS</w:t>
      </w:r>
      <w:r>
        <w:rPr>
          <w:rFonts w:ascii="Times New Roman" w:hAnsi="Times New Roman"/>
          <w:noProof/>
          <w:sz w:val="24"/>
          <w:vertAlign w:val="superscript"/>
        </w:rPr>
        <w:footnoteReference w:id="37"/>
      </w:r>
      <w:r>
        <w:rPr>
          <w:rFonts w:ascii="Times New Roman" w:hAnsi="Times New Roman"/>
          <w:noProof/>
          <w:sz w:val="24"/>
        </w:rPr>
        <w:t xml:space="preserve"> vil gøre det betydeligt lettere at håndhæve loven, hvilket vil gøre systemet mere effektivt.</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Denne interoperabilitet i praksis er allerede ved at tage form gennem igangværende aktioner mellem Kommissionen og Interpol. Interpol har opgraderet FIND-softwaren til også at omfatte skydevåben og har søgt efter medlemsstater, der vil deltage i et </w:t>
      </w:r>
      <w:r>
        <w:rPr>
          <w:rFonts w:ascii="Times New Roman" w:hAnsi="Times New Roman"/>
          <w:b/>
          <w:noProof/>
          <w:sz w:val="24"/>
        </w:rPr>
        <w:t>pilotprojekt</w:t>
      </w:r>
      <w:r>
        <w:rPr>
          <w:rFonts w:ascii="Times New Roman" w:hAnsi="Times New Roman"/>
          <w:noProof/>
          <w:sz w:val="24"/>
        </w:rPr>
        <w:t>, der skal finde sted i første halvår af 2016, og omfatte samtidig søgning i de nationale databaser, SIS og iARMS. Der kan søges på "skydevåbnets type" i begge systemer, og der kan foretages sammenligninger mellem tabeller, der beskriver de forskellige fabrikater af skydevåben.</w:t>
      </w:r>
    </w:p>
    <w:p>
      <w:pPr>
        <w:pStyle w:val="Body"/>
        <w:spacing w:before="240" w:after="0" w:line="240" w:lineRule="auto"/>
        <w:jc w:val="both"/>
        <w:rPr>
          <w:rFonts w:ascii="Times New Roman" w:hAnsi="Times New Roman"/>
          <w:b/>
          <w:noProof/>
          <w:sz w:val="24"/>
          <w:szCs w:val="24"/>
        </w:rPr>
      </w:pPr>
      <w:r>
        <w:rPr>
          <w:rFonts w:ascii="Times New Roman" w:hAnsi="Times New Roman"/>
          <w:noProof/>
          <w:sz w:val="24"/>
        </w:rPr>
        <w:t xml:space="preserve">Kommissionen vil fortsætte </w:t>
      </w:r>
      <w:r>
        <w:rPr>
          <w:rFonts w:ascii="Times New Roman" w:hAnsi="Times New Roman"/>
          <w:b/>
          <w:noProof/>
          <w:sz w:val="24"/>
        </w:rPr>
        <w:t>samarbejdet med Europol</w:t>
      </w:r>
      <w:r>
        <w:rPr>
          <w:rStyle w:val="FootnoteReference"/>
          <w:rFonts w:ascii="Times New Roman" w:hAnsi="Times New Roman"/>
          <w:noProof/>
          <w:sz w:val="24"/>
        </w:rPr>
        <w:footnoteReference w:id="38"/>
      </w:r>
      <w:r>
        <w:rPr>
          <w:rFonts w:ascii="Times New Roman" w:hAnsi="Times New Roman"/>
          <w:b/>
          <w:noProof/>
          <w:sz w:val="24"/>
        </w:rPr>
        <w:t>, Interpol og medlemsstaterne</w:t>
      </w:r>
      <w:r>
        <w:rPr>
          <w:rFonts w:ascii="Times New Roman" w:hAnsi="Times New Roman"/>
          <w:noProof/>
          <w:sz w:val="24"/>
        </w:rPr>
        <w:t xml:space="preserve"> med henblik på at sikre interoperabilitet mellem begge systemer i juli 2016. Med dette for øje opfordrer Kommissionen </w:t>
      </w:r>
      <w:r>
        <w:rPr>
          <w:rFonts w:ascii="Times New Roman" w:hAnsi="Times New Roman"/>
          <w:b/>
          <w:noProof/>
          <w:sz w:val="24"/>
        </w:rPr>
        <w:t>medlemsstaterne til at deltage i pilotprojektet</w:t>
      </w:r>
      <w:r>
        <w:rPr>
          <w:rFonts w:ascii="Times New Roman" w:hAnsi="Times New Roman"/>
          <w:noProof/>
          <w:sz w:val="24"/>
        </w:rPr>
        <w:t>.</w:t>
      </w:r>
    </w:p>
    <w:p>
      <w:pPr>
        <w:pStyle w:val="Body"/>
        <w:spacing w:before="240" w:after="0" w:line="240" w:lineRule="auto"/>
        <w:jc w:val="both"/>
        <w:rPr>
          <w:rFonts w:ascii="Times New Roman" w:hAnsi="Times New Roman"/>
          <w:b/>
          <w:noProof/>
          <w:sz w:val="24"/>
          <w:szCs w:val="24"/>
        </w:rPr>
      </w:pPr>
      <w:r>
        <w:rPr>
          <w:rFonts w:ascii="Times New Roman" w:hAnsi="Times New Roman"/>
          <w:noProof/>
          <w:sz w:val="24"/>
        </w:rPr>
        <w:t>Samtidig vil adgangen for alle nationale retshåndhævende myndigheder, grænsevagter og toldmyndigheder, inden for rammerne af deres respektive mandater, i høj grad forbedre effektiviteten af det operationelle arbejde på dette område. Muligheden for samtidig at indsætte eller søge oplysninger i flere databaser med tilsvarende eller supplerende oplysninger bør fortsat udnyttes.</w:t>
      </w:r>
    </w:p>
    <w:p>
      <w:pPr>
        <w:pStyle w:val="Body"/>
        <w:spacing w:before="240" w:after="0" w:line="240" w:lineRule="auto"/>
        <w:jc w:val="both"/>
        <w:rPr>
          <w:rFonts w:ascii="Times New Roman" w:hAnsi="Times New Roman"/>
          <w:b/>
          <w:i/>
          <w:noProof/>
          <w:sz w:val="24"/>
          <w:szCs w:val="24"/>
        </w:rPr>
      </w:pPr>
      <w:r>
        <w:rPr>
          <w:rFonts w:ascii="Times New Roman" w:hAnsi="Times New Roman"/>
          <w:b/>
          <w:i/>
          <w:noProof/>
          <w:sz w:val="24"/>
        </w:rPr>
        <w:t>Øget udveksling af ballistiske oplysninger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 fleste skydevåben har deres egne unikke identifikationstræk, og selv hvis et skydevåben ikke er blevet efterladt på gerningsstedet, kan der udledes vigtige oplysninger af projektilet, det eventuelle sårs beskaffenhed og eventuelle rester omkring det.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Der er i dag ikke noget EU-dækkende system til analyse af ballistiske data og ingen central database til integrering og sammenligning af analysen. Indtil nu har EU's medlemsstater</w:t>
      </w:r>
      <w:r>
        <w:rPr>
          <w:rFonts w:ascii="Times New Roman" w:hAnsi="Times New Roman"/>
          <w:noProof/>
          <w:sz w:val="24"/>
          <w:vertAlign w:val="superscript"/>
        </w:rPr>
        <w:footnoteReference w:id="39"/>
      </w:r>
      <w:r>
        <w:rPr>
          <w:rFonts w:ascii="Times New Roman" w:hAnsi="Times New Roman"/>
          <w:noProof/>
          <w:sz w:val="24"/>
        </w:rPr>
        <w:t xml:space="preserve"> normalt anvendt to forskellige systemer. Under det 7. rammeprogram støttede Kommissionen et projekt (Odyssey-platformen) med henblik på at tackle problemer i forbindelse med analyse af kriminaltekniske og ballistiske data fra ballistiske systemer i Europa, som ikke passer sammen</w:t>
      </w:r>
      <w:r>
        <w:rPr>
          <w:rStyle w:val="FootnoteReference"/>
          <w:rFonts w:ascii="Times New Roman" w:hAnsi="Times New Roman"/>
          <w:noProof/>
          <w:sz w:val="24"/>
        </w:rPr>
        <w:footnoteReference w:id="40"/>
      </w:r>
      <w:r>
        <w:rPr>
          <w:rFonts w:ascii="Times New Roman" w:hAnsi="Times New Roman"/>
          <w:noProof/>
          <w:sz w:val="24"/>
        </w:rPr>
        <w:t xml:space="preserve">. På baggrund af resultaterne af Odyssey-projektet vil Kommissionen fremme </w:t>
      </w:r>
      <w:r>
        <w:rPr>
          <w:rFonts w:ascii="Times New Roman" w:hAnsi="Times New Roman"/>
          <w:b/>
          <w:noProof/>
          <w:sz w:val="24"/>
        </w:rPr>
        <w:t>udveksling af ballistiske oplysninger over en dedikeret platform</w:t>
      </w:r>
      <w:r>
        <w:rPr>
          <w:rFonts w:ascii="Times New Roman" w:hAnsi="Times New Roman"/>
          <w:noProof/>
          <w:sz w:val="24"/>
        </w:rPr>
        <w:t xml:space="preserve"> ved hjælp af ballistikinformationsnettet og andre relevante systemer, der anvendes i medlemsstaterne. </w:t>
      </w:r>
    </w:p>
    <w:p>
      <w:pPr>
        <w:pStyle w:val="Body"/>
        <w:spacing w:before="240" w:after="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Omfattende brug af iTRACE</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Det internationale samfund mangler i øjeblikket konkrete oplysninger om, hvornår, hvor og hvordan lovligt producerede konventionelle våben kommer ind på det ulovlige marked og omledes til aktører i væbnede konflikter eller andre ulovlige slutbrugere.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Derfor finansierer EU iTRACE -projektet</w:t>
      </w:r>
      <w:r>
        <w:rPr>
          <w:rFonts w:ascii="Times New Roman" w:hAnsi="Times New Roman"/>
          <w:noProof/>
          <w:sz w:val="24"/>
          <w:vertAlign w:val="superscript"/>
        </w:rPr>
        <w:footnoteReference w:id="41"/>
      </w:r>
      <w:r>
        <w:rPr>
          <w:rFonts w:ascii="Times New Roman" w:hAnsi="Times New Roman"/>
          <w:noProof/>
          <w:sz w:val="24"/>
        </w:rPr>
        <w:t>. På baggrund af de positive resultater fra dette projekt</w:t>
      </w:r>
      <w:r>
        <w:rPr>
          <w:rStyle w:val="FootnoteReference"/>
          <w:rFonts w:ascii="Times New Roman" w:hAnsi="Times New Roman"/>
          <w:noProof/>
          <w:sz w:val="24"/>
        </w:rPr>
        <w:footnoteReference w:id="42"/>
      </w:r>
      <w:r>
        <w:rPr>
          <w:rFonts w:ascii="Times New Roman" w:hAnsi="Times New Roman"/>
          <w:noProof/>
          <w:sz w:val="24"/>
        </w:rPr>
        <w:t xml:space="preserve"> støtter EU den anden fase af iTRACE-programmet, herunder en intensivering af feltundersøgelser og en udvidelse af værktøjets geografiske anvendelsesområde. Det er imidlertid klart, at fremskridtene er afhængige af, om staterne, herunder alle EU's medlemsstater, imødekommer anmodningerne om sporing. Desuden bør enhver detektering, der gennemføres af en national retshåndhævende myndighed kontrolleres på grundlag af dette værktøj. Til dette formål vil Kommissionen overveje nødvendigheden af bindende regler på dette område for EU's medlemsstater.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Kommissionen vil støtte </w:t>
      </w:r>
      <w:r>
        <w:rPr>
          <w:rFonts w:ascii="Times New Roman" w:hAnsi="Times New Roman"/>
          <w:b/>
          <w:noProof/>
          <w:sz w:val="24"/>
        </w:rPr>
        <w:t>et tæt samarbejde mellem Europol, Interpol, de vigtigste iTrace-aktører og andre relevante organer</w:t>
      </w:r>
      <w:r>
        <w:rPr>
          <w:rFonts w:ascii="Times New Roman" w:hAnsi="Times New Roman"/>
          <w:noProof/>
          <w:sz w:val="24"/>
        </w:rPr>
        <w:t>, såsom toldmyndigheder og myndigheder, der udsteder tilladelse til import eller eksport af skydevåben, for at optimere det operationelle samarbejde samt sporbarhed og forebyggelse af, at skydevåben omledes til det ulovlige marked.</w:t>
      </w:r>
    </w:p>
    <w:p>
      <w:pPr>
        <w:pStyle w:val="Body"/>
        <w:spacing w:before="240" w:after="0" w:line="240" w:lineRule="auto"/>
        <w:jc w:val="both"/>
        <w:rPr>
          <w:rFonts w:ascii="Times New Roman" w:eastAsia="Times New Roman" w:hAnsi="Times New Roman" w:cs="Times New Roman"/>
          <w:b/>
          <w:i/>
          <w:iCs/>
          <w:noProof/>
          <w:sz w:val="24"/>
          <w:szCs w:val="24"/>
        </w:rPr>
      </w:pPr>
      <w:r>
        <w:rPr>
          <w:rFonts w:ascii="Times New Roman" w:hAnsi="Times New Roman"/>
          <w:b/>
          <w:i/>
          <w:noProof/>
          <w:sz w:val="24"/>
        </w:rPr>
        <w:t>Udvikling af Europols analysesystem og sikring af den fulde udnyttelse af Europols kontaktpunkt for skydevåben</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I 2016 skal Europol lancere en ny </w:t>
      </w:r>
      <w:r>
        <w:rPr>
          <w:rFonts w:ascii="Times New Roman" w:hAnsi="Times New Roman"/>
          <w:b/>
          <w:noProof/>
          <w:sz w:val="24"/>
        </w:rPr>
        <w:t>platform for Europols analysesystem (Europol Analysis System – EAS)</w:t>
      </w:r>
      <w:r>
        <w:rPr>
          <w:rFonts w:ascii="Times New Roman" w:hAnsi="Times New Roman"/>
          <w:noProof/>
          <w:sz w:val="24"/>
        </w:rPr>
        <w:t>, et effektivt analytisk redskab til støtte for operationel og strategisk analyse af data fra medlemsstaterne og tredjeparter. Systemet er designet til at være et af Europols centrale informationsprocesseringssystemer. Kommissionen vil bestræbe sig på at sikre en hurtig og omfattende implementering af dette redskab ved at bistå medlemsstaterne og støtte yderligere bestræbelser på at forbedre den systematiske overvågning af skydevåben. Kommissionen vil overveje nødvendigheden af bindende regler på dette område med henblik på at forbedre Europols analysekapacitet med støtte fra alle medlemsstaternes retshåndhævende myndigheder.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På Rådets anmodning oprettede Europol i 2014 et </w:t>
      </w:r>
      <w:r>
        <w:rPr>
          <w:rFonts w:ascii="Times New Roman" w:hAnsi="Times New Roman"/>
          <w:b/>
          <w:noProof/>
          <w:sz w:val="24"/>
        </w:rPr>
        <w:t>kontaktpunkt for skydevåben</w:t>
      </w:r>
      <w:r>
        <w:rPr>
          <w:rFonts w:ascii="Times New Roman" w:hAnsi="Times New Roman"/>
          <w:noProof/>
          <w:sz w:val="24"/>
        </w:rPr>
        <w:t>. Kontaktpunktet yder strategisk og operationel bistand til igangværende efterforskning. 21 medlemsstater</w:t>
      </w:r>
      <w:r>
        <w:rPr>
          <w:rFonts w:ascii="Times New Roman" w:hAnsi="Times New Roman"/>
          <w:noProof/>
          <w:sz w:val="24"/>
          <w:vertAlign w:val="superscript"/>
        </w:rPr>
        <w:footnoteReference w:id="43"/>
      </w:r>
      <w:r>
        <w:rPr>
          <w:rFonts w:ascii="Times New Roman" w:hAnsi="Times New Roman"/>
          <w:noProof/>
          <w:sz w:val="24"/>
        </w:rPr>
        <w:t xml:space="preserve"> og 6 tredjelande er i dag tilknyttet</w:t>
      </w:r>
      <w:r>
        <w:rPr>
          <w:rFonts w:ascii="Times New Roman" w:hAnsi="Times New Roman"/>
          <w:noProof/>
          <w:sz w:val="24"/>
          <w:vertAlign w:val="superscript"/>
        </w:rPr>
        <w:footnoteReference w:id="44"/>
      </w:r>
      <w:r>
        <w:rPr>
          <w:rFonts w:ascii="Times New Roman" w:hAnsi="Times New Roman"/>
          <w:noProof/>
          <w:sz w:val="24"/>
        </w:rPr>
        <w:t xml:space="preserve"> dette kontaktpunkt. Siden sin oprettelse har kontaktpunktet for skydevåben modtaget 3 089 bidrag i forbindelse med 625 undersøgelser, herunder oplysninger om 35 000 skydevåben, 28 700 personer og næsten 3 216 virksomheder under mistanke. Dette år har kontaktpunktet for skydevåben modtaget 1 750 bidrag. Kommissionen opfordrer indtrængende </w:t>
      </w:r>
      <w:r>
        <w:rPr>
          <w:rFonts w:ascii="Times New Roman" w:hAnsi="Times New Roman"/>
          <w:b/>
          <w:noProof/>
          <w:sz w:val="24"/>
        </w:rPr>
        <w:t>alle medlemsstater til at dele oplysninger proaktivt og deltage fuldt ud i aktionerne for kontaktpunktet for skydevåben</w:t>
      </w:r>
      <w:r>
        <w:rPr>
          <w:rFonts w:ascii="Times New Roman" w:hAnsi="Times New Roman"/>
          <w:noProof/>
          <w:sz w:val="24"/>
        </w:rPr>
        <w:t xml:space="preserve">. </w:t>
      </w:r>
    </w:p>
    <w:p>
      <w:pPr>
        <w:pStyle w:val="Body"/>
        <w:keepNext/>
        <w:spacing w:before="240" w:after="0" w:line="240" w:lineRule="auto"/>
        <w:jc w:val="both"/>
        <w:rPr>
          <w:rFonts w:ascii="Times New Roman" w:eastAsia="Times New Roman" w:hAnsi="Times New Roman" w:cs="Times New Roman"/>
          <w:b/>
          <w:bCs/>
          <w:i/>
          <w:noProof/>
          <w:sz w:val="24"/>
          <w:szCs w:val="24"/>
        </w:rPr>
      </w:pPr>
      <w:r>
        <w:rPr>
          <w:rFonts w:ascii="Times New Roman" w:hAnsi="Times New Roman"/>
          <w:b/>
          <w:i/>
          <w:noProof/>
          <w:sz w:val="24"/>
        </w:rPr>
        <w:t>Optimering af anvendelsen af det europæiske bombedatasystem (EBDS)</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Inden for rammerne af EU's handlingsplan for eksplosivstoffer har Kommissionen finansieret udviklingen af </w:t>
      </w:r>
      <w:r>
        <w:rPr>
          <w:rFonts w:ascii="Times New Roman" w:hAnsi="Times New Roman"/>
          <w:b/>
          <w:noProof/>
          <w:sz w:val="24"/>
        </w:rPr>
        <w:t>det europæiske bombedatasystem (EBDS)</w:t>
      </w:r>
      <w:r>
        <w:rPr>
          <w:rFonts w:ascii="Times New Roman" w:hAnsi="Times New Roman"/>
          <w:noProof/>
          <w:sz w:val="24"/>
        </w:rPr>
        <w:t xml:space="preserve">, som i øjeblikket forvaltes af Europol. EBDS forbinder næsten alle medlemsstater samt Norge og Kommissionen og kan bruges til udveksling af tekniske oplysninger om eksplosivstoffer og CBRN-materialer samt hændelser, tendenser og udstyr.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Der bør sikres</w:t>
      </w:r>
      <w:r>
        <w:rPr>
          <w:rFonts w:ascii="Times New Roman" w:hAnsi="Times New Roman"/>
          <w:b/>
          <w:noProof/>
          <w:sz w:val="24"/>
        </w:rPr>
        <w:t xml:space="preserve"> fuld tilslutning hertil </w:t>
      </w:r>
      <w:r>
        <w:rPr>
          <w:rFonts w:ascii="Times New Roman" w:hAnsi="Times New Roman"/>
          <w:noProof/>
          <w:sz w:val="24"/>
        </w:rPr>
        <w:t>for relevante brugere fra medlemsstaterne og udfoldes yderligere bestræbelser på at identificere alle relevante mulige brugere og uddanne brugerne. Kommissionen vil endvidere sammen med Europol vurdere, om EBDS bør indeholde informationer til "tidlig varsling"</w:t>
      </w:r>
      <w:r>
        <w:rPr>
          <w:rStyle w:val="FootnoteReference"/>
          <w:rFonts w:ascii="Times New Roman" w:hAnsi="Times New Roman"/>
          <w:noProof/>
          <w:sz w:val="24"/>
        </w:rPr>
        <w:footnoteReference w:id="45"/>
      </w:r>
      <w:r>
        <w:rPr>
          <w:rFonts w:ascii="Times New Roman" w:hAnsi="Times New Roman"/>
          <w:noProof/>
          <w:sz w:val="24"/>
        </w:rPr>
        <w:t xml:space="preserve"> og muligheder for detektion, og om systemet bør kobles sammen med andre udvalgte europæiske databaser. For at supplere de oplysninger, der udveksles gennem EBDS vil Kommissionen foreslå regelmæssige briefinger i et klassificeret miljø for medlemsstaterne og Europol med henblik på at udveksle særlige trusselsvurderinger vedrørende eksplosivstoffer.</w:t>
      </w:r>
    </w:p>
    <w:p>
      <w:pPr>
        <w:pStyle w:val="Body"/>
        <w:spacing w:after="0" w:line="240" w:lineRule="auto"/>
        <w:jc w:val="both"/>
        <w:rPr>
          <w:rFonts w:ascii="Times New Roman" w:hAnsi="Times New Roman"/>
          <w:noProof/>
          <w:sz w:val="24"/>
          <w:szCs w:val="24"/>
        </w:rPr>
      </w:pPr>
    </w:p>
    <w:tbl>
      <w:tblPr>
        <w:tblW w:w="928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rPr>
          <w:trHeight w:val="1673"/>
        </w:trPr>
        <w:tc>
          <w:tcPr>
            <w:tcW w:w="9288"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b/>
                <w:bCs/>
                <w:noProof/>
                <w:sz w:val="24"/>
                <w:szCs w:val="24"/>
              </w:rPr>
            </w:pPr>
            <w:r>
              <w:rPr>
                <w:rFonts w:ascii="Times New Roman" w:hAnsi="Times New Roman"/>
                <w:b/>
                <w:noProof/>
                <w:sz w:val="24"/>
              </w:rPr>
              <w:t>Specifikke foranstaltninger:</w:t>
            </w:r>
          </w:p>
          <w:p>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1"/>
              <w:jc w:val="both"/>
              <w:rPr>
                <w:rFonts w:ascii="Times New Roman" w:eastAsia="Times New Roman" w:hAnsi="Times New Roman" w:cs="Times New Roman"/>
                <w:bCs/>
                <w:i/>
                <w:noProof/>
                <w:sz w:val="24"/>
                <w:szCs w:val="24"/>
              </w:rPr>
            </w:pPr>
            <w:r>
              <w:rPr>
                <w:rFonts w:ascii="Times New Roman" w:hAnsi="Times New Roman"/>
                <w:i/>
                <w:noProof/>
                <w:sz w:val="24"/>
              </w:rPr>
              <w:t xml:space="preserve">Vurdering af eksisterende systemer for udveksling af oplysninger, der er relevante for bekæmpelsen af ulovlig handel med skydevåben og eksplosivstoffer, for at sikre deres tekniske kompatibilitet, med særlig opmærksomhed på behovet for at øge samarbejdet mellem politi og toldvæsen og på den udvikling, der påregnes i udkastet til direktivet om skydevåben. </w:t>
            </w:r>
          </w:p>
          <w:p>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1"/>
              <w:jc w:val="both"/>
              <w:rPr>
                <w:rFonts w:ascii="Times New Roman" w:eastAsia="Times New Roman" w:hAnsi="Times New Roman" w:cs="Times New Roman"/>
                <w:bCs/>
                <w:i/>
                <w:noProof/>
                <w:sz w:val="24"/>
                <w:szCs w:val="24"/>
              </w:rPr>
            </w:pPr>
            <w:r>
              <w:rPr>
                <w:rFonts w:ascii="Times New Roman" w:hAnsi="Times New Roman"/>
                <w:i/>
                <w:noProof/>
                <w:sz w:val="24"/>
              </w:rPr>
              <w:t>Sikring af effektiv interoperabilitet mellem eksisterende informationssystemer, herunder iARMS/SIS II, i forbindelse med UMF.</w:t>
            </w:r>
          </w:p>
          <w:p>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1"/>
              <w:jc w:val="both"/>
              <w:rPr>
                <w:rFonts w:ascii="Times New Roman" w:eastAsia="Times New Roman" w:hAnsi="Times New Roman" w:cs="Times New Roman"/>
                <w:i/>
                <w:iCs/>
                <w:noProof/>
                <w:sz w:val="24"/>
                <w:szCs w:val="24"/>
              </w:rPr>
            </w:pPr>
            <w:r>
              <w:rPr>
                <w:rFonts w:ascii="Times New Roman" w:hAnsi="Times New Roman"/>
                <w:i/>
                <w:noProof/>
                <w:sz w:val="24"/>
              </w:rPr>
              <w:t>Udvidelse af anvendelsen af iTrace, det europæiske bombedatasystem (EBDS) og Europols analysesystem og samtidig sikre fuld udnyttelse af Europols kontaktpunkt for skydevåben.</w:t>
            </w:r>
          </w:p>
          <w:p>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77" w:hanging="357"/>
              <w:jc w:val="both"/>
              <w:rPr>
                <w:rFonts w:ascii="Times New Roman" w:hAnsi="Times New Roman"/>
                <w:noProof/>
                <w:sz w:val="24"/>
                <w:szCs w:val="24"/>
              </w:rPr>
            </w:pPr>
            <w:r>
              <w:rPr>
                <w:rFonts w:ascii="Times New Roman" w:hAnsi="Times New Roman"/>
                <w:i/>
                <w:noProof/>
                <w:sz w:val="24"/>
              </w:rPr>
              <w:t>Øget udveksling af ballistiske oplysninger gennem en dedikeret platform.</w:t>
            </w:r>
          </w:p>
        </w:tc>
      </w:tr>
    </w:tbl>
    <w:p>
      <w:pPr>
        <w:pStyle w:val="Heading1"/>
        <w:rPr>
          <w:noProof/>
        </w:rPr>
      </w:pPr>
      <w:r>
        <w:rPr>
          <w:noProof/>
        </w:rPr>
        <w:t>ET STÆRKERE SAMARBEJDE MED TREDJELANDE</w:t>
      </w:r>
    </w:p>
    <w:p>
      <w:pPr>
        <w:pStyle w:val="Text1"/>
        <w:spacing w:before="240"/>
        <w:ind w:left="0"/>
        <w:jc w:val="both"/>
        <w:rPr>
          <w:noProof/>
        </w:rPr>
      </w:pPr>
      <w:r>
        <w:rPr>
          <w:noProof/>
        </w:rPr>
        <w:t>Som anført i den fælles meddelelse fra Kommissionen og Unionens højtstående repræsentant for udenrigsanliggender og sikkerhedspolitik om revisionen af den europæiske naboskabspolitik</w:t>
      </w:r>
      <w:r>
        <w:rPr>
          <w:rStyle w:val="FootnoteReference"/>
          <w:noProof/>
        </w:rPr>
        <w:footnoteReference w:id="46"/>
      </w:r>
      <w:r>
        <w:rPr>
          <w:noProof/>
        </w:rPr>
        <w:t>, der blev vedtaget den 18. november 2015, vil EU optrappe sit samarbejde med nabolande om sikkerhedsdimensionen, herunder om bekæmpelsen af ulovlig menneskehandel, ulovlig handel med håndvåben og lette våben (SALW) og samarbejdet om narkotikaanliggender.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Den ulovlige handel med og brug af skydevåben og eksplosivstoffer bør </w:t>
      </w:r>
      <w:r>
        <w:rPr>
          <w:rFonts w:ascii="Times New Roman" w:hAnsi="Times New Roman"/>
          <w:b/>
          <w:noProof/>
          <w:sz w:val="24"/>
        </w:rPr>
        <w:t>integreres systematisk i sikkerhedsdialoger</w:t>
      </w:r>
      <w:r>
        <w:rPr>
          <w:rFonts w:ascii="Times New Roman" w:hAnsi="Times New Roman"/>
          <w:noProof/>
          <w:sz w:val="24"/>
        </w:rPr>
        <w:t xml:space="preserve"> med centrale partnerlande og organisationer. Disse dialoger bør også, når det er relevant, føre til specifikke fælles handlingsplaner om skydevåben og, hvor det er muligt, også eksplosivstoffer, herunder med EU-agenturer såsom Europol, Eurojust og Cepol, samt relevante internationale organisationer som f.eks. FN og Interpol. Det bør også i visse tilfælde overvejes at yde finansiel EU-bistand (f.eks. i forbindelse med konfiskerede/dekommissionerede skydevåben) under instrumentet til fremme af stabilitet og fred, EU’s andre bistandsprogrammer eller FUSP-budgettet.</w:t>
      </w:r>
    </w:p>
    <w:p>
      <w:pPr>
        <w:pStyle w:val="Body"/>
        <w:spacing w:before="240" w:after="0" w:line="240" w:lineRule="auto"/>
        <w:jc w:val="both"/>
        <w:rPr>
          <w:rFonts w:ascii="Times New Roman" w:hAnsi="Times New Roman"/>
          <w:noProof/>
          <w:sz w:val="24"/>
        </w:rPr>
      </w:pPr>
      <w:r>
        <w:rPr>
          <w:rFonts w:ascii="Times New Roman" w:hAnsi="Times New Roman"/>
          <w:noProof/>
          <w:sz w:val="24"/>
        </w:rPr>
        <w:t>Uddannelse og andre støtteforanstaltninger (herunder tilvejebringelse af relevant udstyr og redskaber) for at styrke partnerlandenes og andre relevante tredjelandes kapacitet til bekæmpelse af ulovlig handel med og anvendelse af skydevåben og eksplosivstoffer, bør, når det er relevant, indgå i samarbejdsprogrammer på globalt, regionalt og bilateralt plan.</w:t>
      </w:r>
    </w:p>
    <w:p>
      <w:pPr>
        <w:pStyle w:val="Body"/>
        <w:spacing w:before="240" w:after="0" w:line="240" w:lineRule="auto"/>
        <w:jc w:val="both"/>
        <w:rPr>
          <w:rFonts w:ascii="Times New Roman" w:hAnsi="Times New Roman"/>
          <w:b/>
          <w:bCs/>
          <w:i/>
          <w:noProof/>
          <w:sz w:val="24"/>
          <w:szCs w:val="24"/>
        </w:rPr>
      </w:pPr>
      <w:r>
        <w:rPr>
          <w:rFonts w:ascii="Times New Roman" w:hAnsi="Times New Roman"/>
          <w:b/>
          <w:i/>
          <w:noProof/>
          <w:sz w:val="24"/>
        </w:rPr>
        <w:t>Styrkelse af de operationelle aktiviteter og udvidelse af anvendelsesområdet for handlingsplanen EU-Sydøsteuropa</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EU og de sydøsteuropæiske partnere har en fælles interesse i at udbygge deres samarbejde om bekæmpelse af de fælles trusler, der udgøres af den ulovlige handel med militære våben og eksplosivstoffer</w:t>
      </w:r>
      <w:r>
        <w:rPr>
          <w:rStyle w:val="FootnoteReference"/>
          <w:rFonts w:ascii="Times New Roman" w:hAnsi="Times New Roman"/>
          <w:noProof/>
          <w:sz w:val="20"/>
        </w:rPr>
        <w:footnoteReference w:id="47"/>
      </w:r>
      <w:r>
        <w:rPr>
          <w:noProof/>
        </w:rPr>
        <w:t>.</w:t>
      </w:r>
      <w:r>
        <w:rPr>
          <w:rFonts w:ascii="Times New Roman" w:hAnsi="Times New Roman"/>
          <w:noProof/>
          <w:sz w:val="24"/>
        </w:rPr>
        <w:t xml:space="preserve">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Dette samarbejde er blevet yderligere udviklet gennem vedtagelsen af en </w:t>
      </w:r>
      <w:r>
        <w:rPr>
          <w:rFonts w:ascii="Times New Roman" w:hAnsi="Times New Roman"/>
          <w:b/>
          <w:noProof/>
          <w:sz w:val="24"/>
        </w:rPr>
        <w:t>handlingsplan om ulovlig handel med skydevåben mellem EU og den sydøsteuropæiske region (2015-2019)</w:t>
      </w:r>
      <w:r>
        <w:rPr>
          <w:rStyle w:val="FootnoteReference"/>
          <w:rFonts w:ascii="Times New Roman" w:hAnsi="Times New Roman"/>
          <w:noProof/>
          <w:sz w:val="20"/>
        </w:rPr>
        <w:footnoteReference w:id="48"/>
      </w:r>
      <w:r>
        <w:rPr>
          <w:rFonts w:ascii="Times New Roman" w:hAnsi="Times New Roman"/>
          <w:noProof/>
          <w:sz w:val="24"/>
        </w:rPr>
        <w:t>.</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Aktiviteterne under handlingsplanen skal hurtigt kunne styrkes for yderligere at nedbringe den ulovlige strøm af våben til EU. Europol bør </w:t>
      </w:r>
      <w:r>
        <w:rPr>
          <w:rFonts w:ascii="Times New Roman" w:hAnsi="Times New Roman"/>
          <w:b/>
          <w:noProof/>
          <w:sz w:val="24"/>
        </w:rPr>
        <w:t xml:space="preserve">fremskynde </w:t>
      </w:r>
      <w:r>
        <w:rPr>
          <w:rFonts w:ascii="Times New Roman" w:hAnsi="Times New Roman"/>
          <w:noProof/>
          <w:sz w:val="24"/>
        </w:rPr>
        <w:t>gennemførelsen af</w:t>
      </w:r>
      <w:r>
        <w:rPr>
          <w:rFonts w:ascii="Times New Roman" w:hAnsi="Times New Roman"/>
          <w:b/>
          <w:noProof/>
          <w:sz w:val="24"/>
        </w:rPr>
        <w:t xml:space="preserve"> den operationelle handlingsplan for 2016</w:t>
      </w:r>
      <w:r>
        <w:rPr>
          <w:rFonts w:ascii="Times New Roman" w:hAnsi="Times New Roman"/>
          <w:noProof/>
          <w:sz w:val="24"/>
        </w:rPr>
        <w:t xml:space="preserve"> i forbindelse med politikcyklussen, især ved gennemførelse</w:t>
      </w:r>
      <w:r>
        <w:rPr>
          <w:rFonts w:ascii="Times New Roman" w:hAnsi="Times New Roman"/>
          <w:b/>
          <w:noProof/>
          <w:sz w:val="24"/>
        </w:rPr>
        <w:t xml:space="preserve"> af efterretningsstyrede fælles aktioner</w:t>
      </w:r>
      <w:r>
        <w:rPr>
          <w:rFonts w:ascii="Times New Roman" w:hAnsi="Times New Roman"/>
          <w:noProof/>
          <w:sz w:val="24"/>
        </w:rPr>
        <w:t xml:space="preserve"> og </w:t>
      </w:r>
      <w:r>
        <w:rPr>
          <w:rFonts w:ascii="Times New Roman" w:hAnsi="Times New Roman"/>
          <w:b/>
          <w:noProof/>
          <w:sz w:val="24"/>
        </w:rPr>
        <w:t>et tættere samarbejde mellem forbindelsesofficerer</w:t>
      </w:r>
      <w:r>
        <w:rPr>
          <w:rFonts w:ascii="Times New Roman" w:hAnsi="Times New Roman"/>
          <w:noProof/>
          <w:sz w:val="24"/>
        </w:rPr>
        <w:t xml:space="preserve"> i regionen og i </w:t>
      </w:r>
      <w:r>
        <w:rPr>
          <w:rFonts w:ascii="Times New Roman" w:hAnsi="Times New Roman"/>
          <w:b/>
          <w:noProof/>
          <w:sz w:val="24"/>
        </w:rPr>
        <w:t>netværket af europæiske våbeneksperter.</w:t>
      </w:r>
    </w:p>
    <w:p>
      <w:pPr>
        <w:pStyle w:val="Body"/>
        <w:spacing w:before="120" w:after="0" w:line="240" w:lineRule="auto"/>
        <w:jc w:val="both"/>
        <w:rPr>
          <w:rFonts w:ascii="Times New Roman" w:hAnsi="Times New Roman"/>
          <w:noProof/>
          <w:sz w:val="24"/>
        </w:rPr>
      </w:pPr>
      <w:r>
        <w:rPr>
          <w:rFonts w:ascii="Times New Roman" w:hAnsi="Times New Roman"/>
          <w:noProof/>
          <w:sz w:val="24"/>
        </w:rPr>
        <w:t xml:space="preserve">Kommissionen vil organisere endnu en konference i begyndelsen af 2016 med de vestlige Balkanpartnere med henblik på at </w:t>
      </w:r>
      <w:r>
        <w:rPr>
          <w:rFonts w:ascii="Times New Roman" w:hAnsi="Times New Roman"/>
          <w:b/>
          <w:noProof/>
          <w:sz w:val="24"/>
        </w:rPr>
        <w:t>vurdere gennemførelsen af handlingsplanen</w:t>
      </w:r>
      <w:r>
        <w:rPr>
          <w:rFonts w:ascii="Times New Roman" w:hAnsi="Times New Roman"/>
          <w:noProof/>
          <w:sz w:val="24"/>
        </w:rPr>
        <w:t xml:space="preserve"> og drøfte de fremtidige skridt, herunder forslaget om at udvide denne handlingsplan til at omfatte ulovlige eksplosivstoffer. </w:t>
      </w:r>
    </w:p>
    <w:p>
      <w:pPr>
        <w:pStyle w:val="Body"/>
        <w:spacing w:before="240" w:after="0" w:line="240" w:lineRule="auto"/>
        <w:jc w:val="both"/>
        <w:rPr>
          <w:noProof/>
          <w:color w:val="1F497D"/>
        </w:rPr>
      </w:pPr>
      <w:r>
        <w:rPr>
          <w:rFonts w:ascii="Times New Roman" w:hAnsi="Times New Roman"/>
          <w:noProof/>
          <w:sz w:val="24"/>
        </w:rPr>
        <w:t>Landene i det vestlige Balkan er ved at iværksætte nationale strategier til bekæmpelse af ulovlig handel med våben og spredning af håndvåben og lette våben. Fremskridtene på dette område overvåges også inden for rammerne af tiltrædelsesforhandlingerne i kapitel 24 — Retfærdighed, frihed og sikkerhed.</w:t>
      </w:r>
      <w:r>
        <w:rPr>
          <w:noProof/>
          <w:color w:val="1F497D"/>
        </w:rPr>
        <w:t xml:space="preserve">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Med udgangspunkt i erfaringerne fra lignende initiativer</w:t>
      </w:r>
      <w:r>
        <w:rPr>
          <w:rStyle w:val="FootnoteReference"/>
          <w:rFonts w:ascii="Times New Roman" w:hAnsi="Times New Roman"/>
          <w:noProof/>
          <w:sz w:val="24"/>
        </w:rPr>
        <w:footnoteReference w:id="49"/>
      </w:r>
      <w:r>
        <w:rPr>
          <w:rFonts w:ascii="Times New Roman" w:hAnsi="Times New Roman"/>
          <w:noProof/>
          <w:sz w:val="24"/>
        </w:rPr>
        <w:t xml:space="preserve"> vil Kommissionen sammen med centrale partnere overveje relevansen af </w:t>
      </w:r>
      <w:r>
        <w:rPr>
          <w:rFonts w:ascii="Times New Roman" w:hAnsi="Times New Roman"/>
          <w:b/>
          <w:noProof/>
          <w:sz w:val="24"/>
        </w:rPr>
        <w:t>ordninger for tilbagekøb af skydevåben</w:t>
      </w:r>
      <w:r>
        <w:rPr>
          <w:rFonts w:ascii="Times New Roman" w:hAnsi="Times New Roman"/>
          <w:noProof/>
          <w:sz w:val="24"/>
        </w:rPr>
        <w:t xml:space="preserve"> i regionen.</w:t>
      </w:r>
    </w:p>
    <w:p>
      <w:pPr>
        <w:pStyle w:val="Body"/>
        <w:spacing w:before="240" w:after="0" w:line="240" w:lineRule="auto"/>
        <w:jc w:val="both"/>
        <w:rPr>
          <w:rFonts w:ascii="Times New Roman" w:hAnsi="Times New Roman"/>
          <w:b/>
          <w:bCs/>
          <w:i/>
          <w:noProof/>
          <w:sz w:val="24"/>
          <w:szCs w:val="24"/>
        </w:rPr>
      </w:pPr>
      <w:r>
        <w:rPr>
          <w:rFonts w:ascii="Times New Roman" w:hAnsi="Times New Roman"/>
          <w:b/>
          <w:i/>
          <w:noProof/>
          <w:sz w:val="24"/>
        </w:rPr>
        <w:t>Styrkelse af samarbejdet med lande i Mellemøsten og Nordafrika (MENA)</w:t>
      </w:r>
    </w:p>
    <w:p>
      <w:pPr>
        <w:jc w:val="both"/>
        <w:rPr>
          <w:noProof/>
        </w:rPr>
      </w:pPr>
    </w:p>
    <w:p>
      <w:pPr>
        <w:jc w:val="both"/>
        <w:rPr>
          <w:noProof/>
          <w:color w:val="1F497D"/>
        </w:rPr>
      </w:pPr>
      <w:r>
        <w:rPr>
          <w:noProof/>
        </w:rPr>
        <w:t xml:space="preserve">Den nuværende ustabilitet i MENA-regionen, navnlig de langvarige konflikter i Libyen og Syrien, har i høj grad øget omfanget af ulovlig handel med skydevåben i regionen. Denne handel udgør en betydelig langsigtet trussel mod sikkerheden i EU, som hurtigst muligt bør bekæmpes.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EU har allerede indledt en dialog med henblik på at udforske muligheden af et fremtidigt samarbejde med MENA-landene (efter en række indledende kontakter og en første konference med MENA-landene på teknisk plan den 1. oktober 2015) og vil forsøge at </w:t>
      </w:r>
      <w:r>
        <w:rPr>
          <w:rFonts w:ascii="Times New Roman" w:hAnsi="Times New Roman"/>
          <w:b/>
          <w:noProof/>
          <w:sz w:val="24"/>
        </w:rPr>
        <w:t>forbedre EU-MENA-samarbejdet mellem relevante retshåndhævende myndigheder</w:t>
      </w:r>
      <w:r>
        <w:rPr>
          <w:noProof/>
        </w:rPr>
        <w:t xml:space="preserve">, </w:t>
      </w:r>
      <w:r>
        <w:rPr>
          <w:rFonts w:ascii="Times New Roman" w:hAnsi="Times New Roman"/>
          <w:noProof/>
          <w:color w:val="auto"/>
          <w:sz w:val="24"/>
        </w:rPr>
        <w:t xml:space="preserve">sørge for </w:t>
      </w:r>
      <w:r>
        <w:rPr>
          <w:rFonts w:ascii="Times New Roman" w:hAnsi="Times New Roman"/>
          <w:b/>
          <w:noProof/>
          <w:color w:val="auto"/>
          <w:sz w:val="28"/>
        </w:rPr>
        <w:t>hjælp</w:t>
      </w:r>
      <w:r>
        <w:rPr>
          <w:rFonts w:ascii="Times New Roman" w:hAnsi="Times New Roman"/>
          <w:b/>
          <w:noProof/>
          <w:sz w:val="24"/>
        </w:rPr>
        <w:t xml:space="preserve"> til kapacitetsopbygning</w:t>
      </w:r>
      <w:r>
        <w:rPr>
          <w:rFonts w:ascii="Times New Roman" w:hAnsi="Times New Roman"/>
          <w:noProof/>
          <w:sz w:val="24"/>
        </w:rPr>
        <w:t xml:space="preserve"> i relevante regionale og/eller bilaterale programmer</w:t>
      </w:r>
      <w:r>
        <w:rPr>
          <w:rStyle w:val="FootnoteReference"/>
          <w:rFonts w:ascii="Times New Roman" w:hAnsi="Times New Roman"/>
          <w:noProof/>
          <w:sz w:val="24"/>
        </w:rPr>
        <w:footnoteReference w:id="50"/>
      </w:r>
      <w:r>
        <w:rPr>
          <w:rFonts w:ascii="Times New Roman" w:hAnsi="Times New Roman"/>
          <w:noProof/>
          <w:sz w:val="24"/>
        </w:rPr>
        <w:t xml:space="preserve"> og udvikle </w:t>
      </w:r>
      <w:r>
        <w:rPr>
          <w:rFonts w:ascii="Times New Roman" w:hAnsi="Times New Roman"/>
          <w:b/>
          <w:noProof/>
          <w:sz w:val="24"/>
        </w:rPr>
        <w:t>operationelle aktioner</w:t>
      </w:r>
      <w:r>
        <w:rPr>
          <w:rFonts w:ascii="Times New Roman" w:hAnsi="Times New Roman"/>
          <w:noProof/>
          <w:sz w:val="24"/>
        </w:rPr>
        <w:t xml:space="preserve"> inden for fælles vedtagne rammer.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Denne regionale tilgang bør suppleres på bilateralt plan ved systematisk at inkludere skydevåben og eksplosivstoffer i de politiske dialoger med MENA-landene inden for rammerne af associeringsaftalerne for den europæiske naboskabspolitik og i relaterede underudvalg vedrørende retlige og indre anliggender og, hvis det er relevant, de specifikke antiterrordialoger (allerede indledt med Tunesien og ved at blive indledt med Libanon, Jordan, Algeriet og Marokko).</w:t>
      </w:r>
      <w:r>
        <w:rPr>
          <w:rFonts w:ascii="Times New Roman" w:hAnsi="Times New Roman"/>
          <w:b/>
          <w:noProof/>
          <w:sz w:val="24"/>
        </w:rPr>
        <w:t xml:space="preserve">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Den ulovlige spredning og handel med konventionelle våben inden for og fra </w:t>
      </w:r>
      <w:r>
        <w:rPr>
          <w:rFonts w:ascii="Times New Roman" w:hAnsi="Times New Roman"/>
          <w:b/>
          <w:noProof/>
          <w:sz w:val="24"/>
        </w:rPr>
        <w:t>Libyen</w:t>
      </w:r>
      <w:r>
        <w:rPr>
          <w:rFonts w:ascii="Times New Roman" w:hAnsi="Times New Roman"/>
          <w:noProof/>
          <w:sz w:val="24"/>
        </w:rPr>
        <w:t xml:space="preserve"> er fortsat en kilde til usikkerhed i regionen, ikke mindst i kraft af en yderligere udbredelse af improviserede eksplosive anordninger (IEDs)</w:t>
      </w:r>
      <w:r>
        <w:rPr>
          <w:rStyle w:val="FootnoteReference"/>
          <w:rFonts w:ascii="Times New Roman" w:hAnsi="Times New Roman"/>
          <w:noProof/>
          <w:sz w:val="24"/>
        </w:rPr>
        <w:footnoteReference w:id="51"/>
      </w:r>
      <w:r>
        <w:rPr>
          <w:rFonts w:ascii="Times New Roman" w:hAnsi="Times New Roman"/>
          <w:noProof/>
          <w:sz w:val="24"/>
        </w:rPr>
        <w:t xml:space="preserve"> eller MANPADS</w:t>
      </w:r>
      <w:r>
        <w:rPr>
          <w:rStyle w:val="FootnoteReference"/>
          <w:rFonts w:ascii="Times New Roman" w:hAnsi="Times New Roman"/>
          <w:noProof/>
          <w:sz w:val="24"/>
        </w:rPr>
        <w:footnoteReference w:id="52"/>
      </w:r>
      <w:r>
        <w:rPr>
          <w:rFonts w:ascii="Times New Roman" w:hAnsi="Times New Roman"/>
          <w:noProof/>
          <w:sz w:val="20"/>
        </w:rPr>
        <w:t>.</w:t>
      </w:r>
      <w:r>
        <w:rPr>
          <w:rFonts w:ascii="Times New Roman" w:hAnsi="Times New Roman"/>
          <w:noProof/>
          <w:sz w:val="24"/>
        </w:rPr>
        <w:t xml:space="preserve"> Militser i Libyen har angiveligt også beslaglagt arsenaler af kemiske våben fra lagre, hvor de har været opbevaret under meget dårlige betingelser; der er risiko for, at disse arsenaler falder i hænderne på voldelige ekstremistiske grupper eller terrorister.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Når der er dannet en national samlingsregering, vil EU som en prioritet og i koordination med andre relevante internationale partnere, tilbyde udviklingsprogrammer for terrorbekæmpelseskapacitet til de libyske myndigheder. En løsning af problemerne med ulovlig handel med skydevåben og brug af eksplosivstoffer vil være en vigtig del af en sådan pakke.</w:t>
      </w:r>
    </w:p>
    <w:p>
      <w:pPr>
        <w:pStyle w:val="Body"/>
        <w:spacing w:before="240" w:after="0" w:line="240" w:lineRule="auto"/>
        <w:jc w:val="both"/>
        <w:rPr>
          <w:rFonts w:ascii="Times New Roman" w:hAnsi="Times New Roman"/>
          <w:b/>
          <w:bCs/>
          <w:i/>
          <w:noProof/>
          <w:sz w:val="24"/>
          <w:szCs w:val="24"/>
        </w:rPr>
      </w:pPr>
      <w:r>
        <w:rPr>
          <w:rFonts w:ascii="Times New Roman" w:hAnsi="Times New Roman"/>
          <w:b/>
          <w:i/>
          <w:noProof/>
          <w:sz w:val="24"/>
        </w:rPr>
        <w:t>Styrkelse af samarbejdet med Ukraine</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Det er i både EU's og </w:t>
      </w:r>
      <w:r>
        <w:rPr>
          <w:rFonts w:ascii="Times New Roman" w:hAnsi="Times New Roman"/>
          <w:b/>
          <w:noProof/>
          <w:sz w:val="24"/>
        </w:rPr>
        <w:t>Ukraines</w:t>
      </w:r>
      <w:r>
        <w:rPr>
          <w:rFonts w:ascii="Times New Roman" w:hAnsi="Times New Roman"/>
          <w:noProof/>
          <w:sz w:val="24"/>
        </w:rPr>
        <w:t xml:space="preserve"> interesse at øge deres samarbejde om bekæmpelse af fælles trusler i form af ulovlig handel med og brug af skydevåben og eksplosivstoffer. På samme tid kan EU styrke sin støtte til en reform af den civile sikkerhedssektor i Ukraine, herunder inden for interesser, der er omfattet af denne meddelelse.</w:t>
      </w:r>
    </w:p>
    <w:p>
      <w:pPr>
        <w:pStyle w:val="Body"/>
        <w:spacing w:before="240" w:after="0" w:line="240" w:lineRule="auto"/>
        <w:jc w:val="both"/>
        <w:rPr>
          <w:rFonts w:ascii="Times New Roman" w:hAnsi="Times New Roman"/>
          <w:b/>
          <w:i/>
          <w:noProof/>
          <w:sz w:val="24"/>
          <w:szCs w:val="24"/>
        </w:rPr>
      </w:pPr>
      <w:r>
        <w:rPr>
          <w:rFonts w:ascii="Times New Roman" w:hAnsi="Times New Roman"/>
          <w:b/>
          <w:i/>
          <w:noProof/>
          <w:sz w:val="24"/>
        </w:rPr>
        <w:t>Styrkelse af samarbejdet med Tyrkiet</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Den nuværende dialog mellem EU og Tyrkiet om bekæmpelse af terrorisme bør udvides til også at omfatte ulovlig handel med og brug af skydevåben og eksplosivstoffer.</w:t>
      </w:r>
    </w:p>
    <w:p>
      <w:pPr>
        <w:pStyle w:val="Body"/>
        <w:spacing w:before="240" w:after="0" w:line="240" w:lineRule="auto"/>
        <w:jc w:val="both"/>
        <w:rPr>
          <w:rFonts w:ascii="Times New Roman" w:hAnsi="Times New Roman"/>
          <w:b/>
          <w:bCs/>
          <w:i/>
          <w:noProof/>
          <w:sz w:val="24"/>
          <w:szCs w:val="24"/>
        </w:rPr>
      </w:pPr>
      <w:r>
        <w:rPr>
          <w:rFonts w:ascii="Times New Roman" w:hAnsi="Times New Roman"/>
          <w:b/>
          <w:i/>
          <w:noProof/>
          <w:sz w:val="24"/>
        </w:rPr>
        <w:t>Styrke samarbejdet med andre regionale aktører og internationale organisationer</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 xml:space="preserve">Terrorhandlinger og kriminelle grupper forværrer den ustabile sikkerhedsmæssige situation i </w:t>
      </w:r>
      <w:r>
        <w:rPr>
          <w:rFonts w:ascii="Times New Roman" w:hAnsi="Times New Roman"/>
          <w:b/>
          <w:noProof/>
          <w:sz w:val="24"/>
        </w:rPr>
        <w:t>Libyen</w:t>
      </w:r>
      <w:r>
        <w:rPr>
          <w:rFonts w:ascii="Times New Roman" w:hAnsi="Times New Roman"/>
          <w:noProof/>
          <w:sz w:val="24"/>
        </w:rPr>
        <w:t xml:space="preserve"> og har indvirkning på Sahel (f.eks. Mali) og sikkerhedssituationen i Lake Tchad-regionen (især Nigeria). Kommissionen vil i samråd med EU-Udenrigstjenesten sikre relevant støtte til at imødegå disse grupper gennem sikkerhedsrelateret bistand, herunder eventuelt under Nødtrustfonden for Stabilitet og Håndtering af de Grundlæggende Årsager til Irregulær Migration og til Fordrivelse af Personer i Afrika, som EU for nyligt har oprettet. </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Kommissionen vil bistå landene i Den Arabiske Liga (LAS)</w:t>
      </w:r>
      <w:r>
        <w:rPr>
          <w:rStyle w:val="FootnoteReference"/>
          <w:rFonts w:ascii="Times New Roman" w:hAnsi="Times New Roman"/>
          <w:noProof/>
          <w:sz w:val="24"/>
        </w:rPr>
        <w:footnoteReference w:id="53"/>
      </w:r>
      <w:r>
        <w:rPr>
          <w:rFonts w:ascii="Times New Roman" w:hAnsi="Times New Roman"/>
          <w:noProof/>
          <w:sz w:val="24"/>
        </w:rPr>
        <w:t xml:space="preserve"> med udviklingen af et IT-system til kontrol med overførsler af våben og forsvarsmateriel og vil undersøge, hvordan LAS-kontaktpunkter vedrørende SALW kan samarbejde med tilsvarende strukturer inden for EU.</w:t>
      </w:r>
    </w:p>
    <w:p>
      <w:pPr>
        <w:pStyle w:val="Body"/>
        <w:spacing w:before="240" w:after="0" w:line="240" w:lineRule="auto"/>
        <w:jc w:val="both"/>
        <w:rPr>
          <w:rFonts w:ascii="Times New Roman" w:hAnsi="Times New Roman"/>
          <w:noProof/>
          <w:sz w:val="24"/>
          <w:szCs w:val="24"/>
        </w:rPr>
      </w:pPr>
      <w:r>
        <w:rPr>
          <w:rFonts w:ascii="Times New Roman" w:hAnsi="Times New Roman"/>
          <w:noProof/>
          <w:sz w:val="24"/>
        </w:rPr>
        <w:t>På baggrund af eksisterende EU-tiltag truffet ved gennemførelsen af EU-strategien for bekæmpelse af ulovlig ophobning af og handel med håndvåben og lette våben (SALW) fra 2005</w:t>
      </w:r>
      <w:r>
        <w:rPr>
          <w:rStyle w:val="FootnoteReference"/>
          <w:rFonts w:ascii="Times New Roman" w:hAnsi="Times New Roman"/>
          <w:noProof/>
          <w:sz w:val="24"/>
        </w:rPr>
        <w:footnoteReference w:id="54"/>
      </w:r>
      <w:r>
        <w:rPr>
          <w:rFonts w:ascii="Times New Roman" w:hAnsi="Times New Roman"/>
          <w:noProof/>
          <w:sz w:val="24"/>
        </w:rPr>
        <w:t xml:space="preserve"> og den europæiske sikkerhedsstrategi</w:t>
      </w:r>
      <w:r>
        <w:rPr>
          <w:rStyle w:val="FootnoteReference"/>
          <w:rFonts w:ascii="Times New Roman" w:hAnsi="Times New Roman"/>
          <w:noProof/>
          <w:sz w:val="24"/>
        </w:rPr>
        <w:footnoteReference w:id="55"/>
      </w:r>
      <w:r>
        <w:rPr>
          <w:rFonts w:ascii="Times New Roman" w:hAnsi="Times New Roman"/>
          <w:noProof/>
          <w:sz w:val="24"/>
        </w:rPr>
        <w:t xml:space="preserve"> vil EU fortsætte med at fremme ratificering, gennemførelse i national ret og implementering af internationale konventioner såsom traktaten om våbenhandel og protokollen om skydevåben i FN's konvention om bekæmpelse af grænseoverskridende organiseret kriminalitet. Der vil også blive gjort brug af regionale CBRN-netværk, som er oprettet i otte regioner under EU's risikostyringsinitiativ.</w:t>
      </w:r>
    </w:p>
    <w:p>
      <w:pPr>
        <w:pStyle w:val="Body"/>
        <w:spacing w:after="0" w:line="240" w:lineRule="auto"/>
        <w:jc w:val="both"/>
        <w:rPr>
          <w:rFonts w:ascii="Times New Roman" w:hAnsi="Times New Roman"/>
          <w:noProof/>
          <w:sz w:val="24"/>
          <w:szCs w:val="24"/>
        </w:rPr>
      </w:pPr>
    </w:p>
    <w:tbl>
      <w:tblPr>
        <w:tblW w:w="9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trPr>
          <w:trHeight w:val="1827"/>
        </w:trPr>
        <w:tc>
          <w:tcPr>
            <w:tcW w:w="9348" w:type="dxa"/>
            <w:tcBorders>
              <w:top w:val="nil"/>
              <w:left w:val="nil"/>
              <w:bottom w:val="nil"/>
              <w:right w:val="nil"/>
            </w:tcBorders>
          </w:tcPr>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trPr>
                <w:trHeight w:val="2472"/>
              </w:trPr>
              <w:tc>
                <w:tcPr>
                  <w:tcW w:w="9264"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b/>
                      <w:bCs/>
                      <w:noProof/>
                      <w:sz w:val="24"/>
                      <w:szCs w:val="24"/>
                    </w:rPr>
                  </w:pPr>
                  <w:r>
                    <w:rPr>
                      <w:rFonts w:ascii="Times New Roman" w:hAnsi="Times New Roman"/>
                      <w:b/>
                      <w:noProof/>
                      <w:sz w:val="24"/>
                    </w:rPr>
                    <w:t>Specifikke foranstaltninger:</w:t>
                  </w:r>
                </w:p>
                <w:p>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Cs/>
                      <w:i/>
                      <w:noProof/>
                      <w:sz w:val="24"/>
                      <w:szCs w:val="24"/>
                    </w:rPr>
                  </w:pPr>
                  <w:r>
                    <w:rPr>
                      <w:rFonts w:ascii="Times New Roman" w:hAnsi="Times New Roman"/>
                      <w:i/>
                      <w:noProof/>
                      <w:sz w:val="24"/>
                    </w:rPr>
                    <w:t>Styrkelse af de operationelle aktiviteter og udvidelse af anvendelsesområdet for handlingsplanen EU-Sydøsteuropa</w:t>
                  </w:r>
                </w:p>
                <w:p>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Cs/>
                      <w:i/>
                      <w:noProof/>
                      <w:sz w:val="24"/>
                      <w:szCs w:val="24"/>
                    </w:rPr>
                  </w:pPr>
                  <w:r>
                    <w:rPr>
                      <w:rFonts w:ascii="Times New Roman" w:hAnsi="Times New Roman"/>
                      <w:i/>
                      <w:noProof/>
                      <w:sz w:val="24"/>
                    </w:rPr>
                    <w:t>Styrkelse af samarbejdet med lande i Mellemøsten og Nordafrika (MENA)</w:t>
                  </w:r>
                </w:p>
                <w:p>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Cs/>
                      <w:i/>
                      <w:noProof/>
                      <w:sz w:val="24"/>
                      <w:szCs w:val="24"/>
                    </w:rPr>
                  </w:pPr>
                  <w:r>
                    <w:rPr>
                      <w:rFonts w:ascii="Times New Roman" w:hAnsi="Times New Roman"/>
                      <w:i/>
                      <w:noProof/>
                      <w:sz w:val="24"/>
                    </w:rPr>
                    <w:t>Styrkelse af samarbejdet med Ukraine og Tyrkiet</w:t>
                  </w:r>
                </w:p>
                <w:p>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b/>
                      <w:bCs/>
                      <w:noProof/>
                      <w:sz w:val="24"/>
                      <w:szCs w:val="24"/>
                    </w:rPr>
                  </w:pPr>
                  <w:r>
                    <w:rPr>
                      <w:rFonts w:ascii="Times New Roman" w:hAnsi="Times New Roman"/>
                      <w:i/>
                      <w:noProof/>
                      <w:sz w:val="24"/>
                    </w:rPr>
                    <w:t>Styrkelse af samarbejdet med andre relevante tredjelande, regionale aktører og internationale organisationer.</w:t>
                  </w:r>
                </w:p>
              </w:tc>
            </w:tr>
          </w:tbl>
          <w:p>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hAnsi="Times New Roman"/>
                <w:bCs/>
                <w:i/>
                <w:noProof/>
                <w:sz w:val="24"/>
                <w:szCs w:val="24"/>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hAnsi="Times New Roman"/>
                <w:bCs/>
                <w:i/>
                <w:noProof/>
                <w:sz w:val="24"/>
                <w:szCs w:val="24"/>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hAnsi="Times New Roman"/>
                <w:b/>
                <w:bCs/>
                <w:noProof/>
                <w:sz w:val="24"/>
                <w:szCs w:val="24"/>
              </w:rPr>
            </w:pPr>
            <w:r>
              <w:rPr>
                <w:rFonts w:ascii="Times New Roman" w:hAnsi="Times New Roman"/>
                <w:b/>
                <w:noProof/>
                <w:sz w:val="24"/>
              </w:rPr>
              <w:t>KONKLUSIONER</w:t>
            </w: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jc w:val="both"/>
              <w:rPr>
                <w:rFonts w:ascii="Times New Roman" w:hAnsi="Times New Roman"/>
                <w:bCs/>
                <w:i/>
                <w:noProof/>
                <w:sz w:val="24"/>
                <w:szCs w:val="24"/>
              </w:rPr>
            </w:pPr>
            <w:r>
              <w:rPr>
                <w:rFonts w:ascii="Times New Roman" w:hAnsi="Times New Roman"/>
                <w:noProof/>
                <w:sz w:val="24"/>
              </w:rPr>
              <w:t xml:space="preserve">Kommissionen opfordrer medlemsstaterne og alle andre relevante interessenter til at tage alle nødvendige skridt til at sikre en hurtig gennemførelse af denne handlingsplan. Kommissionen vil aflægge rapport til Europa-Parlamentet og Rådet om gennemførelsen af denne handlingsplan inden for rammerne af den halvårlige ajourføring om gennemførelsen af den europæiske dagsorden om sikkerhed. </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601" w:footer="56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sz w:val="18"/>
        </w:rPr>
      </w:pPr>
      <w:r>
        <w:rPr>
          <w:rStyle w:val="FootnoteReference"/>
        </w:rPr>
        <w:footnoteRef/>
      </w:r>
      <w:r>
        <w:t xml:space="preserve">      </w:t>
      </w:r>
      <w:hyperlink r:id="rId1">
        <w:r>
          <w:rPr>
            <w:rStyle w:val="Hyperlink0"/>
            <w:rFonts w:eastAsia="Arial Unicode MS"/>
            <w:sz w:val="18"/>
          </w:rPr>
          <w:t>http://ec.europa.eu/dgs/home-affairs/e-library/documents/basic-documents/docs/eu_agenda_on_security_en.pdf</w:t>
        </w:r>
      </w:hyperlink>
      <w:r>
        <w:t>.</w:t>
      </w:r>
    </w:p>
  </w:footnote>
  <w:footnote w:id="2">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18"/>
          <w:szCs w:val="18"/>
        </w:rPr>
      </w:pPr>
      <w:r>
        <w:rPr>
          <w:rStyle w:val="FootnoteReference"/>
          <w:sz w:val="18"/>
        </w:rPr>
        <w:footnoteRef/>
      </w:r>
      <w:r>
        <w:rPr>
          <w:sz w:val="18"/>
        </w:rPr>
        <w:t xml:space="preserve">      </w:t>
      </w:r>
      <w:hyperlink r:id="rId2">
        <w:r>
          <w:rPr>
            <w:rStyle w:val="Hyperlink"/>
            <w:color w:val="0033CC"/>
            <w:sz w:val="18"/>
          </w:rPr>
          <w:t>http://www.consilium.europa.eu/da/press/press-releases/2015/10/08-jha-fighting-trafficking-firearms/</w:t>
        </w:r>
      </w:hyperlink>
      <w:r>
        <w:rPr>
          <w:sz w:val="20"/>
        </w:rPr>
        <w:t>.</w:t>
      </w:r>
    </w:p>
  </w:footnote>
  <w:footnote w:id="3">
    <w:p>
      <w:pPr>
        <w:pStyle w:val="FootnoteText"/>
        <w:tabs>
          <w:tab w:val="left" w:pos="720"/>
          <w:tab w:val="left" w:pos="1440"/>
          <w:tab w:val="left" w:pos="2160"/>
          <w:tab w:val="left" w:pos="2880"/>
          <w:tab w:val="left" w:pos="3600"/>
          <w:tab w:val="left" w:pos="4320"/>
          <w:tab w:val="left" w:pos="5805"/>
        </w:tabs>
        <w:ind w:left="0" w:firstLine="0"/>
        <w:rPr>
          <w:sz w:val="18"/>
          <w:szCs w:val="18"/>
        </w:rPr>
      </w:pPr>
      <w:r>
        <w:rPr>
          <w:rStyle w:val="FootnoteReference"/>
          <w:sz w:val="18"/>
        </w:rPr>
        <w:footnoteRef/>
      </w:r>
      <w:r>
        <w:rPr>
          <w:sz w:val="18"/>
        </w:rPr>
        <w:t xml:space="preserve">      </w:t>
      </w:r>
      <w:hyperlink r:id="rId3">
        <w:r>
          <w:rPr>
            <w:rStyle w:val="Hyperlink"/>
            <w:color w:val="0000FF"/>
            <w:sz w:val="18"/>
          </w:rPr>
          <w:t>http://europa.eu/rapid/press-release_IP-15-6110_en.htm</w:t>
        </w:r>
      </w:hyperlink>
      <w:r>
        <w:t>.</w:t>
      </w:r>
    </w:p>
  </w:footnote>
  <w:footnote w:id="4">
    <w:p>
      <w:pPr>
        <w:pStyle w:val="FootnoteText"/>
        <w:rPr>
          <w:sz w:val="18"/>
          <w:szCs w:val="18"/>
        </w:rPr>
      </w:pPr>
      <w:r>
        <w:rPr>
          <w:rStyle w:val="FootnoteReference"/>
          <w:sz w:val="18"/>
        </w:rPr>
        <w:footnoteRef/>
      </w:r>
      <w:r>
        <w:rPr>
          <w:sz w:val="18"/>
        </w:rPr>
        <w:t xml:space="preserve">      Klassificeret dokument.</w:t>
      </w:r>
    </w:p>
  </w:footnote>
  <w:footnote w:id="5">
    <w:p>
      <w:pPr>
        <w:pStyle w:val="FootnoteText"/>
        <w:ind w:left="360" w:hanging="360"/>
        <w:jc w:val="both"/>
        <w:rPr>
          <w:sz w:val="18"/>
          <w:szCs w:val="18"/>
        </w:rPr>
      </w:pPr>
      <w:r>
        <w:rPr>
          <w:rStyle w:val="FootnoteReference"/>
          <w:sz w:val="18"/>
        </w:rPr>
        <w:footnoteRef/>
      </w:r>
      <w:r>
        <w:rPr>
          <w:sz w:val="18"/>
        </w:rPr>
        <w:t xml:space="preserve"> </w:t>
      </w:r>
      <w:r>
        <w:tab/>
      </w:r>
      <w:hyperlink r:id="rId4">
        <w:r>
          <w:rPr>
            <w:rStyle w:val="Hyperlink"/>
            <w:sz w:val="18"/>
          </w:rPr>
          <w:t>http://www.consilium.europa.eu/da/documents-publications/publications/2015/eu-policy-cycle-tackle-organized-crime/</w:t>
        </w:r>
      </w:hyperlink>
      <w:r>
        <w:t xml:space="preserve">. </w:t>
      </w:r>
    </w:p>
  </w:footnote>
  <w:footnote w:id="6">
    <w:p>
      <w:pPr>
        <w:pStyle w:val="FootnoteText"/>
        <w:ind w:left="360" w:hanging="360"/>
        <w:jc w:val="both"/>
        <w:rPr>
          <w:sz w:val="18"/>
          <w:szCs w:val="18"/>
        </w:rPr>
      </w:pPr>
      <w:r>
        <w:rPr>
          <w:rStyle w:val="FootnoteReference"/>
          <w:sz w:val="18"/>
        </w:rPr>
        <w:footnoteRef/>
      </w:r>
      <w:r>
        <w:rPr>
          <w:sz w:val="18"/>
        </w:rPr>
        <w:t xml:space="preserve">   </w:t>
      </w:r>
      <w:r>
        <w:tab/>
      </w:r>
      <w:r>
        <w:rPr>
          <w:sz w:val="18"/>
        </w:rPr>
        <w:t>Udgangsstoffer til eksplosivstoffer er kemiske stoffer eller blandinger, der kan anvendes til fremstilling af eksplosivstoffer.</w:t>
      </w:r>
    </w:p>
  </w:footnote>
  <w:footnote w:id="7">
    <w:p>
      <w:pPr>
        <w:pStyle w:val="FootnoteText"/>
        <w:jc w:val="both"/>
        <w:rPr>
          <w:sz w:val="18"/>
          <w:szCs w:val="18"/>
        </w:rPr>
      </w:pPr>
      <w:r>
        <w:rPr>
          <w:rStyle w:val="FootnoteReference"/>
          <w:sz w:val="18"/>
        </w:rPr>
        <w:footnoteRef/>
      </w:r>
      <w:r>
        <w:rPr>
          <w:sz w:val="18"/>
        </w:rPr>
        <w:t xml:space="preserve">    Denne idé blev foreslået af medlemsstaterne på EU's seminar om brug af kriminaltekniske analyser for at forbedre den strategiske og operationelle analyse med operationelle og taktiske formål for øje. Birmingham, den 11. november 2015. </w:t>
      </w:r>
    </w:p>
  </w:footnote>
  <w:footnote w:id="8">
    <w:p>
      <w:pPr>
        <w:pStyle w:val="FootnoteText"/>
        <w:jc w:val="both"/>
        <w:rPr>
          <w:sz w:val="18"/>
          <w:szCs w:val="18"/>
        </w:rPr>
      </w:pPr>
      <w:r>
        <w:rPr>
          <w:rStyle w:val="FootnoteReference"/>
          <w:sz w:val="18"/>
        </w:rPr>
        <w:footnoteRef/>
      </w:r>
      <w:r>
        <w:rPr>
          <w:sz w:val="18"/>
        </w:rPr>
        <w:t xml:space="preserve">    </w:t>
      </w:r>
      <w:r>
        <w:tab/>
      </w:r>
      <w:r>
        <w:rPr>
          <w:sz w:val="18"/>
        </w:rPr>
        <w:t>Relevante forskningsprojekter vedrørende overvågning af internettet er allerede iværksat inden for rammerne af programmet Horisont 2020,</w:t>
      </w:r>
      <w:r>
        <w:t xml:space="preserve"> </w:t>
      </w:r>
      <w:hyperlink r:id="rId5">
        <w:r>
          <w:rPr>
            <w:rStyle w:val="Hyperlink"/>
            <w:color w:val="0000FF"/>
            <w:sz w:val="18"/>
          </w:rPr>
          <w:t>http://ec.europa.eu/programmes/horizon2020/</w:t>
        </w:r>
      </w:hyperlink>
      <w:r>
        <w:t>.</w:t>
      </w:r>
    </w:p>
  </w:footnote>
  <w:footnote w:id="9">
    <w:p>
      <w:pPr>
        <w:pStyle w:val="FootnoteText"/>
        <w:jc w:val="both"/>
        <w:rPr>
          <w:sz w:val="18"/>
          <w:szCs w:val="18"/>
        </w:rPr>
      </w:pPr>
      <w:r>
        <w:rPr>
          <w:rStyle w:val="FootnoteReference"/>
          <w:sz w:val="18"/>
        </w:rPr>
        <w:footnoteRef/>
      </w:r>
      <w:r>
        <w:rPr>
          <w:sz w:val="18"/>
        </w:rPr>
        <w:t xml:space="preserve">    </w:t>
      </w:r>
      <w:r>
        <w:tab/>
      </w:r>
      <w:r>
        <w:rPr>
          <w:sz w:val="18"/>
        </w:rPr>
        <w:t>EU's enhed for internetindberetning (European Union Internet Referral Unit - EU IRU), lanceret den 1. juli 2015 for at bekæmpe terrorpropaganda og dertil knyttede voldelige ekstremistiske aktiviteter på internettet.</w:t>
      </w:r>
    </w:p>
  </w:footnote>
  <w:footnote w:id="10">
    <w:p>
      <w:pPr>
        <w:pStyle w:val="FootnoteText"/>
        <w:rPr>
          <w:sz w:val="18"/>
          <w:szCs w:val="18"/>
        </w:rPr>
      </w:pPr>
      <w:r>
        <w:rPr>
          <w:rStyle w:val="FootnoteReference"/>
          <w:sz w:val="18"/>
        </w:rPr>
        <w:footnoteRef/>
      </w:r>
      <w:r>
        <w:rPr>
          <w:sz w:val="18"/>
        </w:rPr>
        <w:t xml:space="preserve">     Herunder - på nationalt plan - fra den private sektor og den akademiske verden.</w:t>
      </w:r>
    </w:p>
  </w:footnote>
  <w:footnote w:id="11">
    <w:p>
      <w:pPr>
        <w:pStyle w:val="FootnoteText"/>
        <w:jc w:val="both"/>
        <w:rPr>
          <w:sz w:val="18"/>
          <w:szCs w:val="18"/>
        </w:rPr>
      </w:pPr>
      <w:r>
        <w:rPr>
          <w:rStyle w:val="FootnoteReference"/>
          <w:sz w:val="18"/>
        </w:rPr>
        <w:footnoteRef/>
      </w:r>
      <w:r>
        <w:rPr>
          <w:sz w:val="18"/>
        </w:rPr>
        <w:t xml:space="preserve">    Oplysninger, der stammer fra retshåndhævelsesforanstaltninger, påpeger skydevåbenmessers sårbarhed over for ulovlig handel med skydevåben.</w:t>
      </w:r>
    </w:p>
  </w:footnote>
  <w:footnote w:id="12">
    <w:p>
      <w:pPr>
        <w:pStyle w:val="FootnoteText"/>
        <w:jc w:val="both"/>
      </w:pPr>
      <w:r>
        <w:rPr>
          <w:rStyle w:val="FootnoteReference"/>
          <w:sz w:val="18"/>
        </w:rPr>
        <w:footnoteRef/>
      </w:r>
      <w:r>
        <w:rPr>
          <w:sz w:val="18"/>
        </w:rPr>
        <w:t xml:space="preserve">   Kommissionen yder allerede finansiering gennem Fonden for Intern Sikkerhed (ISF) til to relevante undersøgelser, EFFECT-projektet og FIRE-projektet, der tager sigte på at forbedre kendskabet til den ulovlige handel med skydevåben og at fremme udviklingen af evidensbaserede politikker og tiltag i Europa. </w:t>
      </w:r>
      <w:r>
        <w:rPr>
          <w:sz w:val="18"/>
          <w:szCs w:val="18"/>
        </w:rPr>
        <w:t xml:space="preserve">Kommissionen har også ydet ca. </w:t>
      </w:r>
      <w:r>
        <w:rPr>
          <w:sz w:val="18"/>
          <w:szCs w:val="18"/>
        </w:rPr>
        <w:br/>
        <w:t>60 mio. EUR til 15 eksplosivstofrelaterede projekter under det 7. rammeprogram for forskning</w:t>
      </w:r>
      <w:r>
        <w:t xml:space="preserve"> (</w:t>
      </w:r>
      <w:hyperlink r:id="rId6">
        <w:r>
          <w:rPr>
            <w:rStyle w:val="Hyperlink"/>
            <w:color w:val="0033CC"/>
            <w:sz w:val="18"/>
          </w:rPr>
          <w:t>http://ec.europa.eu/research/fp7/index_en.cfm</w:t>
        </w:r>
      </w:hyperlink>
      <w:r>
        <w:t xml:space="preserve">) </w:t>
      </w:r>
      <w:r>
        <w:rPr>
          <w:sz w:val="18"/>
          <w:szCs w:val="18"/>
        </w:rPr>
        <w:t>samt en række projekter under programmet "Forebyggelse og bekæmpelse af kriminalitet".</w:t>
      </w:r>
      <w:r>
        <w:rPr>
          <w:sz w:val="18"/>
        </w:rPr>
        <w:t xml:space="preserve"> Kommissionen vil finansiere yderligere projekter vedrørende sikkerhedsforskning under Horisont 2020-programmet "Rummelige, innovative og sikre samfund" og ISF.</w:t>
      </w:r>
    </w:p>
  </w:footnote>
  <w:footnote w:id="13">
    <w:p>
      <w:pPr>
        <w:pStyle w:val="FootnoteText"/>
        <w:jc w:val="both"/>
        <w:rPr>
          <w:sz w:val="18"/>
          <w:szCs w:val="18"/>
        </w:rPr>
      </w:pPr>
      <w:r>
        <w:rPr>
          <w:rStyle w:val="FootnoteReference"/>
          <w:sz w:val="18"/>
        </w:rPr>
        <w:footnoteRef/>
      </w:r>
      <w:r>
        <w:rPr>
          <w:sz w:val="18"/>
        </w:rPr>
        <w:t xml:space="preserve">   3D-printning kan anvendes til fremstilling af skydevåben og væsentlige komponenter til reaktivering af inaktiverede skydevåben. Ikke-metalliske våben, f.eks. våben, der fremstilles af kevlar og keramik, udgør en potentiel fare, der kræver nøje overvågning.</w:t>
      </w:r>
    </w:p>
  </w:footnote>
  <w:footnote w:id="14">
    <w:p>
      <w:pPr>
        <w:pStyle w:val="FootnoteText"/>
        <w:rPr>
          <w:sz w:val="18"/>
          <w:szCs w:val="18"/>
        </w:rPr>
      </w:pPr>
      <w:r>
        <w:rPr>
          <w:rStyle w:val="FootnoteReference"/>
          <w:sz w:val="18"/>
        </w:rPr>
        <w:footnoteRef/>
      </w:r>
      <w:r>
        <w:rPr>
          <w:sz w:val="18"/>
        </w:rPr>
        <w:t xml:space="preserve">    </w:t>
      </w:r>
      <w:r>
        <w:tab/>
      </w:r>
      <w:r>
        <w:rPr>
          <w:sz w:val="18"/>
        </w:rPr>
        <w:t>Rådets dokument 8109/08.</w:t>
      </w:r>
    </w:p>
  </w:footnote>
  <w:footnote w:id="15">
    <w:p>
      <w:pPr>
        <w:pStyle w:val="FootnoteText"/>
        <w:jc w:val="both"/>
        <w:rPr>
          <w:sz w:val="18"/>
          <w:szCs w:val="18"/>
        </w:rPr>
      </w:pPr>
      <w:r>
        <w:rPr>
          <w:rStyle w:val="FootnoteReference"/>
          <w:sz w:val="18"/>
        </w:rPr>
        <w:footnoteRef/>
      </w:r>
      <w:r>
        <w:rPr>
          <w:sz w:val="18"/>
        </w:rPr>
        <w:t xml:space="preserve">    Dette omfattede 48 foranstaltninger, der på sammenhængende vis tilstræber at løse en lang række problemer i forbindelse med sikkerheden for eksplosivstoffer, herunder udgangsstoffer, opbevaring, transport, sporbarhed, detektion, forskning, grænseoverskridende informationsudveksling og koordinering mellem forskellige organer.</w:t>
      </w:r>
    </w:p>
  </w:footnote>
  <w:footnote w:id="16">
    <w:p>
      <w:pPr>
        <w:pStyle w:val="FootnoteText"/>
        <w:jc w:val="both"/>
        <w:rPr>
          <w:sz w:val="18"/>
          <w:szCs w:val="18"/>
        </w:rPr>
      </w:pPr>
      <w:r>
        <w:rPr>
          <w:rStyle w:val="FootnoteReference"/>
          <w:sz w:val="18"/>
        </w:rPr>
        <w:footnoteRef/>
      </w:r>
      <w:r>
        <w:rPr>
          <w:sz w:val="18"/>
        </w:rPr>
        <w:t xml:space="preserve">   </w:t>
      </w:r>
      <w:r>
        <w:tab/>
      </w:r>
      <w:r>
        <w:rPr>
          <w:sz w:val="18"/>
        </w:rPr>
        <w:t>Denne forordning opstiller restriktioner for og øger kontrollen med en række farlige kemiske stoffer, som er udgangsstoffer til eksplosivstoffer og derfor kan misbruges til fremstilling af hjemmelavede eksplosivstoffer.</w:t>
      </w:r>
    </w:p>
  </w:footnote>
  <w:footnote w:id="17">
    <w:p>
      <w:pPr>
        <w:pStyle w:val="FootnoteText"/>
        <w:jc w:val="both"/>
        <w:rPr>
          <w:sz w:val="18"/>
          <w:szCs w:val="18"/>
        </w:rPr>
      </w:pPr>
      <w:r>
        <w:rPr>
          <w:rStyle w:val="FootnoteReference"/>
          <w:sz w:val="18"/>
        </w:rPr>
        <w:footnoteRef/>
      </w:r>
      <w:r>
        <w:rPr>
          <w:sz w:val="18"/>
        </w:rPr>
        <w:t xml:space="preserve">   </w:t>
      </w:r>
      <w:r>
        <w:tab/>
      </w:r>
      <w:r>
        <w:rPr>
          <w:sz w:val="18"/>
        </w:rPr>
        <w:t>Erhvervsdrivende, fra fabrikanter til forhandlere, er forpligtede til at indberette mistænkelige aktiviteter til de nationale kontaktpunkter i hver medlemsstat. De er bedst placeret, når det gælder om at identificere transaktioner, der falder uden for den normale aktivitet i hver sektor, og observere mistænkelig adfærd.</w:t>
      </w:r>
    </w:p>
  </w:footnote>
  <w:footnote w:id="18">
    <w:p>
      <w:pPr>
        <w:pStyle w:val="FootnoteText"/>
        <w:jc w:val="both"/>
        <w:rPr>
          <w:sz w:val="18"/>
          <w:szCs w:val="18"/>
        </w:rPr>
      </w:pPr>
      <w:r>
        <w:rPr>
          <w:rStyle w:val="FootnoteReference"/>
          <w:sz w:val="18"/>
        </w:rPr>
        <w:footnoteRef/>
      </w:r>
      <w:r>
        <w:rPr>
          <w:sz w:val="18"/>
        </w:rPr>
        <w:t xml:space="preserve"> </w:t>
      </w:r>
      <w:r>
        <w:tab/>
      </w:r>
      <w:r>
        <w:rPr>
          <w:sz w:val="18"/>
          <w:szCs w:val="18"/>
        </w:rPr>
        <w:t>Gennemgangen vil blive foretaget i samråd med ekspertgruppen Standing Committee on Precursors</w:t>
      </w:r>
      <w:r>
        <w:t xml:space="preserve"> </w:t>
      </w:r>
      <w:hyperlink r:id="rId7">
        <w:r>
          <w:rPr>
            <w:rStyle w:val="Hyperlink"/>
            <w:color w:val="0000FF"/>
            <w:sz w:val="18"/>
          </w:rPr>
          <w:t>http://ec.europa.eu/transparency/regexpert/index.cfm?do=groupDetail.groupDetail&amp;groupID=3245&amp;Lang=DA</w:t>
        </w:r>
      </w:hyperlink>
      <w:r>
        <w:t>.</w:t>
      </w:r>
    </w:p>
  </w:footnote>
  <w:footnote w:id="19">
    <w:p>
      <w:pPr>
        <w:pStyle w:val="FootnoteText"/>
        <w:jc w:val="both"/>
        <w:rPr>
          <w:sz w:val="18"/>
          <w:szCs w:val="18"/>
        </w:rPr>
      </w:pPr>
      <w:r>
        <w:rPr>
          <w:rStyle w:val="FootnoteReference"/>
          <w:sz w:val="18"/>
        </w:rPr>
        <w:footnoteRef/>
      </w:r>
      <w:r>
        <w:rPr>
          <w:sz w:val="18"/>
        </w:rPr>
        <w:t xml:space="preserve">   </w:t>
      </w:r>
      <w:r>
        <w:tab/>
      </w:r>
      <w:r>
        <w:rPr>
          <w:sz w:val="18"/>
        </w:rPr>
        <w:t>Dette problem blev allerede præsenteret i Kommissionens meddelelse fra 2014 om en ny EU-strategi for sporing og afbødning af CBRNE-risici (COM(2014) 247 final).</w:t>
      </w:r>
    </w:p>
  </w:footnote>
  <w:footnote w:id="20">
    <w:p>
      <w:pPr>
        <w:pStyle w:val="FootnoteText"/>
      </w:pPr>
      <w:r>
        <w:rPr>
          <w:rStyle w:val="FootnoteReference"/>
          <w:sz w:val="18"/>
        </w:rPr>
        <w:footnoteRef/>
      </w:r>
      <w:r>
        <w:rPr>
          <w:sz w:val="18"/>
        </w:rPr>
        <w:t xml:space="preserve">    </w:t>
      </w:r>
      <w:r>
        <w:tab/>
      </w:r>
      <w:r>
        <w:rPr>
          <w:sz w:val="18"/>
        </w:rPr>
        <w:t>Dette var allerede forudset i handlingsplanen fra 2008.</w:t>
      </w:r>
    </w:p>
  </w:footnote>
  <w:footnote w:id="21">
    <w:p>
      <w:pPr>
        <w:pStyle w:val="FootnoteText"/>
        <w:jc w:val="both"/>
        <w:rPr>
          <w:sz w:val="18"/>
          <w:szCs w:val="18"/>
        </w:rPr>
      </w:pPr>
      <w:r>
        <w:rPr>
          <w:rStyle w:val="FootnoteReference"/>
          <w:sz w:val="18"/>
        </w:rPr>
        <w:footnoteRef/>
      </w:r>
      <w:r>
        <w:rPr>
          <w:sz w:val="18"/>
        </w:rPr>
        <w:t xml:space="preserve"> </w:t>
      </w:r>
      <w:r>
        <w:rPr>
          <w:sz w:val="18"/>
        </w:rPr>
        <w:tab/>
        <w:t xml:space="preserve">Kommissionen har strømlinet den finansielle bistand til operationelle foranstaltninger. Inden for rammerne af delegationsaftalen for </w:t>
      </w:r>
      <w:r>
        <w:rPr>
          <w:rStyle w:val="st1"/>
          <w:sz w:val="18"/>
        </w:rPr>
        <w:t>den europæiske tværfaglige platform mod kriminalitetstrusler</w:t>
      </w:r>
      <w:r>
        <w:rPr>
          <w:sz w:val="18"/>
        </w:rPr>
        <w:t xml:space="preserve"> (European Multidisciplinary Platform against Criminal Threats – EMPACT) blev der overført 7 mio. EUR til Europol, hvoraf ca. 350 000 EUR var øremærket til gennemførelsen af den operationelle handlingsplan om skydevåben i foråret 2015. Særlige midler til den operationelle handlingsplan om skydevåben (OAP) vil blive tilvejebragt af Europol i 2016.</w:t>
      </w:r>
    </w:p>
  </w:footnote>
  <w:footnote w:id="22">
    <w:p>
      <w:pPr>
        <w:pStyle w:val="FootnoteText"/>
        <w:rPr>
          <w:sz w:val="18"/>
          <w:szCs w:val="18"/>
        </w:rPr>
      </w:pPr>
      <w:r>
        <w:rPr>
          <w:rStyle w:val="FootnoteReference"/>
          <w:sz w:val="18"/>
        </w:rPr>
        <w:footnoteRef/>
      </w:r>
      <w:r>
        <w:rPr>
          <w:sz w:val="18"/>
        </w:rPr>
        <w:tab/>
        <w:t>Klassificeret dokument.</w:t>
      </w:r>
    </w:p>
  </w:footnote>
  <w:footnote w:id="23">
    <w:p>
      <w:pPr>
        <w:pStyle w:val="FootnoteText"/>
        <w:rPr>
          <w:sz w:val="18"/>
          <w:szCs w:val="18"/>
        </w:rPr>
      </w:pPr>
      <w:r>
        <w:rPr>
          <w:sz w:val="18"/>
          <w:vertAlign w:val="superscript"/>
        </w:rPr>
        <w:footnoteRef/>
      </w:r>
      <w:r>
        <w:rPr>
          <w:sz w:val="18"/>
        </w:rPr>
        <w:t xml:space="preserve">    </w:t>
      </w:r>
      <w:r>
        <w:tab/>
      </w:r>
      <w:hyperlink r:id="rId8">
        <w:r>
          <w:rPr>
            <w:rStyle w:val="Hyperlink0"/>
            <w:rFonts w:eastAsia="Arial Unicode MS"/>
            <w:sz w:val="18"/>
          </w:rPr>
          <w:t>https://www.europol.europa.eu/content/global-action-against-dark-markets-tor-network</w:t>
        </w:r>
      </w:hyperlink>
      <w:r>
        <w:t>.</w:t>
      </w:r>
    </w:p>
  </w:footnote>
  <w:footnote w:id="24">
    <w:p>
      <w:pPr>
        <w:pStyle w:val="FootnoteText"/>
        <w:rPr>
          <w:sz w:val="18"/>
          <w:szCs w:val="18"/>
        </w:rPr>
      </w:pPr>
      <w:r>
        <w:rPr>
          <w:sz w:val="18"/>
          <w:vertAlign w:val="superscript"/>
        </w:rPr>
        <w:footnoteRef/>
      </w:r>
      <w:r>
        <w:rPr>
          <w:sz w:val="18"/>
        </w:rPr>
        <w:tab/>
      </w:r>
      <w:hyperlink r:id="rId9">
        <w:r>
          <w:rPr>
            <w:rStyle w:val="Hyperlink0"/>
            <w:rFonts w:eastAsia="Arial Unicode MS"/>
            <w:sz w:val="18"/>
          </w:rPr>
          <w:t>https://www.europol.europa.eu/content/cybercriminal-darkode-forum-taken-down-through-global-action</w:t>
        </w:r>
      </w:hyperlink>
      <w:r>
        <w:t>.</w:t>
      </w:r>
    </w:p>
  </w:footnote>
  <w:footnote w:id="25">
    <w:p>
      <w:pPr>
        <w:pStyle w:val="FootnoteText"/>
        <w:jc w:val="both"/>
        <w:rPr>
          <w:sz w:val="18"/>
          <w:szCs w:val="18"/>
        </w:rPr>
      </w:pPr>
      <w:r>
        <w:rPr>
          <w:sz w:val="18"/>
          <w:vertAlign w:val="superscript"/>
        </w:rPr>
        <w:footnoteRef/>
      </w:r>
      <w:r>
        <w:rPr>
          <w:sz w:val="18"/>
        </w:rPr>
        <w:tab/>
        <w:t>Den fælles taskforce for cyberkriminalitet (Joint Cybercrime Action Taskforce) er etableret hos Det Europæiske Center til Bekæmpelse af IT-Kriminalitet (European Cybercrime Center – EC 3) under Europol. Den blev oprettet den 1. september 2014 for at styrke kampen mod cyberkriminalitet i og uden for Den Europæiske Union.</w:t>
      </w:r>
    </w:p>
  </w:footnote>
  <w:footnote w:id="26">
    <w:p>
      <w:pPr>
        <w:pStyle w:val="FootnoteText"/>
        <w:jc w:val="both"/>
        <w:rPr>
          <w:sz w:val="18"/>
          <w:szCs w:val="18"/>
        </w:rPr>
      </w:pPr>
      <w:r>
        <w:rPr>
          <w:rStyle w:val="FootnoteReference"/>
          <w:sz w:val="18"/>
        </w:rPr>
        <w:footnoteRef/>
      </w:r>
      <w:r>
        <w:rPr>
          <w:sz w:val="18"/>
        </w:rPr>
        <w:t xml:space="preserve"> </w:t>
      </w:r>
      <w:r>
        <w:tab/>
      </w:r>
      <w:r>
        <w:rPr>
          <w:sz w:val="18"/>
          <w:szCs w:val="18"/>
        </w:rPr>
        <w:t>I forbindelse med</w:t>
      </w:r>
      <w:r>
        <w:t xml:space="preserve"> </w:t>
      </w:r>
      <w:hyperlink r:id="rId10">
        <w:r>
          <w:rPr>
            <w:rStyle w:val="Hyperlink"/>
            <w:sz w:val="18"/>
          </w:rPr>
          <w:t>strategien for det digitale indre marked</w:t>
        </w:r>
      </w:hyperlink>
      <w:r>
        <w:t xml:space="preserve"> </w:t>
      </w:r>
      <w:r>
        <w:rPr>
          <w:sz w:val="18"/>
          <w:szCs w:val="18"/>
        </w:rPr>
        <w:t>vurderer Kommissionen, hvordan man bedst kan tackle ulovligt indhold på internettet.</w:t>
      </w:r>
      <w:r>
        <w:rPr>
          <w:sz w:val="18"/>
        </w:rPr>
        <w:t xml:space="preserve"> </w:t>
      </w:r>
    </w:p>
  </w:footnote>
  <w:footnote w:id="27">
    <w:p>
      <w:pPr>
        <w:pStyle w:val="FootnoteText"/>
        <w:jc w:val="both"/>
        <w:rPr>
          <w:sz w:val="18"/>
          <w:szCs w:val="18"/>
        </w:rPr>
      </w:pPr>
      <w:r>
        <w:rPr>
          <w:rStyle w:val="FootnoteReference"/>
          <w:sz w:val="18"/>
        </w:rPr>
        <w:footnoteRef/>
      </w:r>
      <w:r>
        <w:rPr>
          <w:sz w:val="18"/>
        </w:rPr>
        <w:t xml:space="preserve">    </w:t>
      </w:r>
      <w:r>
        <w:rPr>
          <w:sz w:val="18"/>
          <w:szCs w:val="18"/>
        </w:rPr>
        <w:tab/>
        <w:t>Jf. Rådets konklusioner om systemer og mekanismer til øget eksplosivstofsikkerhed af 26. april 2010,</w:t>
      </w:r>
      <w:r>
        <w:t xml:space="preserve"> </w:t>
      </w:r>
      <w:hyperlink r:id="rId11">
        <w:r>
          <w:rPr>
            <w:rStyle w:val="Hyperlink"/>
            <w:color w:val="0033CC"/>
            <w:sz w:val="18"/>
          </w:rPr>
          <w:t>http://www.consilium.europa.eu/uedocs/cms_data/docs/pressdata/en/jha/114017.pdf</w:t>
        </w:r>
      </w:hyperlink>
      <w:r>
        <w:t>.</w:t>
      </w:r>
    </w:p>
  </w:footnote>
  <w:footnote w:id="28">
    <w:p>
      <w:pPr>
        <w:pStyle w:val="FootnoteText"/>
        <w:jc w:val="both"/>
        <w:rPr>
          <w:sz w:val="18"/>
          <w:szCs w:val="18"/>
        </w:rPr>
      </w:pPr>
      <w:r>
        <w:rPr>
          <w:rStyle w:val="FootnoteReference"/>
          <w:sz w:val="18"/>
        </w:rPr>
        <w:footnoteRef/>
      </w:r>
      <w:r>
        <w:rPr>
          <w:sz w:val="18"/>
        </w:rPr>
        <w:t xml:space="preserve"> </w:t>
      </w:r>
      <w:r>
        <w:tab/>
      </w:r>
      <w:r>
        <w:rPr>
          <w:sz w:val="18"/>
        </w:rPr>
        <w:t>COM(2015) 750 final af 18.11.2015. Forslag til Europa-Parlamentets og Rådets direktiv om ændring af Rådets direktiv 91/477/EØF om erhvervelse og besiddelse af våben.</w:t>
      </w:r>
    </w:p>
  </w:footnote>
  <w:footnote w:id="29">
    <w:p>
      <w:pPr>
        <w:pStyle w:val="FootnoteText"/>
        <w:jc w:val="both"/>
        <w:rPr>
          <w:sz w:val="18"/>
          <w:szCs w:val="18"/>
        </w:rPr>
      </w:pPr>
      <w:r>
        <w:rPr>
          <w:sz w:val="18"/>
          <w:vertAlign w:val="superscript"/>
        </w:rPr>
        <w:footnoteRef/>
      </w:r>
      <w:r>
        <w:rPr>
          <w:sz w:val="18"/>
        </w:rPr>
        <w:t xml:space="preserve">   </w:t>
      </w:r>
      <w:r>
        <w:tab/>
      </w:r>
      <w:r>
        <w:rPr>
          <w:sz w:val="18"/>
        </w:rPr>
        <w:t>COM(2014) 527 final af 21.8.2014.</w:t>
      </w:r>
      <w:r>
        <w:rPr>
          <w:b/>
          <w:sz w:val="18"/>
        </w:rPr>
        <w:t xml:space="preserve"> </w:t>
      </w:r>
      <w:r>
        <w:rPr>
          <w:sz w:val="18"/>
        </w:rPr>
        <w:t xml:space="preserve">Meddelelse om EU's strategi og handlingsplan for toldrisikostyring: Håndtering af risici, styrkelse af sikkerhed i forsyningskæden og lettelse af handel. </w:t>
      </w:r>
    </w:p>
  </w:footnote>
  <w:footnote w:id="30">
    <w:p>
      <w:pPr>
        <w:pStyle w:val="FootnoteText"/>
        <w:jc w:val="both"/>
        <w:rPr>
          <w:sz w:val="18"/>
          <w:szCs w:val="18"/>
        </w:rPr>
      </w:pPr>
      <w:r>
        <w:rPr>
          <w:sz w:val="18"/>
          <w:vertAlign w:val="superscript"/>
        </w:rPr>
        <w:footnoteRef/>
      </w:r>
      <w:r>
        <w:rPr>
          <w:sz w:val="18"/>
        </w:rPr>
        <w:t xml:space="preserve">   </w:t>
      </w:r>
      <w:r>
        <w:tab/>
      </w:r>
      <w:r>
        <w:rPr>
          <w:sz w:val="18"/>
        </w:rPr>
        <w:t>Arbejdsgruppen af Europæiske Våbeneksperter, der består af eksperter fra alle EU-medlemsstater, Europol og associerede medlemmer, Liechtenstein, Norge, Schweiz og Tyrkiet, blev oprettet i 2004 for at lette udveksling af oplysninger og fremme samarbejdet om bekæmpelse af ulovlig handel med skydevåben. Dette højt værdsatte netværk støtter Rådets arbejdsgruppe for retshåndhævelse.</w:t>
      </w:r>
    </w:p>
  </w:footnote>
  <w:footnote w:id="31">
    <w:p>
      <w:pPr>
        <w:pStyle w:val="FootnoteText"/>
        <w:jc w:val="both"/>
        <w:rPr>
          <w:sz w:val="18"/>
          <w:szCs w:val="18"/>
        </w:rPr>
      </w:pPr>
      <w:r>
        <w:rPr>
          <w:sz w:val="18"/>
          <w:vertAlign w:val="superscript"/>
        </w:rPr>
        <w:footnoteRef/>
      </w:r>
      <w:r>
        <w:rPr>
          <w:sz w:val="18"/>
        </w:rPr>
        <w:t xml:space="preserve">    </w:t>
      </w:r>
      <w:r>
        <w:tab/>
      </w:r>
      <w:hyperlink r:id="rId12">
        <w:r>
          <w:rPr>
            <w:rStyle w:val="Hyperlink0"/>
            <w:rFonts w:eastAsia="Arial Unicode MS"/>
            <w:sz w:val="18"/>
          </w:rPr>
          <w:t>http://www.smallarmsstandards.org/</w:t>
        </w:r>
      </w:hyperlink>
      <w:r>
        <w:t>.</w:t>
      </w:r>
    </w:p>
  </w:footnote>
  <w:footnote w:id="32">
    <w:p>
      <w:pPr>
        <w:pStyle w:val="FootnoteText"/>
        <w:rPr>
          <w:sz w:val="18"/>
          <w:szCs w:val="18"/>
        </w:rPr>
      </w:pPr>
      <w:r>
        <w:rPr>
          <w:rStyle w:val="FootnoteReference"/>
          <w:sz w:val="18"/>
        </w:rPr>
        <w:footnoteRef/>
      </w:r>
      <w:r>
        <w:rPr>
          <w:sz w:val="18"/>
        </w:rPr>
        <w:t xml:space="preserve">   </w:t>
      </w:r>
      <w:r>
        <w:tab/>
        <w:t xml:space="preserve">Det Europæiske Politiakademi, </w:t>
      </w:r>
      <w:hyperlink r:id="rId13">
        <w:r>
          <w:rPr>
            <w:rStyle w:val="Hyperlink2"/>
            <w:rFonts w:eastAsia="Arial Unicode MS"/>
            <w:sz w:val="18"/>
          </w:rPr>
          <w:t>https://www.cepol.europa.eu/who-we-are/european-police-college/about-us</w:t>
        </w:r>
      </w:hyperlink>
      <w:r>
        <w:t>.</w:t>
      </w:r>
    </w:p>
  </w:footnote>
  <w:footnote w:id="33">
    <w:p>
      <w:pPr>
        <w:pStyle w:val="FootnoteText"/>
        <w:jc w:val="both"/>
        <w:rPr>
          <w:sz w:val="18"/>
          <w:szCs w:val="18"/>
        </w:rPr>
      </w:pPr>
      <w:r>
        <w:rPr>
          <w:rStyle w:val="FootnoteReference"/>
          <w:sz w:val="18"/>
        </w:rPr>
        <w:footnoteRef/>
      </w:r>
      <w:r>
        <w:rPr>
          <w:sz w:val="18"/>
        </w:rPr>
        <w:t xml:space="preserve">    Det europæiske ammunitionsrydningsnetværk er i de seneste år blevet et højt værdsat netværk, der tilbyder uddannelse og udveksling af oplysninger, herunder om de seneste hændelser, til eksplosivstofeksperter fra alle medlemsstater, og netværket har bidraget væsentligt til at opbygge kapacitet og udveksle god praksis.</w:t>
      </w:r>
    </w:p>
  </w:footnote>
  <w:footnote w:id="34">
    <w:p>
      <w:pPr>
        <w:pStyle w:val="FootnoteText"/>
        <w:rPr>
          <w:sz w:val="18"/>
          <w:szCs w:val="18"/>
        </w:rPr>
      </w:pPr>
      <w:r>
        <w:rPr>
          <w:rStyle w:val="FootnoteReference"/>
          <w:sz w:val="18"/>
        </w:rPr>
        <w:footnoteRef/>
      </w:r>
      <w:r>
        <w:rPr>
          <w:sz w:val="18"/>
        </w:rPr>
        <w:t xml:space="preserve">    </w:t>
      </w:r>
      <w:r>
        <w:tab/>
      </w:r>
      <w:r>
        <w:rPr>
          <w:sz w:val="18"/>
        </w:rPr>
        <w:t>COM(2014) 247 final af 5.5.2014.</w:t>
      </w:r>
    </w:p>
  </w:footnote>
  <w:footnote w:id="35">
    <w:p>
      <w:pPr>
        <w:pStyle w:val="FootnoteText"/>
        <w:jc w:val="both"/>
        <w:rPr>
          <w:sz w:val="18"/>
          <w:szCs w:val="18"/>
        </w:rPr>
      </w:pPr>
      <w:r>
        <w:rPr>
          <w:rStyle w:val="FootnoteReference"/>
          <w:sz w:val="18"/>
        </w:rPr>
        <w:footnoteRef/>
      </w:r>
      <w:r>
        <w:rPr>
          <w:sz w:val="18"/>
        </w:rPr>
        <w:tab/>
        <w:t>Som følge af sådanne forsøg er der udviklet forskelligt vejledende materiale – f.eks. for beskyttelse af bløde mål i lufthavne, anvendelse af sprængstofhunde og beskyttelse af bløde mål i forskellige miljøer samt for detektion af spor efter skydevåben og eksplosivstoffer på pas – som vil blive stillet til rådighed for medlemsstaterne.</w:t>
      </w:r>
    </w:p>
  </w:footnote>
  <w:footnote w:id="36">
    <w:p>
      <w:pPr>
        <w:pStyle w:val="FootnoteText"/>
        <w:jc w:val="both"/>
        <w:rPr>
          <w:sz w:val="18"/>
          <w:szCs w:val="18"/>
        </w:rPr>
      </w:pPr>
      <w:r>
        <w:rPr>
          <w:rStyle w:val="FootnoteReference"/>
          <w:sz w:val="18"/>
        </w:rPr>
        <w:footnoteRef/>
      </w:r>
      <w:r>
        <w:rPr>
          <w:sz w:val="18"/>
        </w:rPr>
        <w:t xml:space="preserve">   </w:t>
      </w:r>
      <w:r>
        <w:tab/>
      </w:r>
      <w:r>
        <w:rPr>
          <w:sz w:val="18"/>
        </w:rPr>
        <w:t>SIS er den største platform for udveksling af oplysninger om bortkomne og stjålne skydevåben i EU og de associerede Schengenlande. Indtil nu er 29 lande i Europa tilknyttet platformen. Den 31. december 2014 indeholdt den 457 059 underretninger om skydevåben, idet der kun blev opnået 180 hits i 2014 (ud af i alt 128 598 alert hits for alle kategorier af skydevåben). Denne meget lave procentsats skyldes hovedsagelig problemer med datakvaliteten, såsom den omstændighed, at man i mange medlemsstater ikke registrerer kaliber, og at nummereringen af skydevåben ikke er unik.</w:t>
      </w:r>
    </w:p>
  </w:footnote>
  <w:footnote w:id="37">
    <w:p>
      <w:pPr>
        <w:pStyle w:val="FootnoteText"/>
        <w:jc w:val="both"/>
        <w:rPr>
          <w:rFonts w:eastAsia="Calibri" w:cs="Calibri"/>
          <w:color w:val="000000"/>
          <w:sz w:val="24"/>
          <w:szCs w:val="22"/>
          <w:u w:color="000000"/>
        </w:rPr>
      </w:pPr>
      <w:r>
        <w:rPr>
          <w:sz w:val="18"/>
          <w:vertAlign w:val="superscript"/>
        </w:rPr>
        <w:footnoteRef/>
      </w:r>
      <w:r>
        <w:rPr>
          <w:sz w:val="18"/>
        </w:rPr>
        <w:t xml:space="preserve">   Det EU-finansierede Interpol Illicit Arms Records and Tracing Management System (Interpols system til registrering og sporing af ulovlige skydevåben – iARMS) fremmer informationsudveksling og efterforskningssamarbejde mellem retshåndhævende myndigheder med hensyn til internationale overførsler af ulovlige skydevåben og lovlige skydevåben, der har været involveret i kriminelle handlinger. Interpols iARMS-database er ved at blive udbredt til de 190 lande, der er medlemmer af Interpol. Den indeholder ca. 756 000 registreringer, der hovedsagelig er indført af Australien og de latinamerikanske lande. Indtil videre er kun tre procent af oplysningerne om skydevåben i iARMS-databasen kommet fra EU.  </w:t>
      </w:r>
      <w:hyperlink r:id="rId14">
        <w:r>
          <w:rPr>
            <w:rStyle w:val="Hyperlink0"/>
            <w:rFonts w:eastAsia="Arial Unicode MS"/>
            <w:sz w:val="18"/>
          </w:rPr>
          <w:t>http://www.interpol.int/Crime-areas/Firearms/INTERPOL-Illicit-Arms-Records-and-tracing-Management-System-iARMS</w:t>
        </w:r>
      </w:hyperlink>
      <w:r>
        <w:rPr>
          <w:rFonts w:eastAsia="Calibri" w:cs="Calibri"/>
          <w:color w:val="000000"/>
          <w:sz w:val="24"/>
          <w:szCs w:val="22"/>
          <w:u w:color="000000"/>
        </w:rPr>
        <w:t>.</w:t>
      </w:r>
    </w:p>
  </w:footnote>
  <w:footnote w:id="38">
    <w:p>
      <w:pPr>
        <w:pStyle w:val="FootnoteText"/>
        <w:jc w:val="both"/>
        <w:rPr>
          <w:sz w:val="18"/>
          <w:szCs w:val="18"/>
        </w:rPr>
      </w:pPr>
      <w:r>
        <w:rPr>
          <w:rStyle w:val="FootnoteReference"/>
          <w:sz w:val="18"/>
        </w:rPr>
        <w:footnoteRef/>
      </w:r>
      <w:r>
        <w:rPr>
          <w:sz w:val="18"/>
        </w:rPr>
        <w:t xml:space="preserve">    Det beslægtede universelle meddelelsesformat (UMF, et sæt byggesten til opbygning af standardiserede dataudvekslinger til sammenkobling af spredte retshåndhævelsessystemer), vil blive tilpasset til SIS-iARMS-interoperabilitetsprojektet. </w:t>
      </w:r>
    </w:p>
  </w:footnote>
  <w:footnote w:id="39">
    <w:p>
      <w:pPr>
        <w:pStyle w:val="FootnoteText"/>
        <w:jc w:val="both"/>
        <w:rPr>
          <w:sz w:val="18"/>
          <w:szCs w:val="18"/>
        </w:rPr>
      </w:pPr>
      <w:r>
        <w:rPr>
          <w:sz w:val="18"/>
          <w:szCs w:val="18"/>
          <w:vertAlign w:val="superscript"/>
        </w:rPr>
        <w:footnoteRef/>
      </w:r>
      <w:r>
        <w:rPr>
          <w:sz w:val="18"/>
          <w:szCs w:val="18"/>
        </w:rPr>
        <w:tab/>
      </w:r>
      <w:r>
        <w:rPr>
          <w:sz w:val="18"/>
        </w:rPr>
        <w:t>Interpol er vært for ballistikinformationsnettet (Interpol Ballistic Information Network – IBIN) for lande, der har den integrerede ballistiske identifikationssystemsteknologi (IBIS). På nuværende tidspunkt er 19 lande verden over, heraf 8 lande i Schengen-området, medlemmer af IBIN. Der er 42 lande, der anvender IBIS-teknologien uden at være med i IBIN (heraf 3 EU-lande). Indtil nu har der været 36 hits, de fleste af dem blandt EU-landene.</w:t>
      </w:r>
    </w:p>
  </w:footnote>
  <w:footnote w:id="40">
    <w:p>
      <w:pPr>
        <w:pStyle w:val="FootnoteText"/>
        <w:jc w:val="both"/>
        <w:rPr>
          <w:sz w:val="18"/>
          <w:szCs w:val="18"/>
        </w:rPr>
      </w:pPr>
      <w:r>
        <w:rPr>
          <w:rStyle w:val="FootnoteReference"/>
          <w:sz w:val="18"/>
        </w:rPr>
        <w:footnoteRef/>
      </w:r>
      <w:r>
        <w:rPr>
          <w:sz w:val="18"/>
        </w:rPr>
        <w:t xml:space="preserve">    http://research.shu.ac.uk/aces/odyssey/index.php?option=com_content&amp;view=category&amp;layout=blog&amp;id=56&amp;Itemid=88.</w:t>
      </w:r>
    </w:p>
  </w:footnote>
  <w:footnote w:id="41">
    <w:p>
      <w:pPr>
        <w:pStyle w:val="FootnoteText"/>
        <w:jc w:val="both"/>
        <w:rPr>
          <w:sz w:val="18"/>
          <w:szCs w:val="18"/>
        </w:rPr>
      </w:pPr>
      <w:r>
        <w:rPr>
          <w:sz w:val="18"/>
          <w:vertAlign w:val="superscript"/>
        </w:rPr>
        <w:footnoteRef/>
      </w:r>
      <w:r>
        <w:rPr>
          <w:sz w:val="18"/>
        </w:rPr>
        <w:t xml:space="preserve">    </w:t>
      </w:r>
      <w:r>
        <w:tab/>
      </w:r>
      <w:r>
        <w:rPr>
          <w:sz w:val="18"/>
        </w:rPr>
        <w:t xml:space="preserve">Rådets afgørelse 2013/698/FUSP: iTrace indsamler og leverer præcise informationer, der er krydschecket med de faktiske forhold, om ulovlige handelsruter for omledte eller ulovligt handlede konventionelle våben. </w:t>
      </w:r>
      <w:hyperlink r:id="rId15">
        <w:r>
          <w:rPr>
            <w:rStyle w:val="Hyperlink0"/>
            <w:rFonts w:eastAsia="Arial Unicode MS"/>
            <w:sz w:val="18"/>
          </w:rPr>
          <w:t>http://www.conflictarm.com/itrace/</w:t>
        </w:r>
      </w:hyperlink>
      <w:r>
        <w:t>.</w:t>
      </w:r>
      <w:r>
        <w:rPr>
          <w:b/>
        </w:rPr>
        <w:t xml:space="preserve"> </w:t>
      </w:r>
      <w:r>
        <w:rPr>
          <w:sz w:val="18"/>
        </w:rPr>
        <w:t>Desuden tilstræber iTRACE-projektet specifikt at støtte gennemførelsen af traktaten om våbenhandel ved at bistå nationale myndigheder med detektering af omledning af overførte konventionelle våben og bedømmelse af risikoen for omledning i forbindelse med ansøgninger om eksporttilladelse. Feltundersøgelser foretaget af eksperter fra den private virksomhed "Conflict Armament Research" (CAR) i 21 lande (især i Afrika og Mellemøsten) indføres i en offentligt tilgængelig "database til sporing af våben", der er omledt eller ulovligt handlede.</w:t>
      </w:r>
    </w:p>
  </w:footnote>
  <w:footnote w:id="42">
    <w:p>
      <w:pPr>
        <w:pStyle w:val="FootnoteText"/>
        <w:jc w:val="both"/>
      </w:pPr>
      <w:r>
        <w:rPr>
          <w:rStyle w:val="FootnoteReference"/>
          <w:sz w:val="18"/>
        </w:rPr>
        <w:footnoteRef/>
      </w:r>
      <w:r>
        <w:rPr>
          <w:sz w:val="18"/>
        </w:rPr>
        <w:t xml:space="preserve">  </w:t>
      </w:r>
      <w:r>
        <w:tab/>
      </w:r>
      <w:r>
        <w:rPr>
          <w:sz w:val="18"/>
        </w:rPr>
        <w:t>130 000 genstande er dokumenteret: våben, ammunition og materiel i tilknytning hertil; 213 anmodninger om sporing er sendt til regeringer (pr. juli 2015).</w:t>
      </w:r>
    </w:p>
  </w:footnote>
  <w:footnote w:id="43">
    <w:p>
      <w:pPr>
        <w:pStyle w:val="FootnoteText"/>
        <w:jc w:val="both"/>
        <w:rPr>
          <w:sz w:val="18"/>
          <w:szCs w:val="18"/>
        </w:rPr>
      </w:pPr>
      <w:r>
        <w:rPr>
          <w:vertAlign w:val="superscript"/>
        </w:rPr>
        <w:footnoteRef/>
      </w:r>
      <w:r>
        <w:t xml:space="preserve">  </w:t>
      </w:r>
      <w:r>
        <w:tab/>
      </w:r>
      <w:r>
        <w:rPr>
          <w:sz w:val="18"/>
        </w:rPr>
        <w:t>Kontaktpunktets medlemmer: Belgien, Bulgarien, Cypern, Danmark, Den Tjekkiske Republik, Det Forenede Kongerige, Finland, Frankrig, Grækenland, Kroatien, Litauen, Luxembourg, Malta, Nederlandene, Polen, Portugal, Rumænien, Slovakiet, Slovenien, Spanien og Sverige.</w:t>
      </w:r>
    </w:p>
  </w:footnote>
  <w:footnote w:id="44">
    <w:p>
      <w:pPr>
        <w:pStyle w:val="FootnoteText"/>
        <w:jc w:val="both"/>
        <w:rPr>
          <w:sz w:val="18"/>
          <w:szCs w:val="18"/>
        </w:rPr>
      </w:pPr>
      <w:r>
        <w:rPr>
          <w:sz w:val="18"/>
          <w:vertAlign w:val="superscript"/>
        </w:rPr>
        <w:footnoteRef/>
      </w:r>
      <w:r>
        <w:rPr>
          <w:sz w:val="18"/>
        </w:rPr>
        <w:t xml:space="preserve">    </w:t>
      </w:r>
      <w:r>
        <w:tab/>
      </w:r>
      <w:r>
        <w:rPr>
          <w:sz w:val="18"/>
        </w:rPr>
        <w:t>Eurojust, Interpol, Schweiz, Australien, USA's Bureau of Alcohol, Tobacco, Firearms and Explosives og Albanien.</w:t>
      </w:r>
    </w:p>
  </w:footnote>
  <w:footnote w:id="45">
    <w:p>
      <w:pPr>
        <w:pStyle w:val="FootnoteText"/>
        <w:jc w:val="both"/>
        <w:rPr>
          <w:sz w:val="18"/>
          <w:szCs w:val="18"/>
        </w:rPr>
      </w:pPr>
      <w:r>
        <w:rPr>
          <w:rStyle w:val="FootnoteReference"/>
          <w:sz w:val="18"/>
        </w:rPr>
        <w:footnoteRef/>
      </w:r>
      <w:r>
        <w:rPr>
          <w:sz w:val="18"/>
        </w:rPr>
        <w:t xml:space="preserve">   </w:t>
      </w:r>
      <w:r>
        <w:tab/>
      </w:r>
      <w:r>
        <w:rPr>
          <w:sz w:val="18"/>
        </w:rPr>
        <w:t>Et system for tidlig varsling blev med støtte fra Kommissionen udviklet under EU's handlingsplan for eksplosivstoffer, men det lykkedes ikke at sammenkoble alle medlemsstaternes myndigheder.</w:t>
      </w:r>
    </w:p>
  </w:footnote>
  <w:footnote w:id="46">
    <w:p>
      <w:pPr>
        <w:pStyle w:val="FootnoteText"/>
        <w:rPr>
          <w:sz w:val="18"/>
          <w:szCs w:val="18"/>
        </w:rPr>
      </w:pPr>
      <w:r>
        <w:rPr>
          <w:rStyle w:val="FootnoteReference"/>
          <w:sz w:val="18"/>
          <w:szCs w:val="18"/>
        </w:rPr>
        <w:footnoteRef/>
      </w:r>
      <w:r>
        <w:rPr>
          <w:sz w:val="18"/>
          <w:szCs w:val="18"/>
        </w:rPr>
        <w:tab/>
        <w:t>JOIN(2015) 50 final.</w:t>
      </w:r>
    </w:p>
  </w:footnote>
  <w:footnote w:id="47">
    <w:p>
      <w:pPr>
        <w:pStyle w:val="FootnoteText"/>
        <w:jc w:val="both"/>
        <w:rPr>
          <w:sz w:val="18"/>
          <w:szCs w:val="18"/>
        </w:rPr>
      </w:pPr>
      <w:r>
        <w:rPr>
          <w:rStyle w:val="FootnoteReference"/>
          <w:sz w:val="18"/>
          <w:szCs w:val="18"/>
        </w:rPr>
        <w:footnoteRef/>
      </w:r>
      <w:r>
        <w:rPr>
          <w:sz w:val="18"/>
          <w:szCs w:val="18"/>
        </w:rPr>
        <w:t xml:space="preserve">    </w:t>
      </w:r>
      <w:r>
        <w:rPr>
          <w:sz w:val="18"/>
          <w:szCs w:val="18"/>
        </w:rPr>
        <w:tab/>
        <w:t>EU har siden 2002 ydet støtte til bestræbelserne på at begrænse truslen fra den omfattende ophobning af håndvåben og lette våben (SALW) og ammunition i det sydøstlige Europa (</w:t>
      </w:r>
      <w:hyperlink r:id="rId16">
        <w:r>
          <w:rPr>
            <w:rStyle w:val="Hyperlink"/>
            <w:sz w:val="18"/>
            <w:szCs w:val="18"/>
          </w:rPr>
          <w:t>http://www.seesac.org/news.php?id=495</w:t>
        </w:r>
      </w:hyperlink>
      <w:r>
        <w:rPr>
          <w:sz w:val="18"/>
          <w:szCs w:val="18"/>
        </w:rPr>
        <w:t>). Forskellige projekter er blevet finansieret af EU i det vestlige Balkan med henblik på at forbedre sikkerheden i forbindelse med forvaltningen af disse lagre.</w:t>
      </w:r>
    </w:p>
  </w:footnote>
  <w:footnote w:id="48">
    <w:p>
      <w:pPr>
        <w:pStyle w:val="FootnoteText"/>
        <w:jc w:val="both"/>
        <w:rPr>
          <w:sz w:val="18"/>
          <w:szCs w:val="18"/>
        </w:rPr>
      </w:pPr>
      <w:r>
        <w:rPr>
          <w:rStyle w:val="FootnoteReference"/>
          <w:sz w:val="18"/>
        </w:rPr>
        <w:footnoteRef/>
      </w:r>
      <w:r>
        <w:rPr>
          <w:sz w:val="18"/>
        </w:rPr>
        <w:tab/>
        <w:t>Efter ministerkonferencen om retlige og indre anliggender mellem EU og det vestlige Balkan, der blev afholdt i Tirana i 2012, blev der i 2013 oprettet et regionalt netværk af eksperter i ulovlig handel med skydevåben. Dette førte til vedtagelse af handlingsplanen. Planen blev i december 2014 godkendt af både Rådet og de vestlige Balkanpartnere på ministerkonferencen om retlige og indre anliggender i Beograd mellem EU og det vestlige Balkan. Handlingsplanen omfatter følgende foranstaltninger:</w:t>
      </w:r>
    </w:p>
    <w:p>
      <w:pPr>
        <w:pStyle w:val="Body"/>
        <w:numPr>
          <w:ilvl w:val="0"/>
          <w:numId w:val="42"/>
        </w:numPr>
        <w:spacing w:after="0" w:line="240" w:lineRule="auto"/>
        <w:ind w:left="714" w:hanging="357"/>
        <w:jc w:val="both"/>
        <w:rPr>
          <w:rFonts w:ascii="Times New Roman" w:hAnsi="Times New Roman"/>
          <w:sz w:val="18"/>
          <w:szCs w:val="18"/>
        </w:rPr>
      </w:pPr>
      <w:r>
        <w:rPr>
          <w:rFonts w:ascii="Times New Roman" w:hAnsi="Times New Roman"/>
          <w:sz w:val="18"/>
        </w:rPr>
        <w:t xml:space="preserve">Forbedring af udvekslingen af oplysninger på regionalt plan og med medlemsstaterne samt Europol om fremstilling, oplagring og handel med skydevåben og ammunition hertil med henblik på også at udvikle mere effektive efterforsknings- og efterretningsmæssige standarder. </w:t>
      </w:r>
    </w:p>
    <w:p>
      <w:pPr>
        <w:pStyle w:val="Body"/>
        <w:numPr>
          <w:ilvl w:val="0"/>
          <w:numId w:val="42"/>
        </w:numPr>
        <w:spacing w:after="0" w:line="240" w:lineRule="auto"/>
        <w:ind w:left="714" w:hanging="357"/>
        <w:jc w:val="both"/>
        <w:rPr>
          <w:rFonts w:ascii="Times New Roman" w:hAnsi="Times New Roman"/>
          <w:sz w:val="18"/>
          <w:szCs w:val="18"/>
        </w:rPr>
      </w:pPr>
      <w:r>
        <w:rPr>
          <w:rFonts w:ascii="Times New Roman" w:hAnsi="Times New Roman"/>
          <w:sz w:val="18"/>
        </w:rPr>
        <w:t xml:space="preserve">Styrkelse af det operationelle samarbejde om retshåndhævelse på regionalt plan og med medlemsstaterne og Europol for at kontrollere fremstilling, oplagring og handel med skydevåben og ammunition. </w:t>
      </w:r>
    </w:p>
    <w:p>
      <w:pPr>
        <w:pStyle w:val="Body"/>
        <w:numPr>
          <w:ilvl w:val="0"/>
          <w:numId w:val="42"/>
        </w:numPr>
        <w:spacing w:after="0" w:line="240" w:lineRule="auto"/>
        <w:ind w:left="714" w:hanging="357"/>
        <w:jc w:val="both"/>
        <w:rPr>
          <w:rFonts w:ascii="Times New Roman" w:hAnsi="Times New Roman"/>
          <w:sz w:val="18"/>
          <w:szCs w:val="18"/>
        </w:rPr>
      </w:pPr>
      <w:r>
        <w:rPr>
          <w:rFonts w:ascii="Times New Roman" w:hAnsi="Times New Roman"/>
          <w:sz w:val="18"/>
        </w:rPr>
        <w:t xml:space="preserve">Forbedret indsamling og udveksling af statistikker om fremstilling, oplagring og handel med skydevåben og ammunition. </w:t>
      </w:r>
    </w:p>
    <w:p>
      <w:pPr>
        <w:pStyle w:val="Body"/>
        <w:numPr>
          <w:ilvl w:val="0"/>
          <w:numId w:val="42"/>
        </w:numPr>
        <w:spacing w:after="0" w:line="240" w:lineRule="auto"/>
        <w:ind w:left="714" w:hanging="357"/>
        <w:jc w:val="both"/>
        <w:rPr>
          <w:rFonts w:ascii="Times New Roman" w:hAnsi="Times New Roman"/>
          <w:sz w:val="18"/>
          <w:szCs w:val="18"/>
        </w:rPr>
      </w:pPr>
      <w:r>
        <w:rPr>
          <w:rFonts w:ascii="Times New Roman" w:hAnsi="Times New Roman"/>
          <w:sz w:val="18"/>
        </w:rPr>
        <w:t>Fremme af netværkssamarbejde på alle niveauer, udveksling af bedste praksis og fælles uddannelse blandt eksperter i den vestlige Balkanregion.</w:t>
      </w:r>
    </w:p>
    <w:p>
      <w:pPr>
        <w:pStyle w:val="Body"/>
        <w:numPr>
          <w:ilvl w:val="0"/>
          <w:numId w:val="42"/>
        </w:numPr>
        <w:spacing w:after="0" w:line="240" w:lineRule="auto"/>
        <w:ind w:left="714" w:hanging="357"/>
        <w:jc w:val="both"/>
      </w:pPr>
      <w:r>
        <w:rPr>
          <w:rFonts w:ascii="Times New Roman" w:hAnsi="Times New Roman"/>
          <w:sz w:val="18"/>
        </w:rPr>
        <w:t>Harmonisering af national lovgivning om skydevåben i overensstemmelse med EU's standarder og internationale standarder.</w:t>
      </w:r>
    </w:p>
  </w:footnote>
  <w:footnote w:id="49">
    <w:p>
      <w:pPr>
        <w:pStyle w:val="FootnoteText"/>
        <w:jc w:val="both"/>
        <w:rPr>
          <w:sz w:val="18"/>
        </w:rPr>
      </w:pPr>
      <w:r>
        <w:rPr>
          <w:rStyle w:val="FootnoteReference"/>
          <w:sz w:val="18"/>
          <w:szCs w:val="18"/>
        </w:rPr>
        <w:footnoteRef/>
      </w:r>
      <w:r>
        <w:rPr>
          <w:sz w:val="18"/>
          <w:szCs w:val="18"/>
        </w:rPr>
        <w:tab/>
      </w:r>
      <w:r>
        <w:rPr>
          <w:sz w:val="18"/>
        </w:rPr>
        <w:t>EU-strategien for bekæmpelse af ulovlig ophobning af og handel med håndvåben og lette våben (SALW) samt ammunition hertil. Dok. 5319/06 PESC 31, 13. januar 2006,</w:t>
      </w:r>
    </w:p>
    <w:p>
      <w:pPr>
        <w:ind w:left="357"/>
        <w:jc w:val="both"/>
        <w:rPr>
          <w:sz w:val="18"/>
          <w:szCs w:val="18"/>
        </w:rPr>
      </w:pPr>
      <w:r>
        <w:rPr>
          <w:bCs/>
          <w:sz w:val="18"/>
          <w:szCs w:val="18"/>
        </w:rPr>
        <w:t xml:space="preserve">- </w:t>
      </w:r>
      <w:r>
        <w:rPr>
          <w:sz w:val="18"/>
        </w:rPr>
        <w:t>Rådets afgørelse 2013/730/FUSP,</w:t>
      </w:r>
    </w:p>
    <w:p>
      <w:pPr>
        <w:ind w:left="357"/>
        <w:jc w:val="both"/>
        <w:rPr>
          <w:sz w:val="18"/>
        </w:rPr>
      </w:pPr>
      <w:r>
        <w:rPr>
          <w:sz w:val="18"/>
          <w:szCs w:val="18"/>
        </w:rPr>
        <w:t xml:space="preserve">- </w:t>
      </w:r>
      <w:r>
        <w:rPr>
          <w:sz w:val="18"/>
        </w:rPr>
        <w:t>FN's handlingsprogram vedrørende forebyggelse, bekæmpelse og udryddelse af ulovlig handel med håndvåben og lette</w:t>
      </w:r>
      <w:r>
        <w:rPr>
          <w:sz w:val="18"/>
        </w:rPr>
        <w:br/>
      </w:r>
      <w:r>
        <w:rPr>
          <w:sz w:val="18"/>
          <w:szCs w:val="18"/>
          <w:lang w:eastAsia="en-US" w:bidi="ar-SA"/>
        </w:rPr>
        <w:t>våben</w:t>
      </w:r>
      <w:r>
        <w:rPr>
          <w:sz w:val="18"/>
        </w:rPr>
        <w:t xml:space="preserve"> i alle aspekter heraf -</w:t>
      </w:r>
      <w:r>
        <w:rPr>
          <w:i/>
          <w:sz w:val="18"/>
        </w:rPr>
        <w:t xml:space="preserve"> </w:t>
      </w:r>
      <w:hyperlink r:id="rId17">
        <w:r>
          <w:rPr>
            <w:rStyle w:val="Hyperlink"/>
            <w:color w:val="0033CC"/>
            <w:sz w:val="18"/>
          </w:rPr>
          <w:t>http://www.un.org/disarmament/content</w:t>
        </w:r>
      </w:hyperlink>
      <w:r>
        <w:rPr>
          <w:rStyle w:val="Hyperlink"/>
          <w:color w:val="0033CC"/>
          <w:sz w:val="18"/>
          <w:u w:val="none"/>
        </w:rPr>
        <w:t>.</w:t>
      </w:r>
    </w:p>
  </w:footnote>
  <w:footnote w:id="50">
    <w:p>
      <w:pPr>
        <w:pStyle w:val="FootnoteText"/>
        <w:jc w:val="both"/>
        <w:rPr>
          <w:sz w:val="18"/>
          <w:szCs w:val="18"/>
        </w:rPr>
      </w:pPr>
      <w:r>
        <w:rPr>
          <w:rStyle w:val="FootnoteReference"/>
          <w:sz w:val="18"/>
        </w:rPr>
        <w:footnoteRef/>
      </w:r>
      <w:r>
        <w:rPr>
          <w:sz w:val="18"/>
        </w:rPr>
        <w:tab/>
        <w:t>Herunder det europæiske naboskabsinstrument (ENI) og instrumentet til fremme af stabilitet og fred (IcSP), som det allerede er tilfældet med det nye ENI-finansierede program EUROMED Police IV (som snart iværksættes).</w:t>
      </w:r>
    </w:p>
  </w:footnote>
  <w:footnote w:id="51">
    <w:p>
      <w:pPr>
        <w:pStyle w:val="FootnoteText"/>
        <w:rPr>
          <w:sz w:val="18"/>
          <w:szCs w:val="18"/>
        </w:rPr>
      </w:pPr>
      <w:r>
        <w:rPr>
          <w:rStyle w:val="FootnoteReference"/>
          <w:sz w:val="18"/>
        </w:rPr>
        <w:footnoteRef/>
      </w:r>
      <w:r>
        <w:rPr>
          <w:sz w:val="18"/>
        </w:rPr>
        <w:tab/>
        <w:t>Der er fundet våben fra Libyen i f.eks. Tchad, Egypten, Gaza, Mali, Niger og Tunesien.</w:t>
      </w:r>
    </w:p>
  </w:footnote>
  <w:footnote w:id="52">
    <w:p>
      <w:pPr>
        <w:pStyle w:val="FootnoteText"/>
        <w:rPr>
          <w:sz w:val="18"/>
          <w:szCs w:val="18"/>
        </w:rPr>
      </w:pPr>
      <w:r>
        <w:rPr>
          <w:rStyle w:val="FootnoteReference"/>
          <w:sz w:val="18"/>
        </w:rPr>
        <w:footnoteRef/>
      </w:r>
      <w:r>
        <w:rPr>
          <w:sz w:val="18"/>
        </w:rPr>
        <w:tab/>
      </w:r>
      <w:r>
        <w:rPr>
          <w:rStyle w:val="st1"/>
          <w:sz w:val="18"/>
        </w:rPr>
        <w:t>Mandbårne luftforsvarssystemer.</w:t>
      </w:r>
    </w:p>
  </w:footnote>
  <w:footnote w:id="53">
    <w:p>
      <w:pPr>
        <w:pStyle w:val="FootnoteText"/>
        <w:rPr>
          <w:sz w:val="18"/>
          <w:szCs w:val="18"/>
        </w:rPr>
      </w:pPr>
      <w:r>
        <w:rPr>
          <w:rStyle w:val="FootnoteReference"/>
          <w:sz w:val="18"/>
          <w:szCs w:val="18"/>
        </w:rPr>
        <w:footnoteRef/>
      </w:r>
      <w:r>
        <w:rPr>
          <w:sz w:val="18"/>
          <w:szCs w:val="18"/>
        </w:rPr>
        <w:tab/>
      </w:r>
      <w:r>
        <w:rPr>
          <w:sz w:val="18"/>
        </w:rPr>
        <w:t xml:space="preserve">LAS er en </w:t>
      </w:r>
      <w:hyperlink r:id="rId18" w:tooltip="Regional organisation">
        <w:r>
          <w:rPr>
            <w:rStyle w:val="Hyperlink"/>
            <w:sz w:val="18"/>
            <w:u w:val="none"/>
          </w:rPr>
          <w:t>regional organisation</w:t>
        </w:r>
      </w:hyperlink>
      <w:r>
        <w:rPr>
          <w:sz w:val="18"/>
        </w:rPr>
        <w:t xml:space="preserve"> af </w:t>
      </w:r>
      <w:hyperlink r:id="rId19" w:tooltip="Den arabiske verden">
        <w:r>
          <w:rPr>
            <w:rStyle w:val="Hyperlink"/>
            <w:sz w:val="18"/>
            <w:u w:val="none"/>
          </w:rPr>
          <w:t>arabiske stater</w:t>
        </w:r>
      </w:hyperlink>
      <w:r>
        <w:rPr>
          <w:sz w:val="18"/>
        </w:rPr>
        <w:t xml:space="preserve"> i og omkring </w:t>
      </w:r>
      <w:hyperlink r:id="rId20" w:tooltip="Nordafrika">
        <w:r>
          <w:rPr>
            <w:rStyle w:val="Hyperlink"/>
            <w:sz w:val="18"/>
            <w:u w:val="none"/>
          </w:rPr>
          <w:t>Nordafrika</w:t>
        </w:r>
      </w:hyperlink>
      <w:r>
        <w:rPr>
          <w:sz w:val="18"/>
        </w:rPr>
        <w:t xml:space="preserve">, </w:t>
      </w:r>
      <w:hyperlink r:id="rId21" w:tooltip="Afrikas Horn">
        <w:r>
          <w:rPr>
            <w:rStyle w:val="Hyperlink"/>
            <w:sz w:val="18"/>
            <w:u w:val="none"/>
          </w:rPr>
          <w:t>Afrikas Horn</w:t>
        </w:r>
      </w:hyperlink>
      <w:r>
        <w:rPr>
          <w:sz w:val="18"/>
        </w:rPr>
        <w:t xml:space="preserve"> og </w:t>
      </w:r>
      <w:hyperlink r:id="rId22" w:tooltip="Arabien">
        <w:r>
          <w:rPr>
            <w:rStyle w:val="Hyperlink"/>
            <w:sz w:val="18"/>
            <w:u w:val="none"/>
          </w:rPr>
          <w:t>Arabien</w:t>
        </w:r>
      </w:hyperlink>
      <w:r>
        <w:rPr>
          <w:sz w:val="18"/>
        </w:rPr>
        <w:t>.</w:t>
      </w:r>
    </w:p>
  </w:footnote>
  <w:footnote w:id="54">
    <w:p>
      <w:pPr>
        <w:pStyle w:val="FootnoteText"/>
        <w:rPr>
          <w:sz w:val="18"/>
          <w:szCs w:val="18"/>
        </w:rPr>
      </w:pPr>
      <w:r>
        <w:rPr>
          <w:rStyle w:val="FootnoteReference"/>
          <w:sz w:val="18"/>
        </w:rPr>
        <w:footnoteRef/>
      </w:r>
      <w:r>
        <w:rPr>
          <w:sz w:val="18"/>
        </w:rPr>
        <w:tab/>
      </w:r>
      <w:hyperlink r:id="rId23">
        <w:r>
          <w:rPr>
            <w:rStyle w:val="Hyperlink"/>
            <w:color w:val="0000FF"/>
            <w:sz w:val="18"/>
          </w:rPr>
          <w:t>http://eeas.europa.eu/non-proliferation-and-disarmament/conventional_weapons/salw/index_en.htm</w:t>
        </w:r>
      </w:hyperlink>
      <w:r>
        <w:rPr>
          <w:rStyle w:val="Hyperlink"/>
          <w:sz w:val="18"/>
          <w:u w:val="none"/>
        </w:rPr>
        <w:t>.</w:t>
      </w:r>
    </w:p>
  </w:footnote>
  <w:footnote w:id="55">
    <w:p>
      <w:pPr>
        <w:pStyle w:val="FootnoteText"/>
      </w:pPr>
      <w:r>
        <w:rPr>
          <w:rStyle w:val="FootnoteReference"/>
          <w:sz w:val="18"/>
        </w:rPr>
        <w:footnoteRef/>
      </w:r>
      <w:r>
        <w:rPr>
          <w:sz w:val="18"/>
        </w:rPr>
        <w:tab/>
      </w:r>
      <w:hyperlink r:id="rId24">
        <w:r>
          <w:rPr>
            <w:rStyle w:val="Hyperlink"/>
            <w:color w:val="0000FF"/>
            <w:sz w:val="18"/>
          </w:rPr>
          <w:t>http://www.eeas.europa.eu/csdp/about-csdp/european-security-strategy/</w:t>
        </w:r>
      </w:hyperlink>
      <w:r>
        <w:rPr>
          <w:rStyle w:val="Hyperlink"/>
          <w:sz w:val="18"/>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973607"/>
    <w:multiLevelType w:val="hybridMultilevel"/>
    <w:tmpl w:val="3628159E"/>
    <w:lvl w:ilvl="0" w:tplc="8D86EB6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C0E3C"/>
    <w:multiLevelType w:val="hybridMultilevel"/>
    <w:tmpl w:val="82C6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222CF"/>
    <w:multiLevelType w:val="hybridMultilevel"/>
    <w:tmpl w:val="BC0458DE"/>
    <w:lvl w:ilvl="0" w:tplc="080C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9168C"/>
    <w:multiLevelType w:val="hybridMultilevel"/>
    <w:tmpl w:val="2B26C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F5F0F"/>
    <w:multiLevelType w:val="hybridMultilevel"/>
    <w:tmpl w:val="3DC05072"/>
    <w:lvl w:ilvl="0" w:tplc="08090001">
      <w:start w:val="1"/>
      <w:numFmt w:val="bullet"/>
      <w:lvlText w:val=""/>
      <w:lvlJc w:val="left"/>
      <w:pPr>
        <w:ind w:left="720" w:hanging="360"/>
      </w:pPr>
      <w:rPr>
        <w:rFonts w:ascii="Symbol" w:hAnsi="Symbol" w:hint="default"/>
      </w:rPr>
    </w:lvl>
    <w:lvl w:ilvl="1" w:tplc="C81A212E">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58268F"/>
    <w:multiLevelType w:val="hybridMultilevel"/>
    <w:tmpl w:val="3D706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C5EFA"/>
    <w:multiLevelType w:val="hybridMultilevel"/>
    <w:tmpl w:val="A1DE3764"/>
    <w:lvl w:ilvl="0" w:tplc="77CE9B4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C5B17"/>
    <w:multiLevelType w:val="hybridMultilevel"/>
    <w:tmpl w:val="BC0458DE"/>
    <w:lvl w:ilvl="0" w:tplc="080C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F734306"/>
    <w:multiLevelType w:val="multilevel"/>
    <w:tmpl w:val="28629EE4"/>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91B"/>
    <w:multiLevelType w:val="hybridMultilevel"/>
    <w:tmpl w:val="BE66DFAA"/>
    <w:lvl w:ilvl="0" w:tplc="7EDE7E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BD0AD3"/>
    <w:multiLevelType w:val="hybridMultilevel"/>
    <w:tmpl w:val="E5A45FBC"/>
    <w:lvl w:ilvl="0" w:tplc="3CF4E5EA">
      <w:start w:val="1"/>
      <w:numFmt w:val="bullet"/>
      <w:lvlText w:val=""/>
      <w:lvlJc w:val="left"/>
      <w:pPr>
        <w:ind w:left="720" w:hanging="360"/>
      </w:pPr>
      <w:rPr>
        <w:rFonts w:ascii="Symbol" w:hAnsi="Symbol" w:hint="default"/>
        <w:sz w:val="20"/>
        <w:szCs w:val="24"/>
      </w:rPr>
    </w:lvl>
    <w:lvl w:ilvl="1" w:tplc="22800A7C">
      <w:start w:val="1"/>
      <w:numFmt w:val="bullet"/>
      <w:lvlText w:val="o"/>
      <w:lvlJc w:val="left"/>
      <w:pPr>
        <w:ind w:left="1440" w:hanging="360"/>
      </w:pPr>
      <w:rPr>
        <w:rFonts w:ascii="Courier New" w:hAnsi="Courier New" w:cs="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A46B2"/>
    <w:multiLevelType w:val="hybridMultilevel"/>
    <w:tmpl w:val="EA86C244"/>
    <w:lvl w:ilvl="0" w:tplc="40C64D1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09978B0"/>
    <w:multiLevelType w:val="hybridMultilevel"/>
    <w:tmpl w:val="3C9ECDA4"/>
    <w:lvl w:ilvl="0" w:tplc="81F29DF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7443FFC"/>
    <w:multiLevelType w:val="hybridMultilevel"/>
    <w:tmpl w:val="7786F2DA"/>
    <w:lvl w:ilvl="0" w:tplc="499E9A68">
      <w:start w:val="1"/>
      <w:numFmt w:val="bullet"/>
      <w:lvlText w:val=""/>
      <w:lvlJc w:val="left"/>
      <w:pPr>
        <w:ind w:left="720" w:hanging="360"/>
      </w:pPr>
      <w:rPr>
        <w:rFonts w:ascii="Symbol" w:hAnsi="Symbol" w:hint="default"/>
        <w:sz w:val="20"/>
        <w:szCs w:val="20"/>
      </w:rPr>
    </w:lvl>
    <w:lvl w:ilvl="1" w:tplc="04FC8A0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CF4001"/>
    <w:multiLevelType w:val="hybridMultilevel"/>
    <w:tmpl w:val="34DC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5F9E7D3E"/>
    <w:multiLevelType w:val="hybridMultilevel"/>
    <w:tmpl w:val="F6CE0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4BF3853"/>
    <w:multiLevelType w:val="hybridMultilevel"/>
    <w:tmpl w:val="E04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AE3C48"/>
    <w:multiLevelType w:val="hybridMultilevel"/>
    <w:tmpl w:val="7A58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D0CE2"/>
    <w:multiLevelType w:val="hybridMultilevel"/>
    <w:tmpl w:val="EAE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7A47E3"/>
    <w:multiLevelType w:val="hybridMultilevel"/>
    <w:tmpl w:val="4A1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7011D9"/>
    <w:multiLevelType w:val="hybridMultilevel"/>
    <w:tmpl w:val="48762CE2"/>
    <w:lvl w:ilvl="0" w:tplc="6128D69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12"/>
  </w:num>
  <w:num w:numId="4">
    <w:abstractNumId w:val="23"/>
  </w:num>
  <w:num w:numId="5">
    <w:abstractNumId w:val="16"/>
  </w:num>
  <w:num w:numId="6">
    <w:abstractNumId w:val="22"/>
  </w:num>
  <w:num w:numId="7">
    <w:abstractNumId w:val="32"/>
  </w:num>
  <w:num w:numId="8">
    <w:abstractNumId w:val="37"/>
  </w:num>
  <w:num w:numId="9">
    <w:abstractNumId w:val="20"/>
  </w:num>
  <w:num w:numId="10">
    <w:abstractNumId w:val="31"/>
  </w:num>
  <w:num w:numId="11">
    <w:abstractNumId w:val="29"/>
  </w:num>
  <w:num w:numId="12">
    <w:abstractNumId w:val="25"/>
  </w:num>
  <w:num w:numId="13">
    <w:abstractNumId w:val="28"/>
  </w:num>
  <w:num w:numId="14">
    <w:abstractNumId w:val="13"/>
  </w:num>
  <w:num w:numId="15">
    <w:abstractNumId w:val="21"/>
  </w:num>
  <w:num w:numId="16">
    <w:abstractNumId w:val="8"/>
  </w:num>
  <w:num w:numId="17">
    <w:abstractNumId w:val="17"/>
  </w:num>
  <w:num w:numId="18">
    <w:abstractNumId w:val="38"/>
  </w:num>
  <w:num w:numId="19">
    <w:abstractNumId w:val="18"/>
  </w:num>
  <w:num w:numId="20">
    <w:abstractNumId w:val="40"/>
  </w:num>
  <w:num w:numId="21">
    <w:abstractNumId w:val="5"/>
  </w:num>
  <w:num w:numId="22">
    <w:abstractNumId w:val="27"/>
  </w:num>
  <w:num w:numId="23">
    <w:abstractNumId w:val="2"/>
  </w:num>
  <w:num w:numId="24">
    <w:abstractNumId w:val="26"/>
  </w:num>
  <w:num w:numId="25">
    <w:abstractNumId w:val="15"/>
  </w:num>
  <w:num w:numId="26">
    <w:abstractNumId w:val="39"/>
  </w:num>
  <w:num w:numId="27">
    <w:abstractNumId w:val="35"/>
  </w:num>
  <w:num w:numId="28">
    <w:abstractNumId w:val="24"/>
  </w:num>
  <w:num w:numId="29">
    <w:abstractNumId w:val="36"/>
  </w:num>
  <w:num w:numId="30">
    <w:abstractNumId w:val="30"/>
  </w:num>
  <w:num w:numId="31">
    <w:abstractNumId w:val="7"/>
  </w:num>
  <w:num w:numId="32">
    <w:abstractNumId w:val="14"/>
  </w:num>
  <w:num w:numId="33">
    <w:abstractNumId w:val="34"/>
  </w:num>
  <w:num w:numId="34">
    <w:abstractNumId w:val="6"/>
  </w:num>
  <w:num w:numId="35">
    <w:abstractNumId w:val="3"/>
  </w:num>
  <w:num w:numId="36">
    <w:abstractNumId w:val="33"/>
  </w:num>
  <w:num w:numId="37">
    <w:abstractNumId w:val="9"/>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
  </w:num>
  <w:num w:numId="42">
    <w:abstractNumId w:val="19"/>
  </w:num>
  <w:num w:numId="43">
    <w:abstractNumId w:val="12"/>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03CC8AF6B2BB4A1EBF69D53B987D3014"/>
    <w:docVar w:name="LW_CROSSREFERENCE" w:val="&lt;UNUSED&gt;"/>
    <w:docVar w:name="LW_DocType" w:val="REP"/>
    <w:docVar w:name="LW_EMISSION" w:val="2.12.2015"/>
    <w:docVar w:name="LW_EMISSION_ISODATE" w:val="2015-12-02"/>
    <w:docVar w:name="LW_EMISSION_LOCATION" w:val="BRX"/>
    <w:docVar w:name="LW_EMISSION_PREFIX" w:val="Bruxelles, den "/>
    <w:docVar w:name="LW_EMISSION_SUFFIX" w:val=" "/>
    <w:docVar w:name="LW_ID_DOCTYPE_NONLW" w:val="CP-012"/>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5) 624"/>
    <w:docVar w:name="LW_REF.INTERNE" w:val="&lt;UNUSED&gt;"/>
    <w:docVar w:name="LW_SOUS.TITRE.OBJ.CP" w:val="&lt;UNUSED&gt;"/>
    <w:docVar w:name="LW_SUPERTITRE" w:val="&lt;UNUSED&gt;"/>
    <w:docVar w:name="LW_TITRE.OBJ.CP" w:val="Gennemførelse af den europæiske dagsorden om sikkerhed: _x000b_En EU-handlingsplan for bekæmpelse af ulovlig handel med og brug af _x000b_skydevåben og eksplosivstoffer."/>
    <w:docVar w:name="LW_TYPE.DOC.CP" w:val="MEDDELELSE FRA KOMMISSIONEN TIL EUROPA-PARLAMENTET OG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pPr>
      <w:pBdr>
        <w:top w:val="nil"/>
        <w:left w:val="nil"/>
        <w:bottom w:val="nil"/>
        <w:right w:val="nil"/>
        <w:between w:val="nil"/>
        <w:bar w:val="nil"/>
      </w:pBdr>
    </w:pPr>
    <w:rPr>
      <w:rFonts w:eastAsia="Arial Unicode MS"/>
      <w:sz w:val="24"/>
      <w:szCs w:val="24"/>
      <w:bdr w:val="nil"/>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uiPriority w:val="99"/>
    <w:rPr>
      <w:sz w:val="24"/>
      <w:lang w:eastAsia="da-DK"/>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Pagedecouverture">
    <w:name w:val="Page de couverture"/>
    <w:next w:val="Body"/>
    <w:pPr>
      <w:pBdr>
        <w:top w:val="nil"/>
        <w:left w:val="nil"/>
        <w:bottom w:val="nil"/>
        <w:right w:val="nil"/>
        <w:between w:val="nil"/>
        <w:bar w:val="nil"/>
      </w:pBdr>
      <w:jc w:val="both"/>
    </w:pPr>
    <w:rPr>
      <w:rFonts w:eastAsia="Arial Unicode MS" w:cs="Arial Unicode MS"/>
      <w:color w:val="000000"/>
      <w:sz w:val="24"/>
      <w:szCs w:val="24"/>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0"/>
      <w:szCs w:val="20"/>
      <w:u w:val="single" w:color="0000FF"/>
    </w:rPr>
  </w:style>
  <w:style w:type="character" w:customStyle="1" w:styleId="Hyperlink2">
    <w:name w:val="Hyperlink.2"/>
    <w:basedOn w:val="Link"/>
    <w:rPr>
      <w:rFonts w:ascii="Times New Roman" w:eastAsia="Times New Roman" w:hAnsi="Times New Roman" w:cs="Times New Roman"/>
      <w:color w:val="0000FF"/>
      <w:u w:val="single" w:color="0000FF"/>
      <w:lang w:val="da-DK"/>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CommentTextChar">
    <w:name w:val="Comment Text Char"/>
    <w:basedOn w:val="DefaultParagraphFont"/>
    <w:uiPriority w:val="99"/>
    <w:semiHidden/>
    <w:rPr>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uiPriority w:val="99"/>
    <w:semiHidden/>
    <w:rPr>
      <w:lang w:eastAsia="da-DK"/>
    </w:rPr>
  </w:style>
  <w:style w:type="character" w:customStyle="1" w:styleId="CommentSubjectChar">
    <w:name w:val="Comment Subject Char"/>
    <w:basedOn w:val="CommentTextChar1"/>
    <w:link w:val="CommentSubject"/>
    <w:uiPriority w:val="99"/>
    <w:semiHidden/>
    <w:rPr>
      <w:rFonts w:eastAsia="Arial Unicode MS"/>
      <w:b/>
      <w:bCs/>
      <w:bdr w:val="nil"/>
      <w:lang w:val="da-DK" w:eastAsia="da-DK"/>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rPr>
      <w:lang w:eastAsia="da-DK"/>
    </w:rPr>
  </w:style>
  <w:style w:type="paragraph" w:styleId="Revision">
    <w:name w:val="Revision"/>
    <w:hidden/>
    <w:uiPriority w:val="99"/>
    <w:semiHidden/>
    <w:rPr>
      <w:rFonts w:eastAsia="Arial Unicode MS"/>
      <w:sz w:val="24"/>
      <w:szCs w:val="24"/>
      <w:bdr w:val="nil"/>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Heading1Char">
    <w:name w:val="Heading 1 Char"/>
    <w:basedOn w:val="DefaultParagraphFont"/>
    <w:link w:val="Heading1"/>
    <w:rPr>
      <w:rFonts w:eastAsia="Arial Unicode MS"/>
      <w:b/>
      <w:smallCaps/>
      <w:sz w:val="24"/>
      <w:szCs w:val="24"/>
      <w:bdr w:val="nil"/>
      <w:lang w:val="da-DK" w:eastAsia="da-DK"/>
    </w:rPr>
  </w:style>
  <w:style w:type="character" w:customStyle="1" w:styleId="FooterCoverPageChar">
    <w:name w:val="Footer Cover Page Char"/>
    <w:basedOn w:val="Heading1Char"/>
    <w:link w:val="FooterCoverPage"/>
    <w:rPr>
      <w:rFonts w:eastAsia="Arial Unicode MS"/>
      <w:b w:val="0"/>
      <w:smallCaps w:val="0"/>
      <w:sz w:val="24"/>
      <w:szCs w:val="24"/>
      <w:bdr w:val="nil"/>
      <w:lang w:val="da-DK" w:eastAsia="da-DK"/>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eastAsia="Arial Unicode MS"/>
      <w:b w:val="0"/>
      <w:smallCaps w:val="0"/>
      <w:sz w:val="24"/>
      <w:szCs w:val="24"/>
      <w:bdr w:val="nil"/>
      <w:lang w:val="da-DK" w:eastAsia="da-DK"/>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pPr>
      <w:pBdr>
        <w:top w:val="nil"/>
        <w:left w:val="nil"/>
        <w:bottom w:val="nil"/>
        <w:right w:val="nil"/>
        <w:between w:val="nil"/>
        <w:bar w:val="nil"/>
      </w:pBdr>
    </w:pPr>
    <w:rPr>
      <w:rFonts w:eastAsia="Arial Unicode MS"/>
      <w:sz w:val="24"/>
      <w:szCs w:val="24"/>
      <w:bdr w:val="nil"/>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uiPriority w:val="99"/>
    <w:rPr>
      <w:sz w:val="24"/>
      <w:lang w:eastAsia="da-DK"/>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Pagedecouverture">
    <w:name w:val="Page de couverture"/>
    <w:next w:val="Body"/>
    <w:pPr>
      <w:pBdr>
        <w:top w:val="nil"/>
        <w:left w:val="nil"/>
        <w:bottom w:val="nil"/>
        <w:right w:val="nil"/>
        <w:between w:val="nil"/>
        <w:bar w:val="nil"/>
      </w:pBdr>
      <w:jc w:val="both"/>
    </w:pPr>
    <w:rPr>
      <w:rFonts w:eastAsia="Arial Unicode MS" w:cs="Arial Unicode MS"/>
      <w:color w:val="000000"/>
      <w:sz w:val="24"/>
      <w:szCs w:val="24"/>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0"/>
      <w:szCs w:val="20"/>
      <w:u w:val="single" w:color="0000FF"/>
    </w:rPr>
  </w:style>
  <w:style w:type="character" w:customStyle="1" w:styleId="Hyperlink2">
    <w:name w:val="Hyperlink.2"/>
    <w:basedOn w:val="Link"/>
    <w:rPr>
      <w:rFonts w:ascii="Times New Roman" w:eastAsia="Times New Roman" w:hAnsi="Times New Roman" w:cs="Times New Roman"/>
      <w:color w:val="0000FF"/>
      <w:u w:val="single" w:color="0000FF"/>
      <w:lang w:val="da-DK"/>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CommentTextChar">
    <w:name w:val="Comment Text Char"/>
    <w:basedOn w:val="DefaultParagraphFont"/>
    <w:uiPriority w:val="99"/>
    <w:semiHidden/>
    <w:rPr>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uiPriority w:val="99"/>
    <w:semiHidden/>
    <w:rPr>
      <w:lang w:eastAsia="da-DK"/>
    </w:rPr>
  </w:style>
  <w:style w:type="character" w:customStyle="1" w:styleId="CommentSubjectChar">
    <w:name w:val="Comment Subject Char"/>
    <w:basedOn w:val="CommentTextChar1"/>
    <w:link w:val="CommentSubject"/>
    <w:uiPriority w:val="99"/>
    <w:semiHidden/>
    <w:rPr>
      <w:rFonts w:eastAsia="Arial Unicode MS"/>
      <w:b/>
      <w:bCs/>
      <w:bdr w:val="nil"/>
      <w:lang w:val="da-DK" w:eastAsia="da-DK"/>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rPr>
      <w:lang w:eastAsia="da-DK"/>
    </w:rPr>
  </w:style>
  <w:style w:type="paragraph" w:styleId="Revision">
    <w:name w:val="Revision"/>
    <w:hidden/>
    <w:uiPriority w:val="99"/>
    <w:semiHidden/>
    <w:rPr>
      <w:rFonts w:eastAsia="Arial Unicode MS"/>
      <w:sz w:val="24"/>
      <w:szCs w:val="24"/>
      <w:bdr w:val="nil"/>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Heading1Char">
    <w:name w:val="Heading 1 Char"/>
    <w:basedOn w:val="DefaultParagraphFont"/>
    <w:link w:val="Heading1"/>
    <w:rPr>
      <w:rFonts w:eastAsia="Arial Unicode MS"/>
      <w:b/>
      <w:smallCaps/>
      <w:sz w:val="24"/>
      <w:szCs w:val="24"/>
      <w:bdr w:val="nil"/>
      <w:lang w:val="da-DK" w:eastAsia="da-DK"/>
    </w:rPr>
  </w:style>
  <w:style w:type="character" w:customStyle="1" w:styleId="FooterCoverPageChar">
    <w:name w:val="Footer Cover Page Char"/>
    <w:basedOn w:val="Heading1Char"/>
    <w:link w:val="FooterCoverPage"/>
    <w:rPr>
      <w:rFonts w:eastAsia="Arial Unicode MS"/>
      <w:b w:val="0"/>
      <w:smallCaps w:val="0"/>
      <w:sz w:val="24"/>
      <w:szCs w:val="24"/>
      <w:bdr w:val="nil"/>
      <w:lang w:val="da-DK" w:eastAsia="da-DK"/>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eastAsia="Arial Unicode MS"/>
      <w:b w:val="0"/>
      <w:smallCaps w:val="0"/>
      <w:sz w:val="24"/>
      <w:szCs w:val="24"/>
      <w:bdr w:val="nil"/>
      <w:lang w:val="da-DK" w:eastAsia="da-DK"/>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1080">
      <w:bodyDiv w:val="1"/>
      <w:marLeft w:val="0"/>
      <w:marRight w:val="0"/>
      <w:marTop w:val="0"/>
      <w:marBottom w:val="0"/>
      <w:divBdr>
        <w:top w:val="none" w:sz="0" w:space="0" w:color="auto"/>
        <w:left w:val="none" w:sz="0" w:space="0" w:color="auto"/>
        <w:bottom w:val="none" w:sz="0" w:space="0" w:color="auto"/>
        <w:right w:val="none" w:sz="0" w:space="0" w:color="auto"/>
      </w:divBdr>
    </w:div>
    <w:div w:id="425226944">
      <w:bodyDiv w:val="1"/>
      <w:marLeft w:val="0"/>
      <w:marRight w:val="0"/>
      <w:marTop w:val="0"/>
      <w:marBottom w:val="0"/>
      <w:divBdr>
        <w:top w:val="none" w:sz="0" w:space="0" w:color="auto"/>
        <w:left w:val="none" w:sz="0" w:space="0" w:color="auto"/>
        <w:bottom w:val="none" w:sz="0" w:space="0" w:color="auto"/>
        <w:right w:val="none" w:sz="0" w:space="0" w:color="auto"/>
      </w:divBdr>
    </w:div>
    <w:div w:id="1123185155">
      <w:bodyDiv w:val="1"/>
      <w:marLeft w:val="0"/>
      <w:marRight w:val="0"/>
      <w:marTop w:val="0"/>
      <w:marBottom w:val="0"/>
      <w:divBdr>
        <w:top w:val="none" w:sz="0" w:space="0" w:color="auto"/>
        <w:left w:val="none" w:sz="0" w:space="0" w:color="auto"/>
        <w:bottom w:val="none" w:sz="0" w:space="0" w:color="auto"/>
        <w:right w:val="none" w:sz="0" w:space="0" w:color="auto"/>
      </w:divBdr>
    </w:div>
    <w:div w:id="1196388249">
      <w:bodyDiv w:val="1"/>
      <w:marLeft w:val="0"/>
      <w:marRight w:val="0"/>
      <w:marTop w:val="0"/>
      <w:marBottom w:val="0"/>
      <w:divBdr>
        <w:top w:val="none" w:sz="0" w:space="0" w:color="auto"/>
        <w:left w:val="none" w:sz="0" w:space="0" w:color="auto"/>
        <w:bottom w:val="none" w:sz="0" w:space="0" w:color="auto"/>
        <w:right w:val="none" w:sz="0" w:space="0" w:color="auto"/>
      </w:divBdr>
    </w:div>
    <w:div w:id="1288122970">
      <w:bodyDiv w:val="1"/>
      <w:marLeft w:val="0"/>
      <w:marRight w:val="0"/>
      <w:marTop w:val="0"/>
      <w:marBottom w:val="0"/>
      <w:divBdr>
        <w:top w:val="none" w:sz="0" w:space="0" w:color="auto"/>
        <w:left w:val="none" w:sz="0" w:space="0" w:color="auto"/>
        <w:bottom w:val="none" w:sz="0" w:space="0" w:color="auto"/>
        <w:right w:val="none" w:sz="0" w:space="0" w:color="auto"/>
      </w:divBdr>
    </w:div>
    <w:div w:id="197991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content/global-action-against-dark-markets-tor-network" TargetMode="External"/><Relationship Id="rId13" Type="http://schemas.openxmlformats.org/officeDocument/2006/relationships/hyperlink" Target="https://www.cepol.europa.eu/who-we-are/european-police-college/about-us" TargetMode="External"/><Relationship Id="rId18" Type="http://schemas.openxmlformats.org/officeDocument/2006/relationships/hyperlink" Target="https://en.wikipedia.org/wiki/Regional_organization" TargetMode="External"/><Relationship Id="rId3" Type="http://schemas.openxmlformats.org/officeDocument/2006/relationships/hyperlink" Target="http://europa.eu/rapid/press-release_IP-15-6110_en.htm" TargetMode="External"/><Relationship Id="rId21" Type="http://schemas.openxmlformats.org/officeDocument/2006/relationships/hyperlink" Target="https://da.wikipedia.org/wiki/Afrikas_Horn" TargetMode="External"/><Relationship Id="rId7" Type="http://schemas.openxmlformats.org/officeDocument/2006/relationships/hyperlink" Target="http://ec.europa.eu/transparency/regexpert/index.cfm?do=groupDetail.groupDetail&amp;groupID=3245&amp;Lang=DA" TargetMode="External"/><Relationship Id="rId12" Type="http://schemas.openxmlformats.org/officeDocument/2006/relationships/hyperlink" Target="http://www.smallarmsstandards.org/" TargetMode="External"/><Relationship Id="rId17" Type="http://schemas.openxmlformats.org/officeDocument/2006/relationships/hyperlink" Target="http://www.un.org/disarmament/content" TargetMode="External"/><Relationship Id="rId2" Type="http://schemas.openxmlformats.org/officeDocument/2006/relationships/hyperlink" Target="http://www.consilium.europa.eu/da/press/press-releases/2015/10/08-jha-fighting-trafficking-firearms/" TargetMode="External"/><Relationship Id="rId16" Type="http://schemas.openxmlformats.org/officeDocument/2006/relationships/hyperlink" Target="http://www.seesac.org/news.php?id=495" TargetMode="External"/><Relationship Id="rId20" Type="http://schemas.openxmlformats.org/officeDocument/2006/relationships/hyperlink" Target="https://da.wikipedia.org/wiki/Nordafrika" TargetMode="External"/><Relationship Id="rId1" Type="http://schemas.openxmlformats.org/officeDocument/2006/relationships/hyperlink" Target="http://ec.europa.eu/dgs/home-affairs/e-library/documents/basic-documents/docs/eu_agenda_on_security_en.pdf" TargetMode="External"/><Relationship Id="rId6" Type="http://schemas.openxmlformats.org/officeDocument/2006/relationships/hyperlink" Target="http://ec.europa.eu/research/fp7/index_en.cfm" TargetMode="External"/><Relationship Id="rId11" Type="http://schemas.openxmlformats.org/officeDocument/2006/relationships/hyperlink" Target="http://www.consilium.europa.eu/uedocs/cms_data/docs/pressdata/en/jha/114017.pdf" TargetMode="External"/><Relationship Id="rId24" Type="http://schemas.openxmlformats.org/officeDocument/2006/relationships/hyperlink" Target="http://www.eeas.europa.eu/csdp/about-csdp/european-security-strategy/" TargetMode="External"/><Relationship Id="rId5" Type="http://schemas.openxmlformats.org/officeDocument/2006/relationships/hyperlink" Target="http://ec.europa.eu/programmes/horizon2020/" TargetMode="External"/><Relationship Id="rId15" Type="http://schemas.openxmlformats.org/officeDocument/2006/relationships/hyperlink" Target="http://www.conflictarm.com/itrace/" TargetMode="External"/><Relationship Id="rId23" Type="http://schemas.openxmlformats.org/officeDocument/2006/relationships/hyperlink" Target="http://eeas.europa.eu/non-proliferation-and-disarmament/conventional_weapons/salw/index_en.htm" TargetMode="External"/><Relationship Id="rId10" Type="http://schemas.openxmlformats.org/officeDocument/2006/relationships/hyperlink" Target="http://eur-lex.europa.eu/legal-content/EN/TXT/?uri=celex:52015DC0192" TargetMode="External"/><Relationship Id="rId19" Type="http://schemas.openxmlformats.org/officeDocument/2006/relationships/hyperlink" Target="https://da.wikipedia.org/wiki/Arabiske_verden" TargetMode="External"/><Relationship Id="rId4" Type="http://schemas.openxmlformats.org/officeDocument/2006/relationships/hyperlink" Target="http://www.consilium.europa.eu/da/documents-publications/publications/2015/eu-policy-cycle-tackle-organized-crime/" TargetMode="External"/><Relationship Id="rId9" Type="http://schemas.openxmlformats.org/officeDocument/2006/relationships/hyperlink" Target="https://www.europol.europa.eu/content/cybercriminal-darkode-forum-taken-down-through-global-action" TargetMode="External"/><Relationship Id="rId14" Type="http://schemas.openxmlformats.org/officeDocument/2006/relationships/hyperlink" Target="http://www.interpol.int/Crime-areas/Firearms/INTERPOL-Illicit-Arms-Records-and-tracing-Management-System-iARMS" TargetMode="External"/><Relationship Id="rId22" Type="http://schemas.openxmlformats.org/officeDocument/2006/relationships/hyperlink" Target="https://da.wikipedia.org/wiki/Arabiske_Halv%C3%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CF83-A820-448B-A036-5337C17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4980</Words>
  <Characters>32026</Characters>
  <Application>Microsoft Office Word</Application>
  <DocSecurity>0</DocSecurity>
  <PresentationFormat>Microsoft Word 14.0</PresentationFormat>
  <Lines>508</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2015-11-30T11:18:00Z</dcterms:created>
  <dcterms:modified xsi:type="dcterms:W3CDTF">2015-12-22T08:37:00Z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